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21.05.2026. 16:09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“Problēmas apraksts” zem tabulas Nr.2 tiek norādīts, ka ņemot vērā minētās Atveseļošanas un noturības mehānisma (turpmāk – Atveseļošanas fonda) finansējuma pārdales, ir nepieciešams precizēt Ministru kabineta 2022.gada 19.aprīļa noteikumu Nr.254 "Noteikumi par Eiropas Savienības Atveseļošanas un noturības mehānisma plāna investīciju 4.1.1.2.i. "Atbalsts slimnīcu infrastruktūrai vai aprīkojumam"" (turpmāk – MK noteikumi Nr.254) 16.punktu, un noteikt, ka 4.1.1.2.i. investīcijas kopējais finansējums tiek palielināts par 1 273 516 euro (t.sk., Atveseļošanas fonda finansējums 1 054 822 euro), tomēr no MK noteikumu Nr.254 projekta 16.punkta izriet, ka kopējais finansējums tiek palielināts par  1 241 966 euro, t.sk. Atveseļošanas fonda finansējums par 1 054 822 euro un valsts budžeta finansējums PVN segšanai par 187 144 euro, aicinām izvērtēt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sadarbībā ar līgumslēdzējiem nodrošināt grozījumu veikšanu Atveseļošanas fonda projektos atbilstoši šajā protokollēmumā un noteikumu pielikumā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vai anotāciju ar nosacījumu, ka finansējuma pārdale starp investīcijām tiek veikta tikai pēc tam, kad ir nodrošināta finansējuma atbrīvošana no MK protokollēmuma 3. punktā minētajām Atveseļošanas fonda reformām un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sadarbībā ar līgumslēdzējiem nodrošināt grozījumu veikšanu Atveseļošanas fonda projektos atbilstoši šajā protokollēmumā un noteikumu pielikumā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projektā tiek sniegts komercdarbības atbalsts  saskaņā ar </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Eiropas Komisijas lēmums Nr.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2026. gada 8. janvārī stājās spēkā 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aizstāj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 (turpmāk – vecais VTNP lēmums). Vienlaikus jaunajā VTNP lēmumā ir noteikts, ka visas atbalsta programmas, kas stājās spēkā pirms tā spēkā stāšanās un kas bija saderīgas ar iekšējo tirgu un atbrīvotas no paziņošanas prasības saskaņā ar veco VTNP lēmumu, arī turpmāk ir saderīgas ar iekšējo tirgu un atbrīvotas no paziņošanas prasības vēl divu gadu laikposmā pēc šā lēmuma stāšanās spēkā. Neskatoties uz jauno regulējumu, saderības ar Eiropas Savienības iekšējo tirgu pamatnosacījumi nav konceptuāli mainīti, proti, gan vecais VTNP lēmums, gan jaunais VTNP lēmums balstās uz tiem pašiem principiem, un jaunais lēmums būtiski nepārskata šos principus, bet tikai precizē terminoloģiju un atsevišķus aspektus, piemēram, pilnvarojuma satura prasības un atsevišķu vispārējas tautsaimniecības nozīmes pakalpojuma kategoriju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ka, neveicot grozījumus MK noteikumos Nr. 254, atbalstu programmas ietvaros saskaņā ar veco VTNP lēmumu var saņemt arī ārstniecības iestādes, kam noslēgts pilnvarojuma akts ar jauno VTNP lēmumu, aicinām anotācijā iekļaut atrunu, ka atbalstu saskaņā ar veco VTNP lēmumu var saņemt arī ārstniecības iestādes, kam noslēgts pilnvarojuma akts ar jauno VTNP lēmumu, ievērojot noteikumos ietvertos atbalsta nosacījumus un nosacījumus, kas izriet no vecā VTNP lēmuma, un atsauces neesamība pilnvarojuma aktā uz veco VTNP lēmumu nav šķērslis, lai piešķirtu atbalstu saskaņā ar veco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ja plānots, ka gadījumos, kad pilnvarojuma akts noslēgts atbilstoši jaunajam VTNP lēmumam, atbalstu piešķirs ar jauno VTNP lēmumu, tad lūgums veikt nepieciešamos precizējumus MK noteikumos Nr. 254 un sniegt atbilstošu skaidrojumu anotācijā, skaidri nosakot, kuros gadījumos atbalstu piešķirs atbilstoši vecajam VTNP lēmumam un kuros – atbilstoši jaunajam VTNP lēmumam (atkarībā no tā, ar kuru Lēmumu pilnvarojuma akts), piemēram, MK noteikumu Nr. 254 11.5 un 25.7. apakšpunktā, 23. un 26.punktā. 25.7. apakšpunkts būtu papildināms ar tekstu "(izņemot, ja pilnvarojum akts ir noslēgts ar Komisijas Lēmumu (ES) 2025/2630 (2025. gada 16. decembris)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un jāsniedz skaidrojums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2025. gada 16. decembrī Eiropas Komisijas Konkurences ģenerāldirektorāts ir pieņēmis Komisijas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aizstās Komisijas 2011.gada 20.decembra Lēmumu 2012/21/ES par Līguma par Eiropas Savienības darbību 106.panta 2.punkta piemērošanu valsts atbalstam attiecībā uz kompensāciju par sabiedriskajiem pakalpojumiem dažiem uzņēmumiem, kuriem uzticēts sniegt pakalpojumus ar vispārēju tautsaimniecisku nozīmi (turpmāk – iepriekšējais VTNP lēmums). Jaunais VTNP lēmums ir stājies spēkā ar 2026. gada 8. janvāri. Vienlaikus jaunajā VTNP lēmumā ir noteikts, ka visas atbalsta programmas, kas stājās spēkā pirms tā spēkā stāšanās un kas bija saderīgas ar iekšējo tirgu un atbrīvotas no paziņošanas prasības saskaņā ar iepriekšējo VTNP lēmumu, arī turpmāk ir saderīgas ar iekšējo tirgu un atbrīvotas no paziņošanas prasības vēl divu gadu laikposmā pēc šā lēmuma stāšanās spēkā. Ņemot vērā minēto, komercdarbības atbalstu pasākuma ietvaros saskaņā ar iepriekšējo VTNP lēmumu var saņemt arī subjekti, kam noslēgts pilnvarojuma akts ar jauno VTNP lēmumu, ievērojot noteikumos ietvertos atbalsta nosacījumus un nosacījumus, kas izriet no iepriekšējā VTNP lēmuma, un atsauces neesamība pilnvarojuma aktā uz iepriekšējo VTNP lēmumu nav šķērslis, lai piešķirtu atbalstu saskaņā ar iepriekšējo VTNP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projektā tiek sniegts komercdarbības atbalsts  saskaņā ar </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(turpmāk – Eiropas Komisijas lēmums Nr. 2012/21/ES);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kopējais attiecināmais finansējums ir 183 561 118 </w:t>
            </w:r>
            <w:r w:rsidR="00000000" w:rsidRPr="00000000" w:rsidDel="00000000">
              <w:rPr>
                <w:i w:val="1"/>
                <w:rtl w:val="0"/>
              </w:rPr>
              <w:t xml:space="preserve">euro</w:t>
            </w:r>
            <w:r w:rsidR="00000000" w:rsidRPr="00000000" w:rsidDel="00000000">
              <w:rPr>
                <w:rtl w:val="0"/>
              </w:rPr>
              <w:t xml:space="preserve">, tai skaitā Atveseļošanas fonda finansējums – 151 731 807 </w:t>
            </w:r>
            <w:r w:rsidR="00000000" w:rsidRPr="00000000" w:rsidDel="00000000">
              <w:rPr>
                <w:i w:val="1"/>
                <w:rtl w:val="0"/>
              </w:rPr>
              <w:t xml:space="preserve">euro</w:t>
            </w:r>
            <w:r w:rsidR="00000000" w:rsidRPr="00000000" w:rsidDel="00000000">
              <w:rPr>
                <w:rtl w:val="0"/>
              </w:rPr>
              <w:t xml:space="preserve"> un valsts budžeta finansējums PVN segšanai – ne vairāk kā 31 829 311 </w:t>
            </w:r>
            <w:r w:rsidR="00000000" w:rsidRPr="00000000" w:rsidDel="00000000">
              <w:rPr>
                <w:i w:val="1"/>
                <w:rtl w:val="0"/>
              </w:rPr>
              <w:t xml:space="preserve">euro</w:t>
            </w:r>
            <w:r w:rsidR="00000000" w:rsidRPr="00000000" w:rsidDel="00000000">
              <w:rPr>
                <w:rtl w:val="0"/>
              </w:rPr>
              <w:t xml:space="preserve"> (tai skaitā saskaņā ar šo noteikumu </w:t>
            </w:r>
            <w:r w:rsidR="00000000" w:rsidRPr="00000000" w:rsidDel="00000000">
              <w:rPr>
                <w:rtl w:val="0"/>
              </w:rPr>
              <w:t xml:space="preserve">37.</w:t>
            </w:r>
            <w:r w:rsidR="00000000" w:rsidRPr="00000000" w:rsidDel="00000000">
              <w:rPr>
                <w:rtl w:val="0"/>
              </w:rPr>
              <w:t xml:space="preserve"> punktu</w:t>
            </w:r>
            <w:r w:rsidR="00000000" w:rsidRPr="00000000" w:rsidDel="00000000">
              <w:rPr>
                <w:rtl w:val="0"/>
              </w:rPr>
              <w:t xml:space="preserve"> noteiktais privātais finansējums, par kuru samazināts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MK noteikumu projekta 1. punktā finansējumu, kurš ir no Atveseļošanas fonda finansējuma ietaupījumiem kā tas jau tagad ir norādīts MK noteikumu Nr. 254  16.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kopējais attiecināmais finansējums ir 183 561 118 </w:t>
            </w:r>
            <w:r w:rsidR="00000000" w:rsidRPr="00000000" w:rsidDel="00000000">
              <w:rPr>
                <w:i w:val="1"/>
                <w:rtl w:val="0"/>
              </w:rPr>
              <w:t xml:space="preserve">euro </w:t>
            </w:r>
            <w:r w:rsidR="00000000" w:rsidRPr="00000000" w:rsidDel="00000000">
              <w:rPr>
                <w:rtl w:val="0"/>
              </w:rPr>
              <w:t xml:space="preserve">(finansējums no ietaupījuma - 2 666 119 </w:t>
            </w:r>
            <w:r w:rsidR="00000000" w:rsidRPr="00000000" w:rsidDel="00000000">
              <w:rPr>
                <w:i w:val="1"/>
                <w:rtl w:val="0"/>
              </w:rPr>
              <w:t xml:space="preserve">euro</w:t>
            </w:r>
            <w:r w:rsidR="00000000" w:rsidRPr="00000000" w:rsidDel="00000000">
              <w:rPr>
                <w:rtl w:val="0"/>
              </w:rPr>
              <w:t xml:space="preserve">), tai skaitā Atveseļošanas fonda finansējums – 151 731 807 </w:t>
            </w:r>
            <w:r w:rsidR="00000000" w:rsidRPr="00000000" w:rsidDel="00000000">
              <w:rPr>
                <w:i w:val="1"/>
                <w:rtl w:val="0"/>
              </w:rPr>
              <w:t xml:space="preserve">euro </w:t>
            </w:r>
            <w:r w:rsidR="00000000" w:rsidRPr="00000000" w:rsidDel="00000000">
              <w:rPr>
                <w:rtl w:val="0"/>
              </w:rPr>
              <w:t xml:space="preserve">(finansējums no Atveseļošanas fonda finansējuma ietaupījuma - 2 231 807 </w:t>
            </w:r>
            <w:r w:rsidR="00000000" w:rsidRPr="00000000" w:rsidDel="00000000">
              <w:rPr>
                <w:i w:val="1"/>
                <w:rtl w:val="0"/>
              </w:rPr>
              <w:t xml:space="preserve">euro</w:t>
            </w:r>
            <w:r w:rsidR="00000000" w:rsidRPr="00000000" w:rsidDel="00000000">
              <w:rPr>
                <w:rtl w:val="0"/>
              </w:rPr>
              <w:t xml:space="preserve">) un valsts budžeta finansējums PVN segšanai – ne vairāk kā 31 829 311 </w:t>
            </w:r>
            <w:r w:rsidR="00000000" w:rsidRPr="00000000" w:rsidDel="00000000">
              <w:rPr>
                <w:i w:val="1"/>
                <w:rtl w:val="0"/>
              </w:rPr>
              <w:t xml:space="preserve">euro</w:t>
            </w:r>
            <w:r w:rsidR="00000000" w:rsidRPr="00000000" w:rsidDel="00000000">
              <w:rPr>
                <w:rtl w:val="0"/>
              </w:rPr>
              <w:t xml:space="preserve"> (finansējums no ietaupījuma - 434 312 </w:t>
            </w:r>
            <w:r w:rsidR="00000000" w:rsidRPr="00000000" w:rsidDel="00000000">
              <w:rPr>
                <w:i w:val="1"/>
                <w:rtl w:val="0"/>
              </w:rPr>
              <w:t xml:space="preserve">euro</w:t>
            </w:r>
            <w:r w:rsidR="00000000" w:rsidRPr="00000000" w:rsidDel="00000000">
              <w:rPr>
                <w:rtl w:val="0"/>
              </w:rPr>
              <w:t xml:space="preserve">) (tai skaitā saskaņā ar šo noteikumu </w:t>
            </w:r>
            <w:r w:rsidR="00000000" w:rsidRPr="00000000" w:rsidDel="00000000">
              <w:rPr>
                <w:rtl w:val="0"/>
              </w:rPr>
              <w:t xml:space="preserve">37.</w:t>
            </w:r>
            <w:r w:rsidR="00000000" w:rsidRPr="00000000" w:rsidDel="00000000">
              <w:rPr>
                <w:rtl w:val="0"/>
              </w:rPr>
              <w:t xml:space="preserve"> punktu</w:t>
            </w:r>
            <w:r w:rsidR="00000000" w:rsidRPr="00000000" w:rsidDel="00000000">
              <w:rPr>
                <w:rtl w:val="0"/>
              </w:rPr>
              <w:t xml:space="preserve"> noteiktais privātais finansējums, par kuru samazināts valsts budžeta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Šo noteikumu  pielikumā minētais finansējuma saņēmējs VSIA "Paula Stradiņa klīniskā universitātes slimnīca" projekta īstenošanas laikā var saņemt avansa un starpposma maksājumus, kuru kopsumma var pārsniegt 90 procentus no projektam piešķirtā Atveseļošanas fonda finansējuma un valsts budžeta līdzfinansējuma. Avansu var izmaksāt vairākos maksājumos saskaņā ar iepirkuma līgumiem un normatīvajiem aktiem par budžeta līdzekļu plānošanu.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Nr. 254 plānotā 22.1 punkta otrā teikuma nepieciešamību, to svītrojot, ņemot vērā MK noteikumu Nr. 254 20.1. apakšpunkta otrajā teikumā noteikto (kas būtu attiecināms arī uz valsts sabiedrību ar ierobežotu atbildību "Paula Stradiņa klīniskā universitātes slimnīca" kā finansējuma saņēmēju), vai arī skaidrot anotācijā plānotā 22.1 punkta otrā teikuma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Šo noteikumu  pielikumā minētais finansējuma saņēmējs VSIA "Paula Stradiņa klīniskā universitātes slimnīca" projekta īstenošanas laikā var saņemt avansa un starpposma maksājumus, kuru kopsumma var pārsniegt 90 procentus no projektam piešķirtā Atveseļošanas fonda finansējuma un valsts budžeta līdzfinansējuma.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26-TA-1170</w:t>
    </w:r>
    <w:r>
      <w:br/>
    </w:r>
    <w:r w:rsidR="00000000" w:rsidRPr="00000000" w:rsidDel="00000000">
      <w:rPr>
        <w:rtl w:val="0"/>
      </w:rPr>
      <w:t xml:space="preserve">02.06.2026. 17.22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26-TA-1170</w:t>
    </w:r>
    <w:r>
      <w:br/>
    </w:r>
    <w:r w:rsidR="00000000" w:rsidRPr="00000000" w:rsidDel="00000000">
      <w:rPr>
        <w:rtl w:val="0"/>
      </w:rPr>
      <w:t xml:space="preserve">02.06.2026. 17.22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Izziņa_26-TA-1170.docx</dc:title>
</cp:coreProperties>
</file>

<file path=docProps/custom.xml><?xml version="1.0" encoding="utf-8"?>
<Properties xmlns="http://schemas.openxmlformats.org/officeDocument/2006/custom-properties" xmlns:vt="http://schemas.openxmlformats.org/officeDocument/2006/docPropsVTypes"/>
</file>