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206825" w14:textId="77777777" w:rsidR="00AD0E1C"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AD0E1C" w14:paraId="6D8616C1" w14:textId="77777777">
        <w:tc>
          <w:tcPr>
            <w:tcW w:w="750" w:type="dxa"/>
            <w:shd w:val="clear" w:color="auto" w:fill="FFFFFF"/>
            <w:noWrap/>
            <w:tcMar>
              <w:top w:w="75" w:type="dxa"/>
              <w:left w:w="75" w:type="dxa"/>
              <w:bottom w:w="75" w:type="dxa"/>
              <w:right w:w="75" w:type="dxa"/>
            </w:tcMar>
            <w:vAlign w:val="center"/>
          </w:tcPr>
          <w:p w14:paraId="5247FC5A" w14:textId="77777777" w:rsidR="00AD0E1C" w:rsidRDefault="0000000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2EA8E947" w14:textId="77777777" w:rsidR="00AD0E1C"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210A27CE" w14:textId="77777777" w:rsidR="00AD0E1C"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DA5C99A" w14:textId="77777777" w:rsidR="00AD0E1C"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C33E286" w14:textId="77777777" w:rsidR="00AD0E1C" w:rsidRDefault="00000000">
            <w:pPr>
              <w:jc w:val="center"/>
            </w:pPr>
            <w:r>
              <w:rPr>
                <w:b/>
              </w:rPr>
              <w:t>Pamatojums, ja iebildums / priekšlikums nav ņemts vērā</w:t>
            </w:r>
          </w:p>
        </w:tc>
      </w:tr>
      <w:tr w:rsidR="00AD0E1C" w14:paraId="565CA4DB" w14:textId="77777777">
        <w:tc>
          <w:tcPr>
            <w:tcW w:w="750" w:type="dxa"/>
            <w:shd w:val="clear" w:color="auto" w:fill="FFFFFF"/>
            <w:noWrap/>
            <w:tcMar>
              <w:top w:w="75" w:type="dxa"/>
              <w:left w:w="75" w:type="dxa"/>
              <w:bottom w:w="75" w:type="dxa"/>
              <w:right w:w="75" w:type="dxa"/>
            </w:tcMar>
            <w:vAlign w:val="center"/>
          </w:tcPr>
          <w:p w14:paraId="4C23CF7E" w14:textId="77777777" w:rsidR="00AD0E1C" w:rsidRDefault="00000000">
            <w:pPr>
              <w:jc w:val="center"/>
            </w:pPr>
            <w:r>
              <w:t>1.</w:t>
            </w:r>
          </w:p>
        </w:tc>
        <w:tc>
          <w:tcPr>
            <w:tcW w:w="4155" w:type="dxa"/>
            <w:shd w:val="clear" w:color="auto" w:fill="FFFFFF"/>
            <w:noWrap/>
            <w:tcMar>
              <w:top w:w="75" w:type="dxa"/>
              <w:left w:w="75" w:type="dxa"/>
              <w:bottom w:w="75" w:type="dxa"/>
              <w:right w:w="75" w:type="dxa"/>
            </w:tcMar>
            <w:vAlign w:val="center"/>
          </w:tcPr>
          <w:p w14:paraId="14DBE579" w14:textId="77777777" w:rsidR="00AD0E1C" w:rsidRDefault="00000000">
            <w:pPr>
              <w:jc w:val="left"/>
            </w:pPr>
            <w:r>
              <w:t>Fiziska persona</w:t>
            </w:r>
          </w:p>
        </w:tc>
        <w:tc>
          <w:tcPr>
            <w:tcW w:w="4156" w:type="dxa"/>
            <w:shd w:val="clear" w:color="auto" w:fill="FFFFFF"/>
            <w:noWrap/>
            <w:tcMar>
              <w:top w:w="75" w:type="dxa"/>
              <w:left w:w="75" w:type="dxa"/>
              <w:bottom w:w="75" w:type="dxa"/>
              <w:right w:w="75" w:type="dxa"/>
            </w:tcMar>
            <w:vAlign w:val="center"/>
          </w:tcPr>
          <w:p w14:paraId="52FF1E7C" w14:textId="77777777" w:rsidR="00AD0E1C" w:rsidRDefault="00000000">
            <w:pPr>
              <w:jc w:val="left"/>
            </w:pPr>
            <w:r>
              <w:t>Esmu pret</w:t>
            </w:r>
          </w:p>
        </w:tc>
        <w:tc>
          <w:tcPr>
            <w:tcW w:w="1350" w:type="dxa"/>
            <w:shd w:val="clear" w:color="auto" w:fill="FFFFFF"/>
            <w:noWrap/>
            <w:tcMar>
              <w:top w:w="75" w:type="dxa"/>
              <w:left w:w="75" w:type="dxa"/>
              <w:bottom w:w="75" w:type="dxa"/>
              <w:right w:w="75" w:type="dxa"/>
            </w:tcMar>
            <w:vAlign w:val="center"/>
          </w:tcPr>
          <w:p w14:paraId="2041587C" w14:textId="77777777" w:rsidR="00AD0E1C" w:rsidRDefault="00AD0E1C">
            <w:pPr>
              <w:jc w:val="left"/>
            </w:pPr>
          </w:p>
        </w:tc>
        <w:tc>
          <w:tcPr>
            <w:tcW w:w="4156" w:type="dxa"/>
            <w:shd w:val="clear" w:color="auto" w:fill="FFFFFF"/>
            <w:noWrap/>
            <w:tcMar>
              <w:top w:w="75" w:type="dxa"/>
              <w:left w:w="75" w:type="dxa"/>
              <w:bottom w:w="75" w:type="dxa"/>
              <w:right w:w="75" w:type="dxa"/>
            </w:tcMar>
            <w:vAlign w:val="center"/>
          </w:tcPr>
          <w:p w14:paraId="05EC53EF" w14:textId="77777777" w:rsidR="00AD0E1C" w:rsidRDefault="00AD0E1C">
            <w:pPr>
              <w:jc w:val="left"/>
            </w:pPr>
          </w:p>
        </w:tc>
      </w:tr>
      <w:tr w:rsidR="00AD0E1C" w14:paraId="6816C57B" w14:textId="77777777">
        <w:tc>
          <w:tcPr>
            <w:tcW w:w="750" w:type="dxa"/>
            <w:shd w:val="clear" w:color="auto" w:fill="FFFFFF"/>
            <w:noWrap/>
            <w:tcMar>
              <w:top w:w="75" w:type="dxa"/>
              <w:left w:w="75" w:type="dxa"/>
              <w:bottom w:w="75" w:type="dxa"/>
              <w:right w:w="75" w:type="dxa"/>
            </w:tcMar>
            <w:vAlign w:val="center"/>
          </w:tcPr>
          <w:p w14:paraId="3B2D45C4" w14:textId="77777777" w:rsidR="00AD0E1C" w:rsidRDefault="00000000">
            <w:pPr>
              <w:jc w:val="center"/>
            </w:pPr>
            <w:r>
              <w:t>2.</w:t>
            </w:r>
          </w:p>
        </w:tc>
        <w:tc>
          <w:tcPr>
            <w:tcW w:w="4155" w:type="dxa"/>
            <w:shd w:val="clear" w:color="auto" w:fill="FFFFFF"/>
            <w:noWrap/>
            <w:tcMar>
              <w:top w:w="75" w:type="dxa"/>
              <w:left w:w="75" w:type="dxa"/>
              <w:bottom w:w="75" w:type="dxa"/>
              <w:right w:w="75" w:type="dxa"/>
            </w:tcMar>
            <w:vAlign w:val="center"/>
          </w:tcPr>
          <w:p w14:paraId="52DA52BC" w14:textId="77777777" w:rsidR="00AD0E1C" w:rsidRDefault="00000000">
            <w:pPr>
              <w:jc w:val="left"/>
            </w:pPr>
            <w:r>
              <w:t>Latvijas Universitātes Matemātikas un informātikas institūts</w:t>
            </w:r>
          </w:p>
        </w:tc>
        <w:tc>
          <w:tcPr>
            <w:tcW w:w="4156" w:type="dxa"/>
            <w:shd w:val="clear" w:color="auto" w:fill="FFFFFF"/>
            <w:noWrap/>
            <w:tcMar>
              <w:top w:w="75" w:type="dxa"/>
              <w:left w:w="75" w:type="dxa"/>
              <w:bottom w:w="75" w:type="dxa"/>
              <w:right w:w="75" w:type="dxa"/>
            </w:tcMar>
            <w:vAlign w:val="center"/>
          </w:tcPr>
          <w:p w14:paraId="1CA4CAAB" w14:textId="77777777" w:rsidR="00AD0E1C" w:rsidRDefault="00000000">
            <w:pPr>
              <w:jc w:val="left"/>
            </w:pPr>
            <w:r>
              <w:t>Latvijas Universitātes Matemātikas un informātikas institūta Tīkla risinājumu daļa, augstākā līmeņa domēna .LV reģistra un elektroniskās numurēšanas sistēmas uzturētājs, izvērtēja piedāvātos grozījumus un lūdz noteikt grozījumos iekļauto prasību ieviešanai pārejas periodu.</w:t>
            </w:r>
            <w:r>
              <w:br/>
            </w:r>
            <w:r>
              <w:br/>
              <w:t xml:space="preserve">Grozījumi paredz būtiskas izmaiņas gan reģistra uzturētājam, gan tā sadarbības partneriem - reģistratūrām. Grozījumu rezultātā būs jāveic gan sadarbības līgumu pārskatīšana un pārslēgšana, gan jaunu tehnisku risinājumu izstrāde un ieviešana. Šādu izmaiņu veikšana visā pakalpojuma </w:t>
            </w:r>
            <w:r>
              <w:lastRenderedPageBreak/>
              <w:t>sniegšanas/izplatīšanas ķēdē ir sarežģīta un laikietilpīga.</w:t>
            </w:r>
            <w:r>
              <w:br/>
            </w:r>
            <w:r>
              <w:br/>
              <w:t>Gadījumos, kad reģistra uzturētājs veic izmaiņas, kas ietekmē reģistratūru informācijas sistēmas, reģistratūras prasījušas noteikt vismaz 6 (sešu) mēnešu pārejas periodu. Ņemot vērā to, ka piedāvātie grozījumi attiecas ne tikai uz reģistratūrām, bet arī reģistra uzturētāju, tas nozīmē, ka pirmās izmaiņas veiks reģistra uzturētājs un tikai tad būs skaidri nosacījumi reģistratūrām, tāpēc lūdzam noteikt pārejas periodu vismaz 12 (divpadsmit) mēnešus.</w:t>
            </w:r>
          </w:p>
        </w:tc>
        <w:tc>
          <w:tcPr>
            <w:tcW w:w="1350" w:type="dxa"/>
            <w:shd w:val="clear" w:color="auto" w:fill="FFFFFF"/>
            <w:noWrap/>
            <w:tcMar>
              <w:top w:w="75" w:type="dxa"/>
              <w:left w:w="75" w:type="dxa"/>
              <w:bottom w:w="75" w:type="dxa"/>
              <w:right w:w="75" w:type="dxa"/>
            </w:tcMar>
            <w:vAlign w:val="center"/>
          </w:tcPr>
          <w:p w14:paraId="78FFC9D3" w14:textId="1987B2D8" w:rsidR="00AD0E1C" w:rsidRPr="00DC6A0D" w:rsidRDefault="00DC6A0D">
            <w:pPr>
              <w:jc w:val="left"/>
              <w:rPr>
                <w:b/>
                <w:bCs/>
              </w:rPr>
            </w:pPr>
            <w:r w:rsidRPr="00DC6A0D">
              <w:rPr>
                <w:b/>
                <w:bCs/>
              </w:rPr>
              <w:lastRenderedPageBreak/>
              <w:t>Nav ņemts vērā</w:t>
            </w:r>
          </w:p>
        </w:tc>
        <w:tc>
          <w:tcPr>
            <w:tcW w:w="4156" w:type="dxa"/>
            <w:shd w:val="clear" w:color="auto" w:fill="FFFFFF"/>
            <w:noWrap/>
            <w:tcMar>
              <w:top w:w="75" w:type="dxa"/>
              <w:left w:w="75" w:type="dxa"/>
              <w:bottom w:w="75" w:type="dxa"/>
              <w:right w:w="75" w:type="dxa"/>
            </w:tcMar>
            <w:vAlign w:val="center"/>
          </w:tcPr>
          <w:p w14:paraId="535C4E9C" w14:textId="77777777" w:rsidR="00DC6A0D" w:rsidRPr="00942FF5" w:rsidRDefault="00DC6A0D" w:rsidP="00DC6A0D">
            <w:pPr>
              <w:ind w:firstLine="720"/>
            </w:pPr>
            <w:r w:rsidRPr="00C02E2A">
              <w:t>Vēršam uzmanību, ka</w:t>
            </w:r>
            <w:r w:rsidRPr="00942FF5">
              <w:t xml:space="preserve"> iepriekšminēt</w:t>
            </w:r>
            <w:r w:rsidRPr="00C02E2A">
              <w:t>ā</w:t>
            </w:r>
            <w:r w:rsidRPr="00942FF5">
              <w:t xml:space="preserve"> 12 mēnešu pārejas period</w:t>
            </w:r>
            <w:r w:rsidRPr="00C02E2A">
              <w:t>a iekļaušana noteikumu projektā ir pretrunā</w:t>
            </w:r>
            <w:r>
              <w:t xml:space="preserve"> </w:t>
            </w:r>
            <w:r w:rsidRPr="00C02E2A">
              <w:t xml:space="preserve"> ar </w:t>
            </w:r>
            <w:r w:rsidRPr="00942FF5">
              <w:t xml:space="preserve">Eiropas Parlamenta un Padomes 2022. gada 14. decembra Direktīvas (ES) 2022/2555, ar ko paredz pasākumus nolūkā panākt vienādi augstu </w:t>
            </w:r>
            <w:proofErr w:type="spellStart"/>
            <w:r w:rsidRPr="00942FF5">
              <w:t>kiberdrošības</w:t>
            </w:r>
            <w:proofErr w:type="spellEnd"/>
            <w:r w:rsidRPr="00942FF5">
              <w:t xml:space="preserve"> līmeni visā Savienībā un ar ko groza Regulu (ES) Nr. 910/2014 un Direktīvu (ES) 2018/1972 un atceļ Direktīvu (ES) 2016/1148 (turpmāk – NIS2 direktīva)</w:t>
            </w:r>
            <w:r>
              <w:t xml:space="preserve"> prasībām, proti,</w:t>
            </w:r>
            <w:r w:rsidRPr="00942FF5">
              <w:t xml:space="preserve">  41.panta 1.punkt</w:t>
            </w:r>
            <w:r w:rsidRPr="00C02E2A">
              <w:t>u, kas nosaka</w:t>
            </w:r>
            <w:r w:rsidRPr="00942FF5">
              <w:t xml:space="preserve">, ka dalībvalstis līdz 2024. gada 17. oktobrim pieņem un publicē noteikumus, kas vajadzīgi, lai izpildītu šīs direktīvas prasības. </w:t>
            </w:r>
            <w:r w:rsidRPr="00942FF5">
              <w:lastRenderedPageBreak/>
              <w:t>Dalībvalstis par to tūlīt informē Komisiju. Tās piemēro minētos aktus no 2024. gada 18. oktobra.</w:t>
            </w:r>
          </w:p>
          <w:p w14:paraId="17408E6A" w14:textId="77777777" w:rsidR="00DC6A0D" w:rsidRDefault="00DC6A0D" w:rsidP="00DC6A0D">
            <w:pPr>
              <w:ind w:firstLine="720"/>
              <w:rPr>
                <w:rFonts w:cs="Arial"/>
                <w:szCs w:val="22"/>
              </w:rPr>
            </w:pPr>
            <w:r>
              <w:rPr>
                <w:rFonts w:cs="Arial"/>
                <w:szCs w:val="22"/>
              </w:rPr>
              <w:t xml:space="preserve">Ņemot vērā minēto, lai novērstu risku, ka </w:t>
            </w:r>
            <w:r w:rsidRPr="00C02E2A">
              <w:rPr>
                <w:rFonts w:cs="Arial"/>
                <w:szCs w:val="22"/>
              </w:rPr>
              <w:t>Eiropas Komisija var</w:t>
            </w:r>
            <w:r>
              <w:rPr>
                <w:rFonts w:cs="Arial"/>
                <w:szCs w:val="22"/>
              </w:rPr>
              <w:t xml:space="preserve">ētu </w:t>
            </w:r>
            <w:r w:rsidRPr="00C02E2A">
              <w:rPr>
                <w:rFonts w:cs="Arial"/>
                <w:szCs w:val="22"/>
              </w:rPr>
              <w:t xml:space="preserve">ierosināt </w:t>
            </w:r>
            <w:r>
              <w:rPr>
                <w:rFonts w:cs="Arial"/>
                <w:szCs w:val="22"/>
              </w:rPr>
              <w:t>p</w:t>
            </w:r>
            <w:r w:rsidRPr="00C02E2A">
              <w:rPr>
                <w:rFonts w:cs="Arial"/>
                <w:szCs w:val="22"/>
              </w:rPr>
              <w:t>ārkāpuma procedūru</w:t>
            </w:r>
            <w:r>
              <w:rPr>
                <w:rFonts w:cs="Arial"/>
                <w:szCs w:val="22"/>
              </w:rPr>
              <w:t xml:space="preserve"> </w:t>
            </w:r>
            <w:r w:rsidRPr="00C02E2A">
              <w:rPr>
                <w:rFonts w:cs="Arial"/>
                <w:szCs w:val="22"/>
              </w:rPr>
              <w:t xml:space="preserve">pret </w:t>
            </w:r>
            <w:r>
              <w:rPr>
                <w:rFonts w:cs="Arial"/>
                <w:szCs w:val="22"/>
              </w:rPr>
              <w:t xml:space="preserve">Latviju </w:t>
            </w:r>
            <w:r w:rsidRPr="00C02E2A">
              <w:rPr>
                <w:rFonts w:cs="Arial"/>
                <w:szCs w:val="22"/>
              </w:rPr>
              <w:t xml:space="preserve">par </w:t>
            </w:r>
            <w:r>
              <w:rPr>
                <w:rFonts w:cs="Arial"/>
                <w:szCs w:val="22"/>
              </w:rPr>
              <w:t>NIS2 direktīvas</w:t>
            </w:r>
            <w:r w:rsidRPr="00C02E2A">
              <w:rPr>
                <w:rFonts w:cs="Arial"/>
                <w:szCs w:val="22"/>
              </w:rPr>
              <w:t xml:space="preserve"> savlaicīgu nepārņemšanu,</w:t>
            </w:r>
            <w:r>
              <w:rPr>
                <w:rFonts w:cs="Arial"/>
                <w:szCs w:val="22"/>
              </w:rPr>
              <w:t xml:space="preserve"> noteikumu projektā nav iespējams noteikt</w:t>
            </w:r>
            <w:r w:rsidRPr="00C02E2A">
              <w:rPr>
                <w:rFonts w:cs="Arial"/>
                <w:szCs w:val="22"/>
              </w:rPr>
              <w:t xml:space="preserve"> </w:t>
            </w:r>
            <w:r>
              <w:rPr>
                <w:rFonts w:cs="Arial"/>
                <w:szCs w:val="22"/>
              </w:rPr>
              <w:t>citu piemērošanas termiņu.</w:t>
            </w:r>
          </w:p>
          <w:p w14:paraId="07EE9D57" w14:textId="77777777" w:rsidR="00AD0E1C" w:rsidRDefault="00AD0E1C">
            <w:pPr>
              <w:jc w:val="left"/>
            </w:pPr>
          </w:p>
        </w:tc>
      </w:tr>
    </w:tbl>
    <w:p w14:paraId="4CA2E656" w14:textId="77777777" w:rsidR="00C22F56" w:rsidRDefault="00C22F56"/>
    <w:sectPr w:rsidR="00C22F5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C31D4" w14:textId="77777777" w:rsidR="00672B4B" w:rsidRDefault="00672B4B">
      <w:r>
        <w:separator/>
      </w:r>
    </w:p>
  </w:endnote>
  <w:endnote w:type="continuationSeparator" w:id="0">
    <w:p w14:paraId="035AB1E2" w14:textId="77777777" w:rsidR="00672B4B" w:rsidRDefault="0067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67D02" w14:textId="77777777" w:rsidR="00AD0E1C" w:rsidRDefault="00000000">
    <w:pPr>
      <w:jc w:val="right"/>
    </w:pPr>
    <w:r>
      <w:rPr>
        <w:sz w:val="24"/>
        <w:szCs w:val="24"/>
      </w:rPr>
      <w:fldChar w:fldCharType="begin"/>
    </w:r>
    <w:r>
      <w:rPr>
        <w:sz w:val="24"/>
        <w:szCs w:val="24"/>
      </w:rPr>
      <w:instrText>PAGE</w:instrText>
    </w:r>
    <w:r>
      <w:rPr>
        <w:sz w:val="24"/>
        <w:szCs w:val="24"/>
      </w:rPr>
      <w:fldChar w:fldCharType="separate"/>
    </w:r>
    <w:r w:rsidR="00960997">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1C3AA" w14:textId="77777777" w:rsidR="00663533"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35478" w14:textId="77777777" w:rsidR="00672B4B" w:rsidRDefault="00672B4B">
      <w:r>
        <w:separator/>
      </w:r>
    </w:p>
  </w:footnote>
  <w:footnote w:type="continuationSeparator" w:id="0">
    <w:p w14:paraId="427EB108" w14:textId="77777777" w:rsidR="00672B4B" w:rsidRDefault="00672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B92BC" w14:textId="77777777" w:rsidR="00AD0E1C" w:rsidRDefault="00000000">
    <w:pPr>
      <w:pStyle w:val="Header"/>
      <w:contextualSpacing w:val="0"/>
    </w:pPr>
    <w:r>
      <w:t>Viedokļu pārskats 24-TA-1834</w:t>
    </w:r>
    <w:r>
      <w:br/>
      <w:t>Izdrukāts 29.08.2024. 08.49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E1DEC" w14:textId="77777777" w:rsidR="00AD0E1C" w:rsidRDefault="00000000">
    <w:pPr>
      <w:pStyle w:val="Header"/>
      <w:contextualSpacing w:val="0"/>
    </w:pPr>
    <w:r>
      <w:t>Viedokļu pārskats 24-TA-1834</w:t>
    </w:r>
    <w:r>
      <w:br/>
      <w:t>Izdrukāts 29.08.2024. 08.49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1C"/>
    <w:rsid w:val="00663533"/>
    <w:rsid w:val="00672B4B"/>
    <w:rsid w:val="008006B9"/>
    <w:rsid w:val="00960997"/>
    <w:rsid w:val="00AD0E1C"/>
    <w:rsid w:val="00C22F56"/>
    <w:rsid w:val="00C8554D"/>
    <w:rsid w:val="00DC6A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C88FE"/>
  <w15:docId w15:val="{9E97E635-6100-439A-9DCB-0AD93CF6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1461</Words>
  <Characters>833</Characters>
  <Application>Microsoft Office Word</Application>
  <DocSecurity>0</DocSecurity>
  <Lines>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viedoklu_parskats_24-TA-1834.docx</dc:title>
  <dc:creator>Daina Linde</dc:creator>
  <cp:lastModifiedBy>Daina Linde</cp:lastModifiedBy>
  <cp:revision>3</cp:revision>
  <dcterms:created xsi:type="dcterms:W3CDTF">2024-08-29T05:51:00Z</dcterms:created>
  <dcterms:modified xsi:type="dcterms:W3CDTF">2024-08-29T11:12:00Z</dcterms:modified>
</cp:coreProperties>
</file>