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475D09" w:rsidRDefault="00471319">
      <w:pPr>
        <w:spacing w:after="240"/>
        <w:jc w:val="center"/>
        <w:rPr>
          <w:b/>
        </w:rPr>
      </w:pPr>
      <w:r>
        <w:rPr>
          <w:b/>
        </w:rPr>
        <w:t>Sabiedrības iebildumi un priekšlikumi</w:t>
      </w:r>
    </w:p>
    <w:tbl>
      <w:tblPr>
        <w:tblStyle w:val="a"/>
        <w:tblW w:w="14567"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750"/>
        <w:gridCol w:w="4155"/>
        <w:gridCol w:w="4156"/>
        <w:gridCol w:w="1350"/>
        <w:gridCol w:w="4156"/>
      </w:tblGrid>
      <w:tr w:rsidR="00475D09">
        <w:tc>
          <w:tcPr>
            <w:tcW w:w="750" w:type="dxa"/>
            <w:shd w:val="clear" w:color="auto" w:fill="FFFFFF"/>
            <w:noWrap/>
            <w:tcMar>
              <w:top w:w="75" w:type="dxa"/>
              <w:left w:w="75" w:type="dxa"/>
              <w:bottom w:w="75" w:type="dxa"/>
              <w:right w:w="75" w:type="dxa"/>
            </w:tcMar>
            <w:vAlign w:val="center"/>
          </w:tcPr>
          <w:p w:rsidR="00475D09" w:rsidRDefault="00471319">
            <w:pPr>
              <w:jc w:val="center"/>
            </w:pPr>
            <w:r>
              <w:rPr>
                <w:b/>
              </w:rPr>
              <w:t>Nr.p.k.</w:t>
            </w:r>
          </w:p>
        </w:tc>
        <w:tc>
          <w:tcPr>
            <w:tcW w:w="4155" w:type="dxa"/>
            <w:shd w:val="clear" w:color="auto" w:fill="FFFFFF"/>
            <w:noWrap/>
            <w:tcMar>
              <w:top w:w="75" w:type="dxa"/>
              <w:left w:w="75" w:type="dxa"/>
              <w:bottom w:w="75" w:type="dxa"/>
              <w:right w:w="75" w:type="dxa"/>
            </w:tcMar>
            <w:vAlign w:val="center"/>
          </w:tcPr>
          <w:p w:rsidR="00475D09" w:rsidRDefault="00471319">
            <w:pPr>
              <w:jc w:val="center"/>
            </w:pPr>
            <w:r>
              <w:rPr>
                <w:b/>
              </w:rPr>
              <w:t>Iebilduma / priekšlikuma iesniedzējs</w:t>
            </w:r>
          </w:p>
        </w:tc>
        <w:tc>
          <w:tcPr>
            <w:tcW w:w="4156" w:type="dxa"/>
            <w:shd w:val="clear" w:color="auto" w:fill="FFFFFF"/>
            <w:noWrap/>
            <w:tcMar>
              <w:top w:w="75" w:type="dxa"/>
              <w:left w:w="75" w:type="dxa"/>
              <w:bottom w:w="75" w:type="dxa"/>
              <w:right w:w="75" w:type="dxa"/>
            </w:tcMar>
            <w:vAlign w:val="center"/>
          </w:tcPr>
          <w:p w:rsidR="00475D09" w:rsidRDefault="00471319">
            <w:pPr>
              <w:jc w:val="center"/>
            </w:pPr>
            <w:r>
              <w:rPr>
                <w:b/>
              </w:rPr>
              <w:t>Iesniegtā iebilduma / priekšlikuma būtība</w:t>
            </w:r>
          </w:p>
        </w:tc>
        <w:tc>
          <w:tcPr>
            <w:tcW w:w="1350" w:type="dxa"/>
            <w:shd w:val="clear" w:color="auto" w:fill="FFFFFF"/>
            <w:noWrap/>
            <w:tcMar>
              <w:top w:w="75" w:type="dxa"/>
              <w:left w:w="75" w:type="dxa"/>
              <w:bottom w:w="75" w:type="dxa"/>
              <w:right w:w="75" w:type="dxa"/>
            </w:tcMar>
            <w:vAlign w:val="center"/>
          </w:tcPr>
          <w:p w:rsidR="00475D09" w:rsidRDefault="00471319">
            <w:pPr>
              <w:jc w:val="center"/>
            </w:pPr>
            <w:r>
              <w:rPr>
                <w:b/>
              </w:rPr>
              <w:t>Ņemts vērā / nav ņemts vērā</w:t>
            </w:r>
          </w:p>
        </w:tc>
        <w:tc>
          <w:tcPr>
            <w:tcW w:w="4156" w:type="dxa"/>
            <w:shd w:val="clear" w:color="auto" w:fill="FFFFFF"/>
            <w:noWrap/>
            <w:tcMar>
              <w:top w:w="75" w:type="dxa"/>
              <w:left w:w="75" w:type="dxa"/>
              <w:bottom w:w="75" w:type="dxa"/>
              <w:right w:w="75" w:type="dxa"/>
            </w:tcMar>
            <w:vAlign w:val="center"/>
          </w:tcPr>
          <w:p w:rsidR="00475D09" w:rsidRDefault="00471319">
            <w:pPr>
              <w:jc w:val="center"/>
            </w:pPr>
            <w:r>
              <w:rPr>
                <w:b/>
              </w:rPr>
              <w:t>Pamatojums, ja iebildums / priekšlikums nav ņemts vērā</w:t>
            </w:r>
          </w:p>
        </w:tc>
      </w:tr>
      <w:tr w:rsidR="00475D09" w:rsidTr="000D5C11">
        <w:tc>
          <w:tcPr>
            <w:tcW w:w="750" w:type="dxa"/>
            <w:shd w:val="clear" w:color="auto" w:fill="FFFFFF"/>
            <w:noWrap/>
            <w:tcMar>
              <w:top w:w="75" w:type="dxa"/>
              <w:left w:w="75" w:type="dxa"/>
              <w:bottom w:w="75" w:type="dxa"/>
              <w:right w:w="75" w:type="dxa"/>
            </w:tcMar>
            <w:vAlign w:val="center"/>
          </w:tcPr>
          <w:p w:rsidR="00475D09" w:rsidRDefault="00471319">
            <w:pPr>
              <w:jc w:val="center"/>
            </w:pPr>
            <w:r>
              <w:t>1.</w:t>
            </w:r>
          </w:p>
        </w:tc>
        <w:tc>
          <w:tcPr>
            <w:tcW w:w="4155" w:type="dxa"/>
            <w:shd w:val="clear" w:color="auto" w:fill="FFFFFF"/>
            <w:noWrap/>
            <w:tcMar>
              <w:top w:w="75" w:type="dxa"/>
              <w:left w:w="75" w:type="dxa"/>
              <w:bottom w:w="75" w:type="dxa"/>
              <w:right w:w="75" w:type="dxa"/>
            </w:tcMar>
            <w:vAlign w:val="center"/>
          </w:tcPr>
          <w:p w:rsidR="00475D09" w:rsidRDefault="00471319">
            <w:pPr>
              <w:jc w:val="left"/>
            </w:pPr>
            <w:r>
              <w:t>skolotāja</w:t>
            </w:r>
          </w:p>
        </w:tc>
        <w:tc>
          <w:tcPr>
            <w:tcW w:w="4156" w:type="dxa"/>
            <w:shd w:val="clear" w:color="auto" w:fill="FFFFFF"/>
            <w:noWrap/>
            <w:tcMar>
              <w:top w:w="75" w:type="dxa"/>
              <w:left w:w="75" w:type="dxa"/>
              <w:bottom w:w="75" w:type="dxa"/>
              <w:right w:w="75" w:type="dxa"/>
            </w:tcMar>
            <w:vAlign w:val="center"/>
          </w:tcPr>
          <w:p w:rsidR="00475D09" w:rsidRDefault="000D5C11">
            <w:pPr>
              <w:jc w:val="left"/>
            </w:pPr>
            <w:r>
              <w:t>Jau sen ir nepieciešama sabala</w:t>
            </w:r>
            <w:r w:rsidR="00471319">
              <w:t>nsēta slodze skolotājiem, bet tā nevar būt rekomendējoša, jo tad skolotāji turpinās būt pārslogoti, jau tagad MK noteikumos ir vēlamais slodžu pielikums(5.pielikums), bet kura skola to ievēro? Jābūt stingri noteiktai proporcijai, lai nevar direktori ar to manipulēt. Un ieteiktu arī beigt ķēmoties ar 30 stundu slodzi par likmi, bet pāriet uz 40 stundu likmi, kā visiem cilvēkiem, lai visai sabiedrībai ir skaidrs, cik skolotājam maksā un politiķ</w:t>
            </w:r>
            <w:r>
              <w:t>iem</w:t>
            </w:r>
            <w:r w:rsidR="00DE01C6">
              <w:t xml:space="preserve"> </w:t>
            </w:r>
            <w:r>
              <w:t>(IZM ministriem) nebūtu iespē</w:t>
            </w:r>
            <w:r w:rsidR="00471319">
              <w:t>jams ar šo faktu manipulēta ar sabiedrību.</w:t>
            </w:r>
          </w:p>
        </w:tc>
        <w:tc>
          <w:tcPr>
            <w:tcW w:w="1350" w:type="dxa"/>
            <w:shd w:val="clear" w:color="auto" w:fill="FFFFFF"/>
            <w:noWrap/>
            <w:tcMar>
              <w:top w:w="75" w:type="dxa"/>
              <w:left w:w="75" w:type="dxa"/>
              <w:bottom w:w="75" w:type="dxa"/>
              <w:right w:w="75" w:type="dxa"/>
            </w:tcMar>
          </w:tcPr>
          <w:p w:rsidR="00475D09" w:rsidRPr="000D5C11" w:rsidRDefault="000D5C11" w:rsidP="000D5C11">
            <w:pPr>
              <w:jc w:val="left"/>
              <w:rPr>
                <w:b/>
              </w:rPr>
            </w:pPr>
            <w:r>
              <w:rPr>
                <w:b/>
              </w:rPr>
              <w:t>Daļēji ņemts vērā</w:t>
            </w:r>
          </w:p>
        </w:tc>
        <w:tc>
          <w:tcPr>
            <w:tcW w:w="4156" w:type="dxa"/>
            <w:shd w:val="clear" w:color="auto" w:fill="FFFFFF"/>
            <w:noWrap/>
            <w:tcMar>
              <w:top w:w="75" w:type="dxa"/>
              <w:left w:w="75" w:type="dxa"/>
              <w:bottom w:w="75" w:type="dxa"/>
              <w:right w:w="75" w:type="dxa"/>
            </w:tcMar>
          </w:tcPr>
          <w:p w:rsidR="00475D09" w:rsidRDefault="000D5C11" w:rsidP="000D5C11">
            <w:pPr>
              <w:jc w:val="left"/>
            </w:pPr>
            <w:r>
              <w:t xml:space="preserve">Atbildot uz pirmo jautājumu, cik skolas ievēro MK 05.07.2016. Nr.445 "Pedagogu darba samaksas noteikumi" piekto pielikumu, varam pamatoties uz to informāciju, ko ministrijai ir sniegušas pašvaldības, kuras apstiprina savu skolu rīcību apstiprinoši, kā arī Pedagogu darba samaksas darba grupas uzdevumā Izglītības un zinātnes ministrija (turpmāk – ministrija) </w:t>
            </w:r>
            <w:r w:rsidR="00E36B58">
              <w:t>veica skolu vadītāju aptauju (periodā no 2022. gada 13. maija līdz 28. maijam) un zemāk redzam, ka jau šobrīd teju 60% skolu izmanto augstāk minēto piekto pielikumu:</w:t>
            </w:r>
          </w:p>
          <w:p w:rsidR="00E36B58" w:rsidRDefault="00E36B58" w:rsidP="000D5C11">
            <w:pPr>
              <w:jc w:val="left"/>
            </w:pPr>
            <w:r>
              <w:rPr>
                <w:noProof/>
              </w:rPr>
              <w:lastRenderedPageBreak/>
              <w:drawing>
                <wp:inline distT="0" distB="0" distL="0" distR="0" wp14:anchorId="1EFE5AB0" wp14:editId="1EE9C3EB">
                  <wp:extent cx="2543810" cy="2025650"/>
                  <wp:effectExtent l="0" t="0" r="889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543810" cy="2025650"/>
                          </a:xfrm>
                          <a:prstGeom prst="rect">
                            <a:avLst/>
                          </a:prstGeom>
                        </pic:spPr>
                      </pic:pic>
                    </a:graphicData>
                  </a:graphic>
                </wp:inline>
              </w:drawing>
            </w:r>
          </w:p>
          <w:p w:rsidR="005B363A" w:rsidRDefault="005B363A" w:rsidP="005B363A">
            <w:pPr>
              <w:jc w:val="left"/>
            </w:pPr>
            <w:r>
              <w:t>Atbildot uz otro priekšlikumu par proporcijas stingru definēšanu, ministrija pārejas periodam Izglītības attīstības pamatnostādņu periodā respektēja Pedagogu darba samaksas darba grupas viedokli par rekomendējošo raksturu, taču vienlaikus paredzam faktiskās situācijas monitorēšanu šajā periodā, paturot tiesības arī noteikt šo proporciju ar normatīvo obligātumu.</w:t>
            </w:r>
          </w:p>
          <w:p w:rsidR="005B363A" w:rsidRPr="008E05A0" w:rsidRDefault="005B363A" w:rsidP="005B363A">
            <w:pPr>
              <w:jc w:val="left"/>
            </w:pPr>
            <w:r>
              <w:t xml:space="preserve">Atbildot uz trešo priekšlikumu par 40 stundu darba nedēļu un darba samaksas salīdzināmību, ministrija informē, ka šis variants arī tiek periodiski diskutēts ar sociālajiem partneriem, taču pagaidām no </w:t>
            </w:r>
            <w:r>
              <w:lastRenderedPageBreak/>
              <w:t>pedagogu puses nav saņemts viennozīmīgs atbalsts, savukārt darba samaksas caurspīdīguma jautājums tiek risināts sadarbībā ar Valsts ieņēmumu dienesta un Centrālās statistikas pārvaldes kolēģiem.</w:t>
            </w:r>
          </w:p>
        </w:tc>
      </w:tr>
      <w:tr w:rsidR="00475D09" w:rsidTr="00966C52">
        <w:tc>
          <w:tcPr>
            <w:tcW w:w="750" w:type="dxa"/>
            <w:shd w:val="clear" w:color="auto" w:fill="FFFFFF"/>
            <w:noWrap/>
            <w:tcMar>
              <w:top w:w="75" w:type="dxa"/>
              <w:left w:w="75" w:type="dxa"/>
              <w:bottom w:w="75" w:type="dxa"/>
              <w:right w:w="75" w:type="dxa"/>
            </w:tcMar>
            <w:vAlign w:val="center"/>
          </w:tcPr>
          <w:p w:rsidR="00475D09" w:rsidRDefault="00471319">
            <w:pPr>
              <w:jc w:val="center"/>
            </w:pPr>
            <w:r>
              <w:lastRenderedPageBreak/>
              <w:t>2.</w:t>
            </w:r>
          </w:p>
        </w:tc>
        <w:tc>
          <w:tcPr>
            <w:tcW w:w="4155" w:type="dxa"/>
            <w:shd w:val="clear" w:color="auto" w:fill="FFFFFF"/>
            <w:noWrap/>
            <w:tcMar>
              <w:top w:w="75" w:type="dxa"/>
              <w:left w:w="75" w:type="dxa"/>
              <w:bottom w:w="75" w:type="dxa"/>
              <w:right w:w="75" w:type="dxa"/>
            </w:tcMar>
            <w:vAlign w:val="center"/>
          </w:tcPr>
          <w:p w:rsidR="00475D09" w:rsidRDefault="00471319">
            <w:pPr>
              <w:jc w:val="left"/>
            </w:pPr>
            <w:r>
              <w:t>Skolotāja</w:t>
            </w:r>
          </w:p>
        </w:tc>
        <w:tc>
          <w:tcPr>
            <w:tcW w:w="4156" w:type="dxa"/>
            <w:shd w:val="clear" w:color="auto" w:fill="FFFFFF"/>
            <w:noWrap/>
            <w:tcMar>
              <w:top w:w="75" w:type="dxa"/>
              <w:left w:w="75" w:type="dxa"/>
              <w:bottom w:w="75" w:type="dxa"/>
              <w:right w:w="75" w:type="dxa"/>
            </w:tcMar>
          </w:tcPr>
          <w:p w:rsidR="00475D09" w:rsidRDefault="00471319" w:rsidP="00966C52">
            <w:pPr>
              <w:jc w:val="left"/>
            </w:pPr>
            <w:r>
              <w:t>Piedāvātais algu palielināšanas un slodzes līdzsvarošanas grafiks diemžēl nedos nekādu efektu- skolotāji vēl vismaz 5 gadus būs pārslogoti, un inflācija jau tagad apsteidz pielikumu algai. Lai būtu jūtama ietekme, jau šogad jāsāk ar 2027.gada piedāvājumu vai arī jānosaka inflācijas koefic</w:t>
            </w:r>
            <w:r w:rsidR="00DE01C6">
              <w:t>i</w:t>
            </w:r>
            <w:r>
              <w:t>ents algas pieaugumam.</w:t>
            </w:r>
            <w:r>
              <w:br/>
              <w:t>Citādi viss izskatās pēc darbības imitācijas.</w:t>
            </w:r>
          </w:p>
        </w:tc>
        <w:tc>
          <w:tcPr>
            <w:tcW w:w="1350" w:type="dxa"/>
            <w:shd w:val="clear" w:color="auto" w:fill="FFFFFF"/>
            <w:noWrap/>
            <w:tcMar>
              <w:top w:w="75" w:type="dxa"/>
              <w:left w:w="75" w:type="dxa"/>
              <w:bottom w:w="75" w:type="dxa"/>
              <w:right w:w="75" w:type="dxa"/>
            </w:tcMar>
          </w:tcPr>
          <w:p w:rsidR="00475D09" w:rsidRDefault="009F14FD" w:rsidP="00DE01C6">
            <w:pPr>
              <w:jc w:val="left"/>
            </w:pPr>
            <w:r>
              <w:rPr>
                <w:b/>
              </w:rPr>
              <w:t>Nav ņemts vērā</w:t>
            </w:r>
          </w:p>
        </w:tc>
        <w:tc>
          <w:tcPr>
            <w:tcW w:w="4156" w:type="dxa"/>
            <w:shd w:val="clear" w:color="auto" w:fill="FFFFFF"/>
            <w:noWrap/>
            <w:tcMar>
              <w:top w:w="75" w:type="dxa"/>
              <w:left w:w="75" w:type="dxa"/>
              <w:bottom w:w="75" w:type="dxa"/>
              <w:right w:w="75" w:type="dxa"/>
            </w:tcMar>
          </w:tcPr>
          <w:p w:rsidR="00475D09" w:rsidRDefault="004661AF" w:rsidP="00BF1B18">
            <w:pPr>
              <w:jc w:val="left"/>
            </w:pPr>
            <w:r>
              <w:t xml:space="preserve">Atbildot uz Jūsu priekšlikumu atbilstoši tā fiskālajai ietekmei tik vēršam uzmanību, ka Jūs piedāvājiet ar nākamo mācību gadu, t.i. 2023./2024. m.g., noteikt zemāko algas likmi 1347 eiro, kas ir par 447 eiro lielāka nekā tā ir šobrīd noteiktā 900 eiro apmērā 2022./2023.m.g. </w:t>
            </w:r>
            <w:r w:rsidR="00FE2157">
              <w:t xml:space="preserve">8,4% pieauguma vietā veidotos 50% pieaugums. </w:t>
            </w:r>
            <w:r>
              <w:t xml:space="preserve">Šādā gadījumā </w:t>
            </w:r>
            <w:r w:rsidR="00FE2157">
              <w:t xml:space="preserve">vidējā viena izglītojamā izmaksa 1.-12.klasei būtu jākāpina līdz 173 eiro un </w:t>
            </w:r>
            <w:r>
              <w:t xml:space="preserve">papildu nepieciešamie valsts budžeta līdzekļi </w:t>
            </w:r>
            <w:r w:rsidR="00966C52">
              <w:t xml:space="preserve">vien 2023. gadam (četri mēneši) pārsniegtu 50 milj. eiro tikai vispārējā izglītībā. Diemžēl šādas fiskālās ietekmes izmaiņas bez nodokļu  palielināšanas vai citu valsts </w:t>
            </w:r>
            <w:r w:rsidR="00966C52">
              <w:lastRenderedPageBreak/>
              <w:t xml:space="preserve">izdevumu </w:t>
            </w:r>
            <w:r w:rsidR="009F14FD">
              <w:t>samazināšanas nav iespējamas, tāpēc tiek piedāvāts pakāpenisks un salīdzinoši samērīgāks risinājums pret valsts budžetu.</w:t>
            </w:r>
          </w:p>
        </w:tc>
      </w:tr>
      <w:tr w:rsidR="00475D09" w:rsidTr="00B07F88">
        <w:tc>
          <w:tcPr>
            <w:tcW w:w="750" w:type="dxa"/>
            <w:shd w:val="clear" w:color="auto" w:fill="FFFFFF"/>
            <w:noWrap/>
            <w:tcMar>
              <w:top w:w="75" w:type="dxa"/>
              <w:left w:w="75" w:type="dxa"/>
              <w:bottom w:w="75" w:type="dxa"/>
              <w:right w:w="75" w:type="dxa"/>
            </w:tcMar>
            <w:vAlign w:val="center"/>
          </w:tcPr>
          <w:p w:rsidR="00475D09" w:rsidRDefault="00471319">
            <w:pPr>
              <w:jc w:val="center"/>
            </w:pPr>
            <w:r>
              <w:lastRenderedPageBreak/>
              <w:t>3.</w:t>
            </w:r>
          </w:p>
        </w:tc>
        <w:tc>
          <w:tcPr>
            <w:tcW w:w="4155" w:type="dxa"/>
            <w:shd w:val="clear" w:color="auto" w:fill="FFFFFF"/>
            <w:noWrap/>
            <w:tcMar>
              <w:top w:w="75" w:type="dxa"/>
              <w:left w:w="75" w:type="dxa"/>
              <w:bottom w:w="75" w:type="dxa"/>
              <w:right w:w="75" w:type="dxa"/>
            </w:tcMar>
            <w:vAlign w:val="center"/>
          </w:tcPr>
          <w:p w:rsidR="00475D09" w:rsidRDefault="00471319">
            <w:pPr>
              <w:jc w:val="left"/>
            </w:pPr>
            <w:r>
              <w:t>skolas vadība</w:t>
            </w:r>
          </w:p>
        </w:tc>
        <w:tc>
          <w:tcPr>
            <w:tcW w:w="4156" w:type="dxa"/>
            <w:shd w:val="clear" w:color="auto" w:fill="FFFFFF"/>
            <w:noWrap/>
            <w:tcMar>
              <w:top w:w="75" w:type="dxa"/>
              <w:left w:w="75" w:type="dxa"/>
              <w:bottom w:w="75" w:type="dxa"/>
              <w:right w:w="75" w:type="dxa"/>
            </w:tcMar>
          </w:tcPr>
          <w:p w:rsidR="00475D09" w:rsidRDefault="00471319" w:rsidP="00B07F88">
            <w:pPr>
              <w:jc w:val="left"/>
            </w:pPr>
            <w:r>
              <w:t>Aprēķinos nav norādīts, kāds ir bāzes finansējums, pret kuru rēķināts papildus nepieciešamais finansējums, līdz ar to tie lielie nepieciešamie miljoni izskatās no gaisa grābti.</w:t>
            </w:r>
          </w:p>
        </w:tc>
        <w:tc>
          <w:tcPr>
            <w:tcW w:w="1350" w:type="dxa"/>
            <w:shd w:val="clear" w:color="auto" w:fill="FFFFFF"/>
            <w:noWrap/>
            <w:tcMar>
              <w:top w:w="75" w:type="dxa"/>
              <w:left w:w="75" w:type="dxa"/>
              <w:bottom w:w="75" w:type="dxa"/>
              <w:right w:w="75" w:type="dxa"/>
            </w:tcMar>
          </w:tcPr>
          <w:p w:rsidR="00475D09" w:rsidRDefault="00B07F88" w:rsidP="00033115">
            <w:pPr>
              <w:jc w:val="left"/>
            </w:pPr>
            <w:r>
              <w:rPr>
                <w:b/>
              </w:rPr>
              <w:t>Ņemts vērā</w:t>
            </w:r>
          </w:p>
        </w:tc>
        <w:tc>
          <w:tcPr>
            <w:tcW w:w="4156" w:type="dxa"/>
            <w:shd w:val="clear" w:color="auto" w:fill="FFFFFF"/>
            <w:noWrap/>
            <w:tcMar>
              <w:top w:w="75" w:type="dxa"/>
              <w:left w:w="75" w:type="dxa"/>
              <w:bottom w:w="75" w:type="dxa"/>
              <w:right w:w="75" w:type="dxa"/>
            </w:tcMar>
          </w:tcPr>
          <w:p w:rsidR="00475D09" w:rsidRDefault="00B07F88" w:rsidP="00B07F88">
            <w:pPr>
              <w:jc w:val="left"/>
            </w:pPr>
            <w:r>
              <w:t>Informatīvajā ziņojumā veikti atbilstoši precizējumi, vienlaikus vēršam uzmanību, ka likumā par valsts budžetu ikgadēji tiek norādīts kopējais apjoms, kāds tiek novirzīts pedagogu darba samaksas mērķdotācijai. Līdz ar to ir publiski pieejama šāda informācija, taču ērtībai ir lietderīgi papildināt informatīvo ziņojumu.</w:t>
            </w:r>
          </w:p>
          <w:p w:rsidR="003D443B" w:rsidRPr="003D443B" w:rsidRDefault="003D443B" w:rsidP="00550660">
            <w:pPr>
              <w:jc w:val="left"/>
              <w:rPr>
                <w:color w:val="0000FF"/>
              </w:rPr>
            </w:pPr>
            <w:r w:rsidRPr="00550660">
              <w:rPr>
                <w:color w:val="000000" w:themeColor="text1"/>
              </w:rPr>
              <w:t xml:space="preserve">Papildu finansējuma aprēķins pedagogu darba samaksas </w:t>
            </w:r>
            <w:bookmarkStart w:id="0" w:name="_GoBack"/>
            <w:bookmarkEnd w:id="0"/>
            <w:r w:rsidRPr="00550660">
              <w:rPr>
                <w:color w:val="000000" w:themeColor="text1"/>
              </w:rPr>
              <w:t xml:space="preserve">paaugstināšanai veikts, ņemot vērā </w:t>
            </w:r>
            <w:r w:rsidR="00982D04" w:rsidRPr="00550660">
              <w:rPr>
                <w:color w:val="000000" w:themeColor="text1"/>
              </w:rPr>
              <w:t>2016. gada 5. j</w:t>
            </w:r>
            <w:r w:rsidR="00550660" w:rsidRPr="00550660">
              <w:rPr>
                <w:color w:val="000000" w:themeColor="text1"/>
              </w:rPr>
              <w:t xml:space="preserve">ūlija Ministru kabineta noteikumos Nr. </w:t>
            </w:r>
            <w:r w:rsidRPr="00550660">
              <w:rPr>
                <w:color w:val="000000" w:themeColor="text1"/>
              </w:rPr>
              <w:t xml:space="preserve">445 </w:t>
            </w:r>
            <w:r w:rsidR="00550660" w:rsidRPr="00550660">
              <w:rPr>
                <w:color w:val="000000" w:themeColor="text1"/>
              </w:rPr>
              <w:t xml:space="preserve">"Pedagogu darba samaksas noteikumi" </w:t>
            </w:r>
            <w:r w:rsidRPr="00550660">
              <w:rPr>
                <w:color w:val="000000" w:themeColor="text1"/>
              </w:rPr>
              <w:t>apstiprināto zemāko pedagogu mēneša darba algas likmi un ikgadēji to palielinot par 8,4</w:t>
            </w:r>
            <w:r w:rsidR="00550660" w:rsidRPr="00550660">
              <w:rPr>
                <w:color w:val="000000" w:themeColor="text1"/>
              </w:rPr>
              <w:t>%</w:t>
            </w:r>
            <w:r w:rsidRPr="00550660">
              <w:rPr>
                <w:color w:val="000000" w:themeColor="text1"/>
              </w:rPr>
              <w:t>.</w:t>
            </w:r>
          </w:p>
        </w:tc>
      </w:tr>
      <w:tr w:rsidR="00475D09" w:rsidTr="004D672E">
        <w:tc>
          <w:tcPr>
            <w:tcW w:w="750" w:type="dxa"/>
            <w:shd w:val="clear" w:color="auto" w:fill="FFFFFF"/>
            <w:noWrap/>
            <w:tcMar>
              <w:top w:w="75" w:type="dxa"/>
              <w:left w:w="75" w:type="dxa"/>
              <w:bottom w:w="75" w:type="dxa"/>
              <w:right w:w="75" w:type="dxa"/>
            </w:tcMar>
            <w:vAlign w:val="center"/>
          </w:tcPr>
          <w:p w:rsidR="00475D09" w:rsidRDefault="00471319">
            <w:pPr>
              <w:jc w:val="center"/>
            </w:pPr>
            <w:r>
              <w:t>4.</w:t>
            </w:r>
          </w:p>
        </w:tc>
        <w:tc>
          <w:tcPr>
            <w:tcW w:w="4155" w:type="dxa"/>
            <w:shd w:val="clear" w:color="auto" w:fill="FFFFFF"/>
            <w:noWrap/>
            <w:tcMar>
              <w:top w:w="75" w:type="dxa"/>
              <w:left w:w="75" w:type="dxa"/>
              <w:bottom w:w="75" w:type="dxa"/>
              <w:right w:w="75" w:type="dxa"/>
            </w:tcMar>
            <w:vAlign w:val="center"/>
          </w:tcPr>
          <w:p w:rsidR="00475D09" w:rsidRDefault="00471319">
            <w:pPr>
              <w:jc w:val="left"/>
            </w:pPr>
            <w:r>
              <w:t>Skolotāja</w:t>
            </w:r>
          </w:p>
        </w:tc>
        <w:tc>
          <w:tcPr>
            <w:tcW w:w="4156" w:type="dxa"/>
            <w:shd w:val="clear" w:color="auto" w:fill="FFFFFF"/>
            <w:noWrap/>
            <w:tcMar>
              <w:top w:w="75" w:type="dxa"/>
              <w:left w:w="75" w:type="dxa"/>
              <w:bottom w:w="75" w:type="dxa"/>
              <w:right w:w="75" w:type="dxa"/>
            </w:tcMar>
            <w:vAlign w:val="center"/>
          </w:tcPr>
          <w:p w:rsidR="00475D09" w:rsidRDefault="00471319">
            <w:pPr>
              <w:jc w:val="left"/>
            </w:pPr>
            <w:r>
              <w:t xml:space="preserve">Pedagoga algai un sabalansētai slodzei (kontaktstundas/citi pienākumi)  jabūt motivējošai, lai </w:t>
            </w:r>
            <w:r>
              <w:lastRenderedPageBreak/>
              <w:t>jaunieši ne tikai apgūst šo profesiju, bet arī paliek tajā. Darbs ir grūts, tāpēc algai jāatspoguļo valsts attieksmi pret šo darbu, jāapliecina sabiedrībai, ka pedagoga darbs ir novērtēts. Mēs skatāmies uz citu valstu pieredzi ieviešot izglītības reformu, bet nevēlamies pievērst uzmanību tam, kā pedagoga darbs ir novērtēts kaimiņvalstīs. Inflācija apsteidz algas pielikumu desmitkārt, bet pedagoga darba alga nav spējīga nosegt pat primārās vajadzības. Vai tiešām pedagogam jārūpējas tikai par iztiku, tam nav jāapmeklē sabiedriskus pasākumus (kino, teātris, opera, koncerti), nav jāpērk jaunas drēbes un apavus, nav jāapmeklē skaistumkopšanas saloni, nav jāizmanto automašīnu, nav jālabo zobi, nav jarūpējas par veselību utt.  Kurš no jauniešiem, kuram vēl klāt visam jāīrē dzīvoklis, ir gatavs upurēt savu dzīvi svešu bērnu audzināšanai un izglītošanai.</w:t>
            </w:r>
            <w:r>
              <w:br/>
              <w:t xml:space="preserve">Tāpēc uzskatu, ka pedagogu </w:t>
            </w:r>
            <w:r>
              <w:lastRenderedPageBreak/>
              <w:t>slodzes aprēķina formulām un algas veidošanas formulām ir jābūt atspoguļotām MK noteikumos, lai tās būtu skaidras un saprotamas visām iesaistītam pusēm. Visiem citiem pienākumiem ir jābūt noteiktiem, klāt pievienojot tarificēto stundu skaitu, lai nerastos pārslodze.</w:t>
            </w:r>
          </w:p>
        </w:tc>
        <w:tc>
          <w:tcPr>
            <w:tcW w:w="1350" w:type="dxa"/>
            <w:shd w:val="clear" w:color="auto" w:fill="FFFFFF"/>
            <w:noWrap/>
            <w:tcMar>
              <w:top w:w="75" w:type="dxa"/>
              <w:left w:w="75" w:type="dxa"/>
              <w:bottom w:w="75" w:type="dxa"/>
              <w:right w:w="75" w:type="dxa"/>
            </w:tcMar>
          </w:tcPr>
          <w:p w:rsidR="00475D09" w:rsidRDefault="00033115" w:rsidP="00033115">
            <w:pPr>
              <w:jc w:val="left"/>
            </w:pPr>
            <w:r>
              <w:rPr>
                <w:b/>
              </w:rPr>
              <w:lastRenderedPageBreak/>
              <w:t>Daļēji ņemts vērā</w:t>
            </w:r>
          </w:p>
        </w:tc>
        <w:tc>
          <w:tcPr>
            <w:tcW w:w="4156" w:type="dxa"/>
            <w:shd w:val="clear" w:color="auto" w:fill="FFFFFF"/>
            <w:noWrap/>
            <w:tcMar>
              <w:top w:w="75" w:type="dxa"/>
              <w:left w:w="75" w:type="dxa"/>
              <w:bottom w:w="75" w:type="dxa"/>
              <w:right w:w="75" w:type="dxa"/>
            </w:tcMar>
          </w:tcPr>
          <w:p w:rsidR="00475D09" w:rsidRDefault="00E35770" w:rsidP="004D672E">
            <w:pPr>
              <w:jc w:val="left"/>
            </w:pPr>
            <w:r>
              <w:t xml:space="preserve">Atbildot uz Jūsu viedokļa pirmo daļu, viennozīmīgi jāpiekrīt, ka skolotājiem, līdzvērtīgi ar citām </w:t>
            </w:r>
            <w:r>
              <w:lastRenderedPageBreak/>
              <w:t>profesijām, ir tādas pat sadzīviskas tiesības. Tāpat arī nepieciešamība jauniešiem caurspīdīgi zināt skolotāju atalgojumu ir tik pat elementāra vajadzība.</w:t>
            </w:r>
          </w:p>
          <w:p w:rsidR="00E35770" w:rsidRDefault="00E35770" w:rsidP="004D672E">
            <w:pPr>
              <w:jc w:val="left"/>
            </w:pPr>
            <w:r>
              <w:t>Atbildot uz Jūsu viedokļa otro daļu, arī piekrītam, ka apr</w:t>
            </w:r>
            <w:r w:rsidR="004367F7">
              <w:t>ēķiniem jābūt pārskatāmiem un saprotamiem. Vienlaikus vēršam uzmanību, ka informatīvā ziņojuma nodaļā "Turpmākā rīcība"</w:t>
            </w:r>
            <w:r w:rsidR="00E25B41">
              <w:t xml:space="preserve"> 2. punkts paredz uzdevumu ministrijai sadarbībā ar sociālajiem partneriem līdz š.g. 1. decembrim izstrādāt vadlīnijas, kurās būtu atrunāts pedagogu darba slodzes sadalījums.</w:t>
            </w:r>
          </w:p>
        </w:tc>
      </w:tr>
      <w:tr w:rsidR="00475D09" w:rsidTr="00471319">
        <w:tc>
          <w:tcPr>
            <w:tcW w:w="750" w:type="dxa"/>
            <w:shd w:val="clear" w:color="auto" w:fill="FFFFFF"/>
            <w:noWrap/>
            <w:tcMar>
              <w:top w:w="75" w:type="dxa"/>
              <w:left w:w="75" w:type="dxa"/>
              <w:bottom w:w="75" w:type="dxa"/>
              <w:right w:w="75" w:type="dxa"/>
            </w:tcMar>
            <w:vAlign w:val="center"/>
          </w:tcPr>
          <w:p w:rsidR="00475D09" w:rsidRDefault="00471319">
            <w:pPr>
              <w:jc w:val="center"/>
            </w:pPr>
            <w:r>
              <w:lastRenderedPageBreak/>
              <w:t>5.</w:t>
            </w:r>
          </w:p>
        </w:tc>
        <w:tc>
          <w:tcPr>
            <w:tcW w:w="4155" w:type="dxa"/>
            <w:shd w:val="clear" w:color="auto" w:fill="FFFFFF"/>
            <w:noWrap/>
            <w:tcMar>
              <w:top w:w="75" w:type="dxa"/>
              <w:left w:w="75" w:type="dxa"/>
              <w:bottom w:w="75" w:type="dxa"/>
              <w:right w:w="75" w:type="dxa"/>
            </w:tcMar>
            <w:vAlign w:val="center"/>
          </w:tcPr>
          <w:p w:rsidR="00475D09" w:rsidRDefault="00471319">
            <w:pPr>
              <w:jc w:val="left"/>
            </w:pPr>
            <w:r>
              <w:t>Česlavs Batņa</w:t>
            </w:r>
          </w:p>
        </w:tc>
        <w:tc>
          <w:tcPr>
            <w:tcW w:w="4156" w:type="dxa"/>
            <w:shd w:val="clear" w:color="auto" w:fill="FFFFFF"/>
            <w:noWrap/>
            <w:tcMar>
              <w:top w:w="75" w:type="dxa"/>
              <w:left w:w="75" w:type="dxa"/>
              <w:bottom w:w="75" w:type="dxa"/>
              <w:right w:w="75" w:type="dxa"/>
            </w:tcMar>
            <w:vAlign w:val="center"/>
          </w:tcPr>
          <w:p w:rsidR="00475D09" w:rsidRDefault="00471319">
            <w:pPr>
              <w:jc w:val="left"/>
            </w:pPr>
            <w:r>
              <w:t>Kā darba grupas dalībnieks, 24.05.2022 iesniedzu darba grupai papildināto piedāvājumu, bet tas nav pievienots (papildinātas piedāvājums)  ziņojuma 2.pielikumā.</w:t>
            </w:r>
            <w:r>
              <w:br/>
            </w:r>
            <w:r>
              <w:br/>
              <w:t>Ar to varat iepazīties e-vidē: https://ej.uz/_C_Batna_Piedavajums_ped_d_gr</w:t>
            </w:r>
            <w:r>
              <w:br/>
            </w:r>
            <w:r>
              <w:br/>
              <w:t>Česlavs Batņa</w:t>
            </w:r>
            <w:r>
              <w:br/>
              <w:t>Ādažu vidusskolas direktors</w:t>
            </w:r>
          </w:p>
        </w:tc>
        <w:tc>
          <w:tcPr>
            <w:tcW w:w="1350" w:type="dxa"/>
            <w:shd w:val="clear" w:color="auto" w:fill="FFFFFF"/>
            <w:noWrap/>
            <w:tcMar>
              <w:top w:w="75" w:type="dxa"/>
              <w:left w:w="75" w:type="dxa"/>
              <w:bottom w:w="75" w:type="dxa"/>
              <w:right w:w="75" w:type="dxa"/>
            </w:tcMar>
          </w:tcPr>
          <w:p w:rsidR="00475D09" w:rsidRPr="00471319" w:rsidRDefault="00471319" w:rsidP="00471319">
            <w:pPr>
              <w:jc w:val="left"/>
              <w:rPr>
                <w:b/>
              </w:rPr>
            </w:pPr>
            <w:r>
              <w:rPr>
                <w:b/>
              </w:rPr>
              <w:t>Ņemts vērā</w:t>
            </w:r>
          </w:p>
        </w:tc>
        <w:tc>
          <w:tcPr>
            <w:tcW w:w="4156" w:type="dxa"/>
            <w:shd w:val="clear" w:color="auto" w:fill="FFFFFF"/>
            <w:noWrap/>
            <w:tcMar>
              <w:top w:w="75" w:type="dxa"/>
              <w:left w:w="75" w:type="dxa"/>
              <w:bottom w:w="75" w:type="dxa"/>
              <w:right w:w="75" w:type="dxa"/>
            </w:tcMar>
          </w:tcPr>
          <w:p w:rsidR="00475D09" w:rsidRDefault="00471319" w:rsidP="008E05A0">
            <w:pPr>
              <w:jc w:val="left"/>
            </w:pPr>
            <w:r>
              <w:t>Pielikums atjaunots un at</w:t>
            </w:r>
            <w:r w:rsidR="008E05A0">
              <w:t>bilstoši papildināts informatīvais ziņojums</w:t>
            </w:r>
            <w:r>
              <w:t>.</w:t>
            </w:r>
          </w:p>
        </w:tc>
      </w:tr>
    </w:tbl>
    <w:p w:rsidR="00B55B86" w:rsidRDefault="00B55B86"/>
    <w:sectPr w:rsidR="00B55B86">
      <w:headerReference w:type="default" r:id="rId7"/>
      <w:footerReference w:type="default" r:id="rId8"/>
      <w:headerReference w:type="first" r:id="rId9"/>
      <w:footerReference w:type="first" r:id="rId10"/>
      <w:pgSz w:w="16833" w:h="11908" w:orient="landscape"/>
      <w:pgMar w:top="1133" w:right="1133" w:bottom="1133" w:left="1133"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52171" w:rsidRDefault="00E52171">
      <w:r>
        <w:separator/>
      </w:r>
    </w:p>
  </w:endnote>
  <w:endnote w:type="continuationSeparator" w:id="0">
    <w:p w:rsidR="00E52171" w:rsidRDefault="00E521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Palatino">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5D09" w:rsidRDefault="00471319">
    <w:pPr>
      <w:jc w:val="right"/>
    </w:pPr>
    <w:r>
      <w:rPr>
        <w:sz w:val="24"/>
        <w:szCs w:val="24"/>
      </w:rPr>
      <w:fldChar w:fldCharType="begin"/>
    </w:r>
    <w:r>
      <w:rPr>
        <w:sz w:val="24"/>
        <w:szCs w:val="24"/>
      </w:rPr>
      <w:instrText>PAGE</w:instrText>
    </w:r>
    <w:r>
      <w:rPr>
        <w:sz w:val="24"/>
        <w:szCs w:val="24"/>
      </w:rPr>
      <w:fldChar w:fldCharType="separate"/>
    </w:r>
    <w:r w:rsidR="00DF0891">
      <w:rPr>
        <w:noProof/>
        <w:sz w:val="24"/>
        <w:szCs w:val="24"/>
      </w:rPr>
      <w:t>6</w:t>
    </w:r>
    <w:r>
      <w:rPr>
        <w:sz w:val="24"/>
        <w:szCs w:val="24"/>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5B86" w:rsidRDefault="00471319">
    <w:r>
      <w:c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52171" w:rsidRDefault="00E52171">
      <w:r>
        <w:separator/>
      </w:r>
    </w:p>
  </w:footnote>
  <w:footnote w:type="continuationSeparator" w:id="0">
    <w:p w:rsidR="00E52171" w:rsidRDefault="00E5217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5D09" w:rsidRDefault="00471319">
    <w:pPr>
      <w:pStyle w:val="Header"/>
      <w:contextualSpacing w:val="0"/>
    </w:pPr>
    <w:r>
      <w:t>Viedokļu pārskats 22-TA-2398</w:t>
    </w:r>
    <w:r>
      <w:br/>
      <w:t>Izdrukāts 18.08.2022. 11.19</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5D09" w:rsidRDefault="00471319">
    <w:pPr>
      <w:pStyle w:val="Header"/>
      <w:contextualSpacing w:val="0"/>
    </w:pPr>
    <w:r>
      <w:t>Viedokļu pārskats 22-TA-2398</w:t>
    </w:r>
    <w:r>
      <w:br/>
      <w:t>Izdrukāts 18.08.2022. 11.19</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oNotDisplayPageBoundaries/>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5D09"/>
    <w:rsid w:val="00033115"/>
    <w:rsid w:val="000D5C11"/>
    <w:rsid w:val="000F13C9"/>
    <w:rsid w:val="00136238"/>
    <w:rsid w:val="002772FA"/>
    <w:rsid w:val="003D443B"/>
    <w:rsid w:val="004367F7"/>
    <w:rsid w:val="004661AF"/>
    <w:rsid w:val="00471319"/>
    <w:rsid w:val="00475D09"/>
    <w:rsid w:val="004D672E"/>
    <w:rsid w:val="004F1758"/>
    <w:rsid w:val="00550660"/>
    <w:rsid w:val="005B363A"/>
    <w:rsid w:val="008A783D"/>
    <w:rsid w:val="008E05A0"/>
    <w:rsid w:val="00966C52"/>
    <w:rsid w:val="00982D04"/>
    <w:rsid w:val="009F14FD"/>
    <w:rsid w:val="00A37789"/>
    <w:rsid w:val="00B07F88"/>
    <w:rsid w:val="00B3712D"/>
    <w:rsid w:val="00B55B86"/>
    <w:rsid w:val="00BF1B18"/>
    <w:rsid w:val="00DE01C6"/>
    <w:rsid w:val="00DF0891"/>
    <w:rsid w:val="00E25B41"/>
    <w:rsid w:val="00E34F25"/>
    <w:rsid w:val="00E35770"/>
    <w:rsid w:val="00E36B58"/>
    <w:rsid w:val="00E52171"/>
    <w:rsid w:val="00FE215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7003690-B33D-44E3-A3F2-92FAFC5DE7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color w:val="333333"/>
        <w:sz w:val="28"/>
        <w:lang w:val="lv-LV" w:eastAsia="lv-LV"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spacing w:after="120"/>
      <w:contextualSpacing/>
      <w:outlineLvl w:val="0"/>
    </w:pPr>
    <w:rPr>
      <w:rFonts w:ascii="Palatino" w:eastAsia="Palatino" w:hAnsi="Palatino" w:cs="Palatino"/>
      <w:sz w:val="36"/>
    </w:rPr>
  </w:style>
  <w:style w:type="paragraph" w:styleId="Heading2">
    <w:name w:val="heading 2"/>
    <w:basedOn w:val="Normal"/>
    <w:next w:val="Normal"/>
    <w:pPr>
      <w:spacing w:before="120" w:after="160"/>
      <w:contextualSpacing/>
      <w:outlineLvl w:val="1"/>
    </w:pPr>
    <w:rPr>
      <w:rFonts w:ascii="Arial" w:eastAsia="Arial" w:hAnsi="Arial" w:cs="Arial"/>
      <w:b/>
      <w:sz w:val="26"/>
    </w:rPr>
  </w:style>
  <w:style w:type="paragraph" w:styleId="Heading3">
    <w:name w:val="heading 3"/>
    <w:basedOn w:val="Normal"/>
    <w:next w:val="Normal"/>
    <w:pPr>
      <w:spacing w:before="120" w:after="160"/>
      <w:contextualSpacing/>
      <w:outlineLvl w:val="2"/>
    </w:pPr>
    <w:rPr>
      <w:rFonts w:ascii="Arial" w:eastAsia="Arial" w:hAnsi="Arial" w:cs="Arial"/>
      <w:b/>
      <w:i/>
      <w:color w:val="666666"/>
      <w:sz w:val="24"/>
    </w:rPr>
  </w:style>
  <w:style w:type="paragraph" w:styleId="Heading4">
    <w:name w:val="heading 4"/>
    <w:basedOn w:val="Normal"/>
    <w:next w:val="Normal"/>
    <w:pPr>
      <w:spacing w:before="120" w:after="120"/>
      <w:contextualSpacing/>
      <w:outlineLvl w:val="3"/>
    </w:pPr>
    <w:rPr>
      <w:rFonts w:ascii="Palatino" w:eastAsia="Palatino" w:hAnsi="Palatino" w:cs="Palatino"/>
      <w:b/>
      <w:sz w:val="24"/>
    </w:rPr>
  </w:style>
  <w:style w:type="paragraph" w:styleId="Heading5">
    <w:name w:val="heading 5"/>
    <w:basedOn w:val="Normal"/>
    <w:next w:val="Normal"/>
    <w:pPr>
      <w:spacing w:before="120" w:after="120"/>
      <w:contextualSpacing/>
      <w:outlineLvl w:val="4"/>
    </w:pPr>
    <w:rPr>
      <w:rFonts w:ascii="Arial" w:eastAsia="Arial" w:hAnsi="Arial" w:cs="Arial"/>
      <w:b/>
      <w:sz w:val="22"/>
    </w:rPr>
  </w:style>
  <w:style w:type="paragraph" w:styleId="Heading6">
    <w:name w:val="heading 6"/>
    <w:basedOn w:val="Normal"/>
    <w:next w:val="Normal"/>
    <w:pPr>
      <w:spacing w:before="120" w:after="120"/>
      <w:contextualSpacing/>
      <w:outlineLvl w:val="5"/>
    </w:pPr>
    <w:rPr>
      <w:rFonts w:ascii="Arial" w:eastAsia="Arial" w:hAnsi="Arial" w:cs="Arial"/>
      <w:i/>
      <w:color w:val="666666"/>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contextualSpacing/>
    </w:pPr>
    <w:rPr>
      <w:rFonts w:ascii="Palatino" w:eastAsia="Palatino" w:hAnsi="Palatino" w:cs="Palatino"/>
      <w:sz w:val="60"/>
    </w:rPr>
  </w:style>
  <w:style w:type="paragraph" w:styleId="Subtitle">
    <w:name w:val="Subtitle"/>
    <w:basedOn w:val="Normal"/>
    <w:next w:val="Normal"/>
    <w:pPr>
      <w:spacing w:before="60"/>
      <w:contextualSpacing/>
    </w:pPr>
    <w:rPr>
      <w:rFonts w:ascii="Arial" w:eastAsia="Arial" w:hAnsi="Arial" w:cs="Arial"/>
    </w:rPr>
  </w:style>
  <w:style w:type="paragraph" w:customStyle="1" w:styleId="paragraph">
    <w:name w:val="paragraph"/>
    <w:basedOn w:val="Normal"/>
    <w:next w:val="Normal"/>
    <w:pPr>
      <w:contextualSpacing/>
    </w:pPr>
  </w:style>
  <w:style w:type="paragraph" w:customStyle="1" w:styleId="paragraphheader">
    <w:name w:val="paragraph_header"/>
    <w:basedOn w:val="Normal"/>
    <w:next w:val="Normal"/>
    <w:pPr>
      <w:spacing w:before="280" w:after="280"/>
      <w:contextualSpacing/>
    </w:pPr>
  </w:style>
  <w:style w:type="paragraph" w:styleId="Header">
    <w:name w:val="header"/>
    <w:basedOn w:val="Normal"/>
    <w:next w:val="Normal"/>
    <w:pPr>
      <w:spacing w:after="280"/>
      <w:contextualSpacing/>
      <w:jc w:val="right"/>
    </w:pPr>
    <w:rPr>
      <w:sz w:val="24"/>
    </w:rPr>
  </w:style>
  <w:style w:type="paragraph" w:customStyle="1" w:styleId="signeddocumentparagraph">
    <w:name w:val="signed_document_paragraph"/>
    <w:basedOn w:val="Normal"/>
    <w:next w:val="Normal"/>
    <w:pPr>
      <w:contextualSpacing/>
      <w:jc w:val="right"/>
    </w:pPr>
    <w:rPr>
      <w:sz w:val="24"/>
    </w:rPr>
  </w:style>
  <w:style w:type="table" w:customStyle="1" w:styleId="a">
    <w:basedOn w:val="TableNormal"/>
    <w:tblPr>
      <w:tblStyleRowBandSize w:val="1"/>
      <w:tblStyleColBandSize w:val="1"/>
      <w:tblInd w:w="0" w:type="dxa"/>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4003</Words>
  <Characters>2283</Characters>
  <Application>Microsoft Office Word</Application>
  <DocSecurity>0</DocSecurity>
  <Lines>19</Lines>
  <Paragraphs>12</Paragraphs>
  <ScaleCrop>false</ScaleCrop>
  <HeadingPairs>
    <vt:vector size="2" baseType="variant">
      <vt:variant>
        <vt:lpstr>Title</vt:lpstr>
      </vt:variant>
      <vt:variant>
        <vt:i4>1</vt:i4>
      </vt:variant>
    </vt:vector>
  </HeadingPairs>
  <TitlesOfParts>
    <vt:vector size="1" baseType="lpstr">
      <vt:lpstr>viedoklu_parskats_22-TA-2398.docx</vt:lpstr>
    </vt:vector>
  </TitlesOfParts>
  <Company>HP Inc.</Company>
  <LinksUpToDate>false</LinksUpToDate>
  <CharactersWithSpaces>6274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viedoklu_parskats_22-TA-2398.docx</dc:title>
  <dc:creator>Dace Kalsone</dc:creator>
  <cp:lastModifiedBy>Dace Kalsone</cp:lastModifiedBy>
  <cp:revision>2</cp:revision>
  <dcterms:created xsi:type="dcterms:W3CDTF">2022-09-05T10:01:00Z</dcterms:created>
  <dcterms:modified xsi:type="dcterms:W3CDTF">2022-09-05T10:01:00Z</dcterms:modified>
</cp:coreProperties>
</file>