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23-TA-290: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2003. gada 29. aprīļa noteikumos Nr. 226 "Noteikumi par bīstamo kravu pārvadāšanu pa dzelzceļu"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2023.gada 1.jūlijā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2022. gada 20. septembra Deleģētās direktīvas 2022/2407, ar ko Eiropas Parlamenta un Padomes Direktīvas 2008/68/EK pielikumus groza, lai ņemtu vērā zinātnes un tehnikas attīstību (turpmāk - Deleģētā direktīva 2022/2407) 2. panta 1. punkts noteic: "</w:t>
            </w:r>
            <w:r w:rsidR="00000000" w:rsidRPr="00000000" w:rsidDel="00000000">
              <w:rPr>
                <w:i w:val="1"/>
                <w:rtl w:val="0"/>
              </w:rPr>
              <w:t xml:space="preserve">Dalībvalstīs stājas spēkā normatīvie un administratīvie akti, kas vajadzīgi, </w:t>
            </w:r>
            <w:r w:rsidR="00000000" w:rsidRPr="00000000" w:rsidDel="00000000">
              <w:rPr>
                <w:i w:val="1"/>
                <w:u w:val="single"/>
                <w:rtl w:val="0"/>
              </w:rPr>
              <w:t xml:space="preserve">lai izpildītu šīs direktīvas prasības vēlākais līdz 2023. gada 30. jūnijam</w:t>
            </w:r>
            <w:r w:rsidR="00000000" w:rsidRPr="00000000" w:rsidDel="00000000">
              <w:rPr>
                <w:rtl w:val="0"/>
              </w:rPr>
              <w:t xml:space="preserve">." Savukārt projekta 2. punkts noteic, ka noteikumi stājas spēkā 2023. gada 1. jūlijā. Attiecīgi lūdzam precizēt projektu un anotāciju. Saistībā ar minēto lūdzam anotācijā precizēt arī informāciju par datumu, līdz kuram paredzēts publicēt projekta 1.1. apakšpunktā minētā dokumenta tulkojumu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sadaļas 1. tabulu, ietverot korektu un pilnīgu informāciju par Deleģētās direktīvas 2022/2407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aicinām precizēt tabulu, ietverot informāciju korektajā ailē. Piemēram, informāciju par konkrētas direktīvas vienības pārņemšanu aicinām ietvert nevis D ailē, bet C ailē (tādējādi arī neveidojot informācijas pretrunīgumu - piemēram, attiecībā uz direktīvas 1. panta 3. punkta pārņemšanu C ailē ietverta norāde, ka prasības pārņemtas pilnībā, savukārt D ailē - ka prasības nav jāpārņem).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aicinām precizēt informāciju par direktīvas 1. panta 2. punkta pārņemšanu, korekti norādot, ka vienība pārņemta tikai projekta 1.1. apakšpunktā. Savukārt attiecībā uz 2. panta pārņemšanu aicinām precizēt informāciju, ņemot vērā, ka projektā ir pārņemts 2. panta 1. punkts, turklāt tas ir pārņemts ne tikai projekta 1.62. apakšpunktā, bet arī, šķiet, 2. punktā (pēc projekta precizēšanas atbilstoši atzinuma 1.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tabulu.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2010.gada 2.septembra Direktīvas Nr.</w:t>
            </w:r>
            <w:r w:rsidR="00000000" w:rsidRPr="00000000" w:rsidDel="00000000">
              <w:rPr>
                <w:rtl w:val="0"/>
              </w:rPr>
              <w:t xml:space="preserve">2010/61/ES</w:t>
            </w:r>
            <w:r w:rsidR="00000000" w:rsidRPr="00000000" w:rsidDel="00000000">
              <w:rPr>
                <w:rtl w:val="0"/>
              </w:rPr>
              <w:t xml:space="preserve">, ar ko pielikumus Eiropas Parlamenta un Padomes Direktīvā </w:t>
            </w:r>
            <w:r w:rsidR="00000000" w:rsidRPr="00000000" w:rsidDel="00000000">
              <w:rPr>
                <w:rtl w:val="0"/>
              </w:rPr>
              <w:t xml:space="preserve">2008/68/EK</w:t>
            </w:r>
            <w:r w:rsidR="00000000" w:rsidRPr="00000000" w:rsidDel="00000000">
              <w:rPr>
                <w:rtl w:val="0"/>
              </w:rPr>
              <w:t xml:space="preserve"> par bīstamo kravu iekšzemes pārvadājumiem pirmo reizi pielāgo zinātnes un tehnikas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1.60. un 1.6.1. apakšpunktu, kas paredz svītrot informatīvās atsauces uz divām Eiropas Savienības direktīvām, vai sniegt pamatotu skaidrojumu anotācijā, kādēļ informatīvās atsauces nepieciešams svītrot. Vēršam uzmanību, ka, ja direktīvu prasības ir tikušas pārņemtas noteikumos un direktīvas ir spēkā, nav saprotama atsauču svītrošana.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2010.gada 2.septembra Direktīvas Nr.</w:t>
            </w:r>
            <w:r w:rsidR="00000000" w:rsidRPr="00000000" w:rsidDel="00000000">
              <w:rPr>
                <w:rtl w:val="0"/>
              </w:rPr>
              <w:t xml:space="preserve">2010/61/ES</w:t>
            </w:r>
            <w:r w:rsidR="00000000" w:rsidRPr="00000000" w:rsidDel="00000000">
              <w:rPr>
                <w:rtl w:val="0"/>
              </w:rPr>
              <w:t xml:space="preserve">, ar ko pielikumus Eiropas Parlamenta un Padomes Direktīvā </w:t>
            </w:r>
            <w:r w:rsidR="00000000" w:rsidRPr="00000000" w:rsidDel="00000000">
              <w:rPr>
                <w:rtl w:val="0"/>
              </w:rPr>
              <w:t xml:space="preserve">2008/68/EK</w:t>
            </w:r>
            <w:r w:rsidR="00000000" w:rsidRPr="00000000" w:rsidDel="00000000">
              <w:rPr>
                <w:rtl w:val="0"/>
              </w:rPr>
              <w:t xml:space="preserve"> par bīstamo kravu iekšzemes pārvadājumiem pirmo reizi pielāgo zinātnes un tehnikas attīstībai;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anotācijas 5.5. sadaļas 2. tabulā korekti norādīta projekta vienība (proti, pašreiz norādīts viss projekta 1. punkts) un nepieciešamības gadījumā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Konvencijas par starptautiskajiem dzelzceļa pārvadājumiem (COTIF) C papildinājuma "Noteikumi par bīstamo kravu starptautiskajiem dzelzceļa pārvadājumiem (RID)" pielikuma nosacījumu (turpmāk - RID noteikumi) redakcija, kura ir spēkā no 2023.gada 1.janvāra;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sniegt izvērstāku skaidrojumu anotācijā par projekta 1.1. apakšpunktā paredzētā grozījuma nepieciešamību, ņemot vērā, ka, piemēram, noteikumos 2013. gadā ir veikts līdzīga satura grozījums direktīvas pārņemšanai, taču toreiz anotācijā tika ietverts skaidrojums, ka noteikumi atbilst direktīvai, līdz ar to tiek pievienota tikai informatīvā atsauce (sk. Ministru kabineta 2013.gada 9.aprīļa noteikumu Nr.193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Ministru kabineta 2003.gada 29.aprīļa noteikumos Nr.226 "Noteikumi par bīstamo kravu pārvadāšanu pa dzelzceļu"" anotāciju; pieejama: https://tap.mk.gov.lv/lv/mk/tap/?pid=40274957).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Līguma par Eiropas Savienības darbību 288. panta trešo daļu direktīvas tām dalībvalstīm, kurām tās adresētas, uzliek saistības attiecībā uz sasniedzamo rezultātu, bet ļauj šo valstu varasiestādēm noteikt to īstenošanas formas un metodes. Arī no Eiropas Savienības Tiesas prakses izriet, ka, lai ieviestu Eiropas Savienības tiesības nacionālajā tiesību sistēmā, nav obligāti, lai to saturs skaidri un detalizēti formālā un tekstuālā ziņā tiktu pārņemts normatīvajos vai administratīvajos aktos. Pietiek, ja tiek ievērots vispārīgais juridiskais konteksts, lai pietiekami skaidri un precīzi varētu piemērot Eiropas Savienības tiesības (Eiropas Kopienu Tiesas spriedums lietā C-428/04 </w:t>
            </w:r>
            <w:r w:rsidR="00000000" w:rsidRPr="00000000" w:rsidDel="00000000">
              <w:rPr>
                <w:i w:val="1"/>
                <w:rtl w:val="0"/>
              </w:rPr>
              <w:t xml:space="preserve">Commission v Austria</w:t>
            </w:r>
            <w:r w:rsidR="00000000" w:rsidRPr="00000000" w:rsidDel="00000000">
              <w:rPr>
                <w:rtl w:val="0"/>
              </w:rPr>
              <w:t xml:space="preserve">, 99.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sniegt izvērstāku skaidrojumu anotācijā par grozījuma nepieciešamību, ņemot vērā 2013. gadā veiktā grozījuma anotācijā sniegto pamatojumu attiecībā uz direktīvas pārņemšanu. Nepieciešamības gadījumā aicinām precizēt arī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Konvencijas par starptautiskajiem dzelzceļa pārvadājumiem (COTIF) C papildinājuma "Noteikumi par bīstamo kravu starptautiskajiem dzelzceļa pārvadājumiem (RID)" pielikuma nosacījumu (turpmāk - RID noteikumi) redakcija, kura ir spēkā no 2023.gada 1.janvāra;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23-TA-290</w:t>
    </w:r>
    <w:r>
      <w:br/>
    </w:r>
    <w:r w:rsidR="00000000" w:rsidRPr="00000000" w:rsidDel="00000000">
      <w:rPr>
        <w:rtl w:val="0"/>
      </w:rPr>
      <w:t xml:space="preserve">19.06.2023. 11.27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23-TA-290</w:t>
    </w:r>
    <w:r>
      <w:br/>
    </w:r>
    <w:r w:rsidR="00000000" w:rsidRPr="00000000" w:rsidDel="00000000">
      <w:rPr>
        <w:rtl w:val="0"/>
      </w:rPr>
      <w:t xml:space="preserve">19.06.2023. 11.27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Izziņa_23-TA-290.docx</dc:title>
</cp:coreProperties>
</file>

<file path=docProps/custom.xml><?xml version="1.0" encoding="utf-8"?>
<Properties xmlns="http://schemas.openxmlformats.org/officeDocument/2006/custom-properties" xmlns:vt="http://schemas.openxmlformats.org/officeDocument/2006/docPropsVTypes"/>
</file>