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24-TA-2165: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Valsts sociālo pabalstu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norādītās prognozes ienākumu mediānas apmēram 2026., 2027. un 2028.gadam.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likumprojekta anotācijas 1.3. apakšsadaļā, norādot korektu prognozētās ienākumu mediānas apmēru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Ņemot vērā Oficiālajā statistikas portālā publicēto informāciju, 2022. gada ienākumu mediāna, kura ir par pamatu VSNP apmēru noteikšanai 2025. gadam, ir 754,74 euro mēnesī (https://data.stat.gov.lv/pxweb/lv/OSP_PUB/START__POP__NN__NNM/NNM080/table/tableViewLayout1/). Savukārt Labklājības ministrijas prognozes ienākumu mediānas apmēram, nosakot VSNP apmēru turpmākajiem gadiem, ir: </w:t>
            </w:r>
            <w:r w:rsidR="00000000" w:rsidRPr="00000000" w:rsidDel="00000000">
              <w:rPr>
                <w:b w:val="1"/>
                <w:rtl w:val="0"/>
              </w:rPr>
              <w:t xml:space="preserve">2026. gadam – 844,55 euro, 2027. gadam – 909,58 euro un 2028. gadam –966,88 euro</w:t>
            </w:r>
            <w:r w:rsidR="00000000" w:rsidRPr="00000000" w:rsidDel="00000000">
              <w:rPr>
                <w:rtl w:val="0"/>
              </w:rPr>
              <w:t xml:space="preserve">. Ienākumu mediānas prognozes VSNP aprēķinam 2026., 2027. un 2028. gadam veiktas, ņemot vērā darba samaksas faktiskā pieauguma prognozes atbilstoši Finanšu ministrijas makroekonomiskajām prognozēm 2024. gada jūnijā (Labklājības ministrijas provizoriskie aprēķini 2024. gada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17.01.2023. noteikumu Nr.15 “Maksimāli pieļaujamā valsts budžeta izdevumu kopapjoma un  katrai ministrijai un citai centrālajai valsts iestādei paredzētā izdevumu kopējā apjoma noteikšanas kārtība vidējam termiņam” 9.9.apakšpunkts nosaka, ka ministrijas, izmantojot Finanšu ministrijas sniegto informāciju, sagatavo un līdz Finanšu ministrijas noteiktajam termiņam iesniedz Finanšu ministrijā informāciju pamatbudžeta bāzes projekta sagatavošanai n+1, n+2 un n+3 gadam, ņemot vērā izmaiņas izdevumos saistībā ar minimālo pensiju un valsts sociālā nodrošinājuma pabalsta apmēru pārskatīšanu, kā arī ar valsts sociālā nodrošinājuma pabalsta un pensiju apmēru pārskatīšanu saistīto pakalpojumu nodrošināšanai, atbalsta pašvaldībām garantētā minimālā ienākuma pabalsta un mājokļa pabalsta nodrošināšanu, ņemot vērā prognozētās izmaiņas saņēmēju skaitā un minimālo ienākumu sliekšņa apmērus, kas n+1 gadam tiek aprēķināti atbilstoši Centrālās statistikas pārvaldes tīmekļvietnē publicētajai aktuālajai minimālo ienākumu mediānai mēnesī un n+2 un n+3 gadam – atbilstoši prognozētajai minimālo ienākumu mediānai mēnesī. Ņemot vērā minēto, precizējama anotācijas 3.sadaļas punkta “Cita informācija” trešajā rindkopā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likumprojekta anotācijas 3. sadaļā punktā "Cita informācija"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"Ministru kabineta 2024. gada 19. septembra sēdē (protokollēmuma Nr. 38 2. § 2.punkts) tika atbalstīts LM priekšlikums par papildu finansējuma piešķiršanu LM prioritārā pasākuma “Atbalsts minimālo ienākumu palielināšanai” īstenošanai. Pasākuma nodrošināšanai ir atbalstīts kopējais papildu finansējums 2025. gadā 6 434 876 euro, 2026. gadā 8 047 445 euro, 2027. gadā 8 369 102 euro un 2028. gadā 9 781 391 euro apmērā, tai skaitā likumprojekta ieviešanai 2025. gadā 2 405 535 euro, 2026. gadā 2 955 066 euro, 2027. gadā 3 206 232 euro un 2028. gadā 3 621 026 euro apmērā.</w:t>
            </w:r>
            <w:r w:rsidR="00000000" w:rsidRPr="00000000" w:rsidDel="00000000">
              <w:rPr>
                <w:i w:val="1"/>
                <w:rtl w:val="0"/>
              </w:rPr>
              <w:t xml:space="preserve">Finansējums likumprojekta ieviešanai iekļauts maksimāli pieļaujamajā Labklājības ministrijas valsts pamatbudžeta un speciālā budžeta un Kultūras ministrijas pamatbudžeta izdevumu kopējā apjomā 2025., 2026., 2027. un 2028. gadam un atbilstoši tiks iestrādāts likumprojektā “Par valsts budžetu 2025. gadam un budžeta ietvaru 2025., 2026. un 2027. gadam”.</w:t>
            </w:r>
            <w:r w:rsidR="00000000" w:rsidRPr="00000000" w:rsidDel="00000000">
              <w:rPr>
                <w:i w:val="1"/>
                <w:rtl w:val="0"/>
              </w:rPr>
              <w:t xml:space="preserve">Labklājības ministrija un Kultūras ministrija likumprojektos paredzēto pasākumu īstenošanai nepieciešamo papildu finansējumu 2026. gadam un turpmāk ik gadu pārskatīs un iekļaus Labklājības ministrijas un Kultūras ministrijas pamatbudžetā un Labklājības ministrijas sociālās apdrošināšanas speciālajā budžetā valsts budžeta bāzes sagatavošanas procesā, atbilstoši aktualizētajai un prognozētajai minimālo ienākumu mediānai mēnesī un prognozētajām izmaiņām saņēmēju skaitā saskaņā ar Ministru kabineta 2023. gada 17. janvāra noteikumu Nr. 15 “Maksimāli pieļaujamā valsts budžeta izdevumu kopapjoma un katrai ministrijai un citai centrālajai valsts iestādei paredzētā izdevumu kopējā apjoma noteikšanas kārtība vidējam termiņam” 9.9. apakšpunktu."</w:t>
            </w:r>
            <w:r w:rsidR="00000000" w:rsidRPr="00000000" w:rsidDel="00000000">
              <w:rPr>
                <w:i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likumprojekts ietekmēs katru no mērķgrupām – tieši vai netieši, kāds ir mērķgrupas lielums (ja to ir iespējams novērtēt), kā arī jebkādu citu skaidrojošu informāciju par mērķgrupu. Ņemot vērā minēto, lūdzam precizēt anotācijas 7. sadaļu, jo nav sniegta informācijā kā likumprojekts ietekmēs katru institūciju - Valsts sociālās apdrošināšanas aģentūru, Kultūras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nerada administratīvās izmaksas mērķa grupai - VSNP saņēmējiem, kuriem VSNP aprēķinā šobrīd tiek piemēroti 20% no ienākumu mediānas, bet no 2025. gada janvāra - 22% no ienākumu mediānas. Likumprojekta anotācijas 7. sadaļas 7.5. apakšpunkts ir papildināts šādā redakcijā, vienlaikus skaidrojot likumprojekta ietekmi uz  Valsts sociālas apdrošināšanas aģentūras un Kultūras ministrijas turpmākajām darbībām un sniedzot  informāciju par anotācijas sadaļām, kurās tiek sniegta informācija par mērķa grupu (un tās lielumu), uz kuru likumprojekts atstās tiešu un pozitīvu ietekmi : "Likumprojekts nerada administratīvās izmaksas, jo iedzīvotājiem, kuriem būs tiesības uz paaugstināto VSNP  vai uz citu pabalstu, kura apmērs tieši pakārtots VSNP apmēram, saistībā ar likumprojektā noteikto (tām personām, kurām šobrīd VSNP apmēra noteikšanā tiek piemēroti 20% no aktuālās ienākumu mediānas, bet no 2025. gada 1. janvāra VSNP apmēra noteikšanā tiks piemēroti 22% no ienākumu mediānas) nekādas papildu darbības (piemēram, papildu iesnieguma iesniegšana VSAA par VSNP pārrēķinu) nebūs jāveic. VSNP un ar to saistīto pabalstu pārrēķins un izmaksa paaugstinātā apmērā tiks veikta automātiski (VSAA būs nepieciešams pilnveidot IT sistēmu un Kultūras ministrijai veikt attiecīgas nozares pabalsta izmaksu atbilstoši jaunajam VSNP apmēram). Informācija par mērķa grupu, uz kuru likumprojekts radīs tiešu un pozitīvu ietekmi, ir norādīta anotācijas 2.1. sadaļā, kā arī  8.1.8. un 8.1.9. apakšsadaļās."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8.1.1. sadaļu, sniedzot informāciju, vai likumprojekts ietekmēs minētajā sadaļā ietverto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8.1.1. sadaļa, norādot, ka likumprojekts nerada ietekmi uz "publisku pakalpojumu attīstību".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24-TA-2165</w:t>
    </w:r>
    <w:r>
      <w:br/>
    </w:r>
    <w:r w:rsidR="00000000" w:rsidRPr="00000000" w:rsidDel="00000000">
      <w:rPr>
        <w:rtl w:val="0"/>
      </w:rPr>
      <w:t xml:space="preserve">27.09.2024. 11.22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24-TA-2165</w:t>
    </w:r>
    <w:r>
      <w:br/>
    </w:r>
    <w:r w:rsidR="00000000" w:rsidRPr="00000000" w:rsidDel="00000000">
      <w:rPr>
        <w:rtl w:val="0"/>
      </w:rPr>
      <w:t xml:space="preserve">27.09.2024. 11.22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Izziņa_24-TA-2165.docx</dc:title>
</cp:coreProperties>
</file>

<file path=docProps/custom.xml><?xml version="1.0" encoding="utf-8"?>
<Properties xmlns="http://schemas.openxmlformats.org/officeDocument/2006/custom-properties" xmlns:vt="http://schemas.openxmlformats.org/officeDocument/2006/docPropsVTypes"/>
</file>