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Sociālo pakalpojumu un sociālās palīdzības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atkārtoti aicina LM izvērtēt Sociālo pakalpojumu un sociālās palīdzības likuma (SPSPL) 1.panta 37.punktā ietvertā termina “apgādnieks” attiecināšanu uz lejupējo pienākumu apmaksāt augšupējiem objektīvi nepieciešamu aprūpi ilgstošas sociālās aprūpes un rehabilitācijas iestādē atbilstību Satversmes 109.pantam un esošajai sociālās drošības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SPSPL 1.panta 37.punkta esošā redakcija veicina tā saucamo labās (gādīgās) meitas slogu (sodu), kā rezultātā esošā regulējuma ietvaros vecākiem nepieciešamu aprūpes pakalpojumu pieejamības ierobežojumu dēļ sievietes nereti ir spiestas samazināt darba slodzi vai vispār pamest darba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sociālās drošības sistēmu, valsts attiecībā uz saistībām pret apgādībā esošām personām gan sociālajā apdrošināšanā, gan sociālajā nodrošināšanā gandrīz pilnībā orientējas uz apgādnieka jēdziena pielietojumu attiecībā uz personas lejupējiem.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sociālās drošības sistēmas normatīvajā regulējumā jau ir ietverts jēdziens apgādnieks, kas precīzāk ir definēts likuma „Par valsts pensijām” 19.pantā, kura ietvaros par apgādājamām personām ir atzīti: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bērni, kas ir jaunāki par 18 gadiem, kā arī bērni neatkarīgi no vecuma, ja viņi kļuvuši par invalīdiem pirms 18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brāļi, māsas un mazbērni, kas ir jaunāki par 18 gadiem, ja viņiem nav darbspējīgu vecāku, kā arī brāļi, māsas un mazbērni neatkarīgi no vecuma, ja viņiem nav darbspējīgu vecāku un ja viņi kļuvuši par invalīdiem pirms 18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personas, kuras nav sasniegušas 24 gadu vecumu, ja tās laikā, kad iestājusies apgādnieka nāve, vai vēlāk mācās vai studē vispārējās, profesionālās izglītības iestādēs, koledžās vai augstskolās pilna laika klātienē, izņemot laiku, kad persona ir pārtraukusi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SPSPL sociālās aprūpes pakalpojums ir noteikts kā pasākumu kopums, kas vērsts uz to personu pamatvajadzību apmierināšanu, kurām ir objektīvas grūtības aprūpēt sevi vecuma vai funkcionālo traucējumu dēļ, un ietver sevī pakalpojumus personas dzīvesvietā un ilgstošas sociālās aprūpes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jānošķir jautājums par kvalitatīvu vecumdienu nodrošināšanu pansijā pēc klienta vai viņa radinieku brīvprātīgas izvēles, no jautājuma par objektīvi nepieciešamu, specifisku, ar iedzīvotāju ienākumiem nesamērīgi dārgu pakalpojumu sniegšanu, par kuru nepieciešamību lēmumu nav pieņēmis  klients vai viņa radinieki, bet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gadījums klientam (nepieciešamības gadījumā piesaistot radiniekus) ir pilnībā jārisina civilo tiesību ietvaros starp klientu un potenciālo pakalpojumu sniedzēju. Savukārt otrais - ņemot vērā likuma 1.panta 20.punktu un 2.pantu, ir jārisina  klienta un publiskā sektora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SPSPL mērķis ir noteikt sociālo pakalpojumu un sociālās palīdzības sniegšanas un saņemšanas principus, to personu loku, kurām ir tiesības saņemt šos pakalpojumus un palīdzību, kā arī sociālās aprūpes, sociālās rehabilitācijas un profesionālās rehabilitācijas pakalpojumu samaksas un finansēšanas principus. Vārdkopa „noteikt (..) to personu loku, kurām ir tiesības saņemt šos pakalpojumus un palīdzību” kontekstā ar vārdkopu „pasākumu kopums, kas vērsts to personu pamatvajadzību apmierināšanu, kurām ir objektīvas grūtības aprūpēt sevi vecuma vai funkcionālo traucējumu dēļ”, liecina, ka šī likuma regulējuma ietvaros sniegtie sociālie pakalpojumi nav brīvas izvēles, bet gan objektīvas nepieciešamības diktēti.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šim izplatītā prakse, kad pakalpojuma pieprasītājam pakalpojums tiek atteikts tādēļ, ka viņa lejupējie nevar samaksāt par pakalpojumu, neatbilst Satversmes preambulā ietvertajam sociāli atbildīgas valsts principam, kā arī Satversmes 109.pantā noteiktajām tiesībām uz sociālo nodrošinājumu vecuma, darbnespējas un citos likumā noteiktajos gadījumos. Atteikums parasti tiek saistīts ar atsauci uz Civillikuma 188.pantu, turklāt, tas nereti tiek izmantots, lai pašvaldības izvirzītu materiālas pretenzijas pret ilgstošas sociālās aprūpes un sociālās rehabilitācijas institūcijās ievietotu personu bērniem un mazbērniem. Civillikuma 188.pants ir vispārīga norma, kas noteic pienākumu īpašos gadījumos uzturēt vecākus vai vecvecākus. Savukārt jēdziens uzturēt Civillikumā ir definēts 177.pantā  (vecāku aizgādības ietvaros), kur uzturēšanas jēdziens ir paskaidrots kā ēdiena, apģērba, mājokļa un veselības aprūpes nodrošināšana. Jēdzienos „rūpēties” un „uzturēt” nav ietverts pienākums veikt ar iedzīvotāju vidējiem ienākumiem nesamērīgi dārgu sociālās aprūpes pakalpojumu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augšminētajam, ir jāņem vērā, ka Civillikuma 188.pantā ietvertā norma ir radusies laikā, kad bija cita valsts pārvaldes sistēma, cita nodokļu sistēma un to īpatsvars, cita sociālās drošības sistēma, citi cilvēktiesību nosacījumi, kā arī personu, tai skaitā arī veco ļaužu, izvēles un rīcības brīvības nosacījumi. Laikā, kad nebija pensiju sistēmas (tās mūsdienu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apgādnieks — persona, kurai saskaņā ar likumu vai tiesas nolēmumu ir pienākums rūpēties par saviem bērniem un laulāto”.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redakcijā:“1.pantā izteikt 37.punktu šādā redakcijā:“ apgādnieks — persona, kurai saskaņā ar likumu vai tiesas nolēmumu ir pienākums rūpēties par saviem bērniem un laulāto”.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saistīts ar likumprojekta "Grozījumi Sociālo pakalpojumu un sociālās palīdzības likumā". Vienlaikus informējam, ka jautājums tiks izvērtēts strādājot pie citiem minētā likuma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sagatavoto normatīvā akta projektu “Grozījumi Sociālo pakalpojumu un sociālās palīdzības likumā” (turpmāk - Projekts) un pilnībā atbalsta Projektā ietverto mērķi nodrošināt valsts finansētu psihosociālās rehabilitācijas pakalpojumu bērniem ar autiskā spektra traucējumiem un viņu ģimenes locekļiem, kā arī GMI sliekšņa palielināšanu no 20 procentiem uz 22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4.pantu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4.pantā LM piedāvā izdarīt grozījumus Likuma 33.pantā. Likuma 33.pantā pašvaldībām ir deleģētas tiesības  noteikt maznodrošinātas mājsaimniecības ienākumu slieksni līdz 80 procentiem no ienākumu mediānas. LDDK ieskatā 80 procenti no ienākumu mediānas ir neatbilstīgi augsts maznodrošinātas mājsaimniecības ienākumu slieksnis.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4.pantu ar jaunu punktu, aizstājot 80 procentus ar 60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4.pantu ar jaunu punktu, aizstājot 80 procentus ar 60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saistīts ar likumprojekta "Grozījumi Sociālo pakalpojumu un sociālās palīdzības likumā". Vienlaikus informējam, ka notiek darbs pie Sociālo pakalpojumu un sociālās palīdzības likuma V nodaļas "Sociālā palīdzība" grozījumiem un jautājums tiks izvērtēts šo grozījumu kontekstā.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5.pantu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5.pantā LM piedāvā samazināt esošos mājokļa pabalsta aprēķinā izmantotos koeficientus. Ņemot vērā, ka likumā nav atsevišķi izdalīta sociālā grupa “mājsaimniecības ar bērniem”, tad šīs mājsaimniecības atbilst 35.panta 5.daļas 4.punkta kritērijam “pārējās mājsaimniecības”. Koeficienta samazinājums 4.punktā minētajai grupai no 1,5 uz 1,3, kas it kā ir paredzēts, lai nokompensētu GMI sliekšņa palielināšanas no 20 procentiem uz 22 procentiem ietekmi, ir ar lielāku negatīvo ietekmi, nekā GMI sliekšņa palielinājums. LDDK ieskatā tas vēl vairāk pasliktinātu situāciju mājsaimniecībām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 mājsaimniecības ar bērniem kā īpašu grupu un saglabāt tām koeficientu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 mājsaimniecības ar bērniem kā īpašu grupu un saglabāt tām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uzsveram, ka koeficientu samazinājums mājokļa pabalsta aprēķinā ir saskaņots ar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anotācijā minētajos piemēros ir skaidri parādīts, ka pie esošā GMI līmeņa un koeficientiem ģimenei, kura sastāv no divām darbaspējīgām personām un bērna pēc komunālo rēķinu nomaksas būtu jāpaliek 493,50 </w:t>
            </w:r>
            <w:r w:rsidR="00000000" w:rsidRPr="00000000" w:rsidDel="00000000">
              <w:rPr>
                <w:i w:val="1"/>
                <w:rtl w:val="0"/>
              </w:rPr>
              <w:t xml:space="preserve">euro</w:t>
            </w:r>
            <w:r w:rsidR="00000000" w:rsidRPr="00000000" w:rsidDel="00000000">
              <w:rPr>
                <w:rtl w:val="0"/>
              </w:rPr>
              <w:t xml:space="preserve"> (137 + 96 + 96) x 1,5) citu vajadzību nodrošināšanai. Ja viens no vecākiem ģimenē būtu nodarbināts un saņemtu, piemēram, minimālo algu 700 </w:t>
            </w:r>
            <w:r w:rsidR="00000000" w:rsidRPr="00000000" w:rsidDel="00000000">
              <w:rPr>
                <w:i w:val="1"/>
                <w:rtl w:val="0"/>
              </w:rPr>
              <w:t xml:space="preserve">euro</w:t>
            </w:r>
            <w:r w:rsidR="00000000" w:rsidRPr="00000000" w:rsidDel="00000000">
              <w:rPr>
                <w:rtl w:val="0"/>
              </w:rPr>
              <w:t xml:space="preserve"> apmērā, tad ar spēkā esošajiem koeficientiem tai par mājokli būtu jāmaksā 206,50 </w:t>
            </w:r>
            <w:r w:rsidR="00000000" w:rsidRPr="00000000" w:rsidDel="00000000">
              <w:rPr>
                <w:i w:val="1"/>
                <w:rtl w:val="0"/>
              </w:rPr>
              <w:t xml:space="preserve">euro</w:t>
            </w:r>
            <w:r w:rsidR="00000000" w:rsidRPr="00000000" w:rsidDel="00000000">
              <w:rPr>
                <w:rtl w:val="0"/>
              </w:rPr>
              <w:t xml:space="preserve">, pārējos izdevumus segtu ar mājokļa pabalstu. Savukārt, palielinot GMI slieksni par 2 procentpunktiem un samazinot koeficientu uz 1,3, summa, kam jāpaliek uz rokas būs lielāka, proti, tie  būs 517,40 </w:t>
            </w:r>
            <w:r w:rsidR="00000000" w:rsidRPr="00000000" w:rsidDel="00000000">
              <w:rPr>
                <w:i w:val="1"/>
                <w:rtl w:val="0"/>
              </w:rPr>
              <w:t xml:space="preserve">euro </w:t>
            </w:r>
            <w:r w:rsidR="00000000" w:rsidRPr="00000000" w:rsidDel="00000000">
              <w:rPr>
                <w:rtl w:val="0"/>
              </w:rPr>
              <w:t xml:space="preserve">un par mājokli personai pašai būs jāmaksā mazāk, proti, 182,60 </w:t>
            </w:r>
            <w:r w:rsidR="00000000" w:rsidRPr="00000000" w:rsidDel="00000000">
              <w:rPr>
                <w:i w:val="1"/>
                <w:rtl w:val="0"/>
              </w:rPr>
              <w:t xml:space="preserve">euro</w:t>
            </w:r>
            <w:r w:rsidR="00000000" w:rsidRPr="00000000" w:rsidDel="00000000">
              <w:rPr>
                <w:rtl w:val="0"/>
              </w:rPr>
              <w:t xml:space="preserve">. Tāpat jāņem vērā, ka, ja ģimenē būtu vairāki bērni, tad attiecīgi mājokļa aprēķina formulā tiktu ietvertas vairāk personas (atbilstoši bērnu skaitam) un summa, kas paliek ģimenes rīcībā, būs lielāka iepretim izdevumiem par mājokli, kas, iespējams, nedaudz palielināsies. Līdz ar to uzskatāms, ka ģimeņu ar bērniem situācija pēc grozījumu spēkā stāšanās uzlabosies.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w:t>
            </w:r>
            <w:r w:rsidR="00000000" w:rsidRPr="00000000" w:rsidDel="00000000">
              <w:rPr>
                <w:vertAlign w:val="superscript"/>
                <w:rtl w:val="0"/>
              </w:rPr>
              <w:t xml:space="preserve">1</w:t>
            </w:r>
            <w:r w:rsidR="00000000" w:rsidRPr="00000000" w:rsidDel="00000000">
              <w:rPr>
                <w:rtl w:val="0"/>
              </w:rPr>
              <w:t xml:space="preserve"> daļas pirmajā teikumā vārdus un skaitli “tās 14. punktā noteikto atbalsta personas lēmumu pieņemšanā pakalpojumu nodrošina biedrība "Resursu centrs cilvēkiem ar garīgiem traucējumiem “ZELDA”” ar vārdiem un skaitļiem “tās 14. punktā noteikto atbalsta personas lēmumu pieņemšanā pakalpojumu nodrošina biedrība "Resursu centrs cilvēkiem ar garīgiem traucējumiem “ZELDA”; tās 16. punktā noteikto psihosociālo rehabilitāciju  uzturošās terapijas veidā bērniem no divu līdz septiņu gadu vecumam pēc autisma diagnosticēšanas vai aizdomām par autiskā spektra traucējumiem un ārstniecības iestādē saņemtas agrīnās intervences programmas nodrošina nodibinājums “Bērnu slimnīcas fonds”; tās 16. punktā noteikto psihosociālo rehabilitāciju bērniem no diviem gadiem līdz 18 gadu vecuma sasniegšanai ar autiskā spektra traucējumiem, kuriem Veselības un darbspēju ekspertīzes ārstu valsts komisija ir noteikusi invaliditāti, un viņu ģimenes locekļiem nodrošina biedrība “Latvijas Autisma apvienība”;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bērniem ar autiskā spektra traucējiumem vecumu definējumos dažādi formulējumi: “no divu līdz septiņu gadu vecumam” un “no diviem gadiem līdz 18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salāgot formulējumus, lai visām pusēm ir nepārprotami, jo, ja otrajā variantā ir skaidrs, ka 17 gadus ieskaitot, tad pirmajā – var tulkot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w:t>
            </w:r>
            <w:r w:rsidR="00000000" w:rsidRPr="00000000" w:rsidDel="00000000">
              <w:rPr>
                <w:vertAlign w:val="superscript"/>
                <w:rtl w:val="0"/>
              </w:rPr>
              <w:t xml:space="preserve">1</w:t>
            </w:r>
            <w:r w:rsidR="00000000" w:rsidRPr="00000000" w:rsidDel="00000000">
              <w:rPr>
                <w:rtl w:val="0"/>
              </w:rPr>
              <w:t xml:space="preserve"> daļas pirmajā teikumā vārdus un skaitli “tās 14. punktā noteikto atbalsta personas lēmumu pieņemšanā pakalpojumu nodrošina biedrība "Resursu centrs cilvēkiem ar garīgiem traucējumiem “ZELDA”” ar vārdiem un skaitļiem “tās 14. punktā noteikto atbalsta personas lēmumu pieņemšanā pakalpojumu nodrošina biedrība "Resursu centrs cilvēkiem ar garīgiem traucējumiem “ZELDA”; tās 16. punktā noteikto psihosociālo rehabilitāciju  uzturošās terapijas veidā bērniem no diviem gadiem līdz septiņu gadu vecuma sasniegšanai pēc autisma diagnosticēšanas vai aizdomām par autiskā spektra traucējumiem un ārstniecības iestādē saņemtas agrīnās intervences programmas nodrošina nodibinājums “Bērnu slimnīcas fonds”; tās 16. punktā noteikto psihosociālo rehabilitāciju bērniem no diviem gadiem līdz 18 gadu vecuma sasniegšanai ar autiskā spektra traucējumiem, kuriem Veselības un darbspēju ekspertīzes ārstu valsts komisija ir noteikusi invaliditāti, un viņu ģimenes locekļiem nodrošina biedrība “Latvijas Autisma apvienība”;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35. panta piektajā daļā skaitli “2,5” ar skaitli “2,1”, skaitli “2” ar skaitli “1,7” un skaitli “1,5” ar skaitli “1,3”.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vai un kādos gadījumos būtu veicami pārrēķini, ņemot vērā, ka mājokļa pabalstu aprēķina un piešķir 3 un 6 mēnešus uz priekšu.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"Pamatojums", kā arī papildināts likumprojekts "Grozījumi Sociālo pakalpojumu un sociālās palīdzības likumā"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35. panta piektajā daļā skaitli “2,5” ar skaitli “2,1”, skaitli “2” ar skaitli “1,7” un skaitli “1,5” ar skaitli “1,3”.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5.pantam tiek samazināti mājokļa pabalsta aprēķinā izmantotie koeficienti, lūdzam papildināt anotāciju, sniedzot skaidrojumu par koeficientu samazinājuma ietekmi uz mājokļa pabalsta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"Pamatojums" un precizēta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sēdes protokollēmuma projekta 2. un 3. punktam  starpnozaru prioritārā pasākuma “Atbalsts minimālo ienākumu palielināšanai” piešķirto finansējumu daļēji paredzēts pārdalīt citu pasākumu īstenošanai 2025. gadam 4 016 598 euro apmērā, 2026. gadam 5 077 937 euro apmērā, 2027. gadam 5 147 578 euro apmērā, 2028. gadam un turpmāk ik gadu 6 143 373 euro apmērā, savukārt likumprojekta 5.pants paredz samazināt mājokļa pabalsta aprēķinā izmantotos koeficientus, nepieciešams anotācijā sniegt risku izvērtējumu par likumprojektā minēto normu apstrīdēšanu Satversmes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tiek plānots, ka samazināto koeficientu rezultātā radušos resursus paredzēts novirzīt citu labklājības nozares neatliekamu pasākumu finansēšanai, līdz ar to nepieciešams papildināt anotāciju, norādot, ka Labklājības ministrija sagatavos un iesniegs Finanšu ministrijā priekšlikumus likumprojekta “Par valsts budžetu 2025. gadam un budžeta ietvaru 2025., 2026. un 2027. gadam” izskatīšanai Saeimā 2.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Labklājības ministrija nepieciešamo papildu finansējums 2026.gadam un turpmāk ik gadu pārskatīs un iesniegs priekšlikumu Labklājības ministrijas pamatbudžeta bāzes sagatavošanas procesā atbilstoši aktualizētajai un prognozētajai minimālo ienākumu mediānai mēnesī un prognozētajām izmaiņām saņēmēju skaitā saskaņā ar Ministru kabineta 2023. gada 17. janvāra noteikumu Nr. 15 “Maksimāli pieļaujamā valsts budžeta izdevumu kopapjoma un katrai ministrijai un citai centrālajai valsts iestādei paredzētā izdevumu kopējā apjoma noteikšanas kārtība vidējam termiņam” 9.9.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finansējums likumprojektā paredzēto pasākumu īstenošanai iekļauts Labklājības ministrijas maksimāli pieļaujamajā valsts pamatbudžeta izdevumu kopējā apjomā 2025., 2026., 2027. un 2028.gadam un atbilstoši tiks iestrādāts likumprojektā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 apakšpunkta 6.tabulas 6.ailē novērst matemātisko neprecizitāti 2026.gadam, attiecīgi precizējot tabulas 7. un 10.aili.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6.2.apakšpunkta 4.tabulā un anotācijas 1.pielikumā norādītos kopējos izdevumus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3.sadaļas 6.2.apakšpunkta 2.tabulā norādīto plānoto finansējuma apmēru pa gadiem VSAC un SAC kabatas naudām, ņemot vērā, ka klientiem pienākošā naudas summa personiskiem izdevumiem  ir saistīta ar minimālo ienākumu sliekšņu apmēriem un pēc prognozēm tie tiek prognozēti ar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punkta “Cita informācija” 10.tabulā ir norādīts, ka finansējumu plānots novirzīt tehnisko palīglīdzekļu pakalpojumu rindu mazināšanai, nepieciešams papildināt anotāciju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pie Labklājības ministrijas izteiktā 2.priekšlikuma “Bērna ar invaliditāti kopšanas pabalsta apmēra pārskatīšanu” precizēt indikatīvo bērna ar invaliditāti kopšanas pabalsta saņēmēju skaitu 2028.gadam. Vienlaikus minētajam priekšlikumam nepieciešams salāgot norādīto nepieciešamo valsts budžeta finansējuma apmēru VSAA informatīvo sistēmu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6.2.punktā iekļauto II punktu “Valsts atbalsts bērniem ar autiskā spektra traucējumiem” un III punktu “Valsts finansētā ilgstošās sociālās aprūpes pakalpojuma nodrošināšana līguminstitūcijās un valsts sociālās aprūpes centros saistībā ar klientiem pienākošos naudas summu personiskiem izdevumiem palielināšanos”, norādot finansējuma apmēru, kas atbalstīts ar MK 19.09.2024. protokolu Nr.38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4. un 5.punktu, 5.1. punktā norādot likumprojekta īstenošanai nepieciešamo valsts budžeta finansējumu, kas atbalstīts prioritārā pasākuma “Atbalsts minimālo ienākumu palielināšanai” īstenošanai, savukārt pārējo likumprojekta īstenošanai nepieciešamo valsts budžeta finansējumu norādot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veidojas anotācijas 3.3. punktā norādītā finansiālā ietekme jeb izdevumu palielinājums  pašvaldību budžetā (2025.gadā - 4,7 milj., 2026.gadā – 3,8 milj., 2027. gadā – 8,4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2.pielikumu ar skaidrojumu par aprēķinā piemēroto vienas vienības cenu un grupu nodarbību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priekšlikumu veikt līdzekļu pārdali no Labklājības ministrijas pamatbudžeta apakšprogrammā 05.01.00 "Sociālās rehabilitācijas valsts programmas" 2025. – 2028. gada starpnozaru prioritārajam pasākumam “Atbalsts minimālo ienākumu palielināšanai” plānotā finansējuma 2025. gadam 3 721 307</w:t>
            </w:r>
            <w:r w:rsidR="00000000" w:rsidRPr="00000000" w:rsidDel="00000000">
              <w:rPr>
                <w:i w:val="1"/>
                <w:rtl w:val="0"/>
              </w:rPr>
              <w:t xml:space="preserve"> euro</w:t>
            </w:r>
            <w:r w:rsidR="00000000" w:rsidRPr="00000000" w:rsidDel="00000000">
              <w:rPr>
                <w:rtl w:val="0"/>
              </w:rPr>
              <w:t xml:space="preserve"> apmērā, 2026. gadam 3 994 186 </w:t>
            </w:r>
            <w:r w:rsidR="00000000" w:rsidRPr="00000000" w:rsidDel="00000000">
              <w:rPr>
                <w:i w:val="1"/>
                <w:rtl w:val="0"/>
              </w:rPr>
              <w:t xml:space="preserve">euro </w:t>
            </w:r>
            <w:r w:rsidR="00000000" w:rsidRPr="00000000" w:rsidDel="00000000">
              <w:rPr>
                <w:rtl w:val="0"/>
              </w:rPr>
              <w:t xml:space="preserve">apmērā, 2027. gadam 4 312 050 </w:t>
            </w:r>
            <w:r w:rsidR="00000000" w:rsidRPr="00000000" w:rsidDel="00000000">
              <w:rPr>
                <w:i w:val="1"/>
                <w:rtl w:val="0"/>
              </w:rPr>
              <w:t xml:space="preserve">euro</w:t>
            </w:r>
            <w:r w:rsidR="00000000" w:rsidRPr="00000000" w:rsidDel="00000000">
              <w:rPr>
                <w:rtl w:val="0"/>
              </w:rPr>
              <w:t xml:space="preserve"> apmērā, 2028. gadam un turpmāk ik gadu 4 645 385</w:t>
            </w:r>
            <w:r w:rsidR="00000000" w:rsidRPr="00000000" w:rsidDel="00000000">
              <w:rPr>
                <w:i w:val="1"/>
                <w:rtl w:val="0"/>
              </w:rPr>
              <w:t xml:space="preserve"> euro</w:t>
            </w:r>
            <w:r w:rsidR="00000000" w:rsidRPr="00000000" w:rsidDel="00000000">
              <w:rPr>
                <w:rtl w:val="0"/>
              </w:rPr>
              <w:t xml:space="preserve"> apmērā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2. –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priekšlikumu samazināt atbilstoši Ministru kabineta 19.09.2024. sēdes protokola 2.punktam atbalstīto finansējumu starpnozaru prioritārajam pasākumam “Atbalsts minimālo ienākumu palielināšanai” Labklājības ministrijas pamatbudžeta apakšprogrammā 05.01.00 "Sociālās rehabilitācijas valsts programmas" 2025. gadam 4 016 598 euro apmērā, 2026. gadam 5 077 937 euro apmērā, 2027. gadam 5 147 578 euro apmērā, 2028. gadam un turpmāk ik gadu 6 143 373 euro apmērā un palielināt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Labklājības ministrijas pamatbudžeta apakšprogrammā 20.01.00 “Valsts sociālie pabalsti”  2025. gadam 3 428 100 euro apmērā, 2026. gadam 3 701 700 euro apmērā, 2027. gadam 3 998 700 euro apmērā, 2028. gadam un turpmāk ik gadu 4 319 100 euro apmērā bērna ar invaliditāti kopšanas pabalsta apmēra palielināšanai par 75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Labklājības ministrijas pamatbudžeta apakšprogrammā 97.02.00  “Nozares centralizēto funkciju izpilde” 2025. gadam 15 473 euro apmērā, veicot  transferta pārskaitījumu uz speciālā budžeta apakšprogrammu 04.05.00 “Valsts sociālās apdrošināšanas aģentūras speciālais budžets” (konsolidējamā pozīcija) Valsts sociālās apdrošināšanas aģentūras informācijas sistēmas pielāgošanai, lai nodrošinātu bērna ar invaliditāti kopšanas pabalsta apmēra palielināšanu par 75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Labklājības ministrijas pamatbudžeta apakšprogrammā 05.01.00 "Sociālās rehabilitācijas valsts programmas" 2025. gadam 295 291 euro apmērā, 2026. gadam 1 083 751 euro apmērā, 2027. gadam 835 528 euro apmērā, 2028. gadam un turpmāk ik gadu 1 497 988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2.3.1. asistenta un pavadoņa pakalpojuma nodrošināšanai 2025. gadam 295 291 euro apmērā, 2026. gadam 744 251 euro apmērā, 2027. gadam 496 028 euro apmērā, 2028. gadam un turpmāk ik gadu 1 158 488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2.3.2. psihosociālās rehabilitācijas  uzturošās terapijas veidā bērniem no divu līdz septiņu gadu vecumam pēc autisma diagnosticēšanas vai aizdomām par autiskā spektra traucējumiem un ārstniecības iestādē saņemtas agrīnās intervences programmas nodrošināšanai 2026. gadam un turpmāk ik gadu 339 500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Izglītības un zinātnes ministrijas pamatbudžeta programmā 12.00.00 “Finansējums asistenta pakalpojuma nodrošināšanai personai ar invaliditāti pārvietošanas atbalstam un pašaprūpes veikšanai” 2025. gadam 277 734 euro apmērā, 2026. gadam 292 486 euro apmērā, 2027. gadam 313 350 euro apmērā, 2028. gadam un turpmāk ik gadu 326 285 euro apmērā asistenta pakalpjuma nodrošināšanai īzglītojamiem ar invaliditāti pārvietošanās atbalstam un pašaprūpes veikšanai pirmsskolas izglītības, vispārējās pamatizglītības, profesionālās pamatizglītības, arodizglītības, vispārējās vidējās izglītības un profesionālās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priekšlikumu samazināt atbilstoši Ministru kabineta 19.09.2024. sēdes protokola 2.punktam atbalstīto finansējumu starpnozaru prioritārajam pasākumam “Atbalsts minimālo ienākumu palielināšanai” Labklājības ministrijas pamatbudžeta apakšprogrammā 05.01.00 “Sociālās rehabilitācijas valsts programmas” 2025. gadam 4 016 598 </w:t>
            </w:r>
            <w:r w:rsidR="00000000" w:rsidRPr="00000000" w:rsidDel="00000000">
              <w:rPr>
                <w:i w:val="1"/>
                <w:rtl w:val="0"/>
              </w:rPr>
              <w:t xml:space="preserve">euro </w:t>
            </w:r>
            <w:r w:rsidR="00000000" w:rsidRPr="00000000" w:rsidDel="00000000">
              <w:rPr>
                <w:rtl w:val="0"/>
              </w:rPr>
              <w:t xml:space="preserve">apmērā, 2026. gadam 5 077 937 </w:t>
            </w:r>
            <w:r w:rsidR="00000000" w:rsidRPr="00000000" w:rsidDel="00000000">
              <w:rPr>
                <w:i w:val="1"/>
                <w:rtl w:val="0"/>
              </w:rPr>
              <w:t xml:space="preserve">euro </w:t>
            </w:r>
            <w:r w:rsidR="00000000" w:rsidRPr="00000000" w:rsidDel="00000000">
              <w:rPr>
                <w:rtl w:val="0"/>
              </w:rPr>
              <w:t xml:space="preserve">apmērā, 2027. gadam 5 147 578 </w:t>
            </w:r>
            <w:r w:rsidR="00000000" w:rsidRPr="00000000" w:rsidDel="00000000">
              <w:rPr>
                <w:i w:val="1"/>
                <w:rtl w:val="0"/>
              </w:rPr>
              <w:t xml:space="preserve">euro </w:t>
            </w:r>
            <w:r w:rsidR="00000000" w:rsidRPr="00000000" w:rsidDel="00000000">
              <w:rPr>
                <w:rtl w:val="0"/>
              </w:rPr>
              <w:t xml:space="preserve">apmērā, 2028. gadam un turpmāk ik gadu 6 143 373 </w:t>
            </w:r>
            <w:r w:rsidR="00000000" w:rsidRPr="00000000" w:rsidDel="00000000">
              <w:rPr>
                <w:i w:val="1"/>
                <w:rtl w:val="0"/>
              </w:rPr>
              <w:t xml:space="preserve">euro </w:t>
            </w:r>
            <w:r w:rsidR="00000000" w:rsidRPr="00000000" w:rsidDel="00000000">
              <w:rPr>
                <w:rtl w:val="0"/>
              </w:rPr>
              <w:t xml:space="preserve">apmērā un palielināt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normatīvajos aktos noteiktā kārtībā sagatavot un iesniegt Finanšu ministrijā priekšlikumus iesniegšanai uz budžeta likumprojekta “Par valsts budžetu 2025. gadam un budžeta ietvaru 2025., 2026. un 2027. gadam” 2. lasījumu Saeimā par šī protokollēmuma  2.1 un 2.2. apakšpunktā un 3. punktā minēto līdzekļu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 punktu izteikt šādā redakcijā: “4. Labklājības ministrijai normatīvajos aktos noteiktā kārtībā sagatavot un iesniegt Finanšu ministrijā priekšlikumus likumprojekta “Par valsts budžetu 2025. gadam un budžeta ietvaru 2025., 2026. un 2027. gadam” izskatīšanai Saeimā 2. lasījumā par šī protokollēmuma  2.1.,2.2. un 2.3. apakšpunktā paredzēto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normatīvajos aktos noteiktā kārtībā sagatavot un iesniegt Finanšu ministrijā priekšlikumus likumprojekta “Par valsts budžetu 2025. gadam un budžeta ietvaru 2025., 2026. un 2027. gadam” izskatīšanai Saeimā 2. lasījumā par šī protokollēmuma  2.1., 2.2. un 2.3. apakšpunktā paredzēto finansējuma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2.3. apakšpunktā minēto līdzekļu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5. punktu izteikt šādā redakcijā: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2.4. apakšpunktā paredzēto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2.4. apakšpunktā paredzēto finansējuma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24-TA-2322</w:t>
    </w:r>
    <w:r>
      <w:br/>
    </w:r>
    <w:r w:rsidR="00000000" w:rsidRPr="00000000" w:rsidDel="00000000">
      <w:rPr>
        <w:rtl w:val="0"/>
      </w:rPr>
      <w:t xml:space="preserve">28.09.2024. 09.15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24-TA-2322</w:t>
    </w:r>
    <w:r>
      <w:br/>
    </w:r>
    <w:r w:rsidR="00000000" w:rsidRPr="00000000" w:rsidDel="00000000">
      <w:rPr>
        <w:rtl w:val="0"/>
      </w:rPr>
      <w:t xml:space="preserve">28.09.2024. 09.15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Izziņa_24-TA-2322.docx</dc:title>
</cp:coreProperties>
</file>

<file path=docProps/custom.xml><?xml version="1.0" encoding="utf-8"?>
<Properties xmlns="http://schemas.openxmlformats.org/officeDocument/2006/custom-properties" xmlns:vt="http://schemas.openxmlformats.org/officeDocument/2006/docPropsVTypes"/>
</file>