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10. janvāra noteikumos Nr. 40 "Zirgu infekciozās anēmijas uzraudzības, kontroles un apkarošanas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(13.01.2012.)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projektu kontekstā ar anotācijas 1.3. apakšsadaļā sniegto skaidrojumu par to, ka katrā gadījumā, kad zirgu dzimtas dzīvniekam laboratoriskajos izmeklējumos tiks apstiprināts pozitīvs rezultāts uz zirgu infekciozo anēmiju Pārtikas un veterinārais dienests sagatavo rīkojumu, nosakot inficēto un iespējami inficēto novietni un tajā īstenojamos pienākumus, kā arī zirgu dzimtas dzīvnieku pārvietošanas ierobežojumus. Proti, noteikumu projektā šķietami jābūt paredzētai konkrētā administratīvā akta izdošanai un citiem ar to saistītajiem nosacījumiem, kas noteikumu projektā nav paredzēts. Attiecīgi šķietami ir papildināms noteikumu projekts un/vai precizējama anotācijas 1.3. apakšsadaļa, piemēram, skaidrojot, kā Pārtikas un veterinārais dienesta izdotais rīkojums sasaucas un darbojas paralēli noteikumu projekta 10. punktam (Ministru kabineta 2012. gada 10. janvāra noteikumi Nr. 40 "Zirgu infekciozās anēmijas uzraudzības, kontroles un apkarošanas kārtība" (turpmāk-noteikumi Nr.40) 12. punkts), kur jau noteiktas konkrētas prasības, pienākumi inficētās novietnes dzīvnieku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5.sadaļu, izvērtējot noteikumu projekta atbilstību Eiropas Savienības tiesību aktiem,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anotācijas 1.1. apakšsadaļā iekļautajam noteikumu projekta izstrādes pamatojumam, grozījumi Noteikumos Nr.40 izriet arī no Eiropas Parlamenta un Padomes  2016. gada 9. marta Regula (ES) 2016/429 par pārnēsājamām dzīvnieku slimībām un ar ko groza un atceļ konkrētus aktus dzīvnieku veselības jomā ("Dzīvnieku veselības tiesību akts") (turpmāk – regula 2016/429) un Komisijas 2018. gada 3. decembra Īstenošanas regula (ES) 2018/1882 par dažu slimību profilakses un kontroles noteikumu piemērošanu attiecībā uz sarakstā norādīto slimību kategorijām un ar ko izveido sarakstu ar sugām un sugu grupām, kas rada sarakstā norādīto slimību ievērojamu izplatības risku (turpmāk – regula 2018/1882). Arī anotācijas 1.3. apakšsadaļā skaidrots, ka grozījumi izstrādāti, lai piemērotu abas minētās regulas. Anotācijas 5. sadaļā saistība nav skaidrota. Attiecīgi, precizējams noteikumu projekta izstrādes pamatojums (anotācijas 1.1.apakšsadala) vai 5.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1.3. apakšsadaļā skaidrots, ka grozījumi noteikumu projekta 4. punktā (noteikumu Nr.40 6. punkts) saistīti ar Komisijas 2020. gada 7. decembra Īstenošanas regulas (ES) 2020/2002, ar ko paredz noteikumus par to, kā Eiropas Parlamenta un Padomes Regulu (ES) 2016/429 piemērot attiecībā uz Savienības līmeņa paziņošanu un Savienības līmeņa ziņošanu par sarakstā norādītajām slimībām, attiecībā uz Savienības uzraudzības programmu un izskaušanas programmu iesniegšanas un ziņošanas un statusa “brīvs no slimības” atzīšanas pieteikuma formātiem un procedūrām un attiecībā uz datorizētu informācijas sistēmu (turpmāk - Regula 2020/2002) 3. panta 1. punktu. Ņemot vērā anotācijas 1.3. apakšsadaļa sniegto skaidrojumu par to, ka grozījumi noteikumu Nr.40 6. punktā nodrošina no regulas 2020/2002 3. panta 1. punkta izrietoša pienākuma dalībvalstīm 24 stundu laikā pēc apstiprināšanas paziņot Komisijai un pārējām dalībvalstīm par visiem to teritorijā konstatētajiem tādas sarakstā norādītas slimības primāriem uzliesmojumiem, šķietami konstatējama konkrētās tiesību normas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anotācijas 5.4. apakšsadaļas 1. tabulā sniegtā rīcības brīvības izmantošanas skaidrojuma konstatējama Eiropas Parlamenta un Padomes 2009. gada 21. oktobra Regulas (EK) Nr. 1069/2009, ar ko nosaka veselības aizsardzības noteikumus attiecībā uz dzīvnieku izcelsmes blakusproduktiem un atvasinātajiem produktiem, kuri nav paredzēti cilvēku patēriņam, un ar ko atceļ Regulu (EK) Nr. 1774/2002 (Dzīvnieku izcelsmes blakusproduktu regula) 19. panta 1. punkta "a" apakšpunkta ieviešana noteikumu projekta 14. punktā (noteikumu Nr.40 15.2. apakšpunkts). Savukārt no tabulā sniegtā skaidrojuma izriet minētās regulas vispārīga ieviešana tikai noteikumu projekta 14. punktā (noteikumu Nr.40 15.1.apakšpunkts).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projektā paredzētie noteikumi laboratorisko izmeklējumu daudzumam un intervālam, kā arī tas, ka ierobežojumus atceļ, ja laboratoriskajos izmeklējumos dzīvniekiem divas reizes pēc kārtas ar triju mēnešu intervālu netiek konstatēta zirgu infekciozā anēmija šķietami izriet no Komisijas 2019. gada 17. decembra Deleģētās regulas (ES) 2020/688, ar ko attiecībā uz dzīvnieku veselības prasībām, kuras reglamentē sauszemes dzīvnieku un inkubējamu olu pārvietošanu Savienībā, papildina Eiropas Parlamenta un Padomes Regulu (ES) 2016/429. Proti, domājams tiek ieviesti minētās regulas 22. panta 1. punkta c) apakšpunkta ii) apakšpunkta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projekta 14. punkts (noteikumu Nr.40 15. punkta ievaddaļa) skaidro, kas ir otrās kategorijas materiāls, kas izriet no Eiropas Parlamenta un Padomes 2009. gada 21. oktobra Regulas (EK) Nr. 1069/2009, ar ko nosaka veselības aizsardzības noteikumus attiecībā uz dzīvnieku izcelsmes blakusproduktiem un atvasinātajiem produktiem, kuri nav paredzēti cilvēku patēriņam, un ar ko atceļ Regulu (EK) Nr. 1774/2002, 9. panta, kur konkrēti noteikts, kas ir otrās kategorijas materiāli.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izvērtēt, vai tiešām ar noteikumu projekta 14. punktu ieviesta visa Eiropas Komisijas 2011. gada 25. februāra Regula (EK)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un Eiropas Parlamenta un Padomes 2009. gada 21. oktobra Regula (EK) Nr. 1069/2009, ar ko nosaka veselības aizsardzības noteikumus attiecībā uz dzīvnieku izcelsmes blakusproduktiem un atvasinātajiem produktiem, kuri nav paredzēti cilvēku patēriņam, un ar ko atceļ Regulu (EK) Nr. 1774/2002 (Dzīvnieku izcelsmes blakusproduktu regula), un ir nepieciešams ietvert vispārīgu atsauci uz visu regulu kopumā vai arī ir iespējams norādīt atsauci uz konkrētām regulas vienībām. Pamatojoties uz izvērtējumu, nepieciešamības gadījumā lūdzam precizēt attiecīgās noteikumu projekta vienības un skaidrojumus anotācijas 5.4. apakšsadaļas 1. tabulā. Gadījumā, ja tomēr ir nepieciešama vispārīga atsauce uz regulu iesakām papildināt anotāciju ar attiecīgiem skaidrojumiem, piemēram, anotācijas 5.1.apakšsadaļas regulas apraksta daļā vai 1.3. apakšsadaļā pie attiecīgo noteikuma projekta punktu skaidrojumiem, konkrētāk norādot uz noteikumu projekta un regulu savstarpējo saistību un nepieciešamību paredzēt vispārīgas atsauces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10. janvāra noteikumos Nr. 40 "Zirgu infekciozās anēmijas uzraudzības, kontroles un apkarošanas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vienību numerāciju un salāgot to ar skaidrojumiem anotācijā. Vēršam uzmanību, ka gan anotācijas 1.3. apakšsadaļā, gan 5.4. apakšsadaļas 1. tabulā ietvertas šķietami neprecīzas atsauces uz noteikumu projekta vienībām, piemēram, atbilstoši noteikumu projektam tā 3. punkts groza noteikumu Nr.40. 4. punktu, bet anotācijā skaidrots, ka noteikumu Nr.40 4. punktu groza noteikumu projekta 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konkretizēt noteikumu projekta skaidrojumus, papildinot anotāciju, lai piemērotājam būtu nepārprotami saprotams, kā un kādos gadījumos noteikumu projekts attiecināms. Vēršam uzmanību, ka noteikumu projekts šķietami netiek skaidrots pilnībā. Piemēram, grozījumi noteikumu Nr.40 15. un 17. punktā šķietami skar ne tikai terminoloģiskas izmaiņas. Noteikumu Nr.40 17. punktā tiek noteikta arī ar terminoloģijas izmaiņām nesaistīta prasība "</w:t>
            </w:r>
            <w:r w:rsidR="00000000" w:rsidRPr="00000000" w:rsidDel="00000000">
              <w:rPr>
                <w:i w:val="1"/>
                <w:rtl w:val="0"/>
              </w:rPr>
              <w:t xml:space="preserve">praktizējoša veterinārārsta uzraudzībā nodrošina inficētās novietnes, slimo dzīvnieku pārvadāšanai izmantoto transportlīdzekļu, rampu un pāreju, kā arī saskarē ar slimajiem (seroloģiski pozitīvajiem) nonākušo materiālu, priekšmetu un konteineru tīrīšanu, mazgāšanu, dezinficēšanu un dezinsekciju.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iesakām pārliecināties, vai noteikumu projektam tiek nodrošināti pilnīgi skaidrojumi, kas ir būtiski, lai tiesību normu piemērotājam tiktu nodrošināta pilnīga tiesību normu un ar to saistīto aspektu izpratne un korekta tiesību normu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 sadaļu, izvērtējot noteikumu projekta ietekmējamās sabiedrības grupas. Vēršam uzmanību, ka atbilstoši noteikumu projektam (piemēram, noteikumu projekta 16. punkts) tas ietekmē arī veterinārārstus.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tiešām ar noteikumu projekta 9. punktu ieviesta visa Eiropas Parlamenta un Padomes 2016. gada 9. marta regula (ES) 2016/429 par pārnēsājamām dzīvnieku slimībām un ar ko groza un atceļ konkrētus aktus dzīvnieku veselības jomā (“Dzīvnieku veselības tiesību akts”) (turpmāk - Regula 2016/429), un ir nepieciešams ietvert vispārīgu atsauci uz visu regulu kopumā vai arī ir iespējams norādīt atsauci uz konkrētām regulas vienībām. Varbūt iespējams vispārīgo atsauci aizvietot ar konkrētu tās tiesību normu.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 apakšsadaļā, veicot papildinājumus, norādīts konkrēti uz Regulas 2016/429 170. panta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5.4. apakšsadaļas 1. tabulas rīcības brīvības sadaļā norādīts uz Regulas 2016/429 170. pantā noteiktās rīcības brīvības izmantošanu no kā savukārt, tieši un konkrēti, izriet Regulas 2016/429 170. panta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5.4. apakšsadaļas 1. tabulā norādīts tieši uz termina "epidemioloģisks" ieviešanu, kas šķietami varētu būt ieviests no konkrētas/-ām Regulas 2016/429 tiesību normas/-ām.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izvērtējumu, nepieciešamības gadījumā lūdzam precizēt attiecīgās noteikumu projekta vienības un skaidrojumus anotācijas 5.4. apakšsadaļas 1. tabulā. Ja tomēr nepieciešama vispārīga atsauce uz regulu, iesakām papildināt anotāciju ar attiecīgiem skaidrojumiem, piemēram, anotācijas 5.1.apakšsadaļas regulas apraksta daļā vai 1.3. apakšsadaļā pie attiecīgo noteikuma projekta punkta skaidrojumiem, konkrētāk norādot uz noteikumu projekta un regulu savstarpējo saistību un nepieciešamību paredzēt vispārīgas atsauces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precizēt anotācijas 5.4. apakšsadaļas 1. tabulas rīcības brīvības sadaļu Eiropas Komisijas 2011. gada 25. februāra Regulai (EK)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ieviešanu. Ņemot vērā, ka tiek saglabāta vispārīga atsauce un norādīts uz visu regulas ieviešanu, formulējums "</w:t>
            </w:r>
            <w:r w:rsidR="00000000" w:rsidRPr="00000000" w:rsidDel="00000000">
              <w:rPr>
                <w:i w:val="1"/>
                <w:rtl w:val="0"/>
              </w:rPr>
              <w:t xml:space="preserve">Noteikumu projektā minētās regulas 142/2011 normas neparedz dalībvalsts rīcības brīvību</w:t>
            </w:r>
            <w:r w:rsidR="00000000" w:rsidRPr="00000000" w:rsidDel="00000000">
              <w:rPr>
                <w:rtl w:val="0"/>
              </w:rPr>
              <w:t xml:space="preserve">" nav pilnībā korekts, jo tiek norādīts uz visas regulas ieviešana, tajā skaitā arī pantiem, kuros noteikta rīcības brīvība un kuri nav konkrēti izdalīti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5.sadaļu, precizējot informāciju par noteikumu projekta atbilstību Eiropas Savienības tiesību aktiem,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anotācijas 5.4. apakšsadaļas 1. tabulā sniegtā rīcības brīvības izmantošanas skaidrojuma konstatējama Eiropas Parlamenta un Padomes 2009. gada 21. oktobra Regulas (EK) Nr. 1069/2009, ar ko nosaka veselības aizsardzības noteikumus attiecībā uz dzīvnieku izcelsmes blakusproduktiem un atvasinātajiem produktiem, kuri nav paredzēti cilvēku patēriņam, un ar ko atceļ Regulu (EK) Nr. 1774/2002 (Dzīvnieku izcelsmes blakusproduktu regula) (turpmāk - Regula 1069/2009) 19. panta 1. punkta "a" apakšpunkta ieviešana noteikumu projekta 11. punktā ( Ministru kabineta 2012. gada 10. janvāra noteikumi Nr. 40 "Zirgu infekciozās anēmijas uzraudzības, kontroles un apkarošanas kārtība" (turpmāk - noteikumu Nr.40) 15.2. apakšpunkts). Savukārt no tabulas "A" un "B" ailēs sniegtā skaidrojuma izriet minētās regulas ieviešana noteikumu projekta 11. punktā (visā noteikumu Nr.40 15.apakšpunktā). Attiecīgi, nepieciešams salāgot sniegtos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2018. gada 3. decembra Īstenošanas regulas (ES) 2018/1882 par dažu slimību profilakses un kontroles noteikumu piemērošanu attiecībā uz sarakstā norādīto slimību kategorijām un ar ko izveido sarakstu ar sugām un sugu grupām, kas rada sarakstā norādīto slimību ievērojamu izplatības risku, pielikums nav sadalīts punktos. Attiecīgi iesakām precizēt 5.4. apakšsadaļas 1. tabulas aili "Regulas 2018/1882 pielikuma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anotācijas 1.3. apakšsadaļas skaidrojuma izriet noteikumu projekta saistība ar Komisijas 2019. gada 17. decembra Deleģētās regulas (ES) 2020/688, ar ko attiecībā uz dzīvnieku veselības prasībām, kuras reglamentē sauszemes dzīvnieku un inkubējamu olu pārvietošanu Savienībā, papildina Eiropas Parlamenta un Padomes Regulu (ES) 2016/429, 22. panta 2. punktu, bet atbilstoši 5.4. apakšsadaļas 1. tabulā veiktajiem precizējumiem, konkrētās tiesību normas ieviešana ir svītrota;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Regulas 1069/2009 9. pantam pašam par sevi nav "i" apakšpunkta, "i" apakšpunkti ir 9. panta "b", "e" un "f"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izvērtēt, vai ir korekti atspoguļota "Regulas 2020/688 22. panta 1. punkta "c" apakšpunkts" ieviešana noteikumu projekta 8.-10. un 13.-14.  punktā. Vēršam uzmanību, ka minētā Eiropas Savienības tiesību norma nosaka prasības operatoriem zirgu pārvietošanai uz citām dalībvalstīm tikai tad, ja dzīvnieki ir no objekta, kurš atbilst tajā noteiktajām prasībām, bet, piemēram, noteikumu projekta 14. punkts paredz noteikumu Nr. 40 19. punkta svītrošanu, bet, noteikumu projekta 13. punkts šķietami attiecināms tikai uz "Regulas 2020/688 22. panta 1. punkta "c" apakšpunkta i) punktu" nevis "c" apakšpunktu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anotācijas 7. sadaļā iekļaut informāciju par noteikumu projekta izpildes nodrošināšanu un ietekmi uz institūcijām. Pašreizējā anotācijas redakcijā norādīts, ka ietekmes nav, lai gan no noteikumu projekta redakcijas šķietami izriet ietekme uz Pārtikas un veterināro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Veterinārmedicīnas likuma</w:t>
            </w:r>
            <w:r w:rsidR="00000000" w:rsidRPr="00000000" w:rsidDel="00000000">
              <w:rPr>
                <w:rtl w:val="0"/>
              </w:rPr>
              <w:t xml:space="preserve"> 25. panta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noteikumu projekta 1. punktu un nepieciešamības gadījumā to precizēt vai svītrot. Vēršam uzmanību, ka noteikumu projekta 1. punktā plānotā redakcija ir identiska pašlaik spēkā esošajai, attiecīgi secināms, ka tā ir vai nu neprecīzi formulēta vai lieka.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zirgu infekciozās anēmijas uzraudzības, kontroles un apkarošanas kārtību zirgu dzimtas dzīvniekiem (turpmāk – dzīvnieki) papildus prasībām, kas noteiktas Komisijas 2019. gada 17. decembra Deleģētās Regulas (ES) </w:t>
            </w:r>
            <w:r w:rsidR="00000000" w:rsidRPr="00000000" w:rsidDel="00000000">
              <w:rPr>
                <w:rtl w:val="0"/>
              </w:rPr>
              <w:t xml:space="preserve">2020/688</w:t>
            </w:r>
            <w:r w:rsidR="00000000" w:rsidRPr="00000000" w:rsidDel="00000000">
              <w:rPr>
                <w:rtl w:val="0"/>
              </w:rPr>
              <w:t xml:space="preserve">, ar ko attiecībā uz dzīvnieku veselības prasībām, kuras reglamentē sauszemes dzīvnieku un inkubējamu olu pārvietošanu Savienībā, papildina Eiropas Parlamenta un Padomes Regulu (ES) 2016/429 (turpmāk – regula </w:t>
            </w:r>
            <w:r w:rsidR="00000000" w:rsidRPr="00000000" w:rsidDel="00000000">
              <w:rPr>
                <w:rtl w:val="0"/>
              </w:rPr>
              <w:t xml:space="preserve">2020/688</w:t>
            </w:r>
            <w:r w:rsidR="00000000" w:rsidRPr="00000000" w:rsidDel="00000000">
              <w:rPr>
                <w:rtl w:val="0"/>
              </w:rPr>
              <w:t xml:space="preserve">) 22. panta 1. punkta "c" apakšpunktā un 2. un 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2. punktu, ņemot vērā, ka atbilstoši Ministru kabineta 2009. gada 3. februāra noteikumu Nr. 108 "Normatīvo aktu projektu sagatavošanas noteikumi" 100. punktam, noteikumu projekta pirmajā punktā raksta (pārraksta)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plānotajiem grozījumiem noteikumu Nr.40 1. punktā, papildus Veterinārmedicīnas likuma 25.panta 17.punktā paredzētajam pilnvarojumam tiek ietverta atsauce uz regulu 2020/688. Vienlaicīgi arī anotācijas 1.3. apakšsadaļā plānotie grozījumi noteikumu Nr.40 1. punktā tiek skaidroti kā "</w:t>
            </w:r>
            <w:r w:rsidR="00000000" w:rsidRPr="00000000" w:rsidDel="00000000">
              <w:rPr>
                <w:i w:val="1"/>
                <w:rtl w:val="0"/>
              </w:rPr>
              <w:t xml:space="preserve">kārtības, kādā zirgu dzimtas dzīvnieki pārvietojami uz citu dalībvalsti ieviešana</w:t>
            </w:r>
            <w:r w:rsidR="00000000" w:rsidRPr="00000000" w:rsidDel="00000000">
              <w:rPr>
                <w:rtl w:val="0"/>
              </w:rPr>
              <w:t xml:space="preserve">", kas ir neatbilstoša noteikumu Nr.40 pilnvarojuma ietvaram. Proti, Veterinārmedicīnas likuma 25.panta 17.punktā noteikts, ka Ministru kabinets nosaka "</w:t>
            </w:r>
            <w:r w:rsidR="00000000" w:rsidRPr="00000000" w:rsidDel="00000000">
              <w:rPr>
                <w:i w:val="1"/>
                <w:rtl w:val="0"/>
              </w:rPr>
              <w:t xml:space="preserve">valsts uzraudzībā esošo dzīvnieku infekcijas slimību uzraudzības, kontroles un apkarošanas kārtību</w:t>
            </w:r>
            <w:r w:rsidR="00000000" w:rsidRPr="00000000" w:rsidDel="00000000">
              <w:rPr>
                <w:rtl w:val="0"/>
              </w:rPr>
              <w:t xml:space="preserve">", bet ne pārvietošanas kārtību. Attiecīgi, iesakām veikt nepieciešamos precizējumus noteikumu projektā un/vai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Inficētajā novietnē nav zirgu infekciozās anēmijas, ja šo noteikumu </w:t>
            </w:r>
            <w:r w:rsidR="00000000" w:rsidRPr="00000000" w:rsidDel="00000000">
              <w:rPr>
                <w:rtl w:val="0"/>
              </w:rPr>
              <w:t xml:space="preserve">12.4. </w:t>
            </w:r>
            <w:r w:rsidR="00000000" w:rsidRPr="00000000" w:rsidDel="00000000">
              <w:rPr>
                <w:rtl w:val="0"/>
              </w:rPr>
              <w:t xml:space="preserve">apakšpunktā</w:t>
            </w:r>
            <w:r w:rsidR="00000000" w:rsidRPr="00000000" w:rsidDel="00000000">
              <w:rPr>
                <w:rtl w:val="0"/>
              </w:rPr>
              <w:t xml:space="preserve"> minētajos laboratoriskajos izmeklējumos dzīvniekiem divas reizes pēc kārtas ar triju mēnešu intervālu netiek konstatēta zirgu infekciozā anēmija.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noteikumu projektu. Vēršam uzmanību, ka noteikumu projekta 11.punkts (noteikumu Nr.40 12</w:t>
            </w:r>
            <w:r w:rsidR="00000000" w:rsidRPr="00000000" w:rsidDel="00000000">
              <w:rPr>
                <w:vertAlign w:val="superscript"/>
                <w:rtl w:val="0"/>
              </w:rPr>
              <w:t xml:space="preserve">1</w:t>
            </w:r>
            <w:r w:rsidR="00000000" w:rsidRPr="00000000" w:rsidDel="00000000">
              <w:rPr>
                <w:rtl w:val="0"/>
              </w:rPr>
              <w:t xml:space="preserve">.punkts) šķietami dublē noteikumu projekta 10. punkta (noteikumu Nr.40 12.4 punkts) prasības attiecībā uz izmeklējumu veikšanu.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w:t>
    </w:r>
    <w:r>
      <w:br/>
    </w:r>
    <w:r w:rsidR="00000000" w:rsidRPr="00000000" w:rsidDel="00000000">
      <w:rPr>
        <w:rtl w:val="0"/>
      </w:rPr>
      <w:t xml:space="preserve">30.05.2024. 09.31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w:t>
    </w:r>
    <w:r>
      <w:br/>
    </w:r>
    <w:r w:rsidR="00000000" w:rsidRPr="00000000" w:rsidDel="00000000">
      <w:rPr>
        <w:rtl w:val="0"/>
      </w:rPr>
      <w:t xml:space="preserve">30.05.2024. 09.31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Izziņa_24-TA-13.docx</dc:title>
</cp:coreProperties>
</file>

<file path=docProps/custom.xml><?xml version="1.0" encoding="utf-8"?>
<Properties xmlns="http://schemas.openxmlformats.org/officeDocument/2006/custom-properties" xmlns:vt="http://schemas.openxmlformats.org/officeDocument/2006/docPropsVTypes"/>
</file>