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28. maija noteikumos Nr. 318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4.3.5.3. pasākuma "Sociālo pakalpojumu kvalitātes un efektivitātes paaugstināšana"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ārpusģimenes aprūpes atbalsta centri, aizbildņi un audžuģimenes;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zem kādas Eiropas Savienības kohēzijas politikas programmas 2021.–2027. gadam (turpmāk - Programma)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(turpmāk - 4.3.5. SAM) norādītās mērķa grupas ir identificējama 3.3. un 3.4. apakšpunktā papildinātā mērķa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projektā papildinātā mērķa grupa (3.3. un 3.4. apakšpunkts) atbilst Eiropas Savienības kohēzijas politikas programmā 2021.–2027. gadam (turpmāk – programma) 358. punktā norādītajai mērķa grupai “[..]</w:t>
            </w:r>
            <w:r w:rsidR="00000000" w:rsidRPr="00000000" w:rsidDel="00000000">
              <w:rPr>
                <w:i w:val="1"/>
                <w:rtl w:val="0"/>
              </w:rPr>
              <w:t xml:space="preserve">Sociālo pakalpojumu sniedzēji, sociālā jomā strādājošie speciālisti, t.sk. iestāžu un struktūrvienību vadītāji, sociālā darba speciālisti, sociālās jomas atbalsta personāls, t.sk. aprūpētāji, ģimenes asistenti, brīvprātīgā darba veicēji u.c., VA speciālisti, valsts nodrošinātās juridiskās palīdzības sistēmā iesaistītās personas un iestādes, NVO, supervizori, sociālās labklājības jomas studenti un mācībspēki, sabiedrība, plānošanas reģioni, pašvaldības, LM/TM, sadarbības partneri 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358. punktā norādītajā mērķa grupā uzskaitīti visi biežāk sastopamie speciālisti, institūcijas un personas, kas iesaistītas sociālo pakalpojumu sniegšanā un ar sociālajiem pakalpojumiem saistītās darbībās, taču šo personu un institūciju loks ir daudz plašāks, tādēļ mērķa grupas uzskaitījums noslēdzas ar “</w:t>
            </w:r>
            <w:r w:rsidR="00000000" w:rsidRPr="00000000" w:rsidDel="00000000">
              <w:rPr>
                <w:i w:val="1"/>
                <w:rtl w:val="0"/>
              </w:rPr>
              <w:t xml:space="preserve">u.c.</w:t>
            </w:r>
            <w:r w:rsidR="00000000" w:rsidRPr="00000000" w:rsidDel="00000000">
              <w:rPr>
                <w:rtl w:val="0"/>
              </w:rPr>
              <w:t xml:space="preserve">”, jo ietver tādas personas un institūcijas, kas ir ārpus normatīvā regulējuma ietvara. Piemēram, audžuģimenes pēc būtības sniedz sociālo pakalpojumu, taču nav sociālo pakalpojumu sniedzējs normatīvā regulējuma izpratnē. Tādējādi jaunā norādītā mērķa grupa "3.3. ārpusģimenes aprūpes atbalsta centri, aizbildņi un audžuģimenes;" atbilst sociālo pakalpojumu sniegšanā  iesaistītajām personām un institūcijām. Tieši tāpat ir ar papildināto mērķa grupu "3.4. valsts un pašvaldības iestādes, kas darbojas bērnu tiesību aizsardzības jomā vai sociālo pakalpojumu sniegšanas vai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ārpusģimenes aprūpes atbalsta centri, aizbildņi un audžuģimenes;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rādītājs: pilnveidotu sociālo pakalpojumu kvalitātes uzraudzības sistēmu skaits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4.2.2. un 4.2.3. punktā ietvertos nacionālos rādītājus, lai mazinātu administratīvo slogu rādītāju uzskates veikšanā, ņemot vērā, ka nacionālo radītāju definēšana nav obligāta, kad pasākumā ir definēts vismaz viens Eiropas Savienības kohēzijas politikas programmas 2021.–2027. gadam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ir izvērtējusi un lēmusi saglabāt nacionālo rādītāju. Kopumā LM nacionālos rādītājus pārziņas investīcijās ir paredzējusi tikai gadījumos, kad programmā nav noteikti rādītāji vai arī ja noteiktie rādītāji ir nepietiekami, lai novērtētu jēgpilnu projekta sniegumu, kā tas ir 4.3.5.3. pasākuma gadījumā, kur programmā noteiktais iznākuma rādītājs ir “nacionāla, reģionāla vai vietēja mēroga valsts administrācijas vai sabiedrisko pakalpojumu iestāžu un pakalpojumu skaits, kas saņēmuši atbalstu, – 1”, kas tiek izpildīts, noslēdzot līgumu. Nacionālo rādītāju uzkrāšana/izpildes uzraudzība nerada papildu slogu ne finansējuma saņēmējam, ne sadarbības iestādei, jo par rādītāju izpildi tiks ziņots, iesniedzot maksājuma pieprasījumu, bet sadarbības iestāde par šo rādītāju izpildi gūs pārliecību kopējā uzraudzības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sociālo pakalpojumu un ārpusģimenes aprūpes kvalitātes uzraudzības sistēmas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kuras Programmas 4.3.5. SAM atbalstāmās darbības ietvaros tiek paplašinātas ("ārpusģimenes aprūpes kvalitātes uzraudzības sistēmas pilnveide") 4.3.5.3. pasākuma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ārpusģimenes aprūpes sistēmas pilnveide plānota programmas 353. punktā noteiktās pakalpojumu efektivitātes nodrošināšanai plānotās sistēmas, t.sk. kvalitātes nodrošināšanas sistēmas pilnveides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sociālo pakalpojumu un ārpusģimenes aprūpes kvalitātes uzraudzības sistēmas pilnveide;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15.2.4. normatīvajos aktos, kas nosaka kārtību, kādā veicama obligātā veselības pārbaude, paredzēto veselības pārbaužu izmaksas finansējuma saņēmēja projekta vadības un īstenošanas personālam, ja tās nav iekļautas veselības apdrošināšanas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ierosinātos grozījumus MK noteikumu 15.1.apakšpunktā par personāla izmaksām, svītrojot prasību par vismaz 30% noslodzi daļlaika gadījumā, lūdzam dzēst no tiešajām izmaksām obligātās veselības pārbaudes izmaksas. Atbilstoši Finanšu ministrijas plānotajiem vadlīniju Nr.1.2. “VADLĪNIJAS ATTIECINĀMO IZMAKSU NOTEIKŠANAI  EIROPAS SAVIENĪBAS KOHĒZIJAS POLITIKAS PROGRAMMAS 2021.-2027.GADA PLĀNOŠANAS PERIODĀ” (turpmāk - Vadlīnijas) grozījumiem, tiešajās izmaksās iekļauj tikai tās izmaksas, kas pēc jēgas un būtības ir tieši saistītas ar projekta mērķa sasniegšanu. Saskaņā ar Vadlīniju plānoto grozījumu 5.2.apakšpunktu obligātās veselības pārbaudes izmaksas ir netiešās attiecināmās izmaksas. Plānoto Vadlīniju grozījumu 1.punktā noteikts, ka netiešās attiecināmās izmaksas var paredzēt/attiecināt kā tiešās attiecināmās izmaksas, ja tām ir sniegts argumentēts pamatojums MK noteikumu par SAM īstenošanu izstrādes laikā un ir pamatota izmaksu tieša sasaiste ar projekta mērķi, ir izvērtētas samērīguma, lietderības, vienotas pieejas un labas finanšu pārvaldības  principu ievērošana un tiešo/netiešo izmaksu būtība. Tāpat 1.punktā noteikts, ka veicot grozījumus MK noteikumos par SAM īstenošanu, kas skar vadlīniju piemērošanas pieejas maiņu, atsakoties no iepriekš noteiktiem ierobežojumiem, AI izvērtē visas izmaksu pozīcijas un nosacījumus MK noteikumos par SAM īstenošanu, t.sk., ietekmi uz jau īstenošanā esošajiem projektiem, sniedzot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318 15.2.4. apakšpunkts svītrots. TA projekta anotācija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25-TA-786</w:t>
    </w:r>
    <w:r>
      <w:br/>
    </w:r>
    <w:r w:rsidR="00000000" w:rsidRPr="00000000" w:rsidDel="00000000">
      <w:rPr>
        <w:rtl w:val="0"/>
      </w:rPr>
      <w:t xml:space="preserve">04.06.2025. 17.23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25-TA-786</w:t>
    </w:r>
    <w:r>
      <w:br/>
    </w:r>
    <w:r w:rsidR="00000000" w:rsidRPr="00000000" w:rsidDel="00000000">
      <w:rPr>
        <w:rtl w:val="0"/>
      </w:rPr>
      <w:t xml:space="preserve">04.06.2025. 17.23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Izziņa_25-TA-786.docx</dc:title>
</cp:coreProperties>
</file>

<file path=docProps/custom.xml><?xml version="1.0" encoding="utf-8"?>
<Properties xmlns="http://schemas.openxmlformats.org/officeDocument/2006/custom-properties" xmlns:vt="http://schemas.openxmlformats.org/officeDocument/2006/docPropsVTypes"/>
</file>