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23-TA-178: Rīkojuma (grozījumu) projekts (Vispārīgais)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Grozījums Ministru kabineta 2021. gada 18. maija rīkojumā Nr. 335 "Par iekārtu sarakstu emisijas kvotu sadalei 2021.–2025. gadam"</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- 16.03.2023.)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anotācijas 1.3. apakšpunktam viens no grozījumu iemesliem ir Komisijas 2022. gada 21. decembra Lēmums Nr.2023/C 64/12, ar ko Eiropas Savienības darījumu žurnāla centrālo administratoru instruē Eiropas Savienības darījumu žurnālā ievadīt labojumus Čehijas, Dānijas, Vācijas, Īrijas, Spānijas, Francijas, Itālijas, Latvijas, Ungārijas, Nīderlandes, Rumānijas un Zviedrijas valsts kvotu iedales tabulās, kur precizēti SIA “Gren Latvija” bāzlīnijas dati.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Tajā pašā laikā </w:t>
            </w:r>
            <w:r w:rsidR="00000000" w:rsidRPr="00000000" w:rsidDel="00000000">
              <w:rPr>
                <w:u w:val="single"/>
                <w:rtl w:val="0"/>
              </w:rPr>
              <w:t xml:space="preserve">norādām, ka,</w:t>
            </w:r>
            <w:r w:rsidR="00000000" w:rsidRPr="00000000" w:rsidDel="00000000">
              <w:rPr>
                <w:rtl w:val="0"/>
              </w:rPr>
              <w:t xml:space="preserve"> </w:t>
            </w:r>
            <w:r w:rsidR="00000000" w:rsidRPr="00000000" w:rsidDel="00000000">
              <w:rPr>
                <w:u w:val="single"/>
                <w:rtl w:val="0"/>
              </w:rPr>
              <w:t xml:space="preserve">piemēram, Komisijas 2022. gada 7. decembra Lēmums Nr. 2023/C 46/02</w:t>
            </w:r>
            <w:r w:rsidR="00000000" w:rsidRPr="00000000" w:rsidDel="00000000">
              <w:rPr>
                <w:rtl w:val="0"/>
              </w:rPr>
              <w:t xml:space="preserve">, ar ko Eiropas Savienības darījumu žurnāla centrālo administratoru instruē Eiropas Savienības darījumu žurnālā ievadīt izmaiņas Beļģijas, Čehijas, Dānijas, Vācijas, Īrijas, Spānijas, Francijas, Horvātijas, Itālijas, Latvijas, Lietuvas, Nīderlandes, Austrijas, Polijas, Portugāles, Rumānijas, Slovēnijas, Slovākijas, Somijas un Zviedrijas valsts kvotu iedales tabulās </w:t>
            </w:r>
            <w:r w:rsidR="00000000" w:rsidRPr="00000000" w:rsidDel="00000000">
              <w:rPr>
                <w:u w:val="single"/>
                <w:rtl w:val="0"/>
              </w:rPr>
              <w:t xml:space="preserve">anotācijā nav minēts un projektā, šķietami, nav veiktas arī no tā izrietošās emisijas kvotu apjoma izmaiņas vienam no operatoriem.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projektu kontekstā ar Eiropas Komisijas lēmumiem attiecīgajā jautājumā, nolūkā nodrošināt, ka projekta saturs ir korekts un atbilstīgs pieņemtajiem lēmumiem, ka tas atbilst reālajai situācijai un veiktajām izmaiņām attiecīgajā jautājumā.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2021.gada 18.maija rīkojuma Nr.335 “Par iekārtu sarakstu emisijas kvotu sadalei 2021.-2025.gadam” anotācijā norādīts, ka šīs rīkojums cita starpā pieņemts, pamatojoties uz operatoru bāzlīniju datu ziņojumos norādīto informāciju (vēsturiskajiem jeb bāzlīnijas darbības datiem). Attiecīgi bāzlīniju datu izmaiņu gadījumā šis rīkojums ir labojams.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Eiropas Savienības darījumu žurnāla centrālo administratoru ar atbilstošiem Komisijas lēmumiem informē </w:t>
            </w:r>
            <w:r w:rsidR="00000000" w:rsidRPr="00000000" w:rsidDel="00000000">
              <w:rPr>
                <w:u w:val="single"/>
                <w:rtl w:val="0"/>
              </w:rPr>
              <w:t xml:space="preserve">bāzlīnijas datu</w:t>
            </w:r>
            <w:r w:rsidR="00000000" w:rsidRPr="00000000" w:rsidDel="00000000">
              <w:rPr>
                <w:rtl w:val="0"/>
              </w:rPr>
              <w:t xml:space="preserve"> </w:t>
            </w:r>
            <w:r w:rsidR="00000000" w:rsidRPr="00000000" w:rsidDel="00000000">
              <w:rPr>
                <w:u w:val="single"/>
                <w:rtl w:val="0"/>
              </w:rPr>
              <w:t xml:space="preserve">ikgadēju izmaiņu </w:t>
            </w:r>
            <w:r w:rsidR="00000000" w:rsidRPr="00000000" w:rsidDel="00000000">
              <w:rPr>
                <w:rtl w:val="0"/>
              </w:rPr>
              <w:t xml:space="preserve">(jeb piešķiramo kvotu skaita izmaiņu, atbilstoši ETS operatora ikgadējām darbības līmeņa izmaiņām)</w:t>
            </w:r>
            <w:r w:rsidR="00000000" w:rsidRPr="00000000" w:rsidDel="00000000">
              <w:rPr>
                <w:u w:val="single"/>
                <w:rtl w:val="0"/>
              </w:rPr>
              <w:t xml:space="preserve">  vai bāzlīnijas datu labojumu gadījumā </w:t>
            </w:r>
            <w:r w:rsidR="00000000" w:rsidRPr="00000000" w:rsidDel="00000000">
              <w:rPr>
                <w:rtl w:val="0"/>
              </w:rPr>
              <w:t xml:space="preserve">(gadījumi, kad atklājas kļūdas bāzlīnijas datu aprēķinos). Šie lēmumi ir nodalīti t.i. tiek pieņemti par izmaiņām vai labojumiem. Norādām, ka iebildumā kā piemērs minētais Komisijas 2022. gada 7. decembra Lēmums Nr. 2023/C 46/02  paredz ikgadējas kvotu izmaiņas (nevis bāzlīnijas datu labojumus, kā Komisijas 2022. gada 21. decembra Lēmums Nr.2023/C 64/12).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skaidrojam, ka piemērā minētais Komisijas 2022. gada 7. decembra Lēmums Nr. 2023/C 46/02 atspoguļots VARAM 2023. gada 25. janvāra lēmumā Nr. ETS4-9 "Par bezmaksas emisijas kvotu piešķiršanu iekārtu sarakstā 2021.–2025. gadam iekļautajam operatoram Ceļu būves firmai SIA „BINDERS” pēc darbības līmeņa izmaiņām 2022. gadā", un nosaka ikgadējo kvotu piešķiršanas daudzumu atbilstoši darbības līmeņa izmaiņām, nevis bāzlīnijas datu izmaiņas.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Risinājuma apraksta 4) apakšpunkts papildināts ar pilnu Komisijas 2022. gada 21. decembra lēmuma Nr. 2023/C 64/12 nosaukumu: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atbilstoši Komisijas 2022. gada 21. decembra lēmumam Nr. 2023/C 64/12, ar ko Eiropas Savienības darījumu žurnāla centrālo administratoru instruē Eiropas Savienības darījumu žurnālā ievadīt labojumus Čehijas, Dānijas, Vācijas, Īrijas, Spānijas, Francijas, Itālijas, Latvijas, Ungārijas, Nīderlandes, Rumānijas un Zviedrijas valsts kvotu iedales tabulās,  laboti ETS operatora SIA “Gren Latvija” (ID LV000000000206234) bāzlīnijas dati.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iekārtu sarakstu emisijas kvotu sadalei 2021.–2025. gadam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(SIA "LIEPĀJAS ENERĢIJA" - 09.03.2023.)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SIA "Liepājas enerģija" katlu mājai Tukuma ielā 2 ar sākotnējo rīkojumu ETS4-1 piešķirtais kvotu daudzums ir ticis divas reizes mainīts (rīkojumi ETS4-3 un ETS4-7). Piedāvātajā redakcijā ir uzrādīti sākotnējie daudzumi (kā ETS4-1). Manuprāt tā ir kļūda.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2021.gada 18.maija rīkojums Nr.335 “Par iekārtu sarakstu emisijas kvotu sadalei 2021.-2025.gadam” grozījumu projektā tiek grozīti atsevišķu, anotācijā minēto operatoru bāzlīnijas dati. Rīkojuma grozījumi nemaina ikgadējo piešķiramo kvotu apjomu, tai skaitā to, kas attiecināms uz SIA "Liepājas enerģija" lēmumos, kuri minēti iebildumā.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iekārtu sarakstu emisijas kvotu sadalei 2021.–2025. gadam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- 16.03.2023.)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atsauces uz Eiropas Savienības tiesību aktiem noformēt atbilstoši Ministru kabineta 2009. gada 3. februāra noteikumu Nr. 108 „Normatīvo aktu projektu sagatavošanas noteikumi” (turpmāk - noteikumi Nr.108) 170.-172. punktam. Atsaucē uz Eiropas Savienības tiesību aktu norādot šādu informāciju: institūcija (Komisija, Padome, Eiropas Parlaments), kas izdevusi attiecīgo tiesību aktu; tiesību akta pieņemšanas datums; veids (regula, direktīva, lēmums); numurs un nosaukums atbilstoši tiesību akta nosaukumam latviešu valodā EUR-Lex datu bāzē. Piemēram, Komisijas 2022. gada 21. decembra Lēmums Nr.2023/C 64/12, ar ko Eiropas Savienības darījumu žurnāla centrālo administratoru instruē Eiropas Savienības darījumu žurnālā ievadīt labojumus Čehijas, Dānijas, Vācijas, Īrijas, Spānijas, Francijas, Itālijas, Latvijas, Ungārijas, Nīderlandes, Rumānijas un Zviedrijas valsts kvotu iedales tabulās.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Risinājuma apraksta 4) apakšpunkts papildināts ar pilnu lēmuma K 2022. gada 21. decembra lēmumam Nr. 2023/C 64/12 pilnu nosaukumu: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atbilstoši Komisijas 2022. gada 21. decembra lēmumam Nr. 2023/C 64/12 ar ko Eiropas Savienības darījumu žurnāla centrālo administratoru instruē Eiropas Savienības darījumu žurnālā ievadīt labojumus Čehijas, Dānijas, Vācijas, Īrijas, Spānijas, Francijas, Itālijas, Latvijas, Ungārijas, Nīderlandes, Rumānijas un Zviedrijas valsts kvotu iedales tabulās laboti ETS operatora SIA “Gren Latvija” (ID LV000000000206234) bāzlīnijas dati.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- 16.03.2023.)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precizēt anotāciju atbilstoši juridiskās tehnikas prasībām, ievērojot, ka saīsinājumus piesaka pirmajā vietā juridiskajā tekstā, kur lietots attiecīgais saīsināmais jēdziens vai termins. Tāpat pieteiktie saīsinājumi konsekventi lietojami tālāk dokumenta tekstā. Minētais attiecas tostarp uz terminu "Ministru kabinets" kā arī tā pieteikto saīsinājumu "MK", uz pieteikto apzīmējumu "Rīkojuma grozījumu projekts" un paralēli lietoto, nepieteikto saīsinājumu "Rīkojuma projekts", vārdu savienojumu "Latvijas ES ETS operatori" un tā pieteikto saīsinājumu "EST operatori". Attiecībā uz pēdējo, norādām, ka tekstā tiek lietots arī "Latvijas ES ETS dalībnieki" un "Latvijas ETS operatori", lūdzam pārbaudīt attiecīgo saīsinājumu lietojumus, ievērot konsekventu saīsinājumu lietojumu un, nepieciešamības gadījumā, veikt vajadzīgos labojumus.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norādām, ka anotācijas 1.1. apakšpunktā tiek pieteikts saīsinājums "regula 2019/331" un "regula 2021/447", kuri netiek lietoti tālākajā anotācijas tekstā, līdz ar to to pieteikšana nav nepieciešama.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atbilstoši labojumi anotācijas tekstā.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- 16.03.2023.)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saskaņā ar Komerclikuma 18. pantu termins „uzņēmums” apzīmē organizatoriski saimniecisku vienību un nevis komercdarbības vai saimnieciskās darbības subjektu. Ņemot vērā minēto, lūdzam izvērtēt un nepieciešamības gadījumā precizēt noteikumu projekta 2.1. apakšpunktu, termina „uzņēmums” vietā izmantojot terminu „komersants” vai „saimnieciskās darbības veicējs”.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Termins „uzņēmums” ņemts no TAP sistēmas piedāvātās izvēlnes, diemžēl termins „komersants” vai „saimnieciskās darbības veicējs” netiek piedāvāts, t.i. to nav iespējams mainīt.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23-TA-178</w:t>
    </w:r>
    <w:r>
      <w:br/>
    </w:r>
    <w:r w:rsidR="00000000" w:rsidRPr="00000000" w:rsidDel="00000000">
      <w:rPr>
        <w:rtl w:val="0"/>
      </w:rPr>
      <w:t xml:space="preserve">03.04.2023. 15.20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23-TA-178</w:t>
    </w:r>
    <w:r>
      <w:br/>
    </w:r>
    <w:r w:rsidR="00000000" w:rsidRPr="00000000" w:rsidDel="00000000">
      <w:rPr>
        <w:rtl w:val="0"/>
      </w:rPr>
      <w:t xml:space="preserve">03.04.2023. 15.20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Izziņa_23-TA-178.docx</dc:title>
</cp:coreProperties>
</file>

<file path=docProps/custom.xml><?xml version="1.0" encoding="utf-8"?>
<Properties xmlns="http://schemas.openxmlformats.org/officeDocument/2006/custom-properties" xmlns:vt="http://schemas.openxmlformats.org/officeDocument/2006/docPropsVTypes"/>
</file>