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7DDCC" w14:textId="122CF59F" w:rsidR="00470F6D" w:rsidRDefault="00470F6D" w:rsidP="00470F6D">
      <w:pPr>
        <w:spacing w:before="240" w:after="240"/>
        <w:rPr>
          <w:b/>
          <w:sz w:val="28"/>
        </w:rPr>
      </w:pPr>
      <w:r>
        <w:rPr>
          <w:b/>
          <w:sz w:val="28"/>
        </w:rPr>
        <w:t>26-TA-74</w:t>
      </w:r>
      <w:r w:rsidR="00666497">
        <w:rPr>
          <w:b/>
          <w:sz w:val="28"/>
        </w:rPr>
        <w:t>5</w:t>
      </w:r>
      <w:r>
        <w:rPr>
          <w:b/>
          <w:sz w:val="28"/>
        </w:rPr>
        <w:t>: Likumprojekts (Grozījumi)</w:t>
      </w:r>
    </w:p>
    <w:p w14:paraId="24B4BB18" w14:textId="2ECACF2B" w:rsidR="00470F6D" w:rsidRDefault="00470F6D" w:rsidP="00470F6D">
      <w:pPr>
        <w:pStyle w:val="titleparagraph"/>
        <w:contextualSpacing w:val="0"/>
      </w:pPr>
      <w:r>
        <w:t>Grozījumi</w:t>
      </w:r>
      <w:r w:rsidR="00666497">
        <w:t xml:space="preserve"> </w:t>
      </w:r>
      <w:r w:rsidR="00666497" w:rsidRPr="00666497">
        <w:t xml:space="preserve">Noziedzīgi iegūtu līdzekļu legalizācijas un terorisma un proliferācijas finansēšanas novēršanas </w:t>
      </w:r>
      <w:r>
        <w:t>likumā</w:t>
      </w:r>
    </w:p>
    <w:p w14:paraId="0DE7E459" w14:textId="1C647133" w:rsidR="00293D94" w:rsidRPr="00293D94" w:rsidRDefault="00293D94" w:rsidP="00293D94">
      <w:r>
        <w:t>Iebildumi, kas iesniegti Finanšu ministrijai ārpus TAP</w:t>
      </w:r>
    </w:p>
    <w:tbl>
      <w:tblPr>
        <w:tblW w:w="14857" w:type="dxa"/>
        <w:tblInd w:w="-29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10"/>
        <w:gridCol w:w="1842"/>
        <w:gridCol w:w="4536"/>
        <w:gridCol w:w="4820"/>
        <w:gridCol w:w="2949"/>
      </w:tblGrid>
      <w:tr w:rsidR="00470F6D" w14:paraId="2762B0A5" w14:textId="77777777" w:rsidTr="00360B15">
        <w:tc>
          <w:tcPr>
            <w:tcW w:w="710" w:type="dxa"/>
            <w:shd w:val="clear" w:color="auto" w:fill="FFFFFF"/>
            <w:noWrap/>
            <w:tcMar>
              <w:top w:w="75" w:type="dxa"/>
              <w:left w:w="75" w:type="dxa"/>
              <w:bottom w:w="75" w:type="dxa"/>
              <w:right w:w="75" w:type="dxa"/>
            </w:tcMar>
            <w:vAlign w:val="center"/>
          </w:tcPr>
          <w:p w14:paraId="447A5558" w14:textId="77777777" w:rsidR="00470F6D" w:rsidRDefault="00470F6D" w:rsidP="00360B15">
            <w:pPr>
              <w:jc w:val="center"/>
              <w:rPr>
                <w:b/>
              </w:rPr>
            </w:pPr>
            <w:r>
              <w:rPr>
                <w:b/>
              </w:rPr>
              <w:t>Nr.p.k.</w:t>
            </w:r>
          </w:p>
        </w:tc>
        <w:tc>
          <w:tcPr>
            <w:tcW w:w="1842" w:type="dxa"/>
            <w:shd w:val="clear" w:color="auto" w:fill="FFFFFF"/>
            <w:noWrap/>
            <w:tcMar>
              <w:top w:w="75" w:type="dxa"/>
              <w:left w:w="75" w:type="dxa"/>
              <w:bottom w:w="75" w:type="dxa"/>
              <w:right w:w="75" w:type="dxa"/>
            </w:tcMar>
            <w:vAlign w:val="center"/>
          </w:tcPr>
          <w:p w14:paraId="2428F1B4" w14:textId="77777777" w:rsidR="00470F6D" w:rsidRDefault="00470F6D" w:rsidP="00360B15">
            <w:pPr>
              <w:jc w:val="center"/>
              <w:rPr>
                <w:b/>
              </w:rPr>
            </w:pPr>
            <w:r>
              <w:rPr>
                <w:b/>
              </w:rPr>
              <w:t>Saskaņošanai nosūtītā projekta redakcija</w:t>
            </w:r>
          </w:p>
        </w:tc>
        <w:tc>
          <w:tcPr>
            <w:tcW w:w="4536" w:type="dxa"/>
            <w:shd w:val="clear" w:color="auto" w:fill="FFFFFF"/>
            <w:noWrap/>
            <w:tcMar>
              <w:top w:w="75" w:type="dxa"/>
              <w:left w:w="75" w:type="dxa"/>
              <w:bottom w:w="75" w:type="dxa"/>
              <w:right w:w="75" w:type="dxa"/>
            </w:tcMar>
            <w:vAlign w:val="center"/>
          </w:tcPr>
          <w:p w14:paraId="64175D37" w14:textId="77777777" w:rsidR="00470F6D" w:rsidRDefault="00470F6D" w:rsidP="00360B15">
            <w:pPr>
              <w:jc w:val="center"/>
              <w:rPr>
                <w:b/>
              </w:rPr>
            </w:pPr>
            <w:r>
              <w:rPr>
                <w:b/>
              </w:rPr>
              <w:t>Iebildums / Priekšlikums</w:t>
            </w:r>
          </w:p>
          <w:p w14:paraId="51CD4CF9" w14:textId="0C6225D5" w:rsidR="00762B06" w:rsidRDefault="00762B06" w:rsidP="00360B15">
            <w:pPr>
              <w:jc w:val="center"/>
              <w:rPr>
                <w:b/>
              </w:rPr>
            </w:pPr>
          </w:p>
        </w:tc>
        <w:tc>
          <w:tcPr>
            <w:tcW w:w="4820" w:type="dxa"/>
            <w:shd w:val="clear" w:color="auto" w:fill="FFFFFF"/>
            <w:noWrap/>
            <w:tcMar>
              <w:top w:w="75" w:type="dxa"/>
              <w:left w:w="75" w:type="dxa"/>
              <w:bottom w:w="75" w:type="dxa"/>
              <w:right w:w="75" w:type="dxa"/>
            </w:tcMar>
            <w:vAlign w:val="center"/>
          </w:tcPr>
          <w:p w14:paraId="4C0ECA57" w14:textId="77777777" w:rsidR="00470F6D" w:rsidRDefault="00470F6D" w:rsidP="00360B15">
            <w:pPr>
              <w:jc w:val="center"/>
              <w:rPr>
                <w:b/>
              </w:rPr>
            </w:pPr>
            <w:r>
              <w:rPr>
                <w:b/>
              </w:rPr>
              <w:t>Apstrādes informācija</w:t>
            </w:r>
          </w:p>
        </w:tc>
        <w:tc>
          <w:tcPr>
            <w:tcW w:w="2949" w:type="dxa"/>
            <w:shd w:val="clear" w:color="auto" w:fill="FFFFFF"/>
            <w:noWrap/>
            <w:tcMar>
              <w:top w:w="75" w:type="dxa"/>
              <w:left w:w="75" w:type="dxa"/>
              <w:bottom w:w="75" w:type="dxa"/>
              <w:right w:w="75" w:type="dxa"/>
            </w:tcMar>
            <w:vAlign w:val="center"/>
          </w:tcPr>
          <w:p w14:paraId="6E755C4C" w14:textId="77777777" w:rsidR="00470F6D" w:rsidRDefault="00470F6D" w:rsidP="00360B15">
            <w:pPr>
              <w:jc w:val="center"/>
              <w:rPr>
                <w:b/>
              </w:rPr>
            </w:pPr>
            <w:r>
              <w:rPr>
                <w:b/>
              </w:rPr>
              <w:t>Galīgā redakcija</w:t>
            </w:r>
          </w:p>
        </w:tc>
      </w:tr>
      <w:tr w:rsidR="00470F6D" w14:paraId="1F9D148B" w14:textId="77777777" w:rsidTr="00360B15">
        <w:tc>
          <w:tcPr>
            <w:tcW w:w="14857" w:type="dxa"/>
            <w:gridSpan w:val="5"/>
            <w:shd w:val="clear" w:color="auto" w:fill="FFFFFF"/>
            <w:noWrap/>
            <w:tcMar>
              <w:top w:w="75" w:type="dxa"/>
              <w:left w:w="75" w:type="dxa"/>
              <w:bottom w:w="75" w:type="dxa"/>
              <w:right w:w="75" w:type="dxa"/>
            </w:tcMar>
            <w:vAlign w:val="center"/>
          </w:tcPr>
          <w:p w14:paraId="101F661D" w14:textId="77777777" w:rsidR="00470F6D" w:rsidRDefault="00470F6D" w:rsidP="00360B15">
            <w:r>
              <w:rPr>
                <w:b/>
              </w:rPr>
              <w:t>Izsludināšana: 02.04.2026. 14:30</w:t>
            </w:r>
          </w:p>
        </w:tc>
      </w:tr>
      <w:tr w:rsidR="00470F6D" w14:paraId="4CABF7B8" w14:textId="77777777" w:rsidTr="00360B15">
        <w:tc>
          <w:tcPr>
            <w:tcW w:w="710" w:type="dxa"/>
            <w:shd w:val="clear" w:color="auto" w:fill="FFFFFF"/>
            <w:noWrap/>
            <w:tcMar>
              <w:top w:w="75" w:type="dxa"/>
              <w:left w:w="75" w:type="dxa"/>
              <w:bottom w:w="75" w:type="dxa"/>
              <w:right w:w="75" w:type="dxa"/>
            </w:tcMar>
          </w:tcPr>
          <w:p w14:paraId="6829E033" w14:textId="77777777" w:rsidR="00470F6D" w:rsidRDefault="00470F6D" w:rsidP="00360B15">
            <w:r>
              <w:t>1.</w:t>
            </w:r>
          </w:p>
        </w:tc>
        <w:tc>
          <w:tcPr>
            <w:tcW w:w="1842" w:type="dxa"/>
            <w:shd w:val="clear" w:color="auto" w:fill="FFFFFF"/>
            <w:noWrap/>
            <w:tcMar>
              <w:top w:w="75" w:type="dxa"/>
              <w:left w:w="75" w:type="dxa"/>
              <w:bottom w:w="75" w:type="dxa"/>
              <w:right w:w="75" w:type="dxa"/>
            </w:tcMar>
          </w:tcPr>
          <w:p w14:paraId="298AFE36" w14:textId="77777777" w:rsidR="00470F6D" w:rsidRDefault="00470F6D" w:rsidP="00360B15">
            <w:pPr>
              <w:spacing w:after="240"/>
              <w:rPr>
                <w:b/>
              </w:rPr>
            </w:pPr>
            <w:r>
              <w:rPr>
                <w:b/>
              </w:rPr>
              <w:t>Likumprojekts (grozījumi)</w:t>
            </w:r>
          </w:p>
          <w:p w14:paraId="544736DB" w14:textId="354F4A10" w:rsidR="00470F6D" w:rsidRDefault="00470F6D" w:rsidP="00360B15">
            <w:r>
              <w:t>Grozījumi</w:t>
            </w:r>
            <w:r w:rsidR="00666497">
              <w:t xml:space="preserve"> </w:t>
            </w:r>
            <w:r w:rsidR="00666497" w:rsidRPr="00666497">
              <w:t>Noziedzīgi iegūtu līdzekļu legalizācijas un terorisma un proliferācijas finansēšanas novēršanas</w:t>
            </w:r>
            <w:r w:rsidR="00666497">
              <w:t xml:space="preserve"> </w:t>
            </w:r>
            <w:r>
              <w:t>likumā</w:t>
            </w:r>
          </w:p>
        </w:tc>
        <w:tc>
          <w:tcPr>
            <w:tcW w:w="4536" w:type="dxa"/>
            <w:shd w:val="clear" w:color="auto" w:fill="FFFFFF"/>
            <w:noWrap/>
            <w:tcMar>
              <w:top w:w="75" w:type="dxa"/>
              <w:left w:w="75" w:type="dxa"/>
              <w:bottom w:w="75" w:type="dxa"/>
              <w:right w:w="75" w:type="dxa"/>
            </w:tcMar>
          </w:tcPr>
          <w:p w14:paraId="7C768096" w14:textId="77777777" w:rsidR="00666497" w:rsidRPr="00293D94" w:rsidRDefault="00666497" w:rsidP="00666497">
            <w:pPr>
              <w:spacing w:after="240"/>
              <w:rPr>
                <w:b/>
              </w:rPr>
            </w:pPr>
            <w:r w:rsidRPr="00434067">
              <w:rPr>
                <w:b/>
              </w:rPr>
              <w:t xml:space="preserve">Iebildums </w:t>
            </w:r>
            <w:r w:rsidRPr="00293D94">
              <w:rPr>
                <w:b/>
              </w:rPr>
              <w:t>(SIA “Credit Solutions”– 20.04.2026)</w:t>
            </w:r>
          </w:p>
          <w:p w14:paraId="27B9066A" w14:textId="36A3C1EF" w:rsidR="00666497" w:rsidRPr="00666497" w:rsidRDefault="00666497" w:rsidP="00666497">
            <w:pPr>
              <w:spacing w:after="240"/>
            </w:pPr>
            <w:r w:rsidRPr="00666497">
              <w:t>SIA “Credit Solutions” (turpmāk – Sabiedrība) ir Sabiedrība ir iepazinusies ar Finanšu ministrijas izstrādāto likumprojektu “Grozījumi Noziedzīgi iegūtu līdzekļu legalizācijas un terorisma un proliferācijas finansēšanas novēršanas likumā” (turpmāk – Likumprojekts).</w:t>
            </w:r>
          </w:p>
          <w:p w14:paraId="0037CE07" w14:textId="77777777" w:rsidR="00666497" w:rsidRPr="00666497" w:rsidRDefault="00666497" w:rsidP="00666497">
            <w:pPr>
              <w:spacing w:after="240"/>
            </w:pPr>
            <w:r w:rsidRPr="00666497">
              <w:t xml:space="preserve">Likumprojekts ir daļa no plašākas patērētāju kreditēšanas tirgus uzraudzības reformas, kuras ietvaros paredzēts, ka Noziedzīgi iegūtu līdzekļu legalizācijas un terorisma un proliferācijas finansēšanas novēršanas likumā (turpmāk – Novēršanas likums) noteiktās Patērētāju tiesību aizsardzības centra (turpmāk – PTAC) funkcijas no 2027. gada 1. janvāra tiks nodotas Latvijas Bankai. Vienlaikus Likumprojekta anotācijā nav </w:t>
            </w:r>
            <w:r w:rsidRPr="00666497">
              <w:lastRenderedPageBreak/>
              <w:t>sniegts pierādījumos balstīts pamatojums šādas reformas nepieciešamībai vai tās sagaidāmajai efektivitātei.</w:t>
            </w:r>
          </w:p>
          <w:p w14:paraId="77E79AE3" w14:textId="77777777" w:rsidR="00666497" w:rsidRPr="00666497" w:rsidRDefault="00666497" w:rsidP="00666497">
            <w:pPr>
              <w:spacing w:after="240"/>
            </w:pPr>
            <w:r w:rsidRPr="00666497">
              <w:t>Sabiedrība kopumā neatbalsta PTAC regulatīvo un uzraudzības funkciju pār nebanku kreditētājiem nodošanu Latvijas Bankai un attiecīgi iebilst pret Likumprojekta priekšlikumu. Sabiedrība uzskata, ka piedāvātā regulatora maiņa nav nepieciešama un var radīt arī pretēju efektu iecerētajam. Neraugoties uz reformu virzību, joprojām nav pietiekami skaidri pamatots, kādēļ šāda funkciju nodošana ir nepieciešama. Lai gan tiek norādīts, ka reformas mērķis ir samazināt administratīvo slogu un nodrošināt caurspīdīgu un vienotu kreditētāju uzraudzības un kontroles pieeju, pastāv pamatots risks, ka praksē tā varētu būtiski sarežģīt normatīvo un uzņēmējdarbības vidi, vienlaikus nesniedzot skaidrojumu, kā minētie mērķi tiks sasniegti. Turklāt līdz šim nav sniegti pierādījumi, kas apliecinātu PTAC nespēju pienācīgi pildīt tam noteikto uzraudzības funkciju un tādējādi attaisnotu uzraudzības pilnvaru nodošanu citai institūcijai. Sabiedrība uzskata, ka jebkurai normatīvā regulējuma reformai ir jābūt balstītai konkrētu trūkumu identificēšanā un izmērāmos uzlabojumos, nevis institucionālās struktūras pašas par sevi pārveidē.</w:t>
            </w:r>
          </w:p>
          <w:p w14:paraId="1401BAC6" w14:textId="3BCD4283" w:rsidR="00666497" w:rsidRPr="00666497" w:rsidRDefault="00666497" w:rsidP="00666497">
            <w:pPr>
              <w:spacing w:after="240"/>
            </w:pPr>
            <w:r w:rsidRPr="00666497">
              <w:lastRenderedPageBreak/>
              <w:t>Būtiski, ka patērētāju kreditēšanas pakalpojumu sniedzējiem jau kopš 2018. gada ir noteiktas prasības noziedzīgi iegūtu līdzekļu legalizācijas un terorisma finansēšanas novēršanas jomā, un šo prasību izpildi līdz šim uzrauga PTAC. Turklāt MONEYVAL sestās</w:t>
            </w:r>
            <w:r w:rsidR="006B294D">
              <w:t xml:space="preserve"> </w:t>
            </w:r>
            <w:r w:rsidRPr="00666497">
              <w:t>kārtas savstarpējās novērtēšanas ziņojumā nav ietverti secinājumi par trūkumiem PTAC īstenotajā noziedzīgi iegūtu līdzekļu legalizācijas un terorisma finansēšanas novēršanas uzraudzībā, kā arī nebanku patērētāju kreditēšanas nozare nav identificēta kā problemātiska vai paaugstināta riska uzraudzības joma. Līdz ar to nav konstatējami faktiski vai starptautiskā novērtējumā balstīti apstākļi, kas pamatotu nepieciešamību pēc būtiskām uzraudzības institucionālās struktūras izmaiņām šajā sektorā.</w:t>
            </w:r>
          </w:p>
          <w:p w14:paraId="2167002B" w14:textId="77777777" w:rsidR="00666497" w:rsidRPr="00666497" w:rsidRDefault="00666497" w:rsidP="00666497">
            <w:pPr>
              <w:spacing w:after="240"/>
            </w:pPr>
            <w:r w:rsidRPr="00666497">
              <w:t xml:space="preserve">1. Par kredītiestāžu un nebanku patērētāju kreditēšanas pakalpojumu sniedzēju </w:t>
            </w:r>
            <w:proofErr w:type="spellStart"/>
            <w:r w:rsidRPr="00666497">
              <w:t>nesalīdzināmību</w:t>
            </w:r>
            <w:proofErr w:type="spellEnd"/>
            <w:r w:rsidRPr="00666497">
              <w:t xml:space="preserve"> Novēršanas likuma ietvaros</w:t>
            </w:r>
          </w:p>
          <w:p w14:paraId="077E3AFB" w14:textId="77777777" w:rsidR="00666497" w:rsidRPr="00666497" w:rsidRDefault="00666497" w:rsidP="00666497">
            <w:pPr>
              <w:spacing w:after="240"/>
            </w:pPr>
            <w:r w:rsidRPr="00666497">
              <w:t>Sabiedrība iebilst pret Likumprojektā ietverto pieeju, kas reformas ietvaros faktiski pielīdzina nebanku patērētāju kreditēšanas pakalpojumu sniedzējus kredītiestādēm, neraugoties uz to, ka minētie subjekti objektīvi atrodas atšķirīgos tiesiskajos un ekonomiskajos apstākļos.</w:t>
            </w:r>
          </w:p>
          <w:p w14:paraId="10A95BFE" w14:textId="77777777" w:rsidR="00666497" w:rsidRPr="00666497" w:rsidRDefault="00666497" w:rsidP="00666497">
            <w:pPr>
              <w:spacing w:after="240"/>
            </w:pPr>
            <w:r w:rsidRPr="00666497">
              <w:lastRenderedPageBreak/>
              <w:t>Proti, nebanku patērētāju kreditēšanas pakalpojumu sniedzēji:</w:t>
            </w:r>
          </w:p>
          <w:p w14:paraId="0B45F84D" w14:textId="4C7D702F" w:rsidR="00666497" w:rsidRPr="00666497" w:rsidRDefault="00666497" w:rsidP="00666497">
            <w:pPr>
              <w:spacing w:after="240"/>
            </w:pPr>
            <w:r w:rsidRPr="00666497">
              <w:t>•nepiedāvā noguldījumu piesaisti un maksājumu pakalpojumus;</w:t>
            </w:r>
          </w:p>
          <w:p w14:paraId="1504F9D5" w14:textId="034597B1" w:rsidR="00666497" w:rsidRPr="00666497" w:rsidRDefault="00666497" w:rsidP="00666497">
            <w:pPr>
              <w:spacing w:after="240"/>
            </w:pPr>
            <w:r w:rsidRPr="00666497">
              <w:t>•nerada sistēmisku risku finanšu stabilitātei;</w:t>
            </w:r>
          </w:p>
          <w:p w14:paraId="101D2D02" w14:textId="1FD901E6" w:rsidR="00666497" w:rsidRPr="00666497" w:rsidRDefault="00666497" w:rsidP="00666497">
            <w:pPr>
              <w:spacing w:after="240"/>
            </w:pPr>
            <w:r w:rsidRPr="00666497">
              <w:t>•darbojas būtiski atšķirīgā risku profilā, mērogā un darbības modelī.</w:t>
            </w:r>
          </w:p>
          <w:p w14:paraId="4A544E1D" w14:textId="77777777" w:rsidR="00666497" w:rsidRPr="00666497" w:rsidRDefault="00666497" w:rsidP="00666497">
            <w:pPr>
              <w:spacing w:after="240"/>
            </w:pPr>
            <w:r w:rsidRPr="00666497">
              <w:t xml:space="preserve">Līdz ar to vienādu vai salīdzināmu NILLTPFN prasību mehāniska piemērošana, bez pierādījumos balstīta nepieciešamības izvērtējuma, neatbilst vienlīdzības un samērīguma principiem, īpaši ņemot vērā, ka </w:t>
            </w:r>
            <w:proofErr w:type="spellStart"/>
            <w:r w:rsidRPr="00666497">
              <w:t>līdzšinējāīgi</w:t>
            </w:r>
            <w:proofErr w:type="spellEnd"/>
            <w:r w:rsidRPr="00666497">
              <w:t xml:space="preserve"> PTAC īstenotās uzraudzības ietvaros sistēmiski trūkumi nav konstatēti.</w:t>
            </w:r>
          </w:p>
          <w:p w14:paraId="1F4584B4" w14:textId="77777777" w:rsidR="00666497" w:rsidRPr="00666497" w:rsidRDefault="00666497" w:rsidP="00666497">
            <w:pPr>
              <w:spacing w:after="240"/>
            </w:pPr>
            <w:r w:rsidRPr="00666497">
              <w:t>2. Par nevienlīdzīgu piekļuvi informācijai Novēršanas likuma prasību izpildei</w:t>
            </w:r>
          </w:p>
          <w:p w14:paraId="4900C2E2" w14:textId="77777777" w:rsidR="00666497" w:rsidRPr="00666497" w:rsidRDefault="00666497" w:rsidP="00666497">
            <w:pPr>
              <w:spacing w:after="240"/>
            </w:pPr>
            <w:r w:rsidRPr="00666497">
              <w:t>Saskaņā ar Novēršanas likuma 5.¹ panta otro daļu likuma subjektiem, izņemot NILLTPFN 41. panta otrajā daļā minētās kredītiestādes un apdrošināšanas komersantus, informācijas saņemšana no valsts reģistriem ir paredzēta par maksu. Savukārt kredītiestādēm un apdrošināšanas komersantiem šāda informācija ir pieejama bez maksas.</w:t>
            </w:r>
          </w:p>
          <w:p w14:paraId="3D413B9B" w14:textId="77777777" w:rsidR="00666497" w:rsidRPr="00666497" w:rsidRDefault="00666497" w:rsidP="00666497">
            <w:pPr>
              <w:spacing w:after="240"/>
            </w:pPr>
            <w:r w:rsidRPr="00666497">
              <w:t xml:space="preserve">Tādējādi patērētāju kreditēšanas pakalpojumu sniedzējiem ir noteikti pienākumi Novēršanas </w:t>
            </w:r>
            <w:r w:rsidRPr="00666497">
              <w:lastRenderedPageBreak/>
              <w:t>likuma prasību izpildē, kuru ietvaros nepieciešams iegūt informāciju par klientiem no publiskajiem reģistriem līdzīgi kā kredītiestādēm, vienlaikus Likumdevējam nenodrošinot līdzvērtīgas iespējas šo pienākumu efektīvai izpildei saņemt informāciju bez maksas. Šāda pieeja rada nevienlīdzību Novēršanas likuma subjektu starpā likuma prasību izpildei un ir pretrunā samērīguma principam.</w:t>
            </w:r>
          </w:p>
          <w:p w14:paraId="0A988B8B" w14:textId="77777777" w:rsidR="00666497" w:rsidRPr="00666497" w:rsidRDefault="00666497" w:rsidP="00666497">
            <w:pPr>
              <w:spacing w:after="240"/>
            </w:pPr>
            <w:r w:rsidRPr="00666497">
              <w:t>Ņemot vērā minēto, Sabiedrības ieskatā neatkarīgi no minētās reformas virzības, nepieciešams primāri nodrošināt Novēršanas likuma subjektiem vienlīdzīgu piekļuvi informācijai bez maksas.</w:t>
            </w:r>
          </w:p>
          <w:p w14:paraId="192E0BFF" w14:textId="77777777" w:rsidR="00666497" w:rsidRPr="00666497" w:rsidRDefault="00666497" w:rsidP="00666497">
            <w:pPr>
              <w:spacing w:after="240"/>
            </w:pPr>
            <w:r w:rsidRPr="00666497">
              <w:t>3. Par uzraudzības funkciju koncentrāciju</w:t>
            </w:r>
          </w:p>
          <w:p w14:paraId="168EE778" w14:textId="77777777" w:rsidR="00666497" w:rsidRPr="00666497" w:rsidRDefault="00666497" w:rsidP="00666497">
            <w:pPr>
              <w:spacing w:after="240"/>
            </w:pPr>
            <w:r w:rsidRPr="00666497">
              <w:t>Likumprojekts paredz Latvijas Bankai koncentrēt vairākas būtiskas funkcijas – licences izsniegšanu, NILLTPFN uzraudzību, sankciju piemērošanu un informācijas apmaiņu ar Eiropas Banku iestādi. Tomēr Likumprojekta anotācijā nav sniegts izvērtējums par šādas funkciju koncentrācijas nepieciešamību vai tās samērīgumu, ņemot vērā, ka līdzšinējā PTAC īstenotā uzraudzība nav identificēta kā neefektīva.</w:t>
            </w:r>
          </w:p>
          <w:p w14:paraId="0352920E" w14:textId="77777777" w:rsidR="00666497" w:rsidRPr="00666497" w:rsidRDefault="00666497" w:rsidP="00666497">
            <w:pPr>
              <w:spacing w:after="240"/>
            </w:pPr>
            <w:r w:rsidRPr="00666497">
              <w:t xml:space="preserve">Vienlaikus vēršama uzmanība, ka nepietiekami pamatota kompetenču </w:t>
            </w:r>
            <w:r w:rsidRPr="00666497">
              <w:lastRenderedPageBreak/>
              <w:t>koncentrācija rada risku Likumprojekta neatbilstībai Satversmes 1. pantam.</w:t>
            </w:r>
          </w:p>
          <w:p w14:paraId="11B9E40D" w14:textId="77777777" w:rsidR="00666497" w:rsidRPr="00666497" w:rsidRDefault="00666497" w:rsidP="00666497">
            <w:pPr>
              <w:spacing w:after="240"/>
            </w:pPr>
            <w:r w:rsidRPr="00666497">
              <w:t>4. Par normatīvās pēctecības neievērošanu</w:t>
            </w:r>
          </w:p>
          <w:p w14:paraId="236E8CB6" w14:textId="77777777" w:rsidR="00666497" w:rsidRPr="00666497" w:rsidRDefault="00666497" w:rsidP="00666497">
            <w:pPr>
              <w:spacing w:after="240"/>
            </w:pPr>
            <w:r w:rsidRPr="00666497">
              <w:t>Izstrādājot Ministru kabineta 2018. gada 13. novembra noteikumus Nr. 705, likumdevējs apzināti ieviesa diferencētu pieeju patērētāju kreditēšanas sektoram. Pašreizējais Likumprojekts no šīs konsekventās pieejas atkāpjas, nenorādot uz iepriekšējā regulējuma nepietiekamību vai uzraudzības trūkumiem, tādējādi radot riskus tiesiskajai paļāvībai.</w:t>
            </w:r>
          </w:p>
          <w:p w14:paraId="6318DF42" w14:textId="77777777" w:rsidR="00666497" w:rsidRPr="00666497" w:rsidRDefault="00666497" w:rsidP="00666497">
            <w:pPr>
              <w:spacing w:after="240"/>
            </w:pPr>
            <w:r w:rsidRPr="00666497">
              <w:t>5. Par pārejas regulējuma un sankciju informēšanas pienākuma nepilnībām</w:t>
            </w:r>
          </w:p>
          <w:p w14:paraId="4C39C935" w14:textId="77777777" w:rsidR="00666497" w:rsidRPr="00666497" w:rsidRDefault="00666497" w:rsidP="00666497">
            <w:pPr>
              <w:spacing w:after="240"/>
            </w:pPr>
            <w:r w:rsidRPr="00666497">
              <w:t>Plānotās izmaiņas Novēršanas likuma 78. pantā nenodrošina pilnīgu tiesisko skaidrību pārejas periodā, kas reformu padara vēl problemātiskāku, ņemot vērā tās nepietiekamo pamatojumu pēc būtības.</w:t>
            </w:r>
          </w:p>
          <w:p w14:paraId="5CE7849F" w14:textId="5FE8D51D" w:rsidR="00470F6D" w:rsidRDefault="00666497" w:rsidP="00666497">
            <w:r w:rsidRPr="00666497">
              <w:t>Ņemot vērā visu iepriekš minēto, secināms, ka patērētāju kreditēšanas pakalpojumu sniedzēju uzraudzības reforma nav pamatota ar pierādījumiem par tās nepieciešamību vai efektivitāti, jo līdzšinējā Patērētāju tiesību aizsardzības centra īstenotajā uzraudzībā nav konstatēti sistēmiski trūkumi. Līdz ar to minētā reforma, kā arī iecerētais likumprojekts kā tās neatņemama sastāvdaļa, nav atbalstāmi kopumā.</w:t>
            </w:r>
          </w:p>
        </w:tc>
        <w:tc>
          <w:tcPr>
            <w:tcW w:w="4820" w:type="dxa"/>
            <w:shd w:val="clear" w:color="auto" w:fill="FFFFFF"/>
            <w:noWrap/>
            <w:tcMar>
              <w:top w:w="75" w:type="dxa"/>
              <w:left w:w="75" w:type="dxa"/>
              <w:bottom w:w="75" w:type="dxa"/>
              <w:right w:w="75" w:type="dxa"/>
            </w:tcMar>
          </w:tcPr>
          <w:p w14:paraId="44BD87C8" w14:textId="77777777" w:rsidR="0051073C" w:rsidRDefault="0051073C" w:rsidP="0051073C">
            <w:pPr>
              <w:rPr>
                <w:b/>
                <w:bCs/>
              </w:rPr>
            </w:pPr>
            <w:r w:rsidRPr="00D771D4">
              <w:rPr>
                <w:b/>
                <w:bCs/>
              </w:rPr>
              <w:lastRenderedPageBreak/>
              <w:t>Nav ņemts vērā</w:t>
            </w:r>
          </w:p>
          <w:p w14:paraId="360ED734" w14:textId="77777777" w:rsidR="0051073C" w:rsidRDefault="0051073C" w:rsidP="0051073C">
            <w:pPr>
              <w:jc w:val="center"/>
              <w:rPr>
                <w:b/>
                <w:bCs/>
              </w:rPr>
            </w:pPr>
          </w:p>
          <w:p w14:paraId="7262ADAB" w14:textId="77777777" w:rsidR="0051073C" w:rsidRDefault="0051073C" w:rsidP="0051073C">
            <w:pPr>
              <w:rPr>
                <w:b/>
                <w:bCs/>
              </w:rPr>
            </w:pPr>
            <w:r w:rsidRPr="001A0482">
              <w:rPr>
                <w:b/>
                <w:bCs/>
              </w:rPr>
              <w:t xml:space="preserve">I </w:t>
            </w:r>
            <w:r>
              <w:rPr>
                <w:b/>
                <w:bCs/>
              </w:rPr>
              <w:t>P</w:t>
            </w:r>
            <w:r w:rsidRPr="001A0482">
              <w:rPr>
                <w:b/>
                <w:bCs/>
              </w:rPr>
              <w:t>ar reformas pamato</w:t>
            </w:r>
            <w:r>
              <w:rPr>
                <w:b/>
                <w:bCs/>
              </w:rPr>
              <w:t>tību</w:t>
            </w:r>
          </w:p>
          <w:p w14:paraId="4EAD79C6" w14:textId="77777777" w:rsidR="0051073C" w:rsidRPr="00F15CC9" w:rsidRDefault="0051073C" w:rsidP="0051073C">
            <w:pPr>
              <w:rPr>
                <w:b/>
                <w:bCs/>
              </w:rPr>
            </w:pPr>
          </w:p>
          <w:p w14:paraId="7025761F" w14:textId="77777777" w:rsidR="0051073C" w:rsidRDefault="0051073C" w:rsidP="0051073C">
            <w:r>
              <w:t>Skaidrojam, ka a</w:t>
            </w:r>
            <w:r w:rsidRPr="00E4498E">
              <w:t>r likumprojekt</w:t>
            </w:r>
            <w:r>
              <w:t>u pakotnē</w:t>
            </w:r>
            <w:r w:rsidRPr="00E4498E">
              <w:t xml:space="preserve"> ietvertajiem</w:t>
            </w:r>
            <w:r>
              <w:t xml:space="preserve"> 13 likumu</w:t>
            </w:r>
            <w:r w:rsidRPr="00E4498E">
              <w:t xml:space="preserve"> grozījumiem</w:t>
            </w:r>
            <w:r>
              <w:t>, tajā skaitā likumprojektu,</w:t>
            </w:r>
            <w:r w:rsidRPr="00E4498E">
              <w:t xml:space="preserve">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14:paraId="68317141" w14:textId="77777777" w:rsidR="0051073C" w:rsidRDefault="0051073C" w:rsidP="0051073C"/>
          <w:p w14:paraId="4BD2BD54" w14:textId="77777777" w:rsidR="0051073C" w:rsidRDefault="0051073C" w:rsidP="0051073C">
            <w:r>
              <w:t xml:space="preserve">Diskurss par patērētāju kreditēšanas uzraudzības sistēmas reformu jau pirms likumprojektu </w:t>
            </w:r>
            <w:r>
              <w:lastRenderedPageBreak/>
              <w:t xml:space="preserve">pakotnes izstrādes ir bijis ilgs un pietiekami izdiskutēts gan valsts institūciju, gan nozares nevalstiskā sektora ietvarā. </w:t>
            </w:r>
          </w:p>
          <w:p w14:paraId="6EB61CE0" w14:textId="77777777" w:rsidR="0051073C" w:rsidRPr="00D61B3D" w:rsidRDefault="0051073C" w:rsidP="0051073C">
            <w:r>
              <w:t xml:space="preserve">Diskusijas par </w:t>
            </w:r>
            <w:r w:rsidRPr="00F31FD1">
              <w:t>patērētāju kreditēšanas uzraudzības un licencēšanas, kā arī patērētāju tiesību un interešu aizsardzīb</w:t>
            </w:r>
            <w:r>
              <w:t>as</w:t>
            </w:r>
            <w:r w:rsidRPr="00F31FD1">
              <w:t xml:space="preserve"> finanšu sektorā nodošanu vienai institūcijai</w:t>
            </w:r>
            <w:r>
              <w:t xml:space="preserve"> </w:t>
            </w:r>
            <w:r w:rsidRPr="00F31FD1">
              <w:t>tika uzsākta</w:t>
            </w:r>
            <w:r>
              <w:t>s</w:t>
            </w:r>
            <w:r w:rsidRPr="00F31FD1">
              <w:t xml:space="preserve"> jau 2025. gada</w:t>
            </w:r>
            <w:r>
              <w:t xml:space="preserve"> </w:t>
            </w:r>
            <w:r w:rsidRPr="00F31FD1">
              <w:t xml:space="preserve">sākumā Ekonomikas ministrijas sagatavotā </w:t>
            </w:r>
            <w:r>
              <w:t>r</w:t>
            </w:r>
            <w:r w:rsidRPr="00F31FD1">
              <w:t xml:space="preserve">īcības plāna projekta ietvaros. Ar Ministru kabineta </w:t>
            </w:r>
            <w:r>
              <w:t xml:space="preserve">15.07.2025. </w:t>
            </w:r>
            <w:r w:rsidRPr="00F31FD1">
              <w:t xml:space="preserve"> rīkojumu Nr.422 “Rīcības plāns investīciju piesaistei un finanšu pieejamībai tautsaimniecībā” (prot. Nr. 28 50. §) tika apstiprināts Rīcības plāns, kura 14. virzienā Ekonomikas ministrija identificēj</w:t>
            </w:r>
            <w:r>
              <w:t>a</w:t>
            </w:r>
            <w:r w:rsidRPr="00F31FD1">
              <w:t xml:space="preserve"> kreditēšanas pakalpojumu sniedzēju sadrumstalotas uzraudzības problemātiku un attiecīgi uzdev</w:t>
            </w:r>
            <w:r>
              <w:t>a</w:t>
            </w:r>
            <w:r w:rsidRPr="00F31FD1">
              <w:t xml:space="preserve"> Finanšu ministrijai izstrādāt informatīvā ziņojum</w:t>
            </w:r>
            <w:r>
              <w:t xml:space="preserve">u ar </w:t>
            </w:r>
            <w:r w:rsidRPr="00D61B3D">
              <w:t xml:space="preserve">izvērtējumu par vienotas kreditētāju uzraudzības un kontroles institūcijas noteikšanu, tādējādi samazinot birokrātisko slogu un nodrošinot caurskatāmu vienotu pieeju kreditētāju uzraudzībā un kontrolē. Vienlaikus </w:t>
            </w:r>
            <w:r>
              <w:t>tika noteikta</w:t>
            </w:r>
            <w:r w:rsidRPr="00D61B3D">
              <w:t xml:space="preserve"> nepieciešamību izvērtēt arī Lietuvas pieredzi, kur visu kreditētāju, kuru uzraudzību neveic Eiropas Centrālā banka, uzraudzība ir nodota Lietuvas Bankai.</w:t>
            </w:r>
          </w:p>
          <w:p w14:paraId="5B7EA3A7" w14:textId="77777777" w:rsidR="0051073C" w:rsidRDefault="0051073C" w:rsidP="0051073C">
            <w:r w:rsidRPr="0056712A">
              <w:t>Finanšu ministrija</w:t>
            </w:r>
            <w:r>
              <w:t xml:space="preserve"> izstrādāja</w:t>
            </w:r>
            <w:r w:rsidRPr="0056712A">
              <w:t xml:space="preserve"> informatīv</w:t>
            </w:r>
            <w:r>
              <w:t>o</w:t>
            </w:r>
            <w:r w:rsidRPr="0056712A">
              <w:t xml:space="preserve"> ziņojum</w:t>
            </w:r>
            <w:r>
              <w:t xml:space="preserve">u </w:t>
            </w:r>
            <w:r w:rsidRPr="0056712A">
              <w:t>“Par vienotas patērētāju kreditētāju licencēšanas un uzraudzības institūcijas noteikšanu”</w:t>
            </w:r>
            <w:r>
              <w:t xml:space="preserve"> </w:t>
            </w:r>
            <w:r w:rsidRPr="00D53237">
              <w:t xml:space="preserve">(25-TA-3014) </w:t>
            </w:r>
            <w:r>
              <w:t xml:space="preserve">(turpmāk – Informatīvais ziņojums), kura izstrādes laikā, kā arī oficiālajā sabiedriskās apspriešanas procesā </w:t>
            </w:r>
            <w:r>
              <w:lastRenderedPageBreak/>
              <w:t xml:space="preserve">tika uzklausītas praktiski visas nozares  asociācijas, kā arī individuāli patērētāju kreditētāji, un tā apspriešanai tika organizēta sanāksme. </w:t>
            </w:r>
            <w:r w:rsidRPr="00D53237">
              <w:t>TAP pieejami atzinumi un izziņa par sniegtajiem iebildumiem un priekšlikumiem  pie minētā informatīvā ziņojuma.</w:t>
            </w:r>
          </w:p>
          <w:p w14:paraId="24591543" w14:textId="77777777" w:rsidR="0051073C" w:rsidRDefault="0051073C" w:rsidP="0051073C">
            <w:r>
              <w:t>Informatīvā ziņojuma projekts tika arī izskatīts un atbalstīts Finanšu sektora attīstības padomes (</w:t>
            </w:r>
            <w:r w:rsidRPr="00430A8D">
              <w:t xml:space="preserve">turpmāk – </w:t>
            </w:r>
            <w:r>
              <w:t>FSAP) 09.12.2025. sēdē, tajā skaitā, piedaloties finanšu nozares asociācijām.</w:t>
            </w:r>
          </w:p>
          <w:p w14:paraId="08916BC8" w14:textId="77777777" w:rsidR="0051073C" w:rsidRDefault="0051073C" w:rsidP="0051073C"/>
          <w:p w14:paraId="4DE09339" w14:textId="77777777" w:rsidR="0051073C" w:rsidRDefault="0051073C" w:rsidP="0051073C">
            <w:r>
              <w:t>Ar I</w:t>
            </w:r>
            <w:r w:rsidRPr="00E3061F">
              <w:t>nformatīv</w:t>
            </w:r>
            <w:r>
              <w:t>o</w:t>
            </w:r>
            <w:r w:rsidRPr="00E3061F">
              <w:t xml:space="preserve"> ziņojum</w:t>
            </w:r>
            <w:r>
              <w:t>u</w:t>
            </w:r>
            <w:r w:rsidRPr="00E3061F">
              <w:t xml:space="preserve"> </w:t>
            </w:r>
            <w:r>
              <w:t xml:space="preserve">tika </w:t>
            </w:r>
            <w:r w:rsidRPr="00E3061F">
              <w:t>izvērtēta Latvijā esošā patērētāju tiesību aizsardzības sistēma, kompetenču sadalījums starp finanšu sektoru uzraugošajām iestādēm un piedāvāti risinājumi turpmākai patērētāju kreditēšanas nozares uzraudzības sistēmas attīstībai, kā arī izvērtēti citu valstu uzraudzības modeļi, tostarp Lietuv</w:t>
            </w:r>
            <w:r>
              <w:t>as modelis.</w:t>
            </w:r>
          </w:p>
          <w:p w14:paraId="3B7CDB0F" w14:textId="77777777" w:rsidR="0051073C" w:rsidRDefault="0051073C" w:rsidP="0051073C">
            <w:r>
              <w:t xml:space="preserve">Tāpat minams, ka FSAP </w:t>
            </w:r>
            <w:r w:rsidRPr="00354F2F">
              <w:t>09.12.2025</w:t>
            </w:r>
            <w:r>
              <w:t xml:space="preserve">. sēdē arī tika iekļauts un izskatīts jautājums par vienotas nebanku kreditētāju uzraudzības un kontroles institūcijas noteikšanu. Šajā FSAP sēdē lēmuma pieņemšanai tika piedāvāti divi iespējamie risinājuma varianti: 1.variants – ar normatīvā regulējuma palīdzību skaidrāk noteikt praktiskās uzraudzības jomas robežas starp Patērētāju tiesību centru (turpmāk – PTAC) un Valsts ieņēmumu dienestu uzraudzībā esošajiem subjektiem; 2.variants – patērētāju kreditēšanas pakalpojumu sniedzēju licencēšanas un uzraudzības funkcijas, patērētāju – finanšu </w:t>
            </w:r>
            <w:r>
              <w:lastRenderedPageBreak/>
              <w:t>pakalpojumu saņēmēju – tiesību un interešu aizsardzības funkcijas un negodīgas komercprakses uzraudzības finanšu pakalpojumu jomā funkcijas nodošanu no PTAC Latvijas Bankai. FSAP sēdē tika nolemts virzīt tālāk piedāvāto 2. variantu.</w:t>
            </w:r>
          </w:p>
          <w:p w14:paraId="3FEC90C3" w14:textId="77777777" w:rsidR="0051073C" w:rsidRDefault="0051073C" w:rsidP="0051073C"/>
          <w:p w14:paraId="717A5929" w14:textId="77777777" w:rsidR="0051073C" w:rsidRPr="009B33BB" w:rsidRDefault="0051073C" w:rsidP="0051073C">
            <w:r>
              <w:t>Vienlaikus atzīmējams, l</w:t>
            </w:r>
            <w:r w:rsidRPr="009B33BB">
              <w:t xml:space="preserve">ai nodrošinātu to, ka </w:t>
            </w:r>
            <w:r>
              <w:t xml:space="preserve">patērētāju </w:t>
            </w:r>
            <w:r w:rsidRPr="009B33BB">
              <w:t xml:space="preserve">kreditēšanas pakalpojumu sniedzējiem ir saprotams </w:t>
            </w:r>
            <w:r>
              <w:t>plānotais</w:t>
            </w:r>
            <w:r w:rsidRPr="009B33BB">
              <w:t xml:space="preserve"> Latvijas Bankas uzraudzības ietvars, </w:t>
            </w:r>
            <w:r>
              <w:t>Latvijas Banka</w:t>
            </w:r>
            <w:r w:rsidRPr="009B33BB">
              <w:t xml:space="preserve"> sadarbībā ar biedrības "Asociācija Fintech Latvija" biedriem uzsāk</w:t>
            </w:r>
            <w:r>
              <w:t>a</w:t>
            </w:r>
            <w:r w:rsidRPr="009B33BB">
              <w:t xml:space="preserve"> vairāku tematisko virzienu sarunu ciklu, kura ietvaros </w:t>
            </w:r>
            <w:r>
              <w:t>tika izskatīti</w:t>
            </w:r>
            <w:r w:rsidRPr="009B33BB">
              <w:t xml:space="preserve"> galvenie uzraudzības aspekti un izrunāti neskaidrie jautājumi, izveidojot piecas tematiskās sarunu grupas:</w:t>
            </w:r>
          </w:p>
          <w:p w14:paraId="7DBB6F4E" w14:textId="77777777" w:rsidR="0051073C" w:rsidRPr="009B33BB" w:rsidRDefault="0051073C" w:rsidP="0051073C">
            <w:pPr>
              <w:ind w:firstLine="720"/>
            </w:pPr>
            <w:r w:rsidRPr="009B33BB">
              <w:t xml:space="preserve">1) </w:t>
            </w:r>
            <w:r>
              <w:rPr>
                <w:rFonts w:eastAsia="Calibri"/>
              </w:rPr>
              <w:t>n</w:t>
            </w:r>
            <w:r w:rsidRPr="004B0E78">
              <w:rPr>
                <w:rFonts w:eastAsia="Calibri"/>
              </w:rPr>
              <w:t>oziedzīgi iegūtu līdzekļu legalizācijas un terorisma un proliferācijas finansēšanas novēršan</w:t>
            </w:r>
            <w:r>
              <w:rPr>
                <w:rFonts w:eastAsia="Calibri"/>
              </w:rPr>
              <w:t xml:space="preserve">as (turpmāk – </w:t>
            </w:r>
            <w:r w:rsidRPr="009B33BB">
              <w:t>NILLTPFN</w:t>
            </w:r>
            <w:r>
              <w:t>)</w:t>
            </w:r>
            <w:r w:rsidRPr="009B33BB" w:rsidDel="0008057C">
              <w:t xml:space="preserve"> </w:t>
            </w:r>
            <w:r w:rsidRPr="009B33BB">
              <w:t>jautājumi;</w:t>
            </w:r>
          </w:p>
          <w:p w14:paraId="1AA9F574" w14:textId="77777777" w:rsidR="0051073C" w:rsidRPr="009B33BB" w:rsidRDefault="0051073C" w:rsidP="0051073C">
            <w:pPr>
              <w:ind w:firstLine="720"/>
            </w:pPr>
            <w:r w:rsidRPr="009B33BB">
              <w:t>2) kredītrisku/kredītspējas vērtēšana;</w:t>
            </w:r>
          </w:p>
          <w:p w14:paraId="053A2F32" w14:textId="77777777" w:rsidR="0051073C" w:rsidRPr="009B33BB" w:rsidRDefault="0051073C" w:rsidP="0051073C">
            <w:pPr>
              <w:ind w:firstLine="720"/>
            </w:pPr>
            <w:r w:rsidRPr="009B33BB">
              <w:t xml:space="preserve">3) </w:t>
            </w:r>
            <w:proofErr w:type="spellStart"/>
            <w:r w:rsidRPr="009B33BB">
              <w:t>pirmslīguma</w:t>
            </w:r>
            <w:proofErr w:type="spellEnd"/>
            <w:r w:rsidRPr="009B33BB">
              <w:t xml:space="preserve"> informācija un līguma saturs;</w:t>
            </w:r>
          </w:p>
          <w:p w14:paraId="243152A7" w14:textId="77777777" w:rsidR="0051073C" w:rsidRDefault="0051073C" w:rsidP="0051073C">
            <w:pPr>
              <w:ind w:firstLine="720"/>
            </w:pPr>
            <w:r w:rsidRPr="009B33BB">
              <w:t xml:space="preserve">4) reklāmas ierobežojumi, aizdevumu administrēšana un kvalitātes pārraudzība; </w:t>
            </w:r>
            <w:r w:rsidRPr="009B33BB">
              <w:tab/>
            </w:r>
          </w:p>
          <w:p w14:paraId="133CA112" w14:textId="77777777" w:rsidR="0051073C" w:rsidRDefault="0051073C" w:rsidP="0051073C">
            <w:pPr>
              <w:ind w:firstLine="720"/>
            </w:pPr>
            <w:r w:rsidRPr="009B33BB">
              <w:t xml:space="preserve">5) pārvaldības jautājumi. </w:t>
            </w:r>
          </w:p>
          <w:p w14:paraId="17FBDF32" w14:textId="77777777" w:rsidR="0051073C" w:rsidRDefault="0051073C" w:rsidP="0051073C">
            <w:r w:rsidRPr="00234FF2">
              <w:t xml:space="preserve">Darba grupu ietvaros, izskatot Latvijas Bankas uzraudzības pieeju katrā attiecīgajā tematiskajā jautājumā, notika diskusijas un ir panāktas vienošanās un kopējas izpratnes par pārvaldības sistēmu, </w:t>
            </w:r>
            <w:r w:rsidRPr="18B3CC22">
              <w:rPr>
                <w:rFonts w:eastAsia="Calibri"/>
              </w:rPr>
              <w:t>NILLTPFN</w:t>
            </w:r>
            <w:r w:rsidRPr="00234FF2">
              <w:t xml:space="preserve"> jautājumiem, kredītrisku un kredītspējas novērtēšanas atsevišķiem aspektiem, vienlaikus tiks turpinātas diskusijas </w:t>
            </w:r>
            <w:r w:rsidRPr="00234FF2">
              <w:lastRenderedPageBreak/>
              <w:t xml:space="preserve">par kredītspējas vērtēšanas pieejas pilnveides iespējām un salīdzinājumu ar Lietuvā izmantot modeli, atsevišķiem tehniskiem </w:t>
            </w:r>
            <w:r w:rsidRPr="18B3CC22">
              <w:rPr>
                <w:rFonts w:eastAsia="Calibri"/>
              </w:rPr>
              <w:t>NILLTPFN</w:t>
            </w:r>
            <w:r w:rsidRPr="00234FF2">
              <w:t xml:space="preserve"> </w:t>
            </w:r>
            <w:r>
              <w:t xml:space="preserve">jomas </w:t>
            </w:r>
            <w:r w:rsidRPr="00234FF2">
              <w:t xml:space="preserve">uzraudzības aspektiem, </w:t>
            </w:r>
            <w:r>
              <w:t>K</w:t>
            </w:r>
            <w:r w:rsidRPr="00234FF2">
              <w:t>redīt</w:t>
            </w:r>
            <w:r>
              <w:t xml:space="preserve">u </w:t>
            </w:r>
            <w:r w:rsidRPr="00234FF2">
              <w:t xml:space="preserve">reģistram  </w:t>
            </w:r>
            <w:r w:rsidRPr="396E4632">
              <w:t>sniedzamās</w:t>
            </w:r>
            <w:r w:rsidRPr="1EFEED41">
              <w:t xml:space="preserve"> </w:t>
            </w:r>
            <w:r w:rsidRPr="00234FF2">
              <w:t>informācij</w:t>
            </w:r>
            <w:r w:rsidRPr="3D1CF749">
              <w:t xml:space="preserve">as </w:t>
            </w:r>
            <w:r w:rsidRPr="614832AF">
              <w:t>apjomu</w:t>
            </w:r>
            <w:r w:rsidRPr="00234FF2">
              <w:t>, iesniedzamo uzraudzības pārskatu</w:t>
            </w:r>
            <w:r>
              <w:t xml:space="preserve"> u.c. jautājumiem.</w:t>
            </w:r>
            <w:r w:rsidRPr="00234FF2">
              <w:t xml:space="preserve"> </w:t>
            </w:r>
            <w:r w:rsidRPr="009D0164">
              <w:t>Latvijas Banka ir izveidojusi informācijas apmaiņas kanālu regulārai saziņai ar nozari, kurā tai skaitā tiek nodrošināta atbilžu publicēšana uz nozares neskaidriem jautājumiem.</w:t>
            </w:r>
            <w:r>
              <w:t xml:space="preserve"> Latvijas Banka turpina saziņa ar patērētāju kreditētājiem. </w:t>
            </w:r>
          </w:p>
          <w:p w14:paraId="34AE48B9" w14:textId="77777777" w:rsidR="0051073C" w:rsidRDefault="0051073C" w:rsidP="0051073C"/>
          <w:p w14:paraId="1D28A698" w14:textId="77777777" w:rsidR="0051073C" w:rsidRDefault="0051073C" w:rsidP="0051073C">
            <w: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 Nosakot vienu patērētāju kreditēšanas uzraudzības institūciju valsts neiejaucas personas – patērētāja, kas ir fiziska persona, tiesībās, bet kā jau iepriekš minēts, izvēlas institūciju, kas nodrošinās atbilstošās funkcijas. Tādējādi patērētājiem pienākošais tiesību kopums, kas izriet no patērētāju tiesību tvēruma nekādā veidā netiek ierobežots vai mazināts. Arī patērētāju </w:t>
            </w:r>
            <w:r>
              <w:lastRenderedPageBreak/>
              <w:t>kreditētāju tiesības un pienākumi ar šo iecerēto funkciju un no tām izrietošo uzdevumu pāreju netiek ierobežoti, kā arī nerada jaunu administratīvo, finanšu vai konkurences slogu.</w:t>
            </w:r>
          </w:p>
          <w:p w14:paraId="3B8BD056" w14:textId="77777777" w:rsidR="0051073C" w:rsidRDefault="0051073C" w:rsidP="0051073C"/>
          <w:p w14:paraId="7DC45924" w14:textId="77777777" w:rsidR="0051073C" w:rsidRDefault="0051073C" w:rsidP="0051073C">
            <w:r w:rsidRPr="00BE63DC">
              <w:t>Tiesiskās paļāvības princips nozīmē, ka persona var paļauties uz to, ka tiesības un likumiskās intereses, kuras tā ir ieguvusi, tai vēlāk netiks atņemtas. Šā principa pamatā ir personas paļaušanās uz valsts tiesisku un konsekventu rīcību (</w:t>
            </w:r>
            <w:r w:rsidRPr="00BE63DC">
              <w:rPr>
                <w:i/>
              </w:rPr>
              <w:t>Satversmes tiesas 2012.gada 25.janvāra sprieduma lietā Nr. 2011-08-01 10.punkts</w:t>
            </w:r>
            <w:r w:rsidRPr="00BE63DC">
              <w:t>). Tā galvenais uzdevums ir aizsargāt personas tiesības gadījumos, kad normatīvā regulējuma grozījumu rezultātā notiek vai ir iespējama privātpersonu tiesiskā stāvokļa pasliktināšanās (</w:t>
            </w:r>
            <w:r w:rsidRPr="00BE63DC">
              <w:rPr>
                <w:i/>
              </w:rPr>
              <w:t>Satversmes tiesas 2006.gada 8.novembra sprieduma lietā Nr. 2006-04-01 21.punkts</w:t>
            </w:r>
            <w:r w:rsidRPr="00BE63DC">
              <w:t>). Taču tiesiskās paļāvības princips neizslēdz valsts iespēju grozīt pastāvošo tiesisko regulējumu (</w:t>
            </w:r>
            <w:r w:rsidRPr="00BE63DC">
              <w:rPr>
                <w:i/>
              </w:rPr>
              <w:t>Satversmes tiesas 2010.gada 1.decembra sprieduma lietā Nr. 2010-21-01 19.punkts</w:t>
            </w:r>
            <w:r w:rsidRPr="00BE63DC">
              <w:t>). Tiesiskās paļāvības princips tostarp noteic arī to, ka personas reiz iegūtās tiesības nevar pastāvēt neierobežoti ilgi, proti, šis princips nedod pamatu ticēt, ka reiz noteiktā tiesiskā situācija nekad nemainīsies (</w:t>
            </w:r>
            <w:r w:rsidRPr="00BE63DC">
              <w:rPr>
                <w:i/>
              </w:rPr>
              <w:t>Satversmes tiesas 2004.gada 25.oktobra sprieduma lietā Nr. 2004-03-01 9.3.punkts</w:t>
            </w:r>
            <w:r w:rsidRPr="00BE63DC">
              <w:t>).</w:t>
            </w:r>
          </w:p>
          <w:p w14:paraId="709CBB7A" w14:textId="77777777" w:rsidR="0051073C" w:rsidRDefault="0051073C" w:rsidP="0051073C">
            <w:r>
              <w:t xml:space="preserve">Apvienojot regulējošā ietvara izstrādi, uzraudzību un patērētāju tiesību aizsardzību vienā institūcijā, tiek panākta lielāka saskaņotība un koordinācija. Tas ir īpaši būtiski situācijās, </w:t>
            </w:r>
            <w:r>
              <w:lastRenderedPageBreak/>
              <w:t>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14:paraId="47D12BD5" w14:textId="77777777" w:rsidR="0051073C" w:rsidRDefault="0051073C" w:rsidP="0051073C">
            <w:r>
              <w:t xml:space="preserve">Uzņēmējdarbības brīvība pēc būtības ietver personas tiesības brīvi uzsākt un veikt jebkāda veida saimniecisko darbību, izvēlēties nodarbošanos, veikt ieguldījumus un organizēt uzņēmumu, ja vien tas nav aizliegts ar likumu un atbilst sabiedrības interesēm. Funkciju pāreja no vienas institūcijas uz otru nerada Satversmes 105. pantā ietverto tiesību uz uzņēmējdarbības brīvību aizskārumu. </w:t>
            </w:r>
          </w:p>
          <w:p w14:paraId="3E8B759A" w14:textId="77777777" w:rsidR="0051073C" w:rsidRDefault="0051073C" w:rsidP="0051073C"/>
          <w:p w14:paraId="072B6C04" w14:textId="77777777" w:rsidR="0051073C" w:rsidRDefault="0051073C" w:rsidP="0051073C">
            <w:r>
              <w:t xml:space="preserve">Attiecībā uz labas likumdošanas principu norādāms, ka Satversmes tiesa ir atzinusi to, ka tas, ka </w:t>
            </w:r>
            <w:r w:rsidRPr="00CF1F0A">
              <w:t>likumdevējs nav ņēmis vērā visus paustos iebildumus un sniegtos priekšlikumus, nevar būt par pamatu tam, lai atzītu, ka labas likumdošanas princips nav ievērots (</w:t>
            </w:r>
            <w:r w:rsidRPr="00CF1F0A">
              <w:rPr>
                <w:i/>
                <w:iCs/>
              </w:rPr>
              <w:t>sk., piemēram, Satversmes tiesas 2015. gada 25. marta sprieduma lietā Nr. 2014-11-0103 18.1. punktu</w:t>
            </w:r>
            <w:r>
              <w:rPr>
                <w:i/>
                <w:iCs/>
              </w:rPr>
              <w:t>;</w:t>
            </w:r>
            <w:r w:rsidRPr="00391BD4">
              <w:rPr>
                <w:i/>
                <w:iCs/>
              </w:rPr>
              <w:t xml:space="preserve"> </w:t>
            </w:r>
            <w:r>
              <w:rPr>
                <w:i/>
                <w:iCs/>
              </w:rPr>
              <w:t xml:space="preserve">sk. arī </w:t>
            </w:r>
            <w:r w:rsidRPr="00391BD4">
              <w:rPr>
                <w:i/>
                <w:iCs/>
              </w:rPr>
              <w:t>Satversmes tiesas 20</w:t>
            </w:r>
            <w:r>
              <w:rPr>
                <w:i/>
                <w:iCs/>
              </w:rPr>
              <w:t>20</w:t>
            </w:r>
            <w:r w:rsidRPr="00391BD4">
              <w:rPr>
                <w:i/>
                <w:iCs/>
              </w:rPr>
              <w:t xml:space="preserve">. gada </w:t>
            </w:r>
            <w:r>
              <w:rPr>
                <w:i/>
                <w:iCs/>
              </w:rPr>
              <w:t>12. februāra</w:t>
            </w:r>
            <w:r w:rsidRPr="00391BD4">
              <w:rPr>
                <w:i/>
                <w:iCs/>
              </w:rPr>
              <w:t xml:space="preserve"> sprieduma lietā Nr. 20</w:t>
            </w:r>
            <w:r>
              <w:rPr>
                <w:i/>
                <w:iCs/>
              </w:rPr>
              <w:t>19</w:t>
            </w:r>
            <w:r w:rsidRPr="00391BD4">
              <w:rPr>
                <w:i/>
                <w:iCs/>
              </w:rPr>
              <w:t>-</w:t>
            </w:r>
            <w:r>
              <w:rPr>
                <w:i/>
                <w:iCs/>
              </w:rPr>
              <w:t>05</w:t>
            </w:r>
            <w:r w:rsidRPr="00391BD4">
              <w:rPr>
                <w:i/>
                <w:iCs/>
              </w:rPr>
              <w:t>-01 1</w:t>
            </w:r>
            <w:r>
              <w:rPr>
                <w:i/>
                <w:iCs/>
              </w:rPr>
              <w:t>9</w:t>
            </w:r>
            <w:r w:rsidRPr="00391BD4">
              <w:rPr>
                <w:i/>
                <w:iCs/>
              </w:rPr>
              <w:t>.1</w:t>
            </w:r>
            <w:r>
              <w:rPr>
                <w:i/>
                <w:iCs/>
              </w:rPr>
              <w:t>.1</w:t>
            </w:r>
            <w:r w:rsidRPr="00391BD4">
              <w:rPr>
                <w:i/>
                <w:iCs/>
              </w:rPr>
              <w:t>. punktu</w:t>
            </w:r>
            <w:r w:rsidRPr="00CF1F0A">
              <w:t xml:space="preserve">). </w:t>
            </w:r>
            <w:r>
              <w:t xml:space="preserve">Tāpat </w:t>
            </w:r>
            <w:r w:rsidRPr="00CF1F0A">
              <w:t xml:space="preserve">Satversmes tiesa </w:t>
            </w:r>
            <w:r>
              <w:t xml:space="preserve">ir </w:t>
            </w:r>
            <w:r w:rsidRPr="00CF1F0A">
              <w:t>uzsv</w:t>
            </w:r>
            <w:r>
              <w:t>ērusi</w:t>
            </w:r>
            <w:r w:rsidRPr="00CF1F0A">
              <w:t xml:space="preserve">, ka labas likumdošanas princips negarantē konkrētu vienai personai vai personu grupai vēlamu rezultātu, tomēr tā ievērošana ikvienam dod pārliecību par to, ka attiecīgais jautājums ir demokrātiski </w:t>
            </w:r>
            <w:r w:rsidRPr="00CF1F0A">
              <w:lastRenderedPageBreak/>
              <w:t xml:space="preserve">apspriests, proti, dažādi viedokļi ir pausti un analizēti, un ka dažādu tiesību un likumīgo interešu sadursmes gadījumā labākais iespējamais līdzsvars ir meklēts, </w:t>
            </w:r>
            <w:r w:rsidRPr="009115A7">
              <w:rPr>
                <w:color w:val="auto"/>
              </w:rPr>
              <w:t>ievērojot </w:t>
            </w:r>
            <w:hyperlink r:id="rId7" w:tgtFrame="_blank" w:history="1">
              <w:r w:rsidRPr="009115A7">
                <w:rPr>
                  <w:rStyle w:val="Hyperlink"/>
                  <w:color w:val="auto"/>
                  <w:u w:val="none"/>
                </w:rPr>
                <w:t>Satversmē</w:t>
              </w:r>
            </w:hyperlink>
            <w:r w:rsidRPr="00CF1F0A">
              <w:t> ietvertās vērtības un vispārējos tiesību principus (</w:t>
            </w:r>
            <w:r w:rsidRPr="00CF1F0A">
              <w:rPr>
                <w:i/>
                <w:iCs/>
              </w:rPr>
              <w:t>sal. sk. Satversmes tiesas 2019. gada 23. aprīļa sprieduma lietā Nr. 2018-12-01 24.1. punktu</w:t>
            </w:r>
            <w:r>
              <w:rPr>
                <w:i/>
                <w:iCs/>
              </w:rPr>
              <w:t xml:space="preserve">; sk. arī </w:t>
            </w:r>
            <w:r w:rsidRPr="00391BD4">
              <w:rPr>
                <w:i/>
                <w:iCs/>
              </w:rPr>
              <w:t>Satversmes tiesas 20</w:t>
            </w:r>
            <w:r>
              <w:rPr>
                <w:i/>
                <w:iCs/>
              </w:rPr>
              <w:t>20</w:t>
            </w:r>
            <w:r w:rsidRPr="00391BD4">
              <w:rPr>
                <w:i/>
                <w:iCs/>
              </w:rPr>
              <w:t xml:space="preserve">. gada </w:t>
            </w:r>
            <w:r>
              <w:rPr>
                <w:i/>
                <w:iCs/>
              </w:rPr>
              <w:t>12. februāra</w:t>
            </w:r>
            <w:r w:rsidRPr="00391BD4">
              <w:rPr>
                <w:i/>
                <w:iCs/>
              </w:rPr>
              <w:t xml:space="preserve"> sprieduma lietā Nr. 20</w:t>
            </w:r>
            <w:r>
              <w:rPr>
                <w:i/>
                <w:iCs/>
              </w:rPr>
              <w:t>19</w:t>
            </w:r>
            <w:r w:rsidRPr="00391BD4">
              <w:rPr>
                <w:i/>
                <w:iCs/>
              </w:rPr>
              <w:t>-</w:t>
            </w:r>
            <w:r>
              <w:rPr>
                <w:i/>
                <w:iCs/>
              </w:rPr>
              <w:t>05</w:t>
            </w:r>
            <w:r w:rsidRPr="00391BD4">
              <w:rPr>
                <w:i/>
                <w:iCs/>
              </w:rPr>
              <w:t>-01 1</w:t>
            </w:r>
            <w:r>
              <w:rPr>
                <w:i/>
                <w:iCs/>
              </w:rPr>
              <w:t>9</w:t>
            </w:r>
            <w:r w:rsidRPr="00391BD4">
              <w:rPr>
                <w:i/>
                <w:iCs/>
              </w:rPr>
              <w:t>.1</w:t>
            </w:r>
            <w:r>
              <w:rPr>
                <w:i/>
                <w:iCs/>
              </w:rPr>
              <w:t>.1</w:t>
            </w:r>
            <w:r w:rsidRPr="00391BD4">
              <w:rPr>
                <w:i/>
                <w:iCs/>
              </w:rPr>
              <w:t>. punktu</w:t>
            </w:r>
            <w:r w:rsidRPr="00CF1F0A">
              <w:t>).</w:t>
            </w:r>
            <w:r>
              <w:t xml:space="preserve"> </w:t>
            </w:r>
          </w:p>
          <w:p w14:paraId="27DB8B7A" w14:textId="77777777" w:rsidR="0051073C" w:rsidRDefault="0051073C" w:rsidP="0051073C">
            <w:r>
              <w:t xml:space="preserve">Ņemot vērā līdzšinējo finanšu sektora asociāciju aktīvo iesaisti gan  Informatīvā ziņojuma izstrādē, gan arī sniedzot atzinumus par likumprojektu </w:t>
            </w:r>
            <w:proofErr w:type="spellStart"/>
            <w:r>
              <w:t>pakotni</w:t>
            </w:r>
            <w:proofErr w:type="spellEnd"/>
            <w:r>
              <w:t xml:space="preserve"> TAP portālā,  kā arī, izvērtējot regulējuma iespējamo ietekmi uz personu ekonomiskajām interesēm, Finanšu ministrija, izvēloties sabiedriskās līdzdalības veidus, ir nodrošinājusi jēgpilnu, efektīvu, atklātu, ietverošu savlaicīgu un atbildīgu nozares iesaisti normatīvā regulējuma izstrādes procesā.</w:t>
            </w:r>
          </w:p>
          <w:p w14:paraId="2C829FBD" w14:textId="77777777" w:rsidR="0051073C" w:rsidRDefault="0051073C" w:rsidP="0051073C"/>
          <w:p w14:paraId="2A36D606" w14:textId="77777777" w:rsidR="0051073C" w:rsidRDefault="0051073C" w:rsidP="0051073C">
            <w:r>
              <w:t xml:space="preserve">Tāpēc vēlreiz uzsverams, ka jau </w:t>
            </w:r>
            <w:r w:rsidRPr="005B6105">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w:t>
            </w:r>
            <w:r>
              <w:t>Savukārt a</w:t>
            </w:r>
            <w:r w:rsidRPr="005B6105">
              <w:t xml:space="preserve">r </w:t>
            </w:r>
            <w:r>
              <w:t xml:space="preserve">13 </w:t>
            </w:r>
            <w:r w:rsidRPr="005B6105">
              <w:t>likumprojektu</w:t>
            </w:r>
            <w:r>
              <w:t xml:space="preserve"> </w:t>
            </w:r>
            <w:proofErr w:type="spellStart"/>
            <w:r>
              <w:t>pakotni</w:t>
            </w:r>
            <w:proofErr w:type="spellEnd"/>
            <w:r>
              <w:t xml:space="preserve"> </w:t>
            </w:r>
            <w:r w:rsidRPr="005B6105">
              <w:t xml:space="preserve"> tiek mainīta patērētāju kreditētāju licencēšanas un uzraudzības kompetentā iestāde, kā arī kompetentā iestāde patērētāju tiesību un interešu aizsardzībai finanšu </w:t>
            </w:r>
            <w:r w:rsidRPr="005B6105">
              <w:lastRenderedPageBreak/>
              <w:t>sektorā, vienlaikus saglabājot esošās licencēšanas un uzraudzības prasības. Likumprojekts un tā pavadošie grozījumi nesatur papildu uzraudzības prasības patērētāju kreditētājiem</w:t>
            </w:r>
            <w:r>
              <w:t>.</w:t>
            </w:r>
          </w:p>
          <w:p w14:paraId="14BD7F25" w14:textId="77777777" w:rsidR="0051073C" w:rsidRDefault="0051073C" w:rsidP="0051073C"/>
          <w:p w14:paraId="144EA6B4" w14:textId="3201CD5E" w:rsidR="008D6CFA" w:rsidRDefault="0051073C" w:rsidP="008D6CFA">
            <w:pPr>
              <w:rPr>
                <w:b/>
                <w:bCs/>
              </w:rPr>
            </w:pPr>
            <w:r>
              <w:rPr>
                <w:b/>
                <w:bCs/>
              </w:rPr>
              <w:t xml:space="preserve">II </w:t>
            </w:r>
            <w:r w:rsidR="008D6CFA" w:rsidRPr="004C716D">
              <w:rPr>
                <w:b/>
                <w:bCs/>
              </w:rPr>
              <w:t>Par likumprojektu “Grozījumi Noziedzīgi iegūtu līdzekļu legalizācijas un terorisma un proliferācijas finansēšanas novēršanas likumā”</w:t>
            </w:r>
          </w:p>
          <w:p w14:paraId="50ED783F" w14:textId="77777777" w:rsidR="00521A8A" w:rsidRDefault="00521A8A" w:rsidP="008D6CFA">
            <w:pPr>
              <w:rPr>
                <w:b/>
                <w:bCs/>
              </w:rPr>
            </w:pPr>
          </w:p>
          <w:p w14:paraId="285DFE9D" w14:textId="77777777" w:rsidR="008D6CFA" w:rsidRDefault="008D6CFA" w:rsidP="008D6CFA">
            <w:r>
              <w:t xml:space="preserve">Jānorāda, ka piemērojamais noziedzīgi iegūtu līdzekļu legalizācijas novēršanas regulējums netiek mainīts. Likumprojektā tiek mainīta uzraudzības institūcija no PTAC uz Latvijas Banku. Jāuzsver, ka </w:t>
            </w:r>
            <w:r w:rsidRPr="007D668C">
              <w:t xml:space="preserve">Latvijas Banka demonstrē augstu izpratni par sankciju regulējumu un spēju piemērot riskos balstītu pieeju </w:t>
            </w:r>
            <w:r>
              <w:t>noziedzīgi iegūtu līdzekļu legalizācijas novēršanā</w:t>
            </w:r>
            <w:r w:rsidRPr="007D668C">
              <w:t xml:space="preserve"> un sankciju atbilstības uzraudzībā</w:t>
            </w:r>
            <w:r>
              <w:t xml:space="preserve">. Par to liecina arī </w:t>
            </w:r>
            <w:proofErr w:type="spellStart"/>
            <w:r>
              <w:t>Moneyval</w:t>
            </w:r>
            <w:proofErr w:type="spellEnd"/>
            <w:r>
              <w:t xml:space="preserve"> ziņojumā par Latviju ietvertie secinājumi, pie tam ziņojumā arī secināts, ka tieši Latvijas Bankai ir visattīstītākā spēja piemērot riskos balstītu uzraudzību, savukārt PTAC nepieciešami būtiskāki pilnveidojumi, piemēram, institucionālo risku novērtēšanas metodikā. </w:t>
            </w:r>
          </w:p>
          <w:p w14:paraId="38FDA1DB" w14:textId="77777777" w:rsidR="008D6CFA" w:rsidRDefault="008D6CFA" w:rsidP="008D6CFA">
            <w:r w:rsidRPr="007D668C">
              <w:t xml:space="preserve">Latvijas Banka </w:t>
            </w:r>
            <w:r>
              <w:t>noziedzīgi iegūtu legalizācijas novēršanas</w:t>
            </w:r>
            <w:r w:rsidRPr="007D668C">
              <w:t xml:space="preserve"> jomā jau šobrīd uzrauga dažādus finanšu tirgus dalībniekus</w:t>
            </w:r>
            <w:r>
              <w:t xml:space="preserve">, tostarp virkne no tiem sniedz arī kreditēšanas pakalpojumus patērētājiem (piemēram, kredītiestādes, </w:t>
            </w:r>
            <w:r>
              <w:lastRenderedPageBreak/>
              <w:t xml:space="preserve">ieguldījumu platformas u.c.), tādējādi Latvijas Bankai ir atbilstoša kapacitāte, juridiskās zināšanas un praktiska izpratne par noziedzīgi iegūtu līdzekļu legalizācijas piemērošanu dažādos finanšu pakalpojumos. </w:t>
            </w:r>
          </w:p>
          <w:p w14:paraId="753719B5" w14:textId="77777777" w:rsidR="008D6CFA" w:rsidRDefault="008D6CFA" w:rsidP="008D6CFA"/>
          <w:p w14:paraId="5DE23C13" w14:textId="77777777" w:rsidR="008D6CFA" w:rsidRDefault="008D6CFA" w:rsidP="008D6CFA">
            <w:r>
              <w:t xml:space="preserve">Jautājums par datu piekļuves vienādošanu informācijai, kas nepieciešama AML/CFT pienākumu izpildei, atbilstoši diskusijām, kas notika Latvijas Finanšu tehnoloģiju attīstības stratēģijas 2026.-2027.gadam apstiprināšanas gaitā Ministru kabinetā, tiks risināts ES direktīvas 2024/1640 par mehānismiem, kas dalībvalstīm jāievieš, lai nepieļautu finanšu sistēmas izmantošanu nelikumīgi iegūtu līdzekļu legalizēšanai vai teroristu finansēšanai, un ar ko groza Direktīvu (ES) 2019/1937 un ar ko groza un atceļ Direktīvu (ES) 2015/849 un Regulas (ES) 2024/1624 par to, lai nepieļautu finanšu sistēmas izmantošanu nelikumīgi iegūtu līdzekļu legalizēšanai un teroristu finansēšanai ieviešanas gaitā. Vienlaikus informējam, ka jau šobrīd informācija, kas ir pieejama no Valsts ieņēmumu dienesta reģistriem- Politiski nozīmīgu personu reģistra un citiem Valsts ieņēmumu dienesta reģistriem, kā arī Uzņēmumu reģistra ir pieejama AML/CFT pienākumu izpildes vajadzībām bez maksas, nodrošinot atbilstoša sistēmas </w:t>
            </w:r>
            <w:proofErr w:type="spellStart"/>
            <w:r>
              <w:t>pieslēguma</w:t>
            </w:r>
            <w:proofErr w:type="spellEnd"/>
            <w:r>
              <w:t xml:space="preserve"> izveidi.  </w:t>
            </w:r>
          </w:p>
          <w:p w14:paraId="251879D7" w14:textId="33FC3801" w:rsidR="00470F6D" w:rsidRDefault="008D6CFA" w:rsidP="0051073C">
            <w:r>
              <w:t xml:space="preserve">Īstermiņā ir plānots ieviest risinājumu, kas nepieciešams vienotai piekļuvei klienta izpētes vajadzībām iegūstamajai informācijai, </w:t>
            </w:r>
            <w:r>
              <w:lastRenderedPageBreak/>
              <w:t>izmantojot sistēmas pieslēgumu  valsts datu apstrādes platformai, kas nodrošinās vienotu piekļuvi visiem datiem, kas ir iegūstami klientu izpētes vajadzībām. Papildus, klienta izpētes vajadzībām iegūstamā informācija ir iegūstama, izmantojot risinājumus, kas ir paredzēti  atbilstoši Noziedzīgi iegūtu līdzekļu legalizācijas un terorisma un proliferācijas finansēšanas novēršanas likuma 17.</w:t>
            </w:r>
            <w:r w:rsidRPr="00417AA5">
              <w:rPr>
                <w:vertAlign w:val="superscript"/>
              </w:rPr>
              <w:t>1</w:t>
            </w:r>
            <w:r w:rsidR="00417AA5">
              <w:t xml:space="preserve"> </w:t>
            </w:r>
            <w:r w:rsidR="00417AA5">
              <w:t>panta</w:t>
            </w:r>
            <w:r>
              <w:t xml:space="preserve"> “Slēgtais kopīgais klienta izpētes rīks” un 17.</w:t>
            </w:r>
            <w:r w:rsidRPr="00417AA5">
              <w:rPr>
                <w:vertAlign w:val="superscript"/>
              </w:rPr>
              <w:t>2</w:t>
            </w:r>
            <w:r>
              <w:t xml:space="preserve"> panta “Atvērtais kopīgais klienta izpētes rīks” izmantojot attiecīgo klienta izpētes rīku izveides un izmantošanas iespējas.</w:t>
            </w:r>
          </w:p>
        </w:tc>
        <w:tc>
          <w:tcPr>
            <w:tcW w:w="2949" w:type="dxa"/>
            <w:shd w:val="clear" w:color="auto" w:fill="FFFFFF"/>
            <w:noWrap/>
            <w:tcMar>
              <w:top w:w="75" w:type="dxa"/>
              <w:left w:w="75" w:type="dxa"/>
              <w:bottom w:w="75" w:type="dxa"/>
              <w:right w:w="75" w:type="dxa"/>
            </w:tcMar>
          </w:tcPr>
          <w:p w14:paraId="3706FB68" w14:textId="77777777" w:rsidR="00470F6D" w:rsidRDefault="00470F6D" w:rsidP="00360B15">
            <w:pPr>
              <w:spacing w:after="240"/>
              <w:rPr>
                <w:b/>
              </w:rPr>
            </w:pPr>
            <w:r>
              <w:rPr>
                <w:b/>
              </w:rPr>
              <w:lastRenderedPageBreak/>
              <w:t>Likumprojekts (grozījumi)</w:t>
            </w:r>
          </w:p>
          <w:p w14:paraId="21E79781" w14:textId="5425DBED" w:rsidR="00470F6D" w:rsidRDefault="00666497" w:rsidP="00360B15">
            <w:r>
              <w:t xml:space="preserve">Grozījumi </w:t>
            </w:r>
            <w:r w:rsidRPr="00666497">
              <w:t>Noziedzīgi iegūtu līdzekļu legalizācijas un terorisma un proliferācijas finansēšanas novēršanas</w:t>
            </w:r>
            <w:r>
              <w:t xml:space="preserve"> likumā</w:t>
            </w:r>
          </w:p>
        </w:tc>
      </w:tr>
    </w:tbl>
    <w:p w14:paraId="5B6EE59F" w14:textId="77777777" w:rsidR="00F04A11" w:rsidRDefault="00F04A11"/>
    <w:sectPr w:rsidR="00F04A11" w:rsidSect="00470F6D">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93BF5" w14:textId="77777777" w:rsidR="00CF09D9" w:rsidRDefault="00CF09D9" w:rsidP="00470F6D">
      <w:r>
        <w:separator/>
      </w:r>
    </w:p>
  </w:endnote>
  <w:endnote w:type="continuationSeparator" w:id="0">
    <w:p w14:paraId="0B2A4A4B" w14:textId="77777777" w:rsidR="00CF09D9" w:rsidRDefault="00CF09D9" w:rsidP="00470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8D3F2" w14:textId="77777777" w:rsidR="00470F6D" w:rsidRDefault="00470F6D">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8F418" w14:textId="77777777" w:rsidR="00470F6D" w:rsidRDefault="00470F6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264A6" w14:textId="77777777" w:rsidR="00CF09D9" w:rsidRDefault="00CF09D9" w:rsidP="00470F6D">
      <w:r>
        <w:separator/>
      </w:r>
    </w:p>
  </w:footnote>
  <w:footnote w:type="continuationSeparator" w:id="0">
    <w:p w14:paraId="25EAD9D8" w14:textId="77777777" w:rsidR="00CF09D9" w:rsidRDefault="00CF09D9" w:rsidP="00470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7530" w14:textId="654FA5C0" w:rsidR="00470F6D" w:rsidRDefault="00470F6D">
    <w:pPr>
      <w:pStyle w:val="Header"/>
      <w:contextualSpacing w:val="0"/>
    </w:pPr>
    <w:r>
      <w:t>Izziņa 26-TA-74</w:t>
    </w:r>
    <w:r w:rsidR="00666497">
      <w:t>5</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8A4EA" w14:textId="508A7695" w:rsidR="00470F6D" w:rsidRDefault="00470F6D">
    <w:pPr>
      <w:pStyle w:val="Header"/>
      <w:contextualSpacing w:val="0"/>
    </w:pPr>
    <w:r>
      <w:t>Izziņa 26-TA-74</w:t>
    </w:r>
    <w:r w:rsidR="00666497">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039"/>
    <w:multiLevelType w:val="multilevel"/>
    <w:tmpl w:val="6A107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71FDE"/>
    <w:multiLevelType w:val="multilevel"/>
    <w:tmpl w:val="7024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CA7AC7"/>
    <w:multiLevelType w:val="multilevel"/>
    <w:tmpl w:val="0E226A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A61C7F"/>
    <w:multiLevelType w:val="multilevel"/>
    <w:tmpl w:val="CAFEF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881C33"/>
    <w:multiLevelType w:val="multilevel"/>
    <w:tmpl w:val="274ACF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CA7FC9"/>
    <w:multiLevelType w:val="multilevel"/>
    <w:tmpl w:val="479A4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051254"/>
    <w:multiLevelType w:val="multilevel"/>
    <w:tmpl w:val="B7FCD7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D0A229C"/>
    <w:multiLevelType w:val="multilevel"/>
    <w:tmpl w:val="DE28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910C54"/>
    <w:multiLevelType w:val="hybridMultilevel"/>
    <w:tmpl w:val="E140F272"/>
    <w:lvl w:ilvl="0" w:tplc="384C2D3C">
      <w:start w:val="2"/>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9" w15:restartNumberingAfterBreak="0">
    <w:nsid w:val="64F26D22"/>
    <w:multiLevelType w:val="multilevel"/>
    <w:tmpl w:val="E628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0A422C"/>
    <w:multiLevelType w:val="multilevel"/>
    <w:tmpl w:val="A378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6501211">
    <w:abstractNumId w:val="4"/>
    <w:lvlOverride w:ilvl="0"/>
    <w:lvlOverride w:ilvl="1">
      <w:startOverride w:val="1"/>
    </w:lvlOverride>
    <w:lvlOverride w:ilvl="2"/>
    <w:lvlOverride w:ilvl="3"/>
    <w:lvlOverride w:ilvl="4"/>
    <w:lvlOverride w:ilvl="5"/>
    <w:lvlOverride w:ilvl="6"/>
    <w:lvlOverride w:ilvl="7"/>
    <w:lvlOverride w:ilvl="8"/>
  </w:num>
  <w:num w:numId="2" w16cid:durableId="26142435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8128628">
    <w:abstractNumId w:val="2"/>
  </w:num>
  <w:num w:numId="4" w16cid:durableId="746651876">
    <w:abstractNumId w:val="3"/>
  </w:num>
  <w:num w:numId="5" w16cid:durableId="117379229">
    <w:abstractNumId w:val="0"/>
  </w:num>
  <w:num w:numId="6" w16cid:durableId="61103446">
    <w:abstractNumId w:val="1"/>
  </w:num>
  <w:num w:numId="7" w16cid:durableId="156963027">
    <w:abstractNumId w:val="10"/>
  </w:num>
  <w:num w:numId="8" w16cid:durableId="78792941">
    <w:abstractNumId w:val="6"/>
  </w:num>
  <w:num w:numId="9" w16cid:durableId="1657610013">
    <w:abstractNumId w:val="5"/>
  </w:num>
  <w:num w:numId="10" w16cid:durableId="136609502">
    <w:abstractNumId w:val="9"/>
  </w:num>
  <w:num w:numId="11" w16cid:durableId="1462729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F6D"/>
    <w:rsid w:val="00094BCE"/>
    <w:rsid w:val="00247AFF"/>
    <w:rsid w:val="00293D94"/>
    <w:rsid w:val="00417AA5"/>
    <w:rsid w:val="00434067"/>
    <w:rsid w:val="00470F6D"/>
    <w:rsid w:val="00503413"/>
    <w:rsid w:val="0051073C"/>
    <w:rsid w:val="00521A8A"/>
    <w:rsid w:val="00666497"/>
    <w:rsid w:val="006B294D"/>
    <w:rsid w:val="006D1A09"/>
    <w:rsid w:val="00762B06"/>
    <w:rsid w:val="00843507"/>
    <w:rsid w:val="008D6CFA"/>
    <w:rsid w:val="00910B5B"/>
    <w:rsid w:val="009D178C"/>
    <w:rsid w:val="00CF09D9"/>
    <w:rsid w:val="00EF6DA2"/>
    <w:rsid w:val="00F04A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A7686"/>
  <w15:chartTrackingRefBased/>
  <w15:docId w15:val="{287D1559-1776-4116-B01B-9337A77A2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F6D"/>
    <w:pPr>
      <w:spacing w:after="0" w:line="240" w:lineRule="auto"/>
      <w:jc w:val="both"/>
    </w:pPr>
    <w:rPr>
      <w:rFonts w:ascii="Times New Roman" w:eastAsia="Times New Roman" w:hAnsi="Times New Roman" w:cs="Times New Roman"/>
      <w:color w:val="333333"/>
      <w:kern w:val="0"/>
      <w:szCs w:val="20"/>
      <w:lang w:eastAsia="lv-LV"/>
      <w14:ligatures w14:val="none"/>
    </w:rPr>
  </w:style>
  <w:style w:type="paragraph" w:styleId="Heading1">
    <w:name w:val="heading 1"/>
    <w:basedOn w:val="Normal"/>
    <w:next w:val="Normal"/>
    <w:link w:val="Heading1Char"/>
    <w:uiPriority w:val="9"/>
    <w:qFormat/>
    <w:rsid w:val="00470F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0F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0F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0F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0F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0F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F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F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F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F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0F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0F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0F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0F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0F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F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F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F6D"/>
    <w:rPr>
      <w:rFonts w:eastAsiaTheme="majorEastAsia" w:cstheme="majorBidi"/>
      <w:color w:val="272727" w:themeColor="text1" w:themeTint="D8"/>
    </w:rPr>
  </w:style>
  <w:style w:type="paragraph" w:styleId="Title">
    <w:name w:val="Title"/>
    <w:basedOn w:val="Normal"/>
    <w:next w:val="Normal"/>
    <w:link w:val="TitleChar"/>
    <w:uiPriority w:val="10"/>
    <w:qFormat/>
    <w:rsid w:val="00470F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F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F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F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F6D"/>
    <w:pPr>
      <w:spacing w:before="160"/>
      <w:jc w:val="center"/>
    </w:pPr>
    <w:rPr>
      <w:i/>
      <w:iCs/>
      <w:color w:val="404040" w:themeColor="text1" w:themeTint="BF"/>
    </w:rPr>
  </w:style>
  <w:style w:type="character" w:customStyle="1" w:styleId="QuoteChar">
    <w:name w:val="Quote Char"/>
    <w:basedOn w:val="DefaultParagraphFont"/>
    <w:link w:val="Quote"/>
    <w:uiPriority w:val="29"/>
    <w:rsid w:val="00470F6D"/>
    <w:rPr>
      <w:i/>
      <w:iCs/>
      <w:color w:val="404040" w:themeColor="text1" w:themeTint="BF"/>
    </w:rPr>
  </w:style>
  <w:style w:type="paragraph" w:styleId="ListParagraph">
    <w:name w:val="List Paragraph"/>
    <w:basedOn w:val="Normal"/>
    <w:uiPriority w:val="34"/>
    <w:qFormat/>
    <w:rsid w:val="00470F6D"/>
    <w:pPr>
      <w:ind w:left="720"/>
      <w:contextualSpacing/>
    </w:pPr>
  </w:style>
  <w:style w:type="character" w:styleId="IntenseEmphasis">
    <w:name w:val="Intense Emphasis"/>
    <w:basedOn w:val="DefaultParagraphFont"/>
    <w:uiPriority w:val="21"/>
    <w:qFormat/>
    <w:rsid w:val="00470F6D"/>
    <w:rPr>
      <w:i/>
      <w:iCs/>
      <w:color w:val="0F4761" w:themeColor="accent1" w:themeShade="BF"/>
    </w:rPr>
  </w:style>
  <w:style w:type="paragraph" w:styleId="IntenseQuote">
    <w:name w:val="Intense Quote"/>
    <w:basedOn w:val="Normal"/>
    <w:next w:val="Normal"/>
    <w:link w:val="IntenseQuoteChar"/>
    <w:uiPriority w:val="30"/>
    <w:qFormat/>
    <w:rsid w:val="00470F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F6D"/>
    <w:rPr>
      <w:i/>
      <w:iCs/>
      <w:color w:val="0F4761" w:themeColor="accent1" w:themeShade="BF"/>
    </w:rPr>
  </w:style>
  <w:style w:type="character" w:styleId="IntenseReference">
    <w:name w:val="Intense Reference"/>
    <w:basedOn w:val="DefaultParagraphFont"/>
    <w:uiPriority w:val="32"/>
    <w:qFormat/>
    <w:rsid w:val="00470F6D"/>
    <w:rPr>
      <w:b/>
      <w:bCs/>
      <w:smallCaps/>
      <w:color w:val="0F4761" w:themeColor="accent1" w:themeShade="BF"/>
      <w:spacing w:val="5"/>
    </w:rPr>
  </w:style>
  <w:style w:type="paragraph" w:customStyle="1" w:styleId="paragraph">
    <w:name w:val="paragraph"/>
    <w:basedOn w:val="Normal"/>
    <w:next w:val="Normal"/>
    <w:rsid w:val="00470F6D"/>
    <w:pPr>
      <w:contextualSpacing/>
    </w:pPr>
  </w:style>
  <w:style w:type="paragraph" w:customStyle="1" w:styleId="titleparagraph">
    <w:name w:val="title_paragraph"/>
    <w:basedOn w:val="Normal"/>
    <w:next w:val="Normal"/>
    <w:rsid w:val="00470F6D"/>
    <w:pPr>
      <w:spacing w:after="280"/>
      <w:contextualSpacing/>
    </w:pPr>
    <w:rPr>
      <w:b/>
      <w:sz w:val="28"/>
    </w:rPr>
  </w:style>
  <w:style w:type="paragraph" w:styleId="Header">
    <w:name w:val="header"/>
    <w:basedOn w:val="Normal"/>
    <w:next w:val="Normal"/>
    <w:link w:val="HeaderChar"/>
    <w:rsid w:val="00470F6D"/>
    <w:pPr>
      <w:spacing w:after="280"/>
      <w:contextualSpacing/>
      <w:jc w:val="right"/>
    </w:pPr>
  </w:style>
  <w:style w:type="character" w:customStyle="1" w:styleId="HeaderChar">
    <w:name w:val="Header Char"/>
    <w:basedOn w:val="DefaultParagraphFont"/>
    <w:link w:val="Header"/>
    <w:rsid w:val="00470F6D"/>
    <w:rPr>
      <w:rFonts w:ascii="Times New Roman" w:eastAsia="Times New Roman" w:hAnsi="Times New Roman" w:cs="Times New Roman"/>
      <w:color w:val="333333"/>
      <w:kern w:val="0"/>
      <w:szCs w:val="20"/>
      <w:lang w:eastAsia="lv-LV"/>
      <w14:ligatures w14:val="none"/>
    </w:rPr>
  </w:style>
  <w:style w:type="paragraph" w:customStyle="1" w:styleId="signeddocumentparagraph">
    <w:name w:val="signed_document_paragraph"/>
    <w:basedOn w:val="Normal"/>
    <w:next w:val="Normal"/>
    <w:rsid w:val="00470F6D"/>
    <w:pPr>
      <w:contextualSpacing/>
      <w:jc w:val="right"/>
    </w:pPr>
  </w:style>
  <w:style w:type="paragraph" w:styleId="Footer">
    <w:name w:val="footer"/>
    <w:basedOn w:val="Normal"/>
    <w:link w:val="FooterChar"/>
    <w:uiPriority w:val="99"/>
    <w:unhideWhenUsed/>
    <w:rsid w:val="00470F6D"/>
    <w:pPr>
      <w:tabs>
        <w:tab w:val="center" w:pos="4153"/>
        <w:tab w:val="right" w:pos="8306"/>
      </w:tabs>
    </w:pPr>
  </w:style>
  <w:style w:type="character" w:customStyle="1" w:styleId="FooterChar">
    <w:name w:val="Footer Char"/>
    <w:basedOn w:val="DefaultParagraphFont"/>
    <w:link w:val="Footer"/>
    <w:uiPriority w:val="99"/>
    <w:rsid w:val="00470F6D"/>
    <w:rPr>
      <w:rFonts w:ascii="Times New Roman" w:eastAsia="Times New Roman" w:hAnsi="Times New Roman" w:cs="Times New Roman"/>
      <w:color w:val="333333"/>
      <w:kern w:val="0"/>
      <w:szCs w:val="20"/>
      <w:lang w:eastAsia="lv-LV"/>
      <w14:ligatures w14:val="none"/>
    </w:rPr>
  </w:style>
  <w:style w:type="character" w:styleId="Hyperlink">
    <w:name w:val="Hyperlink"/>
    <w:basedOn w:val="DefaultParagraphFont"/>
    <w:uiPriority w:val="99"/>
    <w:unhideWhenUsed/>
    <w:rsid w:val="00470F6D"/>
    <w:rPr>
      <w:color w:val="467886" w:themeColor="hyperlink"/>
      <w:u w:val="single"/>
    </w:rPr>
  </w:style>
  <w:style w:type="character" w:styleId="CommentReference">
    <w:name w:val="annotation reference"/>
    <w:basedOn w:val="DefaultParagraphFont"/>
    <w:uiPriority w:val="99"/>
    <w:semiHidden/>
    <w:unhideWhenUsed/>
    <w:rsid w:val="00470F6D"/>
    <w:rPr>
      <w:sz w:val="16"/>
      <w:szCs w:val="16"/>
    </w:rPr>
  </w:style>
  <w:style w:type="paragraph" w:styleId="CommentText">
    <w:name w:val="annotation text"/>
    <w:basedOn w:val="Normal"/>
    <w:link w:val="CommentTextChar"/>
    <w:uiPriority w:val="99"/>
    <w:unhideWhenUsed/>
    <w:rsid w:val="00470F6D"/>
    <w:rPr>
      <w:sz w:val="20"/>
    </w:rPr>
  </w:style>
  <w:style w:type="character" w:customStyle="1" w:styleId="CommentTextChar">
    <w:name w:val="Comment Text Char"/>
    <w:basedOn w:val="DefaultParagraphFont"/>
    <w:link w:val="CommentText"/>
    <w:uiPriority w:val="99"/>
    <w:rsid w:val="00470F6D"/>
    <w:rPr>
      <w:rFonts w:ascii="Times New Roman" w:eastAsia="Times New Roman" w:hAnsi="Times New Roman" w:cs="Times New Roman"/>
      <w:color w:val="333333"/>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470F6D"/>
    <w:rPr>
      <w:b/>
      <w:bCs/>
    </w:rPr>
  </w:style>
  <w:style w:type="character" w:customStyle="1" w:styleId="CommentSubjectChar">
    <w:name w:val="Comment Subject Char"/>
    <w:basedOn w:val="CommentTextChar"/>
    <w:link w:val="CommentSubject"/>
    <w:uiPriority w:val="99"/>
    <w:semiHidden/>
    <w:rsid w:val="00470F6D"/>
    <w:rPr>
      <w:rFonts w:ascii="Times New Roman" w:eastAsia="Times New Roman" w:hAnsi="Times New Roman" w:cs="Times New Roman"/>
      <w:b/>
      <w:bCs/>
      <w:color w:val="333333"/>
      <w:kern w:val="0"/>
      <w:sz w:val="20"/>
      <w:szCs w:val="20"/>
      <w:lang w:eastAsia="lv-LV"/>
      <w14:ligatures w14:val="none"/>
    </w:rPr>
  </w:style>
  <w:style w:type="character" w:styleId="Mention">
    <w:name w:val="Mention"/>
    <w:basedOn w:val="DefaultParagraphFont"/>
    <w:uiPriority w:val="99"/>
    <w:unhideWhenUsed/>
    <w:rsid w:val="00470F6D"/>
    <w:rPr>
      <w:color w:val="2B579A"/>
      <w:shd w:val="clear" w:color="auto" w:fill="E1DFDD"/>
    </w:rPr>
  </w:style>
  <w:style w:type="character" w:styleId="UnresolvedMention">
    <w:name w:val="Unresolved Mention"/>
    <w:basedOn w:val="DefaultParagraphFont"/>
    <w:uiPriority w:val="99"/>
    <w:semiHidden/>
    <w:unhideWhenUsed/>
    <w:rsid w:val="00470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kumi.lv/ta/id/57980-latvijas-republikas-satversm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11</Pages>
  <Words>13110</Words>
  <Characters>7474</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Jenerte</dc:creator>
  <cp:keywords/>
  <dc:description/>
  <cp:lastModifiedBy>Santa</cp:lastModifiedBy>
  <cp:revision>8</cp:revision>
  <dcterms:created xsi:type="dcterms:W3CDTF">2026-04-24T10:26:00Z</dcterms:created>
  <dcterms:modified xsi:type="dcterms:W3CDTF">2026-04-28T10:33:00Z</dcterms:modified>
</cp:coreProperties>
</file>