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F77A0"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bookmarkStart w:id="0" w:name="OLE_LINK2"/>
      <w:bookmarkStart w:id="1" w:name="OLE_LINK1"/>
      <w:bookmarkStart w:id="2" w:name="OLE_LINK12"/>
      <w:bookmarkStart w:id="3" w:name="OLE_LINK8"/>
      <w:bookmarkStart w:id="4" w:name="OLE_LINK7"/>
      <w:bookmarkStart w:id="5" w:name="OLE_LINK10"/>
      <w:bookmarkStart w:id="6" w:name="OLE_LINK9"/>
      <w:r w:rsidRPr="00184920">
        <w:rPr>
          <w:rFonts w:ascii="Times New Roman" w:eastAsia="Times New Roman" w:hAnsi="Times New Roman" w:cs="Times New Roman"/>
          <w:sz w:val="20"/>
          <w:lang w:eastAsia="lv-LV"/>
        </w:rPr>
        <w:t>Izziņa par atzinumos sniegtajiem iebildumiem</w:t>
      </w:r>
      <w:bookmarkEnd w:id="0"/>
      <w:bookmarkEnd w:id="1"/>
    </w:p>
    <w:p w14:paraId="3E1CF929"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p>
    <w:tbl>
      <w:tblPr>
        <w:tblW w:w="0" w:type="auto"/>
        <w:jc w:val="center"/>
        <w:tblLook w:val="00A0" w:firstRow="1" w:lastRow="0" w:firstColumn="1" w:lastColumn="0" w:noHBand="0" w:noVBand="0"/>
      </w:tblPr>
      <w:tblGrid>
        <w:gridCol w:w="13817"/>
      </w:tblGrid>
      <w:tr w:rsidR="00022A62" w:rsidRPr="00184920" w14:paraId="31F049A0" w14:textId="77777777" w:rsidTr="003E10BA">
        <w:trPr>
          <w:trHeight w:val="373"/>
          <w:jc w:val="center"/>
        </w:trPr>
        <w:tc>
          <w:tcPr>
            <w:tcW w:w="13817" w:type="dxa"/>
            <w:tcBorders>
              <w:top w:val="nil"/>
              <w:left w:val="nil"/>
              <w:bottom w:val="single" w:sz="6" w:space="0" w:color="000000"/>
              <w:right w:val="nil"/>
            </w:tcBorders>
            <w:hideMark/>
          </w:tcPr>
          <w:bookmarkEnd w:id="2"/>
          <w:bookmarkEnd w:id="3"/>
          <w:bookmarkEnd w:id="4"/>
          <w:p w14:paraId="788F7108" w14:textId="0AC5DBD7" w:rsidR="00022A62" w:rsidRPr="00184920" w:rsidRDefault="00AB400A" w:rsidP="00D60CB6">
            <w:pPr>
              <w:spacing w:after="0" w:line="240" w:lineRule="auto"/>
              <w:jc w:val="center"/>
              <w:rPr>
                <w:rFonts w:ascii="Times New Roman" w:eastAsia="Times New Roman" w:hAnsi="Times New Roman" w:cs="Times New Roman"/>
                <w:sz w:val="20"/>
                <w:lang w:eastAsia="lv-LV"/>
              </w:rPr>
            </w:pPr>
            <w:r w:rsidRPr="00184920">
              <w:rPr>
                <w:rFonts w:ascii="Times New Roman" w:hAnsi="Times New Roman"/>
                <w:iCs/>
                <w:sz w:val="20"/>
                <w:szCs w:val="24"/>
                <w:lang w:eastAsia="lv-LV"/>
              </w:rPr>
              <w:t>Likum</w:t>
            </w:r>
            <w:r w:rsidR="007D7E64" w:rsidRPr="00184920">
              <w:rPr>
                <w:rFonts w:ascii="Times New Roman" w:hAnsi="Times New Roman"/>
                <w:iCs/>
                <w:sz w:val="20"/>
                <w:szCs w:val="24"/>
                <w:lang w:eastAsia="lv-LV"/>
              </w:rPr>
              <w:t xml:space="preserve">projekts </w:t>
            </w:r>
            <w:r w:rsidR="00C9004D">
              <w:rPr>
                <w:rFonts w:ascii="Times New Roman" w:hAnsi="Times New Roman"/>
                <w:iCs/>
                <w:sz w:val="20"/>
                <w:szCs w:val="24"/>
                <w:lang w:eastAsia="lv-LV"/>
              </w:rPr>
              <w:t>“</w:t>
            </w:r>
            <w:r w:rsidR="00AF2CE9">
              <w:rPr>
                <w:rFonts w:ascii="Times New Roman" w:hAnsi="Times New Roman"/>
                <w:iCs/>
                <w:sz w:val="20"/>
                <w:szCs w:val="24"/>
                <w:lang w:eastAsia="lv-LV"/>
              </w:rPr>
              <w:t>Ieguldījumu brokeru sabiedrību likums</w:t>
            </w:r>
            <w:r w:rsidR="00C9004D">
              <w:rPr>
                <w:rFonts w:ascii="Times New Roman" w:hAnsi="Times New Roman"/>
                <w:iCs/>
                <w:sz w:val="20"/>
                <w:szCs w:val="24"/>
                <w:lang w:eastAsia="lv-LV"/>
              </w:rPr>
              <w:t>”</w:t>
            </w:r>
            <w:r w:rsidR="008164F2">
              <w:rPr>
                <w:rFonts w:ascii="Times New Roman" w:hAnsi="Times New Roman"/>
                <w:iCs/>
                <w:sz w:val="20"/>
                <w:szCs w:val="24"/>
                <w:lang w:eastAsia="lv-LV"/>
              </w:rPr>
              <w:t xml:space="preserve"> </w:t>
            </w:r>
            <w:r w:rsidR="007D7E64" w:rsidRPr="00184920">
              <w:rPr>
                <w:rFonts w:ascii="Times New Roman" w:hAnsi="Times New Roman"/>
                <w:iCs/>
                <w:sz w:val="20"/>
                <w:szCs w:val="24"/>
                <w:lang w:eastAsia="lv-LV"/>
              </w:rPr>
              <w:t>(VSS-</w:t>
            </w:r>
            <w:r w:rsidR="00C9004D">
              <w:rPr>
                <w:rFonts w:ascii="Times New Roman" w:hAnsi="Times New Roman"/>
                <w:iCs/>
                <w:sz w:val="20"/>
                <w:szCs w:val="24"/>
                <w:lang w:eastAsia="lv-LV"/>
              </w:rPr>
              <w:t>15</w:t>
            </w:r>
            <w:r w:rsidR="00AF2CE9">
              <w:rPr>
                <w:rFonts w:ascii="Times New Roman" w:hAnsi="Times New Roman"/>
                <w:iCs/>
                <w:sz w:val="20"/>
                <w:szCs w:val="24"/>
                <w:lang w:eastAsia="lv-LV"/>
              </w:rPr>
              <w:t>3</w:t>
            </w:r>
            <w:r w:rsidR="007D7E64" w:rsidRPr="00184920">
              <w:rPr>
                <w:rFonts w:ascii="Times New Roman" w:hAnsi="Times New Roman"/>
                <w:iCs/>
                <w:sz w:val="20"/>
                <w:szCs w:val="24"/>
                <w:lang w:eastAsia="lv-LV"/>
              </w:rPr>
              <w:t>)</w:t>
            </w:r>
          </w:p>
        </w:tc>
      </w:tr>
    </w:tbl>
    <w:bookmarkEnd w:id="5"/>
    <w:bookmarkEnd w:id="6"/>
    <w:p w14:paraId="6A455391" w14:textId="77777777" w:rsidR="00022A62" w:rsidRPr="00184920" w:rsidRDefault="00022A62"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(dokumenta veids un nosaukums)</w:t>
      </w:r>
    </w:p>
    <w:p w14:paraId="00A3D6B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p w14:paraId="2870F9AE"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I. Jautājumi, par kuriem saskaņošanā vienošanās nav panākta</w:t>
      </w:r>
    </w:p>
    <w:tbl>
      <w:tblPr>
        <w:tblW w:w="144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045"/>
        <w:gridCol w:w="3686"/>
        <w:gridCol w:w="2976"/>
        <w:gridCol w:w="2977"/>
        <w:gridCol w:w="1985"/>
      </w:tblGrid>
      <w:tr w:rsidR="00A33F1F" w:rsidRPr="00184920" w14:paraId="1EE62536" w14:textId="77777777" w:rsidTr="001D52FC">
        <w:tc>
          <w:tcPr>
            <w:tcW w:w="816" w:type="dxa"/>
            <w:tcBorders>
              <w:top w:val="single" w:sz="6" w:space="0" w:color="000000"/>
              <w:left w:val="single" w:sz="6" w:space="0" w:color="000000"/>
              <w:bottom w:val="single" w:sz="6" w:space="0" w:color="000000"/>
              <w:right w:val="single" w:sz="6" w:space="0" w:color="000000"/>
            </w:tcBorders>
            <w:vAlign w:val="center"/>
          </w:tcPr>
          <w:p w14:paraId="112761D4"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Nr. p.k.</w:t>
            </w:r>
          </w:p>
        </w:tc>
        <w:tc>
          <w:tcPr>
            <w:tcW w:w="2045" w:type="dxa"/>
            <w:tcBorders>
              <w:top w:val="single" w:sz="6" w:space="0" w:color="000000"/>
              <w:left w:val="single" w:sz="6" w:space="0" w:color="000000"/>
              <w:bottom w:val="single" w:sz="6" w:space="0" w:color="000000"/>
              <w:right w:val="single" w:sz="6" w:space="0" w:color="000000"/>
            </w:tcBorders>
            <w:vAlign w:val="center"/>
          </w:tcPr>
          <w:p w14:paraId="2EE0CA49"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Saskaņošanai nosūtītā projekta redakcija (konkrēta punkta (panta) redakcija)</w:t>
            </w:r>
          </w:p>
        </w:tc>
        <w:tc>
          <w:tcPr>
            <w:tcW w:w="3686" w:type="dxa"/>
            <w:tcBorders>
              <w:top w:val="single" w:sz="6" w:space="0" w:color="000000"/>
              <w:left w:val="single" w:sz="6" w:space="0" w:color="000000"/>
              <w:bottom w:val="single" w:sz="6" w:space="0" w:color="000000"/>
              <w:right w:val="single" w:sz="6" w:space="0" w:color="000000"/>
            </w:tcBorders>
            <w:vAlign w:val="center"/>
          </w:tcPr>
          <w:p w14:paraId="00BD2090"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Atzinumā norādītais ministrijas (citas institūcijas) iebildums, kā arī saskaņošanā papildus izteiktais iebildums par projekta konkrēto punktu (pantu)</w:t>
            </w:r>
          </w:p>
        </w:tc>
        <w:tc>
          <w:tcPr>
            <w:tcW w:w="2976" w:type="dxa"/>
            <w:tcBorders>
              <w:top w:val="single" w:sz="6" w:space="0" w:color="000000"/>
              <w:left w:val="single" w:sz="6" w:space="0" w:color="000000"/>
              <w:bottom w:val="single" w:sz="6" w:space="0" w:color="000000"/>
              <w:right w:val="single" w:sz="6" w:space="0" w:color="000000"/>
            </w:tcBorders>
            <w:vAlign w:val="center"/>
          </w:tcPr>
          <w:p w14:paraId="7296DB76"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Atbildīgās ministrijas pamatojums iebilduma noraidījumam</w:t>
            </w:r>
          </w:p>
        </w:tc>
        <w:tc>
          <w:tcPr>
            <w:tcW w:w="2977" w:type="dxa"/>
            <w:tcBorders>
              <w:top w:val="single" w:sz="6" w:space="0" w:color="000000"/>
              <w:left w:val="single" w:sz="6" w:space="0" w:color="000000"/>
              <w:bottom w:val="single" w:sz="6" w:space="0" w:color="000000"/>
              <w:right w:val="single" w:sz="6" w:space="0" w:color="000000"/>
            </w:tcBorders>
            <w:vAlign w:val="center"/>
          </w:tcPr>
          <w:p w14:paraId="206E2755" w14:textId="77777777" w:rsidR="00A33F1F" w:rsidRPr="00184920" w:rsidRDefault="00A33F1F" w:rsidP="00D60CB6">
            <w:pPr>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Atzinuma sniedzēja uzturētais iebildums, ja tas atšķiras no atzinumā norādītā iebilduma pamatojuma</w:t>
            </w:r>
          </w:p>
        </w:tc>
        <w:tc>
          <w:tcPr>
            <w:tcW w:w="1985" w:type="dxa"/>
            <w:tcBorders>
              <w:top w:val="single" w:sz="6" w:space="0" w:color="000000"/>
              <w:left w:val="single" w:sz="6" w:space="0" w:color="000000"/>
              <w:bottom w:val="single" w:sz="6" w:space="0" w:color="000000"/>
              <w:right w:val="single" w:sz="6" w:space="0" w:color="000000"/>
            </w:tcBorders>
            <w:vAlign w:val="center"/>
          </w:tcPr>
          <w:p w14:paraId="3CE7AD0A" w14:textId="77777777" w:rsidR="00A33F1F" w:rsidRPr="00184920" w:rsidRDefault="00A33F1F" w:rsidP="00D60CB6">
            <w:pPr>
              <w:tabs>
                <w:tab w:val="left" w:pos="3822"/>
              </w:tabs>
              <w:spacing w:after="0" w:line="240" w:lineRule="auto"/>
              <w:jc w:val="center"/>
              <w:rPr>
                <w:rFonts w:ascii="Times New Roman" w:eastAsia="Times New Roman" w:hAnsi="Times New Roman" w:cs="Times New Roman"/>
                <w:sz w:val="20"/>
              </w:rPr>
            </w:pPr>
            <w:r w:rsidRPr="00184920">
              <w:rPr>
                <w:rFonts w:ascii="Times New Roman" w:eastAsia="Times New Roman" w:hAnsi="Times New Roman" w:cs="Times New Roman"/>
                <w:sz w:val="20"/>
              </w:rPr>
              <w:t>Projekta attiecīgā punkta (panta) galīgā redakcija</w:t>
            </w:r>
          </w:p>
        </w:tc>
      </w:tr>
      <w:tr w:rsidR="00AD4614" w:rsidRPr="00184920" w14:paraId="47EEDC7F" w14:textId="77777777" w:rsidTr="001D52FC">
        <w:tc>
          <w:tcPr>
            <w:tcW w:w="816" w:type="dxa"/>
            <w:tcBorders>
              <w:top w:val="single" w:sz="6" w:space="0" w:color="000000"/>
              <w:left w:val="single" w:sz="6" w:space="0" w:color="000000"/>
              <w:bottom w:val="single" w:sz="6" w:space="0" w:color="000000"/>
              <w:right w:val="single" w:sz="6" w:space="0" w:color="000000"/>
            </w:tcBorders>
            <w:vAlign w:val="center"/>
          </w:tcPr>
          <w:p w14:paraId="0811A0C1" w14:textId="318DC489"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1</w:t>
            </w:r>
          </w:p>
        </w:tc>
        <w:tc>
          <w:tcPr>
            <w:tcW w:w="2045" w:type="dxa"/>
            <w:tcBorders>
              <w:top w:val="single" w:sz="6" w:space="0" w:color="000000"/>
              <w:left w:val="single" w:sz="6" w:space="0" w:color="000000"/>
              <w:bottom w:val="single" w:sz="6" w:space="0" w:color="000000"/>
              <w:right w:val="single" w:sz="6" w:space="0" w:color="000000"/>
            </w:tcBorders>
            <w:vAlign w:val="center"/>
          </w:tcPr>
          <w:p w14:paraId="2750C699" w14:textId="26B991CA"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tc>
        <w:tc>
          <w:tcPr>
            <w:tcW w:w="3686" w:type="dxa"/>
            <w:tcBorders>
              <w:top w:val="single" w:sz="6" w:space="0" w:color="000000"/>
              <w:left w:val="single" w:sz="6" w:space="0" w:color="000000"/>
              <w:bottom w:val="single" w:sz="6" w:space="0" w:color="000000"/>
              <w:right w:val="single" w:sz="6" w:space="0" w:color="000000"/>
            </w:tcBorders>
            <w:vAlign w:val="center"/>
          </w:tcPr>
          <w:p w14:paraId="60DF996F" w14:textId="381AB9F1"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tc>
        <w:tc>
          <w:tcPr>
            <w:tcW w:w="2976" w:type="dxa"/>
            <w:tcBorders>
              <w:top w:val="single" w:sz="6" w:space="0" w:color="000000"/>
              <w:left w:val="single" w:sz="6" w:space="0" w:color="000000"/>
              <w:bottom w:val="single" w:sz="6" w:space="0" w:color="000000"/>
              <w:right w:val="single" w:sz="6" w:space="0" w:color="000000"/>
            </w:tcBorders>
            <w:vAlign w:val="center"/>
          </w:tcPr>
          <w:p w14:paraId="7D0E2235" w14:textId="745C17EE"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w:t>
            </w:r>
          </w:p>
        </w:tc>
        <w:tc>
          <w:tcPr>
            <w:tcW w:w="2977" w:type="dxa"/>
            <w:tcBorders>
              <w:top w:val="single" w:sz="6" w:space="0" w:color="000000"/>
              <w:left w:val="single" w:sz="6" w:space="0" w:color="000000"/>
              <w:bottom w:val="single" w:sz="6" w:space="0" w:color="000000"/>
              <w:right w:val="single" w:sz="6" w:space="0" w:color="000000"/>
            </w:tcBorders>
            <w:vAlign w:val="center"/>
          </w:tcPr>
          <w:p w14:paraId="22433C8C" w14:textId="0C0F0D4F" w:rsidR="00AD4614" w:rsidRPr="00184920" w:rsidRDefault="00AD4614" w:rsidP="00D60CB6">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5</w:t>
            </w:r>
          </w:p>
        </w:tc>
        <w:tc>
          <w:tcPr>
            <w:tcW w:w="1985" w:type="dxa"/>
            <w:tcBorders>
              <w:top w:val="single" w:sz="6" w:space="0" w:color="000000"/>
              <w:left w:val="single" w:sz="6" w:space="0" w:color="000000"/>
              <w:bottom w:val="single" w:sz="6" w:space="0" w:color="000000"/>
              <w:right w:val="single" w:sz="6" w:space="0" w:color="000000"/>
            </w:tcBorders>
            <w:vAlign w:val="center"/>
          </w:tcPr>
          <w:p w14:paraId="087692EA" w14:textId="387E4F50" w:rsidR="00AD4614" w:rsidRPr="00184920" w:rsidRDefault="00AD4614" w:rsidP="00D60CB6">
            <w:pPr>
              <w:tabs>
                <w:tab w:val="left" w:pos="3822"/>
              </w:tabs>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6</w:t>
            </w:r>
          </w:p>
        </w:tc>
      </w:tr>
      <w:tr w:rsidR="001E530F" w:rsidRPr="00184920" w14:paraId="3216B57D" w14:textId="77777777" w:rsidTr="002456EB">
        <w:tc>
          <w:tcPr>
            <w:tcW w:w="14485" w:type="dxa"/>
            <w:gridSpan w:val="6"/>
            <w:tcBorders>
              <w:top w:val="single" w:sz="6" w:space="0" w:color="000000"/>
              <w:left w:val="single" w:sz="6" w:space="0" w:color="000000"/>
              <w:bottom w:val="single" w:sz="6" w:space="0" w:color="000000"/>
              <w:right w:val="single" w:sz="6" w:space="0" w:color="000000"/>
            </w:tcBorders>
          </w:tcPr>
          <w:p w14:paraId="0007460B" w14:textId="1DD3B3B3" w:rsidR="001E530F" w:rsidRPr="004F2E8E" w:rsidRDefault="001E530F" w:rsidP="001E530F">
            <w:pPr>
              <w:pStyle w:val="naisc"/>
              <w:spacing w:before="0" w:after="0"/>
              <w:rPr>
                <w:sz w:val="20"/>
                <w:szCs w:val="20"/>
              </w:rPr>
            </w:pPr>
            <w:r>
              <w:rPr>
                <w:sz w:val="20"/>
                <w:szCs w:val="20"/>
              </w:rPr>
              <w:t>Nesaskaņotu jautājumu nav.</w:t>
            </w:r>
          </w:p>
        </w:tc>
      </w:tr>
    </w:tbl>
    <w:p w14:paraId="46124C13" w14:textId="77777777" w:rsidR="00A33F1F" w:rsidRPr="00184920" w:rsidRDefault="00A33F1F" w:rsidP="00D60CB6">
      <w:pPr>
        <w:pStyle w:val="naisf"/>
        <w:spacing w:before="0" w:after="0"/>
        <w:ind w:firstLine="0"/>
        <w:rPr>
          <w:sz w:val="20"/>
          <w:szCs w:val="22"/>
        </w:rPr>
      </w:pPr>
    </w:p>
    <w:p w14:paraId="46FD4A2C"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Informācija par </w:t>
      </w:r>
      <w:proofErr w:type="spellStart"/>
      <w:r w:rsidRPr="00184920">
        <w:rPr>
          <w:rFonts w:ascii="Times New Roman" w:eastAsia="Times New Roman" w:hAnsi="Times New Roman" w:cs="Times New Roman"/>
          <w:sz w:val="20"/>
          <w:lang w:eastAsia="lv-LV"/>
        </w:rPr>
        <w:t>starpministriju</w:t>
      </w:r>
      <w:proofErr w:type="spellEnd"/>
      <w:r w:rsidRPr="00184920">
        <w:rPr>
          <w:rFonts w:ascii="Times New Roman" w:eastAsia="Times New Roman" w:hAnsi="Times New Roman" w:cs="Times New Roman"/>
          <w:sz w:val="20"/>
          <w:lang w:eastAsia="lv-LV"/>
        </w:rPr>
        <w:t xml:space="preserve"> (starpinstitūciju) sanāksmi vai elektronisko saskaņošanu</w:t>
      </w:r>
    </w:p>
    <w:p w14:paraId="7E134895"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bl>
      <w:tblPr>
        <w:tblW w:w="15331" w:type="dxa"/>
        <w:tblLook w:val="00A0" w:firstRow="1" w:lastRow="0" w:firstColumn="1" w:lastColumn="0" w:noHBand="0" w:noVBand="0"/>
      </w:tblPr>
      <w:tblGrid>
        <w:gridCol w:w="8505"/>
        <w:gridCol w:w="2694"/>
        <w:gridCol w:w="2707"/>
        <w:gridCol w:w="1425"/>
      </w:tblGrid>
      <w:tr w:rsidR="00022A62" w:rsidRPr="00184920" w14:paraId="723CB84E" w14:textId="77777777" w:rsidTr="0001655E">
        <w:trPr>
          <w:gridAfter w:val="1"/>
          <w:wAfter w:w="1425" w:type="dxa"/>
        </w:trPr>
        <w:tc>
          <w:tcPr>
            <w:tcW w:w="8505" w:type="dxa"/>
            <w:hideMark/>
          </w:tcPr>
          <w:p w14:paraId="44D46AB9"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Datums</w:t>
            </w:r>
          </w:p>
        </w:tc>
        <w:tc>
          <w:tcPr>
            <w:tcW w:w="5401" w:type="dxa"/>
            <w:gridSpan w:val="2"/>
            <w:tcBorders>
              <w:top w:val="nil"/>
              <w:left w:val="nil"/>
              <w:bottom w:val="single" w:sz="4" w:space="0" w:color="auto"/>
              <w:right w:val="nil"/>
            </w:tcBorders>
            <w:hideMark/>
          </w:tcPr>
          <w:p w14:paraId="240F18F2" w14:textId="7E724724" w:rsidR="00022A62" w:rsidRPr="00184920" w:rsidRDefault="002217A5" w:rsidP="00A071F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r w:rsidR="009C2762" w:rsidRPr="00184920">
              <w:rPr>
                <w:rFonts w:ascii="Times New Roman" w:eastAsia="Times New Roman" w:hAnsi="Times New Roman" w:cs="Times New Roman"/>
                <w:sz w:val="20"/>
                <w:lang w:eastAsia="lv-LV"/>
              </w:rPr>
              <w:t xml:space="preserve">VSS </w:t>
            </w:r>
            <w:r w:rsidR="00ED066D">
              <w:rPr>
                <w:rFonts w:ascii="Times New Roman" w:eastAsia="Times New Roman" w:hAnsi="Times New Roman" w:cs="Times New Roman"/>
                <w:sz w:val="20"/>
                <w:lang w:eastAsia="lv-LV"/>
              </w:rPr>
              <w:t>04</w:t>
            </w:r>
            <w:r w:rsidR="00CE1908">
              <w:rPr>
                <w:rFonts w:ascii="Times New Roman" w:eastAsia="Times New Roman" w:hAnsi="Times New Roman" w:cs="Times New Roman"/>
                <w:sz w:val="20"/>
                <w:lang w:eastAsia="lv-LV"/>
              </w:rPr>
              <w:t>.03.2021</w:t>
            </w:r>
            <w:r w:rsidR="000F5839" w:rsidRPr="00184920">
              <w:rPr>
                <w:rFonts w:ascii="Times New Roman" w:eastAsia="Times New Roman" w:hAnsi="Times New Roman" w:cs="Times New Roman"/>
                <w:sz w:val="20"/>
                <w:lang w:eastAsia="lv-LV"/>
              </w:rPr>
              <w:t xml:space="preserve">, saskaņošana </w:t>
            </w:r>
            <w:r w:rsidR="00A43E65">
              <w:rPr>
                <w:rFonts w:ascii="Times New Roman" w:eastAsia="Times New Roman" w:hAnsi="Times New Roman" w:cs="Times New Roman"/>
                <w:sz w:val="20"/>
                <w:lang w:eastAsia="lv-LV"/>
              </w:rPr>
              <w:t>20.07</w:t>
            </w:r>
            <w:r w:rsidR="00CE1908">
              <w:rPr>
                <w:rFonts w:ascii="Times New Roman" w:eastAsia="Times New Roman" w:hAnsi="Times New Roman" w:cs="Times New Roman"/>
                <w:sz w:val="20"/>
                <w:lang w:eastAsia="lv-LV"/>
              </w:rPr>
              <w:t>.2021</w:t>
            </w:r>
            <w:r w:rsidR="00D27532" w:rsidRPr="00184920">
              <w:rPr>
                <w:rFonts w:ascii="Times New Roman" w:eastAsia="Times New Roman" w:hAnsi="Times New Roman" w:cs="Times New Roman"/>
                <w:sz w:val="20"/>
                <w:lang w:eastAsia="lv-LV"/>
              </w:rPr>
              <w:t>)</w:t>
            </w:r>
          </w:p>
        </w:tc>
      </w:tr>
      <w:tr w:rsidR="00022A62" w:rsidRPr="00184920" w14:paraId="424AF08E" w14:textId="77777777" w:rsidTr="0001655E">
        <w:trPr>
          <w:gridAfter w:val="1"/>
          <w:wAfter w:w="1425" w:type="dxa"/>
        </w:trPr>
        <w:tc>
          <w:tcPr>
            <w:tcW w:w="8505" w:type="dxa"/>
          </w:tcPr>
          <w:p w14:paraId="1E77719D"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5401" w:type="dxa"/>
            <w:gridSpan w:val="2"/>
            <w:tcBorders>
              <w:top w:val="single" w:sz="4" w:space="0" w:color="auto"/>
              <w:left w:val="nil"/>
              <w:bottom w:val="nil"/>
              <w:right w:val="nil"/>
            </w:tcBorders>
          </w:tcPr>
          <w:p w14:paraId="674E4F74"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r>
      <w:tr w:rsidR="00022A62" w:rsidRPr="00184920" w14:paraId="2E7B92C3" w14:textId="77777777" w:rsidTr="0001655E">
        <w:trPr>
          <w:gridAfter w:val="1"/>
          <w:wAfter w:w="1425" w:type="dxa"/>
        </w:trPr>
        <w:tc>
          <w:tcPr>
            <w:tcW w:w="8505" w:type="dxa"/>
            <w:hideMark/>
          </w:tcPr>
          <w:p w14:paraId="4FFB4224" w14:textId="77777777" w:rsidR="00022A62"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w:t>
            </w:r>
          </w:p>
        </w:tc>
        <w:tc>
          <w:tcPr>
            <w:tcW w:w="5401" w:type="dxa"/>
            <w:gridSpan w:val="2"/>
            <w:hideMark/>
          </w:tcPr>
          <w:p w14:paraId="75252EA6" w14:textId="0AE21B73" w:rsidR="00022A62" w:rsidRPr="00184920" w:rsidRDefault="009A1FED" w:rsidP="00D60CB6">
            <w:pPr>
              <w:spacing w:after="0" w:line="240" w:lineRule="auto"/>
              <w:jc w:val="both"/>
              <w:rPr>
                <w:rFonts w:ascii="Times New Roman" w:hAnsi="Times New Roman" w:cs="Times New Roman"/>
                <w:sz w:val="20"/>
                <w:highlight w:val="yellow"/>
              </w:rPr>
            </w:pPr>
            <w:r w:rsidRPr="00184920">
              <w:rPr>
                <w:rFonts w:ascii="Times New Roman" w:eastAsia="Times New Roman" w:hAnsi="Times New Roman" w:cs="Times New Roman"/>
                <w:sz w:val="20"/>
                <w:lang w:eastAsia="lv-LV"/>
              </w:rPr>
              <w:t>Tieslietu ministrij</w:t>
            </w:r>
            <w:r w:rsidR="00AB400A" w:rsidRPr="00184920">
              <w:rPr>
                <w:rFonts w:ascii="Times New Roman" w:eastAsia="Times New Roman" w:hAnsi="Times New Roman" w:cs="Times New Roman"/>
                <w:sz w:val="20"/>
                <w:lang w:eastAsia="lv-LV"/>
              </w:rPr>
              <w:t>a</w:t>
            </w:r>
            <w:r w:rsidR="00C9004D">
              <w:rPr>
                <w:rFonts w:ascii="Times New Roman" w:eastAsia="Times New Roman" w:hAnsi="Times New Roman" w:cs="Times New Roman"/>
                <w:sz w:val="20"/>
                <w:lang w:eastAsia="lv-LV"/>
              </w:rPr>
              <w:t>, Ekonomikas ministrija</w:t>
            </w:r>
          </w:p>
        </w:tc>
      </w:tr>
      <w:tr w:rsidR="00022A62" w:rsidRPr="00184920" w14:paraId="45EABC95" w14:textId="77777777" w:rsidTr="00586AD6">
        <w:trPr>
          <w:trHeight w:val="80"/>
        </w:trPr>
        <w:tc>
          <w:tcPr>
            <w:tcW w:w="8505" w:type="dxa"/>
          </w:tcPr>
          <w:p w14:paraId="55BA1170" w14:textId="77777777" w:rsidR="00022A62" w:rsidRPr="00184920" w:rsidRDefault="00022A62" w:rsidP="00D60CB6">
            <w:pPr>
              <w:spacing w:after="0" w:line="240" w:lineRule="auto"/>
              <w:rPr>
                <w:rFonts w:ascii="Times New Roman" w:eastAsia="Times New Roman" w:hAnsi="Times New Roman" w:cs="Times New Roman"/>
                <w:sz w:val="20"/>
                <w:lang w:eastAsia="lv-LV"/>
              </w:rPr>
            </w:pPr>
          </w:p>
        </w:tc>
        <w:tc>
          <w:tcPr>
            <w:tcW w:w="2694" w:type="dxa"/>
          </w:tcPr>
          <w:p w14:paraId="5E3BE448"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c>
          <w:tcPr>
            <w:tcW w:w="4132" w:type="dxa"/>
            <w:gridSpan w:val="2"/>
          </w:tcPr>
          <w:p w14:paraId="3AB17BE4"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p>
        </w:tc>
      </w:tr>
      <w:tr w:rsidR="00022A62" w:rsidRPr="00184920" w14:paraId="0ADEE738" w14:textId="77777777" w:rsidTr="00586AD6">
        <w:trPr>
          <w:trHeight w:val="501"/>
        </w:trPr>
        <w:tc>
          <w:tcPr>
            <w:tcW w:w="8505" w:type="dxa"/>
            <w:hideMark/>
          </w:tcPr>
          <w:p w14:paraId="59518967" w14:textId="77777777" w:rsidR="00022A62" w:rsidRPr="00184920" w:rsidRDefault="00022A62"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Saskaņošanas dalībnieki izskatīja šādu ministriju (citu institūciju) iebildumus</w:t>
            </w:r>
          </w:p>
        </w:tc>
        <w:tc>
          <w:tcPr>
            <w:tcW w:w="2694" w:type="dxa"/>
          </w:tcPr>
          <w:p w14:paraId="28111620" w14:textId="56E23F18" w:rsidR="00022A62" w:rsidRPr="00184920" w:rsidRDefault="00FE3047" w:rsidP="00D60CB6">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Tieslietu</w:t>
            </w:r>
            <w:r w:rsidR="00586AD6">
              <w:rPr>
                <w:rFonts w:ascii="Times New Roman" w:eastAsia="Times New Roman" w:hAnsi="Times New Roman" w:cs="Times New Roman"/>
                <w:sz w:val="20"/>
                <w:lang w:eastAsia="lv-LV"/>
              </w:rPr>
              <w:t xml:space="preserve"> </w:t>
            </w:r>
            <w:r>
              <w:rPr>
                <w:rFonts w:ascii="Times New Roman" w:eastAsia="Times New Roman" w:hAnsi="Times New Roman" w:cs="Times New Roman"/>
                <w:sz w:val="20"/>
                <w:lang w:eastAsia="lv-LV"/>
              </w:rPr>
              <w:t>ministrijas</w:t>
            </w:r>
          </w:p>
        </w:tc>
        <w:tc>
          <w:tcPr>
            <w:tcW w:w="4132" w:type="dxa"/>
            <w:gridSpan w:val="2"/>
            <w:hideMark/>
          </w:tcPr>
          <w:p w14:paraId="328A9E12" w14:textId="77777777" w:rsidR="00022A62" w:rsidRPr="00184920" w:rsidRDefault="00022A62" w:rsidP="00D60CB6">
            <w:pPr>
              <w:spacing w:after="0" w:line="240" w:lineRule="auto"/>
              <w:ind w:left="-87"/>
              <w:jc w:val="both"/>
              <w:rPr>
                <w:rFonts w:ascii="Times New Roman" w:eastAsia="Times New Roman" w:hAnsi="Times New Roman" w:cs="Times New Roman"/>
                <w:sz w:val="20"/>
                <w:lang w:eastAsia="lv-LV"/>
              </w:rPr>
            </w:pPr>
          </w:p>
        </w:tc>
      </w:tr>
      <w:tr w:rsidR="00022A62" w:rsidRPr="00184920" w14:paraId="206C1149" w14:textId="77777777" w:rsidTr="003B1A15">
        <w:trPr>
          <w:gridAfter w:val="1"/>
          <w:wAfter w:w="1425" w:type="dxa"/>
          <w:trHeight w:val="679"/>
        </w:trPr>
        <w:tc>
          <w:tcPr>
            <w:tcW w:w="8505" w:type="dxa"/>
            <w:hideMark/>
          </w:tcPr>
          <w:p w14:paraId="2458F82F" w14:textId="77777777" w:rsidR="00114194" w:rsidRPr="00184920" w:rsidRDefault="00022A62"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Ministrijas (citas institūcijas), kuras nav ieradušās uz sanāksmi vai kuras nav atbildējušas uz uzaicinājumu piedalīties elektroniskajā saskaņošanā</w:t>
            </w:r>
          </w:p>
        </w:tc>
        <w:tc>
          <w:tcPr>
            <w:tcW w:w="5401" w:type="dxa"/>
            <w:gridSpan w:val="2"/>
            <w:hideMark/>
          </w:tcPr>
          <w:p w14:paraId="0435D654" w14:textId="77777777" w:rsidR="00022A62" w:rsidRPr="00184920" w:rsidRDefault="004D66B7" w:rsidP="00D60CB6">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w:t>
            </w:r>
          </w:p>
        </w:tc>
      </w:tr>
    </w:tbl>
    <w:p w14:paraId="6CDFDCE8" w14:textId="77777777" w:rsidR="00022A62" w:rsidRPr="00184920" w:rsidRDefault="00A33F1F" w:rsidP="00D60CB6">
      <w:pPr>
        <w:pStyle w:val="naisf"/>
        <w:spacing w:before="0" w:after="0"/>
        <w:ind w:left="360" w:firstLine="0"/>
        <w:jc w:val="center"/>
        <w:rPr>
          <w:sz w:val="20"/>
          <w:szCs w:val="22"/>
        </w:rPr>
      </w:pPr>
      <w:r w:rsidRPr="00184920">
        <w:rPr>
          <w:sz w:val="20"/>
          <w:szCs w:val="22"/>
        </w:rPr>
        <w:t xml:space="preserve">II </w:t>
      </w:r>
      <w:r w:rsidR="00022A62" w:rsidRPr="00184920">
        <w:rPr>
          <w:sz w:val="20"/>
          <w:szCs w:val="22"/>
        </w:rPr>
        <w:t>Jautājumi, par kuriem saskaņošanā vienošanās ir panākta</w:t>
      </w:r>
    </w:p>
    <w:tbl>
      <w:tblPr>
        <w:tblW w:w="6255" w:type="pct"/>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850"/>
        <w:gridCol w:w="2547"/>
        <w:gridCol w:w="4817"/>
        <w:gridCol w:w="449"/>
        <w:gridCol w:w="2672"/>
        <w:gridCol w:w="3444"/>
        <w:gridCol w:w="405"/>
        <w:gridCol w:w="3216"/>
      </w:tblGrid>
      <w:tr w:rsidR="001A4587" w:rsidRPr="00184920" w14:paraId="687CD11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vAlign w:val="center"/>
            <w:hideMark/>
          </w:tcPr>
          <w:p w14:paraId="632AA3BE"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Nr. p.k.</w:t>
            </w:r>
          </w:p>
        </w:tc>
        <w:tc>
          <w:tcPr>
            <w:tcW w:w="692" w:type="pct"/>
            <w:tcBorders>
              <w:top w:val="single" w:sz="6" w:space="0" w:color="000000"/>
              <w:left w:val="single" w:sz="6" w:space="0" w:color="000000"/>
              <w:bottom w:val="single" w:sz="6" w:space="0" w:color="000000"/>
              <w:right w:val="single" w:sz="6" w:space="0" w:color="000000"/>
            </w:tcBorders>
            <w:vAlign w:val="center"/>
            <w:hideMark/>
          </w:tcPr>
          <w:p w14:paraId="75D8ACC7" w14:textId="77777777" w:rsidR="000239F9" w:rsidRPr="00184920" w:rsidRDefault="000239F9" w:rsidP="002C1589">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Saskaņošanai nosūtītā projekta redakcija (konkrēta punkta (panta) redakcija)</w:t>
            </w:r>
          </w:p>
        </w:tc>
        <w:tc>
          <w:tcPr>
            <w:tcW w:w="1309" w:type="pct"/>
            <w:tcBorders>
              <w:top w:val="single" w:sz="6" w:space="0" w:color="000000"/>
              <w:left w:val="single" w:sz="6" w:space="0" w:color="000000"/>
              <w:bottom w:val="single" w:sz="6" w:space="0" w:color="000000"/>
              <w:right w:val="single" w:sz="6" w:space="0" w:color="000000"/>
            </w:tcBorders>
            <w:vAlign w:val="center"/>
            <w:hideMark/>
          </w:tcPr>
          <w:p w14:paraId="146938B2" w14:textId="77777777" w:rsidR="000239F9" w:rsidRPr="00184920" w:rsidRDefault="000239F9" w:rsidP="00D60CB6">
            <w:pPr>
              <w:spacing w:after="0" w:line="240" w:lineRule="auto"/>
              <w:ind w:right="3"/>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Atzinumā norādītais ministrijas (citas institūcijas) iebildums, kā arī saskaņošanā papildus izteiktais iebildums par projekta konkrēto punktu (pantu)</w:t>
            </w:r>
          </w:p>
        </w:tc>
        <w:tc>
          <w:tcPr>
            <w:tcW w:w="848" w:type="pct"/>
            <w:gridSpan w:val="2"/>
            <w:tcBorders>
              <w:top w:val="single" w:sz="6" w:space="0" w:color="000000"/>
              <w:left w:val="single" w:sz="6" w:space="0" w:color="000000"/>
              <w:bottom w:val="single" w:sz="6" w:space="0" w:color="000000"/>
              <w:right w:val="single" w:sz="6" w:space="0" w:color="000000"/>
            </w:tcBorders>
            <w:vAlign w:val="center"/>
            <w:hideMark/>
          </w:tcPr>
          <w:p w14:paraId="23B0B57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Atbildīgās ministrijas norāde par to, ka iebildums ir ņemts vērā, vai informācija par saskaņošanā panākto alternatīvo risinājumu</w:t>
            </w:r>
          </w:p>
        </w:tc>
        <w:tc>
          <w:tcPr>
            <w:tcW w:w="936" w:type="pct"/>
            <w:tcBorders>
              <w:top w:val="single" w:sz="4" w:space="0" w:color="auto"/>
              <w:left w:val="single" w:sz="4" w:space="0" w:color="auto"/>
              <w:bottom w:val="single" w:sz="4" w:space="0" w:color="auto"/>
              <w:right w:val="single" w:sz="4" w:space="0" w:color="auto"/>
            </w:tcBorders>
            <w:vAlign w:val="center"/>
            <w:hideMark/>
          </w:tcPr>
          <w:p w14:paraId="4D2D9368"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Projekta attiecīgā punkta (panta) galīgā redakcija</w:t>
            </w:r>
          </w:p>
        </w:tc>
      </w:tr>
      <w:tr w:rsidR="001A4587" w:rsidRPr="00184920" w14:paraId="6F00A2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hideMark/>
          </w:tcPr>
          <w:p w14:paraId="176DAD02"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hideMark/>
          </w:tcPr>
          <w:p w14:paraId="6592D6CD" w14:textId="77777777" w:rsidR="000239F9" w:rsidRPr="00184920" w:rsidRDefault="000239F9" w:rsidP="00B7135E">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2</w:t>
            </w:r>
          </w:p>
        </w:tc>
        <w:tc>
          <w:tcPr>
            <w:tcW w:w="1309" w:type="pct"/>
            <w:tcBorders>
              <w:top w:val="single" w:sz="6" w:space="0" w:color="000000"/>
              <w:left w:val="single" w:sz="6" w:space="0" w:color="000000"/>
              <w:bottom w:val="single" w:sz="6" w:space="0" w:color="000000"/>
              <w:right w:val="single" w:sz="6" w:space="0" w:color="000000"/>
            </w:tcBorders>
            <w:hideMark/>
          </w:tcPr>
          <w:p w14:paraId="4D4775B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3</w:t>
            </w:r>
          </w:p>
        </w:tc>
        <w:tc>
          <w:tcPr>
            <w:tcW w:w="848" w:type="pct"/>
            <w:gridSpan w:val="2"/>
            <w:tcBorders>
              <w:top w:val="single" w:sz="6" w:space="0" w:color="000000"/>
              <w:left w:val="single" w:sz="6" w:space="0" w:color="000000"/>
              <w:bottom w:val="single" w:sz="6" w:space="0" w:color="000000"/>
              <w:right w:val="single" w:sz="6" w:space="0" w:color="000000"/>
            </w:tcBorders>
            <w:hideMark/>
          </w:tcPr>
          <w:p w14:paraId="497B3E33"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4</w:t>
            </w:r>
          </w:p>
        </w:tc>
        <w:tc>
          <w:tcPr>
            <w:tcW w:w="936" w:type="pct"/>
            <w:tcBorders>
              <w:top w:val="single" w:sz="4" w:space="0" w:color="auto"/>
              <w:left w:val="single" w:sz="4" w:space="0" w:color="auto"/>
              <w:bottom w:val="single" w:sz="4" w:space="0" w:color="auto"/>
              <w:right w:val="single" w:sz="4" w:space="0" w:color="auto"/>
            </w:tcBorders>
            <w:hideMark/>
          </w:tcPr>
          <w:p w14:paraId="180E1321" w14:textId="77777777" w:rsidR="000239F9" w:rsidRPr="00184920" w:rsidRDefault="000239F9" w:rsidP="00D60CB6">
            <w:pPr>
              <w:spacing w:after="0" w:line="240" w:lineRule="auto"/>
              <w:jc w:val="center"/>
              <w:rPr>
                <w:rFonts w:ascii="Times New Roman" w:eastAsia="Times New Roman" w:hAnsi="Times New Roman" w:cs="Times New Roman"/>
                <w:sz w:val="20"/>
                <w:szCs w:val="20"/>
                <w:lang w:eastAsia="lv-LV"/>
              </w:rPr>
            </w:pPr>
            <w:r w:rsidRPr="00184920">
              <w:rPr>
                <w:rFonts w:ascii="Times New Roman" w:eastAsia="Times New Roman" w:hAnsi="Times New Roman" w:cs="Times New Roman"/>
                <w:sz w:val="20"/>
                <w:szCs w:val="20"/>
                <w:lang w:eastAsia="lv-LV"/>
              </w:rPr>
              <w:t>5</w:t>
            </w:r>
          </w:p>
        </w:tc>
      </w:tr>
      <w:tr w:rsidR="0084387D" w:rsidRPr="00184920" w14:paraId="584C3F01"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C40EC33" w14:textId="69CF09D9" w:rsidR="0084387D" w:rsidRPr="00184920" w:rsidRDefault="0084387D" w:rsidP="008438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w:t>
            </w:r>
          </w:p>
        </w:tc>
        <w:tc>
          <w:tcPr>
            <w:tcW w:w="692" w:type="pct"/>
            <w:tcBorders>
              <w:top w:val="single" w:sz="6" w:space="0" w:color="000000"/>
              <w:left w:val="single" w:sz="6" w:space="0" w:color="000000"/>
              <w:bottom w:val="single" w:sz="6" w:space="0" w:color="000000"/>
              <w:right w:val="single" w:sz="6" w:space="0" w:color="000000"/>
            </w:tcBorders>
          </w:tcPr>
          <w:p w14:paraId="12360B26" w14:textId="77777777" w:rsidR="0084387D" w:rsidRPr="00BF1FE2" w:rsidRDefault="0084387D" w:rsidP="00E07AA0">
            <w:pPr>
              <w:pStyle w:val="NoSpacing"/>
              <w:widowControl/>
              <w:rPr>
                <w:rFonts w:eastAsia="Times New Roman"/>
                <w:color w:val="414142"/>
                <w:sz w:val="20"/>
                <w:szCs w:val="20"/>
                <w:lang w:eastAsia="lv-LV"/>
              </w:rPr>
            </w:pPr>
            <w:r w:rsidRPr="00BF1FE2">
              <w:rPr>
                <w:rFonts w:eastAsiaTheme="minorHAnsi"/>
                <w:b/>
                <w:bCs/>
                <w:sz w:val="20"/>
                <w:szCs w:val="20"/>
              </w:rPr>
              <w:t>7. pants. Prasības ieguldījumu brokeru sabiedrības akcionāriem (dalībniekiem)</w:t>
            </w:r>
          </w:p>
          <w:p w14:paraId="3E567D9B" w14:textId="77777777" w:rsidR="0084387D" w:rsidRPr="00BF1FE2" w:rsidRDefault="0084387D" w:rsidP="0084387D">
            <w:pPr>
              <w:pStyle w:val="NoSpacing"/>
              <w:widowControl/>
              <w:ind w:firstLine="720"/>
              <w:rPr>
                <w:rFonts w:eastAsiaTheme="minorHAnsi"/>
                <w:bCs/>
                <w:sz w:val="20"/>
                <w:szCs w:val="20"/>
              </w:rPr>
            </w:pPr>
            <w:r w:rsidRPr="00BF1FE2">
              <w:rPr>
                <w:rFonts w:eastAsiaTheme="minorHAnsi"/>
                <w:bCs/>
                <w:sz w:val="20"/>
                <w:szCs w:val="20"/>
              </w:rPr>
              <w:t>Ieguldījumu brokeru sabiedrības akcionāri (dalībnieki), kuriem ir būtiska līdzdalība, var būt tikai personas:</w:t>
            </w:r>
          </w:p>
          <w:p w14:paraId="171D841E" w14:textId="77777777" w:rsidR="0084387D" w:rsidRPr="00BF1FE2" w:rsidRDefault="0084387D" w:rsidP="0084387D">
            <w:pPr>
              <w:pStyle w:val="NoSpacing"/>
              <w:widowControl/>
              <w:ind w:firstLine="720"/>
              <w:rPr>
                <w:rFonts w:eastAsiaTheme="minorHAnsi"/>
                <w:bCs/>
                <w:sz w:val="20"/>
                <w:szCs w:val="20"/>
              </w:rPr>
            </w:pPr>
            <w:r w:rsidRPr="00BF1FE2">
              <w:rPr>
                <w:rFonts w:eastAsiaTheme="minorHAnsi"/>
                <w:bCs/>
                <w:sz w:val="20"/>
                <w:szCs w:val="20"/>
              </w:rPr>
              <w:lastRenderedPageBreak/>
              <w:t>1) kurām ir nevainojama reputācija;</w:t>
            </w:r>
          </w:p>
          <w:p w14:paraId="62624073" w14:textId="77777777" w:rsidR="0084387D" w:rsidRPr="00BF1FE2" w:rsidRDefault="0084387D" w:rsidP="0084387D">
            <w:pPr>
              <w:pStyle w:val="NoSpacing"/>
              <w:widowControl/>
              <w:ind w:firstLine="720"/>
              <w:rPr>
                <w:rFonts w:eastAsiaTheme="minorHAnsi"/>
                <w:bCs/>
                <w:sz w:val="20"/>
                <w:szCs w:val="20"/>
              </w:rPr>
            </w:pPr>
            <w:r w:rsidRPr="00BF1FE2">
              <w:rPr>
                <w:rFonts w:eastAsiaTheme="minorHAnsi"/>
                <w:bCs/>
                <w:sz w:val="20"/>
                <w:szCs w:val="20"/>
              </w:rPr>
              <w:t xml:space="preserve">2) kurām ir </w:t>
            </w:r>
            <w:r w:rsidRPr="00BF1FE2">
              <w:rPr>
                <w:rFonts w:eastAsiaTheme="minorHAnsi"/>
                <w:bCs/>
                <w:sz w:val="20"/>
                <w:szCs w:val="20"/>
                <w:u w:val="single"/>
              </w:rPr>
              <w:t>finansiālā stabilitāte</w:t>
            </w:r>
            <w:r w:rsidRPr="00BF1FE2">
              <w:rPr>
                <w:rFonts w:eastAsiaTheme="minorHAnsi"/>
                <w:bCs/>
                <w:sz w:val="20"/>
                <w:szCs w:val="20"/>
              </w:rPr>
              <w:t xml:space="preserve"> un kuru finanšu līdzekļu ieguves tiesiskumu iespējams dokumentāri pierādīt. Izvērtējot akcionāru (dalībnieku) finansiālo stabilitāti, ja persona nav kredītiestāde vai apdrošināšanas sabiedrība, ņem vērā, vai personai ir </w:t>
            </w:r>
            <w:r w:rsidRPr="00BF1FE2">
              <w:rPr>
                <w:rFonts w:eastAsiaTheme="minorHAnsi"/>
                <w:bCs/>
                <w:sz w:val="20"/>
                <w:szCs w:val="20"/>
                <w:u w:val="single"/>
              </w:rPr>
              <w:t>pietiekams brīvais kapitāls</w:t>
            </w:r>
            <w:r w:rsidRPr="00BF1FE2">
              <w:rPr>
                <w:rFonts w:eastAsiaTheme="minorHAnsi"/>
                <w:bCs/>
                <w:sz w:val="20"/>
                <w:szCs w:val="20"/>
              </w:rPr>
              <w:t>;</w:t>
            </w:r>
          </w:p>
          <w:p w14:paraId="41B23666" w14:textId="74918032" w:rsidR="0084387D" w:rsidRPr="00C71DE2" w:rsidRDefault="0084387D" w:rsidP="0084387D">
            <w:pPr>
              <w:pStyle w:val="NoSpacing"/>
              <w:widowControl/>
              <w:ind w:firstLine="720"/>
              <w:rPr>
                <w:rFonts w:eastAsiaTheme="minorHAnsi"/>
                <w:bCs/>
                <w:sz w:val="20"/>
                <w:szCs w:val="20"/>
              </w:rPr>
            </w:pPr>
            <w:r w:rsidRPr="00BF1FE2">
              <w:rPr>
                <w:rFonts w:eastAsiaTheme="minorHAnsi"/>
                <w:bCs/>
                <w:sz w:val="20"/>
                <w:szCs w:val="20"/>
              </w:rPr>
              <w:t>3) kuras iespējams identificēt.</w:t>
            </w:r>
          </w:p>
        </w:tc>
        <w:tc>
          <w:tcPr>
            <w:tcW w:w="1309" w:type="pct"/>
            <w:tcBorders>
              <w:top w:val="single" w:sz="6" w:space="0" w:color="000000"/>
              <w:left w:val="single" w:sz="6" w:space="0" w:color="000000"/>
              <w:bottom w:val="single" w:sz="6" w:space="0" w:color="000000"/>
              <w:right w:val="single" w:sz="6" w:space="0" w:color="000000"/>
            </w:tcBorders>
          </w:tcPr>
          <w:p w14:paraId="6CDDB7AD" w14:textId="54F43915" w:rsidR="0084387D" w:rsidRPr="00184920" w:rsidRDefault="0084387D" w:rsidP="0084387D">
            <w:pPr>
              <w:spacing w:after="0" w:line="240" w:lineRule="auto"/>
              <w:jc w:val="both"/>
              <w:rPr>
                <w:rFonts w:ascii="Times New Roman" w:eastAsia="Times New Roman" w:hAnsi="Times New Roman" w:cs="Times New Roman"/>
                <w:sz w:val="20"/>
                <w:szCs w:val="20"/>
                <w:lang w:eastAsia="lv-LV"/>
              </w:rPr>
            </w:pPr>
            <w:r w:rsidRPr="0084387D">
              <w:rPr>
                <w:rFonts w:ascii="Times New Roman" w:eastAsia="Times New Roman" w:hAnsi="Times New Roman" w:cs="Times New Roman"/>
                <w:b/>
                <w:bCs/>
                <w:sz w:val="20"/>
                <w:szCs w:val="20"/>
              </w:rPr>
              <w:lastRenderedPageBreak/>
              <w:t>Iebildums.</w:t>
            </w:r>
            <w:r w:rsidRPr="0084387D">
              <w:rPr>
                <w:rFonts w:ascii="Times New Roman" w:eastAsia="Times New Roman" w:hAnsi="Times New Roman" w:cs="Times New Roman"/>
                <w:sz w:val="20"/>
                <w:szCs w:val="20"/>
              </w:rPr>
              <w:t xml:space="preserve"> </w:t>
            </w:r>
            <w:r w:rsidRPr="0084387D">
              <w:rPr>
                <w:rFonts w:ascii="Times New Roman" w:hAnsi="Times New Roman" w:cs="Times New Roman"/>
                <w:sz w:val="20"/>
                <w:szCs w:val="20"/>
              </w:rPr>
              <w:t>Likumprojekta 7. pantā noteikts, ka par ieguldījumu brokeru sabiedrības akcionāriem (dalībniekiem), kuriem ir būtiska līdzdalība, var būt tikai personas, kurām ir “</w:t>
            </w:r>
            <w:r w:rsidRPr="0084387D">
              <w:rPr>
                <w:rFonts w:ascii="Times New Roman" w:hAnsi="Times New Roman" w:cs="Times New Roman"/>
                <w:i/>
                <w:iCs/>
                <w:sz w:val="20"/>
                <w:szCs w:val="20"/>
              </w:rPr>
              <w:t>finansiālā stabilitāte</w:t>
            </w:r>
            <w:r w:rsidRPr="0084387D">
              <w:rPr>
                <w:rFonts w:ascii="Times New Roman" w:hAnsi="Times New Roman" w:cs="Times New Roman"/>
                <w:sz w:val="20"/>
                <w:szCs w:val="20"/>
              </w:rPr>
              <w:t>” un “</w:t>
            </w:r>
            <w:r w:rsidRPr="0084387D">
              <w:rPr>
                <w:rFonts w:ascii="Times New Roman" w:hAnsi="Times New Roman" w:cs="Times New Roman"/>
                <w:i/>
                <w:iCs/>
                <w:sz w:val="20"/>
                <w:szCs w:val="20"/>
              </w:rPr>
              <w:t>pietiekams brīvais kapitāls</w:t>
            </w:r>
            <w:r w:rsidRPr="0084387D">
              <w:rPr>
                <w:rFonts w:ascii="Times New Roman" w:hAnsi="Times New Roman" w:cs="Times New Roman"/>
                <w:sz w:val="20"/>
                <w:szCs w:val="20"/>
              </w:rPr>
              <w:t>”, taču ne likumprojektā, ne anotācijā nav skaidrota šo jēdzienu izpratne. Lūdzam anotācijā skaidrot, kāds brīvais kapitāls tiek uzskatīts par pietiekamu, un ar ko tiek saprasta “finansiālā stabilitāte”.</w:t>
            </w:r>
          </w:p>
        </w:tc>
        <w:tc>
          <w:tcPr>
            <w:tcW w:w="848" w:type="pct"/>
            <w:gridSpan w:val="2"/>
            <w:tcBorders>
              <w:top w:val="single" w:sz="6" w:space="0" w:color="000000"/>
              <w:left w:val="single" w:sz="6" w:space="0" w:color="000000"/>
              <w:bottom w:val="single" w:sz="6" w:space="0" w:color="000000"/>
              <w:right w:val="single" w:sz="6" w:space="0" w:color="000000"/>
            </w:tcBorders>
          </w:tcPr>
          <w:p w14:paraId="10DC52C6" w14:textId="471DFF17" w:rsidR="0084387D" w:rsidRPr="0084387D" w:rsidRDefault="00E84415" w:rsidP="0084387D">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Iebildums ņemts vērā. </w:t>
            </w:r>
            <w:r w:rsidR="0084387D" w:rsidRPr="0084387D">
              <w:rPr>
                <w:rFonts w:ascii="Times New Roman" w:hAnsi="Times New Roman" w:cs="Times New Roman"/>
                <w:b/>
                <w:bCs/>
                <w:sz w:val="20"/>
                <w:szCs w:val="20"/>
              </w:rPr>
              <w:t>Sniedzam skaidrojumu.</w:t>
            </w:r>
            <w:r w:rsidR="0084387D" w:rsidRPr="0084387D">
              <w:rPr>
                <w:rFonts w:ascii="Times New Roman" w:hAnsi="Times New Roman" w:cs="Times New Roman"/>
                <w:sz w:val="20"/>
                <w:szCs w:val="20"/>
              </w:rPr>
              <w:t xml:space="preserve"> Vēršam uzmanību, ka iebildumā minētā “finansiālās stabilitātes” un “brīvā kapitāla” jēdzienu izpratnes trūkums ir vērtējams ņemot vērā finanšu nozari regulējošajos normatīvajos aktos noteikto, proti, Finanšu instrumentu tirgus likuma 1. panta pirmās daļas 65. punktā sniegto brīvā kapitāla </w:t>
            </w:r>
            <w:r w:rsidR="0084387D" w:rsidRPr="0084387D">
              <w:rPr>
                <w:rFonts w:ascii="Times New Roman" w:hAnsi="Times New Roman" w:cs="Times New Roman"/>
                <w:sz w:val="20"/>
                <w:szCs w:val="20"/>
              </w:rPr>
              <w:lastRenderedPageBreak/>
              <w:t xml:space="preserve">termina skaidrojumu (t.i. personai piederošo aktīvu vērtība, kas samazināta par šīs personas saistību vērtību un to aktīvu vērtību, kuri uzskatāmi par ilgtermiņa ieguldījumiem), kā arī ievērojot Finanšu un kapitāla tirgus komisijas 14.07.2020. normatīvo noteikumu Nr. 92 </w:t>
            </w:r>
            <w:r>
              <w:rPr>
                <w:rFonts w:ascii="Times New Roman" w:hAnsi="Times New Roman" w:cs="Times New Roman"/>
                <w:sz w:val="20"/>
                <w:szCs w:val="20"/>
              </w:rPr>
              <w:t>“</w:t>
            </w:r>
            <w:r w:rsidR="0084387D" w:rsidRPr="0084387D">
              <w:rPr>
                <w:rFonts w:ascii="Times New Roman" w:hAnsi="Times New Roman" w:cs="Times New Roman"/>
                <w:sz w:val="20"/>
                <w:szCs w:val="20"/>
              </w:rPr>
              <w:t>Paziņojumam par būtiskas līdzdalības iegūšanu vai palielināšanu pievienojamās informācijas saraksts un paziņojuma izskatīšanas galvenie principi un kārtība</w:t>
            </w:r>
            <w:r>
              <w:rPr>
                <w:rFonts w:ascii="Times New Roman" w:hAnsi="Times New Roman" w:cs="Times New Roman"/>
                <w:sz w:val="20"/>
                <w:szCs w:val="20"/>
              </w:rPr>
              <w:t>”</w:t>
            </w:r>
            <w:r w:rsidR="0084387D" w:rsidRPr="0084387D">
              <w:rPr>
                <w:rFonts w:ascii="Times New Roman" w:hAnsi="Times New Roman" w:cs="Times New Roman"/>
                <w:sz w:val="20"/>
                <w:szCs w:val="20"/>
              </w:rPr>
              <w:t xml:space="preserve"> 22. pun</w:t>
            </w:r>
            <w:r w:rsidR="009D6E83">
              <w:rPr>
                <w:rFonts w:ascii="Times New Roman" w:hAnsi="Times New Roman" w:cs="Times New Roman"/>
                <w:sz w:val="20"/>
                <w:szCs w:val="20"/>
              </w:rPr>
              <w:t>k</w:t>
            </w:r>
            <w:r w:rsidR="0084387D" w:rsidRPr="0084387D">
              <w:rPr>
                <w:rFonts w:ascii="Times New Roman" w:hAnsi="Times New Roman" w:cs="Times New Roman"/>
                <w:sz w:val="20"/>
                <w:szCs w:val="20"/>
              </w:rPr>
              <w:t xml:space="preserve">tā noteiktos galvenos principus (tostarp, ja persona iegūst kontroli pār finanšu institūciju, finanšu stabilitātes </w:t>
            </w:r>
            <w:proofErr w:type="spellStart"/>
            <w:r w:rsidR="0084387D" w:rsidRPr="0084387D">
              <w:rPr>
                <w:rFonts w:ascii="Times New Roman" w:hAnsi="Times New Roman" w:cs="Times New Roman"/>
                <w:sz w:val="20"/>
                <w:szCs w:val="20"/>
              </w:rPr>
              <w:t>izvērtējumā</w:t>
            </w:r>
            <w:proofErr w:type="spellEnd"/>
            <w:r w:rsidR="0084387D" w:rsidRPr="0084387D">
              <w:rPr>
                <w:rFonts w:ascii="Times New Roman" w:hAnsi="Times New Roman" w:cs="Times New Roman"/>
                <w:sz w:val="20"/>
                <w:szCs w:val="20"/>
              </w:rPr>
              <w:t xml:space="preserve"> ņem vērā personas spēju nepieciešamības gadījumā nodrošināt papildu kapitālu finanšu institūcijai vidējā termiņā) un IX. </w:t>
            </w:r>
            <w:r w:rsidRPr="0084387D">
              <w:rPr>
                <w:rFonts w:ascii="Times New Roman" w:hAnsi="Times New Roman" w:cs="Times New Roman"/>
                <w:sz w:val="20"/>
                <w:szCs w:val="20"/>
              </w:rPr>
              <w:t>N</w:t>
            </w:r>
            <w:r w:rsidR="0084387D" w:rsidRPr="0084387D">
              <w:rPr>
                <w:rFonts w:ascii="Times New Roman" w:hAnsi="Times New Roman" w:cs="Times New Roman"/>
                <w:sz w:val="20"/>
                <w:szCs w:val="20"/>
              </w:rPr>
              <w:t xml:space="preserve">odaļā noteikto līdzdalības ieguvēja finanšu stabilitātes </w:t>
            </w:r>
            <w:proofErr w:type="spellStart"/>
            <w:r w:rsidR="0084387D" w:rsidRPr="0084387D">
              <w:rPr>
                <w:rFonts w:ascii="Times New Roman" w:hAnsi="Times New Roman" w:cs="Times New Roman"/>
                <w:sz w:val="20"/>
                <w:szCs w:val="20"/>
              </w:rPr>
              <w:t>izvērtējuma</w:t>
            </w:r>
            <w:proofErr w:type="spellEnd"/>
            <w:r w:rsidR="0084387D" w:rsidRPr="0084387D">
              <w:rPr>
                <w:rFonts w:ascii="Times New Roman" w:hAnsi="Times New Roman" w:cs="Times New Roman"/>
                <w:sz w:val="20"/>
                <w:szCs w:val="20"/>
              </w:rPr>
              <w:t xml:space="preserve"> kārtību (tostarp, šo noteikumu 52. punktā minēto, ka Finanšu un kapitāla tirgus komisija, ņemot vērā personas un līdzdalības iegūšanas veidu, izvērtē, vai persona ir pietiekami finansiāli stabila, lai nodrošinātu finanšu institūcijas stabilu un piesardzīgu pārvaldību pārskatāmā nākotnē (trīs gadus). Jēdzieni “finansiālā stabilitāte” un “brīvais kapitāls” faktiski tiek lietoti kā viens otru paskaidrojoši, jo izvērtējot akcionāru (dalībnieku) finansiālo stabilitāti ņem vērā, vai personai ir pietiekams brīvais kapitāls atbilstoši Likumprojekta 7. panta 2. punktā noteiktajam.</w:t>
            </w:r>
          </w:p>
        </w:tc>
        <w:tc>
          <w:tcPr>
            <w:tcW w:w="936" w:type="pct"/>
            <w:tcBorders>
              <w:top w:val="single" w:sz="4" w:space="0" w:color="auto"/>
              <w:left w:val="single" w:sz="4" w:space="0" w:color="auto"/>
              <w:bottom w:val="single" w:sz="4" w:space="0" w:color="auto"/>
              <w:right w:val="single" w:sz="4" w:space="0" w:color="auto"/>
            </w:tcBorders>
          </w:tcPr>
          <w:p w14:paraId="1304E3E0" w14:textId="77777777" w:rsidR="0084387D" w:rsidRPr="00E84415" w:rsidRDefault="00E84415" w:rsidP="00E84415">
            <w:pPr>
              <w:spacing w:after="0" w:line="240" w:lineRule="auto"/>
              <w:jc w:val="both"/>
              <w:rPr>
                <w:rFonts w:ascii="Times New Roman" w:hAnsi="Times New Roman" w:cs="Times New Roman"/>
                <w:sz w:val="20"/>
                <w:szCs w:val="20"/>
              </w:rPr>
            </w:pPr>
            <w:r w:rsidRPr="00E84415">
              <w:rPr>
                <w:rFonts w:ascii="Times New Roman" w:hAnsi="Times New Roman" w:cs="Times New Roman"/>
                <w:sz w:val="20"/>
                <w:szCs w:val="20"/>
              </w:rPr>
              <w:lastRenderedPageBreak/>
              <w:t>Papildināts anotācijas I sadaļas 2.punkts:</w:t>
            </w:r>
          </w:p>
          <w:p w14:paraId="4119C503" w14:textId="77777777" w:rsidR="00E84415" w:rsidRPr="00E84415" w:rsidRDefault="00E84415" w:rsidP="00E84415">
            <w:pPr>
              <w:spacing w:after="0" w:line="240" w:lineRule="auto"/>
              <w:jc w:val="both"/>
              <w:rPr>
                <w:rFonts w:ascii="Times New Roman" w:hAnsi="Times New Roman" w:cs="Times New Roman"/>
                <w:sz w:val="20"/>
                <w:szCs w:val="20"/>
              </w:rPr>
            </w:pPr>
          </w:p>
          <w:p w14:paraId="6F603132" w14:textId="27DDFEFB" w:rsidR="00E84415" w:rsidRPr="00E84415" w:rsidRDefault="009D6E83" w:rsidP="00E84415">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Likumprojekta 7.pants</w:t>
            </w:r>
            <w:r w:rsidR="00E84415" w:rsidRPr="00E84415">
              <w:rPr>
                <w:rFonts w:ascii="Times New Roman" w:hAnsi="Times New Roman" w:cs="Times New Roman"/>
                <w:sz w:val="20"/>
                <w:szCs w:val="20"/>
              </w:rPr>
              <w:t xml:space="preserve"> paredz, ka </w:t>
            </w:r>
            <w:r w:rsidRPr="009D6E83">
              <w:rPr>
                <w:rFonts w:ascii="Times New Roman" w:hAnsi="Times New Roman" w:cs="Times New Roman"/>
                <w:sz w:val="20"/>
                <w:szCs w:val="20"/>
              </w:rPr>
              <w:t>akcionāri</w:t>
            </w:r>
            <w:r>
              <w:rPr>
                <w:rFonts w:ascii="Times New Roman" w:hAnsi="Times New Roman" w:cs="Times New Roman"/>
                <w:sz w:val="20"/>
                <w:szCs w:val="20"/>
              </w:rPr>
              <w:t>em</w:t>
            </w:r>
            <w:r w:rsidRPr="009D6E83">
              <w:rPr>
                <w:rFonts w:ascii="Times New Roman" w:hAnsi="Times New Roman" w:cs="Times New Roman"/>
                <w:sz w:val="20"/>
                <w:szCs w:val="20"/>
              </w:rPr>
              <w:t xml:space="preserve"> (dalībnieki</w:t>
            </w:r>
            <w:r>
              <w:rPr>
                <w:rFonts w:ascii="Times New Roman" w:hAnsi="Times New Roman" w:cs="Times New Roman"/>
                <w:sz w:val="20"/>
                <w:szCs w:val="20"/>
              </w:rPr>
              <w:t>em</w:t>
            </w:r>
            <w:r w:rsidRPr="009D6E83">
              <w:rPr>
                <w:rFonts w:ascii="Times New Roman" w:hAnsi="Times New Roman" w:cs="Times New Roman"/>
                <w:sz w:val="20"/>
                <w:szCs w:val="20"/>
              </w:rPr>
              <w:t>)</w:t>
            </w:r>
            <w:r w:rsidR="00E84415" w:rsidRPr="00E84415">
              <w:rPr>
                <w:rFonts w:ascii="Times New Roman" w:hAnsi="Times New Roman" w:cs="Times New Roman"/>
                <w:sz w:val="20"/>
                <w:szCs w:val="20"/>
              </w:rPr>
              <w:t>, kur</w:t>
            </w:r>
            <w:r>
              <w:rPr>
                <w:rFonts w:ascii="Times New Roman" w:hAnsi="Times New Roman" w:cs="Times New Roman"/>
                <w:sz w:val="20"/>
                <w:szCs w:val="20"/>
              </w:rPr>
              <w:t>iem ir būtiska līdzdalība ieguldījumu brokeru sabiedrībā</w:t>
            </w:r>
            <w:r w:rsidR="00E84415" w:rsidRPr="00E84415">
              <w:rPr>
                <w:rFonts w:ascii="Times New Roman" w:hAnsi="Times New Roman" w:cs="Times New Roman"/>
                <w:sz w:val="20"/>
                <w:szCs w:val="20"/>
              </w:rPr>
              <w:t xml:space="preserve">, ir nepieciešama </w:t>
            </w:r>
            <w:r>
              <w:rPr>
                <w:rFonts w:ascii="Times New Roman" w:hAnsi="Times New Roman" w:cs="Times New Roman"/>
                <w:sz w:val="20"/>
                <w:szCs w:val="20"/>
              </w:rPr>
              <w:t>finansiālā stabilitāte</w:t>
            </w:r>
            <w:r w:rsidR="00E84415" w:rsidRPr="00E84415">
              <w:rPr>
                <w:rFonts w:ascii="Times New Roman" w:hAnsi="Times New Roman" w:cs="Times New Roman"/>
                <w:sz w:val="20"/>
                <w:szCs w:val="20"/>
              </w:rPr>
              <w:t xml:space="preserve"> un </w:t>
            </w:r>
            <w:r>
              <w:rPr>
                <w:rFonts w:ascii="Times New Roman" w:hAnsi="Times New Roman" w:cs="Times New Roman"/>
                <w:sz w:val="20"/>
                <w:szCs w:val="20"/>
              </w:rPr>
              <w:t xml:space="preserve">pietiekams </w:t>
            </w:r>
            <w:r w:rsidR="00E84415" w:rsidRPr="00E84415">
              <w:rPr>
                <w:rFonts w:ascii="Times New Roman" w:hAnsi="Times New Roman" w:cs="Times New Roman"/>
                <w:sz w:val="20"/>
                <w:szCs w:val="20"/>
              </w:rPr>
              <w:t>brīvais kapitāls</w:t>
            </w:r>
            <w:r w:rsidR="00024275">
              <w:rPr>
                <w:rFonts w:ascii="Times New Roman" w:hAnsi="Times New Roman" w:cs="Times New Roman"/>
                <w:sz w:val="20"/>
                <w:szCs w:val="20"/>
              </w:rPr>
              <w:t>.</w:t>
            </w:r>
            <w:r w:rsidR="00E84415" w:rsidRPr="00E84415">
              <w:rPr>
                <w:rFonts w:ascii="Times New Roman" w:hAnsi="Times New Roman" w:cs="Times New Roman"/>
                <w:sz w:val="20"/>
                <w:szCs w:val="20"/>
              </w:rPr>
              <w:t xml:space="preserve"> </w:t>
            </w:r>
            <w:r w:rsidR="00024275" w:rsidRPr="0084387D">
              <w:rPr>
                <w:rFonts w:ascii="Times New Roman" w:hAnsi="Times New Roman" w:cs="Times New Roman"/>
                <w:sz w:val="20"/>
                <w:szCs w:val="20"/>
              </w:rPr>
              <w:t>Jēdzieni “finansiālā stabilitāte” un “brīvais kapitāls” faktiski tiek lietoti</w:t>
            </w:r>
            <w:r w:rsidR="00A34542">
              <w:rPr>
                <w:rFonts w:ascii="Times New Roman" w:hAnsi="Times New Roman" w:cs="Times New Roman"/>
                <w:sz w:val="20"/>
                <w:szCs w:val="20"/>
              </w:rPr>
              <w:t xml:space="preserve"> finanšu nozares normatīvajos aktos</w:t>
            </w:r>
            <w:r w:rsidR="00024275">
              <w:rPr>
                <w:rFonts w:ascii="Times New Roman" w:hAnsi="Times New Roman" w:cs="Times New Roman"/>
                <w:sz w:val="20"/>
                <w:szCs w:val="20"/>
              </w:rPr>
              <w:t xml:space="preserve">, </w:t>
            </w:r>
            <w:r>
              <w:rPr>
                <w:rFonts w:ascii="Times New Roman" w:hAnsi="Times New Roman" w:cs="Times New Roman"/>
                <w:sz w:val="20"/>
                <w:szCs w:val="20"/>
              </w:rPr>
              <w:lastRenderedPageBreak/>
              <w:t>proti,</w:t>
            </w:r>
            <w:r w:rsidR="00024275">
              <w:rPr>
                <w:rFonts w:ascii="Times New Roman" w:hAnsi="Times New Roman" w:cs="Times New Roman"/>
                <w:sz w:val="20"/>
                <w:szCs w:val="20"/>
              </w:rPr>
              <w:t xml:space="preserve"> finansiālo stabilitāti un pietiekami brīvo kapitālu saprotot kā</w:t>
            </w:r>
            <w:r w:rsidR="00E84415" w:rsidRPr="00E84415">
              <w:rPr>
                <w:rFonts w:ascii="Times New Roman" w:hAnsi="Times New Roman" w:cs="Times New Roman"/>
                <w:sz w:val="20"/>
                <w:szCs w:val="20"/>
              </w:rPr>
              <w:t xml:space="preserve"> kapitāl</w:t>
            </w:r>
            <w:r w:rsidR="00024275">
              <w:rPr>
                <w:rFonts w:ascii="Times New Roman" w:hAnsi="Times New Roman" w:cs="Times New Roman"/>
                <w:sz w:val="20"/>
                <w:szCs w:val="20"/>
              </w:rPr>
              <w:t>a kopumu</w:t>
            </w:r>
            <w:r w:rsidR="00E84415" w:rsidRPr="00E84415">
              <w:rPr>
                <w:rFonts w:ascii="Times New Roman" w:hAnsi="Times New Roman" w:cs="Times New Roman"/>
                <w:sz w:val="20"/>
                <w:szCs w:val="20"/>
              </w:rPr>
              <w:t xml:space="preserve">, </w:t>
            </w:r>
            <w:r>
              <w:rPr>
                <w:rFonts w:ascii="Times New Roman" w:hAnsi="Times New Roman" w:cs="Times New Roman"/>
                <w:sz w:val="20"/>
                <w:szCs w:val="20"/>
              </w:rPr>
              <w:t>kuru</w:t>
            </w:r>
            <w:r w:rsidR="00E84415" w:rsidRPr="00E84415">
              <w:rPr>
                <w:rFonts w:ascii="Times New Roman" w:hAnsi="Times New Roman" w:cs="Times New Roman"/>
                <w:sz w:val="20"/>
                <w:szCs w:val="20"/>
              </w:rPr>
              <w:t xml:space="preserve"> nepieciešamības gadījumā </w:t>
            </w:r>
            <w:r>
              <w:rPr>
                <w:rFonts w:ascii="Times New Roman" w:hAnsi="Times New Roman" w:cs="Times New Roman"/>
                <w:sz w:val="20"/>
                <w:szCs w:val="20"/>
              </w:rPr>
              <w:t>akcionārs(dalībnieks)</w:t>
            </w:r>
            <w:r w:rsidR="00E84415" w:rsidRPr="00E84415">
              <w:rPr>
                <w:rFonts w:ascii="Times New Roman" w:hAnsi="Times New Roman" w:cs="Times New Roman"/>
                <w:sz w:val="20"/>
                <w:szCs w:val="20"/>
              </w:rPr>
              <w:t xml:space="preserve"> spētu </w:t>
            </w:r>
            <w:r>
              <w:rPr>
                <w:rFonts w:ascii="Times New Roman" w:hAnsi="Times New Roman" w:cs="Times New Roman"/>
                <w:sz w:val="20"/>
                <w:szCs w:val="20"/>
              </w:rPr>
              <w:t>papildus ieguldīt</w:t>
            </w:r>
            <w:r w:rsidR="00E84415" w:rsidRPr="00E84415">
              <w:rPr>
                <w:rFonts w:ascii="Times New Roman" w:hAnsi="Times New Roman" w:cs="Times New Roman"/>
                <w:sz w:val="20"/>
                <w:szCs w:val="20"/>
              </w:rPr>
              <w:t xml:space="preserve"> </w:t>
            </w:r>
            <w:r>
              <w:rPr>
                <w:rFonts w:ascii="Times New Roman" w:hAnsi="Times New Roman" w:cs="Times New Roman"/>
                <w:sz w:val="20"/>
                <w:szCs w:val="20"/>
              </w:rPr>
              <w:t>ieguldījumu brokeru sabiedrības</w:t>
            </w:r>
            <w:r w:rsidR="00A34542">
              <w:rPr>
                <w:rFonts w:ascii="Times New Roman" w:hAnsi="Times New Roman" w:cs="Times New Roman"/>
                <w:sz w:val="20"/>
                <w:szCs w:val="20"/>
              </w:rPr>
              <w:t xml:space="preserve"> darbības nodrošināšanai vai</w:t>
            </w:r>
            <w:r w:rsidR="00E84415" w:rsidRPr="00E84415">
              <w:rPr>
                <w:rFonts w:ascii="Times New Roman" w:hAnsi="Times New Roman" w:cs="Times New Roman"/>
                <w:sz w:val="20"/>
                <w:szCs w:val="20"/>
              </w:rPr>
              <w:t xml:space="preserve"> kapitāla atjaunošanai.</w:t>
            </w:r>
            <w:r>
              <w:rPr>
                <w:rFonts w:ascii="Times New Roman" w:hAnsi="Times New Roman" w:cs="Times New Roman"/>
                <w:sz w:val="20"/>
                <w:szCs w:val="20"/>
              </w:rPr>
              <w:t xml:space="preserve"> </w:t>
            </w:r>
          </w:p>
        </w:tc>
      </w:tr>
      <w:tr w:rsidR="0084387D" w:rsidRPr="00184920" w14:paraId="19A137AF" w14:textId="77777777" w:rsidTr="007D721A">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91E029D" w14:textId="5EB9C1C3" w:rsidR="0084387D" w:rsidRPr="00184920" w:rsidRDefault="0084387D" w:rsidP="008438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w:t>
            </w:r>
          </w:p>
        </w:tc>
        <w:tc>
          <w:tcPr>
            <w:tcW w:w="692" w:type="pct"/>
            <w:tcBorders>
              <w:top w:val="single" w:sz="6" w:space="0" w:color="000000"/>
              <w:left w:val="single" w:sz="6" w:space="0" w:color="000000"/>
              <w:bottom w:val="single" w:sz="6" w:space="0" w:color="000000"/>
              <w:right w:val="single" w:sz="6" w:space="0" w:color="000000"/>
            </w:tcBorders>
            <w:vAlign w:val="center"/>
          </w:tcPr>
          <w:p w14:paraId="0BF2A63C" w14:textId="77777777" w:rsidR="0084387D" w:rsidRPr="00BF1FE2" w:rsidRDefault="0084387D" w:rsidP="0084387D">
            <w:pPr>
              <w:pStyle w:val="NoSpacing"/>
              <w:widowControl/>
              <w:rPr>
                <w:rFonts w:eastAsiaTheme="minorHAnsi"/>
                <w:b/>
                <w:bCs/>
                <w:sz w:val="20"/>
                <w:szCs w:val="20"/>
              </w:rPr>
            </w:pPr>
            <w:r w:rsidRPr="00BF1FE2">
              <w:rPr>
                <w:rFonts w:eastAsiaTheme="minorHAnsi"/>
                <w:b/>
                <w:bCs/>
                <w:sz w:val="20"/>
                <w:szCs w:val="20"/>
              </w:rPr>
              <w:t>8. pants. Prasības ieguldījumu brokeru sabiedrības amatpersonām</w:t>
            </w:r>
          </w:p>
          <w:p w14:paraId="76DFFED2"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 xml:space="preserve">(1) Par ieguldījumu brokeru sabiedrības valdes priekšsēdētāju, valdes locekli, iekšējā audita dienesta vadītāju, risku direktoru, par darbības atbilstības kontroli atbildīgo personu, sabiedrības kontrolieri, par noziedzīgi iegūtu līdzekļu legalizācijas un terorisma un </w:t>
            </w:r>
            <w:proofErr w:type="spellStart"/>
            <w:r w:rsidRPr="00BF1FE2">
              <w:rPr>
                <w:rFonts w:eastAsiaTheme="minorHAnsi"/>
                <w:bCs/>
                <w:sz w:val="20"/>
                <w:szCs w:val="20"/>
              </w:rPr>
              <w:t>proliferācijas</w:t>
            </w:r>
            <w:proofErr w:type="spellEnd"/>
            <w:r w:rsidRPr="00BF1FE2">
              <w:rPr>
                <w:rFonts w:eastAsiaTheme="minorHAnsi"/>
                <w:bCs/>
                <w:sz w:val="20"/>
                <w:szCs w:val="20"/>
              </w:rPr>
              <w:t xml:space="preserve"> finansēšanas novēršanas prasību izpildi atbildīgo personu, ārvalsts ieguldījumu brokeru sabiedrības filiāles vai ieguldījumu brokeru sabiedrības filiāles citā dalībvalstī vadītāju var būt persona:</w:t>
            </w:r>
          </w:p>
          <w:p w14:paraId="0A3FB2E2"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 xml:space="preserve">1) kura ir kompetenta finanšu vadības jautājumos. Par noziedzīgi iegūtu līdzekļu legalizācijas un terorisma un </w:t>
            </w:r>
            <w:proofErr w:type="spellStart"/>
            <w:r w:rsidRPr="00BF1FE2">
              <w:rPr>
                <w:rFonts w:eastAsiaTheme="minorHAnsi"/>
                <w:bCs/>
                <w:sz w:val="20"/>
                <w:szCs w:val="20"/>
              </w:rPr>
              <w:t>proliferācijas</w:t>
            </w:r>
            <w:proofErr w:type="spellEnd"/>
            <w:r w:rsidRPr="00BF1FE2">
              <w:rPr>
                <w:rFonts w:eastAsiaTheme="minorHAnsi"/>
                <w:bCs/>
                <w:sz w:val="20"/>
                <w:szCs w:val="20"/>
              </w:rPr>
              <w:t xml:space="preserve"> finansēšanas novēršanas prasību izpildi atbildīgo personu var būt arī persona, kura ir kompetenta uzņēmuma vadības jautājumos;</w:t>
            </w:r>
          </w:p>
          <w:p w14:paraId="48BE2D7E"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 xml:space="preserve">2) kurai ir </w:t>
            </w:r>
            <w:r w:rsidRPr="00BF1FE2">
              <w:rPr>
                <w:rFonts w:eastAsiaTheme="minorHAnsi"/>
                <w:bCs/>
                <w:sz w:val="20"/>
                <w:szCs w:val="20"/>
                <w:u w:val="single"/>
              </w:rPr>
              <w:t>nepieciešamā izglītība</w:t>
            </w:r>
            <w:r w:rsidRPr="00BF1FE2">
              <w:rPr>
                <w:rFonts w:eastAsiaTheme="minorHAnsi"/>
                <w:bCs/>
                <w:sz w:val="20"/>
                <w:szCs w:val="20"/>
              </w:rPr>
              <w:t xml:space="preserve"> un triju gadu attiecīga profesionālā darba pieredze atbilstoša lieluma komercsabiedrībā, organizācijā vai iestādē;</w:t>
            </w:r>
          </w:p>
          <w:p w14:paraId="42E406C0"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t>3) kurai ir nevainojama reputācija;</w:t>
            </w:r>
          </w:p>
          <w:p w14:paraId="40E3D4A2" w14:textId="77777777" w:rsidR="0084387D" w:rsidRPr="00BF1FE2" w:rsidRDefault="0084387D" w:rsidP="0084387D">
            <w:pPr>
              <w:pStyle w:val="NoSpacing"/>
              <w:widowControl/>
              <w:rPr>
                <w:rFonts w:eastAsiaTheme="minorHAnsi"/>
                <w:bCs/>
                <w:sz w:val="20"/>
                <w:szCs w:val="20"/>
              </w:rPr>
            </w:pPr>
            <w:r w:rsidRPr="00BF1FE2">
              <w:rPr>
                <w:rFonts w:eastAsiaTheme="minorHAnsi"/>
                <w:bCs/>
                <w:sz w:val="20"/>
                <w:szCs w:val="20"/>
              </w:rPr>
              <w:lastRenderedPageBreak/>
              <w:t>4) kurai nav atņemtas tiesības veikt komercdarbību.</w:t>
            </w:r>
          </w:p>
          <w:p w14:paraId="7F611F5E" w14:textId="77777777" w:rsidR="0084387D" w:rsidRDefault="0084387D" w:rsidP="0084387D">
            <w:pPr>
              <w:pStyle w:val="NoSpacing"/>
              <w:widowControl/>
              <w:rPr>
                <w:rFonts w:eastAsiaTheme="minorHAnsi"/>
                <w:bCs/>
                <w:sz w:val="20"/>
                <w:szCs w:val="20"/>
              </w:rPr>
            </w:pPr>
            <w:r w:rsidRPr="00BF1FE2">
              <w:rPr>
                <w:rFonts w:eastAsiaTheme="minorHAnsi"/>
                <w:bCs/>
                <w:sz w:val="20"/>
                <w:szCs w:val="20"/>
              </w:rPr>
              <w:t xml:space="preserve">(2) Ieguldījumu brokeru sabiedrības valdes priekšsēdētājam, valdes locekļiem, iekšējā audita dienesta vadītājam, risku direktoram, par darbības atbilstības kontroli atbildīgajai personai, sabiedrības kontrolierim, par noziedzīgi iegūtu līdzekļu legalizācijas un terorisma un </w:t>
            </w:r>
            <w:proofErr w:type="spellStart"/>
            <w:r w:rsidRPr="00BF1FE2">
              <w:rPr>
                <w:rFonts w:eastAsiaTheme="minorHAnsi"/>
                <w:bCs/>
                <w:sz w:val="20"/>
                <w:szCs w:val="20"/>
              </w:rPr>
              <w:t>proliferācijas</w:t>
            </w:r>
            <w:proofErr w:type="spellEnd"/>
            <w:r w:rsidRPr="00BF1FE2">
              <w:rPr>
                <w:rFonts w:eastAsiaTheme="minorHAnsi"/>
                <w:bCs/>
                <w:sz w:val="20"/>
                <w:szCs w:val="20"/>
              </w:rPr>
              <w:t xml:space="preserve"> finansēšanas novēršanas prasību izpildi atbildīgajai personai, ārvalsts ieguldījumu brokeru sabiedrības filiāles vai ieguldījumu brokeru sabiedrības filiāles citā dalībvalstī vadītājam </w:t>
            </w:r>
            <w:r w:rsidRPr="00BF1FE2">
              <w:rPr>
                <w:rFonts w:eastAsiaTheme="minorHAnsi"/>
                <w:bCs/>
                <w:sz w:val="20"/>
                <w:szCs w:val="20"/>
                <w:u w:val="single"/>
              </w:rPr>
              <w:t>nepieciešama augstākā izglītība</w:t>
            </w:r>
            <w:r w:rsidRPr="00BF1FE2">
              <w:rPr>
                <w:rFonts w:eastAsiaTheme="minorHAnsi"/>
                <w:bCs/>
                <w:sz w:val="20"/>
                <w:szCs w:val="20"/>
              </w:rPr>
              <w:t>.</w:t>
            </w:r>
          </w:p>
          <w:p w14:paraId="4BFD5528" w14:textId="77777777" w:rsidR="0084387D" w:rsidRDefault="0084387D" w:rsidP="0084387D"/>
          <w:p w14:paraId="3F57291C" w14:textId="50B8AAAF" w:rsidR="0084387D" w:rsidRPr="00184920" w:rsidRDefault="0084387D" w:rsidP="0084387D">
            <w:pPr>
              <w:spacing w:after="0" w:line="240" w:lineRule="auto"/>
              <w:jc w:val="both"/>
              <w:rPr>
                <w:rFonts w:ascii="Times New Roman" w:eastAsia="Times New Roman" w:hAnsi="Times New Roman" w:cs="Times New Roman"/>
                <w:sz w:val="20"/>
                <w:lang w:eastAsia="lv-LV"/>
              </w:rPr>
            </w:pPr>
            <w:r w:rsidRPr="00F84C18">
              <w:rPr>
                <w:rFonts w:ascii="Times New Roman" w:hAnsi="Times New Roman"/>
                <w:bCs/>
                <w:sz w:val="20"/>
                <w:szCs w:val="20"/>
              </w:rPr>
              <w:t xml:space="preserve">(5) Par ieguldījumu brokeru sabiedrības padomes priekšsēdētāju un padomes locekli var būt persona, kura atbilst </w:t>
            </w:r>
            <w:r w:rsidRPr="00F84C18">
              <w:rPr>
                <w:rFonts w:ascii="Times New Roman" w:hAnsi="Times New Roman"/>
                <w:bCs/>
                <w:sz w:val="20"/>
                <w:szCs w:val="20"/>
                <w:u w:val="single"/>
              </w:rPr>
              <w:t>šā panta pirmās daļas 1., 2., 3. un 4. punkta prasībām.</w:t>
            </w:r>
            <w:r w:rsidRPr="00F84C18">
              <w:rPr>
                <w:rFonts w:ascii="Times New Roman" w:hAnsi="Times New Roman"/>
                <w:bCs/>
                <w:sz w:val="20"/>
                <w:szCs w:val="20"/>
              </w:rPr>
              <w:t xml:space="preserve"> Par ieguldījumu brokeru sabiedrības padomes priekšsēdētāju vai padomes locekli nevar būt persona, uz kuru var attiecināt šā panta trešās daļas 1. vai 2. punktu.</w:t>
            </w:r>
          </w:p>
        </w:tc>
        <w:tc>
          <w:tcPr>
            <w:tcW w:w="1309" w:type="pct"/>
            <w:tcBorders>
              <w:top w:val="single" w:sz="6" w:space="0" w:color="000000"/>
              <w:left w:val="single" w:sz="6" w:space="0" w:color="000000"/>
              <w:bottom w:val="single" w:sz="6" w:space="0" w:color="000000"/>
              <w:right w:val="single" w:sz="6" w:space="0" w:color="000000"/>
            </w:tcBorders>
          </w:tcPr>
          <w:p w14:paraId="6425670C" w14:textId="77777777" w:rsidR="0084387D" w:rsidRDefault="0084387D" w:rsidP="0084387D">
            <w:pPr>
              <w:pStyle w:val="NormalWeb"/>
              <w:ind w:right="13"/>
              <w:jc w:val="both"/>
              <w:rPr>
                <w:sz w:val="20"/>
                <w:szCs w:val="20"/>
              </w:rPr>
            </w:pPr>
            <w:r w:rsidRPr="00BF1FE2">
              <w:rPr>
                <w:b/>
                <w:bCs/>
                <w:sz w:val="20"/>
                <w:szCs w:val="20"/>
              </w:rPr>
              <w:lastRenderedPageBreak/>
              <w:t>Iebildums.</w:t>
            </w:r>
            <w:r>
              <w:rPr>
                <w:sz w:val="20"/>
                <w:szCs w:val="20"/>
              </w:rPr>
              <w:t xml:space="preserve"> </w:t>
            </w:r>
            <w:r w:rsidRPr="00BF1FE2">
              <w:rPr>
                <w:sz w:val="20"/>
                <w:szCs w:val="20"/>
              </w:rPr>
              <w:t>Likumprojekta 8. panta pirmās daļas 2. punktā noteikts, ka šī panta pirmajā daļā uzskaitītajām personām ir jābūt “</w:t>
            </w:r>
            <w:r w:rsidRPr="00BF1FE2">
              <w:rPr>
                <w:i/>
                <w:iCs/>
                <w:sz w:val="20"/>
                <w:szCs w:val="20"/>
              </w:rPr>
              <w:t>nepieciešamajai izglītībai</w:t>
            </w:r>
            <w:r w:rsidRPr="00BF1FE2">
              <w:rPr>
                <w:sz w:val="20"/>
                <w:szCs w:val="20"/>
              </w:rPr>
              <w:t>”, savukārt šī panta otrajā daļā noteikts, ka tām pašām personām jābūt augstākajai izglītībai. Vēršam uzmanību, ka likumprojekta regulējumam jābūt vienotam, tāpēc lūdzam likumprojektā precizēt, kāda veida izglītība ir nepieciešama 8. panta pirmajā un otrajā daļā uzskaitītajām personām.</w:t>
            </w:r>
          </w:p>
          <w:p w14:paraId="09EF2236" w14:textId="77777777" w:rsidR="0084387D" w:rsidRPr="00F84C18" w:rsidRDefault="0084387D" w:rsidP="0084387D">
            <w:pPr>
              <w:pStyle w:val="NormalWeb"/>
              <w:ind w:right="13"/>
              <w:jc w:val="both"/>
              <w:rPr>
                <w:sz w:val="20"/>
                <w:szCs w:val="20"/>
              </w:rPr>
            </w:pPr>
            <w:r w:rsidRPr="00F84C18">
              <w:rPr>
                <w:sz w:val="20"/>
                <w:szCs w:val="20"/>
              </w:rPr>
              <w:t>Vienlaikus likumprojekta 8. panta piektajā daļā noteikts, ka par ieguldījumu brokeru sabiedrības padomes priekšsēdētāju un padomes locekli var būt persona, kura atbilst 8. panta pirmās daļas 1., 2., 3. un 4. punkta prasībām, tātad arī prasībai par “nepieciešamās izglītības” esamību. Nav saprotams, kāpēc uz padomes priekšsēdētāju un tās locekļiem attiecināma prasība par “</w:t>
            </w:r>
            <w:r w:rsidRPr="00F84C18">
              <w:rPr>
                <w:i/>
                <w:iCs/>
                <w:sz w:val="20"/>
                <w:szCs w:val="20"/>
              </w:rPr>
              <w:t>nepieciešamo izglītību</w:t>
            </w:r>
            <w:r w:rsidRPr="00F84C18">
              <w:rPr>
                <w:sz w:val="20"/>
                <w:szCs w:val="20"/>
              </w:rPr>
              <w:t>”, bet nav attiecināma prasība par augstākās izglītības nepieciešamību saskaņā ar 8. panta otro daļu. Līdz ar to lūdzam skaidrot atšķirību starp “nepieciešamās izglītības” un “augstākās izglītības” tvērumu un to, kādēļ padomes locekļiem izvirzāmas atšķirīgas prasības attiecībā uz izglītību, vai arī precizēt likumprojektu, ievērojot šī atzinuma 2. punktā pausto iebildumu.</w:t>
            </w:r>
          </w:p>
          <w:p w14:paraId="0DD0FC7A" w14:textId="77777777" w:rsidR="0084387D" w:rsidRPr="00184920" w:rsidRDefault="0084387D" w:rsidP="0084387D">
            <w:pPr>
              <w:spacing w:after="0" w:line="240" w:lineRule="auto"/>
              <w:jc w:val="both"/>
              <w:rPr>
                <w:rFonts w:ascii="Times New Roman" w:eastAsia="Times New Roman" w:hAnsi="Times New Roman" w:cs="Times New Roman"/>
                <w:sz w:val="20"/>
                <w:szCs w:val="20"/>
                <w:lang w:eastAsia="lv-LV"/>
              </w:rPr>
            </w:pPr>
          </w:p>
        </w:tc>
        <w:tc>
          <w:tcPr>
            <w:tcW w:w="848" w:type="pct"/>
            <w:gridSpan w:val="2"/>
            <w:tcBorders>
              <w:top w:val="single" w:sz="6" w:space="0" w:color="000000"/>
              <w:left w:val="single" w:sz="6" w:space="0" w:color="000000"/>
              <w:bottom w:val="single" w:sz="6" w:space="0" w:color="000000"/>
              <w:right w:val="single" w:sz="6" w:space="0" w:color="000000"/>
            </w:tcBorders>
          </w:tcPr>
          <w:p w14:paraId="25729DFA" w14:textId="406ABE88" w:rsidR="0084387D" w:rsidRPr="0005548A" w:rsidRDefault="0084387D" w:rsidP="0084387D">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lang w:eastAsia="lv-LV"/>
              </w:rPr>
              <w:t xml:space="preserve">Iebildums daļēji ņemts vērā. </w:t>
            </w:r>
            <w:r>
              <w:rPr>
                <w:rFonts w:ascii="Times New Roman" w:eastAsia="Times New Roman" w:hAnsi="Times New Roman" w:cs="Times New Roman"/>
                <w:sz w:val="20"/>
                <w:szCs w:val="20"/>
                <w:lang w:eastAsia="lv-LV"/>
              </w:rPr>
              <w:t>Papildināts anotācijas I sadaļas 2.punkts ar skaidrojumu.</w:t>
            </w:r>
          </w:p>
        </w:tc>
        <w:tc>
          <w:tcPr>
            <w:tcW w:w="936" w:type="pct"/>
            <w:tcBorders>
              <w:top w:val="single" w:sz="4" w:space="0" w:color="auto"/>
              <w:left w:val="single" w:sz="4" w:space="0" w:color="auto"/>
              <w:bottom w:val="single" w:sz="4" w:space="0" w:color="auto"/>
              <w:right w:val="single" w:sz="4" w:space="0" w:color="auto"/>
            </w:tcBorders>
          </w:tcPr>
          <w:p w14:paraId="7E615DA8" w14:textId="4AE7D4A2" w:rsidR="0084387D" w:rsidRDefault="0084387D" w:rsidP="0084387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Papildināts anotācijas I sadaļas 2.punkts:</w:t>
            </w:r>
          </w:p>
          <w:p w14:paraId="60DB84D3" w14:textId="77777777" w:rsidR="0084387D" w:rsidRDefault="0084387D" w:rsidP="0084387D">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Likumprojekta 8.panta </w:t>
            </w:r>
            <w:proofErr w:type="spellStart"/>
            <w:r>
              <w:rPr>
                <w:rFonts w:ascii="Times New Roman" w:eastAsia="Times New Roman" w:hAnsi="Times New Roman" w:cs="Times New Roman"/>
                <w:sz w:val="20"/>
                <w:szCs w:val="20"/>
                <w:lang w:eastAsia="lv-LV"/>
              </w:rPr>
              <w:t>pirmājā</w:t>
            </w:r>
            <w:proofErr w:type="spellEnd"/>
            <w:r>
              <w:rPr>
                <w:rFonts w:ascii="Times New Roman" w:eastAsia="Times New Roman" w:hAnsi="Times New Roman" w:cs="Times New Roman"/>
                <w:sz w:val="20"/>
                <w:szCs w:val="20"/>
                <w:lang w:eastAsia="lv-LV"/>
              </w:rPr>
              <w:t xml:space="preserve"> daļā ietvertais formulējums “nepieciešamā izglītība” attiecas gan valdes locekļiem(un pārējām personām, kuras minētās šā panta otrajā daļā), gan uz padomes locekļiem, proti, formulējums “nepieciešamā izglītība” tomēr ir plašāks jēdziens kā “augstākā izglītība”. Ņemot vērā, ka valde ir izpildinstitūcija, kuras locekļi tiešā veidā vada un pārstāv kapitālsabiedrību, tad kā obligāta prasība ir izvirzīta “augstākā izglītība”. Savukārt padome ir pārraudzības institūcija, kuras locekļi tiešā veidā nepiedalās kapitālsabiedrības vadīšanā, proti, padome uzrauga valdes darbību, līdz ar to uz padomes locekļiem netiek izvirzīta prasība attiecībā uz “augstāko izglītību”, lai neliegtu iespēju personām, kurām nav “augstākās izglītības” ieņemt padomes locekļa amatu, ja personai ir atbilstoša izglītība, pieredze šajā jomā. Šāds regulējums šobrīd  ir spēkā esošs Finanšu instrumentu tirgus likuma 106.pantā. Arī Kredītiestāžu likuma 24.panta pirmās daļas 3.punkts ietver formulējumu  “nepieciešamā izglītība” iepriekšminēto apsvērumu dēļ. Arī Kredītiestāžu likuma 24.panta otrā daļa paredz valdes locekļiem prasību “augstākajai izglītībai”, kā arī 26.panta pirmā daļa paredz padomes locekļiem prasību “nepieciešamajai izglītībai”.</w:t>
            </w:r>
          </w:p>
          <w:p w14:paraId="60837A6D" w14:textId="77777777" w:rsidR="0084387D" w:rsidRDefault="0084387D" w:rsidP="0084387D">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Šajā jautājumā regulējums attiecībā uz </w:t>
            </w:r>
            <w:proofErr w:type="spellStart"/>
            <w:r>
              <w:rPr>
                <w:rFonts w:ascii="Times New Roman" w:eastAsia="Times New Roman" w:hAnsi="Times New Roman" w:cs="Times New Roman"/>
                <w:sz w:val="20"/>
                <w:szCs w:val="20"/>
                <w:lang w:eastAsia="lv-LV"/>
              </w:rPr>
              <w:t>Kredītiestādem</w:t>
            </w:r>
            <w:proofErr w:type="spellEnd"/>
            <w:r>
              <w:rPr>
                <w:rFonts w:ascii="Times New Roman" w:eastAsia="Times New Roman" w:hAnsi="Times New Roman" w:cs="Times New Roman"/>
                <w:sz w:val="20"/>
                <w:szCs w:val="20"/>
                <w:lang w:eastAsia="lv-LV"/>
              </w:rPr>
              <w:t xml:space="preserve"> un Ieguldījumu brokeru sabiedrībām ir vienveidīgs un konsekvents.</w:t>
            </w:r>
          </w:p>
          <w:p w14:paraId="3935D28F" w14:textId="77777777" w:rsidR="0084387D" w:rsidRDefault="0084387D" w:rsidP="0084387D">
            <w:pPr>
              <w:spacing w:after="0" w:line="240" w:lineRule="auto"/>
              <w:jc w:val="both"/>
              <w:rPr>
                <w:rFonts w:ascii="Times New Roman" w:hAnsi="Times New Roman" w:cs="Times New Roman"/>
                <w:sz w:val="20"/>
                <w:szCs w:val="20"/>
              </w:rPr>
            </w:pPr>
          </w:p>
          <w:p w14:paraId="39234880" w14:textId="77777777" w:rsidR="0084387D" w:rsidRPr="00184920" w:rsidRDefault="0084387D" w:rsidP="0084387D">
            <w:pPr>
              <w:spacing w:after="0" w:line="240" w:lineRule="auto"/>
              <w:jc w:val="both"/>
              <w:rPr>
                <w:rFonts w:ascii="Times New Roman" w:eastAsia="Times New Roman" w:hAnsi="Times New Roman" w:cs="Times New Roman"/>
                <w:sz w:val="20"/>
                <w:szCs w:val="20"/>
                <w:lang w:eastAsia="lv-LV"/>
              </w:rPr>
            </w:pPr>
          </w:p>
        </w:tc>
      </w:tr>
      <w:tr w:rsidR="00665A51" w:rsidRPr="00184920" w14:paraId="5F76B918" w14:textId="77777777" w:rsidTr="007D721A">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2E96F80" w14:textId="036963E6" w:rsidR="00665A51" w:rsidRDefault="00665A51" w:rsidP="0084387D">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w:t>
            </w:r>
          </w:p>
        </w:tc>
        <w:tc>
          <w:tcPr>
            <w:tcW w:w="692" w:type="pct"/>
            <w:tcBorders>
              <w:top w:val="single" w:sz="6" w:space="0" w:color="000000"/>
              <w:left w:val="single" w:sz="6" w:space="0" w:color="000000"/>
              <w:bottom w:val="single" w:sz="6" w:space="0" w:color="000000"/>
              <w:right w:val="single" w:sz="6" w:space="0" w:color="000000"/>
            </w:tcBorders>
            <w:vAlign w:val="center"/>
          </w:tcPr>
          <w:p w14:paraId="7FE8C253" w14:textId="77777777" w:rsidR="00665A51" w:rsidRPr="00A53EEC" w:rsidRDefault="00665A51" w:rsidP="00665A51">
            <w:pPr>
              <w:pStyle w:val="NoSpacing"/>
              <w:widowControl/>
              <w:rPr>
                <w:rFonts w:eastAsiaTheme="minorHAnsi"/>
                <w:b/>
                <w:bCs/>
                <w:sz w:val="20"/>
                <w:szCs w:val="20"/>
              </w:rPr>
            </w:pPr>
            <w:r w:rsidRPr="00A53EEC">
              <w:rPr>
                <w:rFonts w:eastAsiaTheme="minorHAnsi"/>
                <w:b/>
                <w:bCs/>
                <w:sz w:val="20"/>
                <w:szCs w:val="20"/>
              </w:rPr>
              <w:t>8. pants. Prasības ieguldījumu brokeru sabiedrības amatpersonām</w:t>
            </w:r>
          </w:p>
          <w:p w14:paraId="1F73F7B2" w14:textId="77777777" w:rsidR="00665A51" w:rsidRDefault="00665A51" w:rsidP="00665A51">
            <w:pPr>
              <w:pStyle w:val="NoSpacing"/>
              <w:widowControl/>
              <w:rPr>
                <w:rFonts w:eastAsiaTheme="minorHAnsi"/>
                <w:bCs/>
                <w:sz w:val="20"/>
                <w:szCs w:val="20"/>
              </w:rPr>
            </w:pPr>
          </w:p>
          <w:p w14:paraId="3EF21FC9" w14:textId="77777777" w:rsidR="00665A51" w:rsidRPr="00A53EEC" w:rsidRDefault="00665A51" w:rsidP="00665A51">
            <w:pPr>
              <w:pStyle w:val="NoSpacing"/>
              <w:widowControl/>
              <w:rPr>
                <w:rFonts w:eastAsiaTheme="minorHAnsi"/>
                <w:bCs/>
                <w:sz w:val="20"/>
                <w:szCs w:val="20"/>
              </w:rPr>
            </w:pPr>
            <w:r w:rsidRPr="00A53EEC">
              <w:rPr>
                <w:rFonts w:eastAsiaTheme="minorHAnsi"/>
                <w:bCs/>
                <w:sz w:val="20"/>
                <w:szCs w:val="20"/>
              </w:rPr>
              <w:lastRenderedPageBreak/>
              <w:t>(3) Par ieguldījumu brokeru sabiedrības valdes priekšsēdētāju, valdes locekli, iekšējā audita dienesta vadītāju, risku direktoru, par darbības atbilstības kontroli atbildīgo 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w:t>
            </w:r>
          </w:p>
          <w:p w14:paraId="69BA3DBB" w14:textId="77777777" w:rsidR="00665A51" w:rsidRPr="00A53EEC" w:rsidRDefault="00665A51" w:rsidP="00665A51">
            <w:pPr>
              <w:pStyle w:val="NoSpacing"/>
              <w:widowControl/>
              <w:rPr>
                <w:rFonts w:eastAsiaTheme="minorHAnsi"/>
                <w:bCs/>
                <w:sz w:val="20"/>
                <w:szCs w:val="20"/>
              </w:rPr>
            </w:pPr>
            <w:r w:rsidRPr="00A53EEC">
              <w:rPr>
                <w:rFonts w:eastAsiaTheme="minorHAnsi"/>
                <w:bCs/>
                <w:sz w:val="20"/>
                <w:szCs w:val="20"/>
              </w:rPr>
              <w:t xml:space="preserve">1) </w:t>
            </w:r>
            <w:r w:rsidRPr="00A53EEC">
              <w:rPr>
                <w:rFonts w:eastAsiaTheme="minorHAnsi"/>
                <w:bCs/>
                <w:sz w:val="20"/>
                <w:szCs w:val="20"/>
                <w:u w:val="single"/>
              </w:rPr>
              <w:t>ir sodīta par tīša noziedzīga nodarījuma izdarīšanu (neatkarīgi no sodāmības dzēšanas vai noņemšanas)</w:t>
            </w:r>
            <w:r w:rsidRPr="00A53EEC">
              <w:rPr>
                <w:rFonts w:eastAsiaTheme="minorHAnsi"/>
                <w:bCs/>
                <w:sz w:val="20"/>
                <w:szCs w:val="20"/>
              </w:rPr>
              <w:t>;</w:t>
            </w:r>
          </w:p>
          <w:p w14:paraId="10675B6B" w14:textId="0EA9B989" w:rsidR="00665A51" w:rsidRPr="00665A51" w:rsidRDefault="00665A51" w:rsidP="0084387D">
            <w:pPr>
              <w:pStyle w:val="NoSpacing"/>
              <w:widowControl/>
              <w:rPr>
                <w:rFonts w:eastAsiaTheme="minorHAnsi"/>
                <w:bCs/>
                <w:sz w:val="20"/>
                <w:szCs w:val="20"/>
              </w:rPr>
            </w:pPr>
            <w:r w:rsidRPr="00A53EEC">
              <w:rPr>
                <w:rFonts w:eastAsiaTheme="minorHAnsi"/>
                <w:bCs/>
                <w:sz w:val="20"/>
                <w:szCs w:val="20"/>
              </w:rPr>
              <w:t xml:space="preserve">2) </w:t>
            </w:r>
            <w:r w:rsidRPr="00A53EEC">
              <w:rPr>
                <w:rFonts w:eastAsiaTheme="minorHAnsi"/>
                <w:bCs/>
                <w:sz w:val="20"/>
                <w:szCs w:val="20"/>
                <w:u w:val="single"/>
              </w:rPr>
              <w:t>par tīša noziedzīga nodarījuma izdarīšanu notiesāta, atbrīvojot no soda vai pret kuru kriminālprocess izbeigts uz nereabilitējoša pamata</w:t>
            </w:r>
            <w:r w:rsidRPr="00A53EEC">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14D8D168" w14:textId="77777777" w:rsidR="00665A51" w:rsidRPr="00A53EEC" w:rsidRDefault="00665A51" w:rsidP="00665A51">
            <w:pPr>
              <w:jc w:val="both"/>
              <w:rPr>
                <w:rFonts w:ascii="Times New Roman" w:hAnsi="Times New Roman" w:cs="Times New Roman"/>
                <w:sz w:val="20"/>
                <w:szCs w:val="20"/>
              </w:rPr>
            </w:pPr>
            <w:r w:rsidRPr="00A53EEC">
              <w:rPr>
                <w:rFonts w:ascii="Times New Roman" w:hAnsi="Times New Roman" w:cs="Times New Roman"/>
                <w:b/>
                <w:bCs/>
                <w:sz w:val="20"/>
                <w:szCs w:val="20"/>
              </w:rPr>
              <w:lastRenderedPageBreak/>
              <w:t>Iebildums.</w:t>
            </w:r>
            <w:r>
              <w:rPr>
                <w:rFonts w:ascii="Times New Roman" w:hAnsi="Times New Roman" w:cs="Times New Roman"/>
                <w:sz w:val="20"/>
                <w:szCs w:val="20"/>
              </w:rPr>
              <w:t xml:space="preserve"> </w:t>
            </w:r>
            <w:r w:rsidRPr="00A53EEC">
              <w:rPr>
                <w:rFonts w:ascii="Times New Roman" w:hAnsi="Times New Roman" w:cs="Times New Roman"/>
                <w:sz w:val="20"/>
                <w:szCs w:val="20"/>
              </w:rPr>
              <w:t xml:space="preserve">Vēršam uzmanību uz likumprojekta 8. panta trešajā daļā paredzēto ierobežojumu personai ieņemt amatu ieguldījumu brokeru sabiedrībā, ja tā ir sodīta par tīša noziedzīga nodarījuma izdarīšanu (neatkarīgi no </w:t>
            </w:r>
            <w:r w:rsidRPr="00A53EEC">
              <w:rPr>
                <w:rFonts w:ascii="Times New Roman" w:hAnsi="Times New Roman" w:cs="Times New Roman"/>
                <w:sz w:val="20"/>
                <w:szCs w:val="20"/>
              </w:rPr>
              <w:lastRenderedPageBreak/>
              <w:t>sodāmības dzēšanas vai noņemšanas) un ja tā par tīša noziedzīga nodarījuma izdarīšanu ir tikusi notiesāta, atbrīvojot no soda vai pret kuru kriminālprocess izbeigts uz nereabilitējoša pamata. Norādām, ka ierobežojums, kas noteic aizliegumu ieņemt noteiktus amatus neierobežotu laiku arī pēc sodāmības dzēšanas vai noņemšanas ir uzskatāms par absolūtu,</w:t>
            </w:r>
            <w:r w:rsidRPr="00A53EEC">
              <w:rPr>
                <w:rStyle w:val="FootnoteReference"/>
                <w:rFonts w:ascii="Times New Roman" w:hAnsi="Times New Roman" w:cs="Times New Roman"/>
                <w:sz w:val="20"/>
                <w:szCs w:val="20"/>
              </w:rPr>
              <w:footnoteReference w:id="1"/>
            </w:r>
            <w:r w:rsidRPr="00A53EEC">
              <w:rPr>
                <w:rFonts w:ascii="Times New Roman" w:hAnsi="Times New Roman" w:cs="Times New Roman"/>
                <w:sz w:val="20"/>
                <w:szCs w:val="20"/>
              </w:rPr>
              <w:t xml:space="preserve"> un tam nepieciešams analīzē balstīts </w:t>
            </w:r>
            <w:proofErr w:type="spellStart"/>
            <w:r w:rsidRPr="00A53EEC">
              <w:rPr>
                <w:rFonts w:ascii="Times New Roman" w:hAnsi="Times New Roman" w:cs="Times New Roman"/>
                <w:sz w:val="20"/>
                <w:szCs w:val="20"/>
              </w:rPr>
              <w:t>izvērtējums</w:t>
            </w:r>
            <w:proofErr w:type="spellEnd"/>
            <w:r w:rsidRPr="00A53EEC">
              <w:rPr>
                <w:rFonts w:ascii="Times New Roman" w:hAnsi="Times New Roman" w:cs="Times New Roman"/>
                <w:sz w:val="20"/>
                <w:szCs w:val="20"/>
              </w:rPr>
              <w:t>,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sidRPr="00A53EEC">
              <w:rPr>
                <w:rStyle w:val="FootnoteReference"/>
                <w:rFonts w:ascii="Times New Roman" w:hAnsi="Times New Roman" w:cs="Times New Roman"/>
                <w:sz w:val="20"/>
                <w:szCs w:val="20"/>
              </w:rPr>
              <w:footnoteReference w:id="2"/>
            </w:r>
          </w:p>
          <w:p w14:paraId="5CE64F22" w14:textId="77777777" w:rsidR="00665A51" w:rsidRPr="00A53EEC" w:rsidRDefault="00665A51" w:rsidP="00665A51">
            <w:pPr>
              <w:tabs>
                <w:tab w:val="left" w:pos="5245"/>
              </w:tabs>
              <w:ind w:firstLine="567"/>
              <w:jc w:val="both"/>
              <w:rPr>
                <w:rFonts w:ascii="Times New Roman" w:hAnsi="Times New Roman" w:cs="Times New Roman"/>
                <w:sz w:val="20"/>
                <w:szCs w:val="20"/>
              </w:rPr>
            </w:pPr>
            <w:r w:rsidRPr="00A53EEC">
              <w:rPr>
                <w:rFonts w:ascii="Times New Roman" w:hAnsi="Times New Roman" w:cs="Times New Roman"/>
                <w:sz w:val="20"/>
                <w:szCs w:val="20"/>
              </w:rPr>
              <w:t xml:space="preserve">Ņemot vērā minēto, lūdzam precizēt likumprojekta 8. panta trešo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14:paraId="0A76A8B7" w14:textId="77777777" w:rsidR="00665A51" w:rsidRPr="00A53EEC" w:rsidRDefault="00665A51" w:rsidP="00665A51">
            <w:pPr>
              <w:tabs>
                <w:tab w:val="left" w:pos="5245"/>
              </w:tabs>
              <w:ind w:firstLine="567"/>
              <w:jc w:val="both"/>
              <w:rPr>
                <w:rFonts w:ascii="Times New Roman" w:hAnsi="Times New Roman" w:cs="Times New Roman"/>
                <w:sz w:val="20"/>
                <w:szCs w:val="20"/>
              </w:rPr>
            </w:pPr>
            <w:r w:rsidRPr="00A53EEC">
              <w:rPr>
                <w:rFonts w:ascii="Times New Roman" w:hAnsi="Times New Roman" w:cs="Times New Roman"/>
                <w:sz w:val="20"/>
                <w:szCs w:val="20"/>
              </w:rPr>
              <w:t xml:space="preserve">1) ir sodīta par tīša noziedzīga nodarījuma izdarīšanu; </w:t>
            </w:r>
          </w:p>
          <w:p w14:paraId="05333466" w14:textId="77777777" w:rsidR="00665A51" w:rsidRPr="00A53EEC" w:rsidRDefault="00665A51" w:rsidP="00665A51">
            <w:pPr>
              <w:tabs>
                <w:tab w:val="left" w:pos="5245"/>
              </w:tabs>
              <w:ind w:firstLine="567"/>
              <w:jc w:val="both"/>
              <w:rPr>
                <w:rFonts w:ascii="Times New Roman" w:hAnsi="Times New Roman" w:cs="Times New Roman"/>
                <w:sz w:val="20"/>
                <w:szCs w:val="20"/>
              </w:rPr>
            </w:pPr>
            <w:r w:rsidRPr="00A53EEC">
              <w:rPr>
                <w:rFonts w:ascii="Times New Roman" w:hAnsi="Times New Roman" w:cs="Times New Roman"/>
                <w:sz w:val="20"/>
                <w:szCs w:val="20"/>
              </w:rPr>
              <w:t xml:space="preserve">2) par tīša noziedzīga nodarījuma izdarīšanu notiesāta, atbrīvojot no soda vai pret kuru kriminālprocess </w:t>
            </w:r>
            <w:r w:rsidRPr="00A53EEC">
              <w:rPr>
                <w:rFonts w:ascii="Times New Roman" w:hAnsi="Times New Roman" w:cs="Times New Roman"/>
                <w:sz w:val="20"/>
                <w:szCs w:val="20"/>
              </w:rPr>
              <w:lastRenderedPageBreak/>
              <w:t>izbeigts uz nereabilitējoša pamata — kamēr nav pagājis gads pēc attiecīgā lēmuma stāšanās spēkā.”</w:t>
            </w:r>
          </w:p>
          <w:p w14:paraId="186DDE36" w14:textId="77777777" w:rsidR="00665A51" w:rsidRDefault="00665A51" w:rsidP="00665A51">
            <w:pPr>
              <w:spacing w:after="0" w:line="240" w:lineRule="auto"/>
              <w:jc w:val="both"/>
              <w:rPr>
                <w:rFonts w:ascii="Times New Roman" w:hAnsi="Times New Roman" w:cs="Times New Roman"/>
                <w:sz w:val="20"/>
                <w:szCs w:val="20"/>
              </w:rPr>
            </w:pPr>
            <w:r w:rsidRPr="00A53EEC">
              <w:rPr>
                <w:rFonts w:ascii="Times New Roman" w:hAnsi="Times New Roman" w:cs="Times New Roman"/>
                <w:sz w:val="20"/>
                <w:szCs w:val="20"/>
              </w:rPr>
              <w:t>Tomēr gadījumā, ja likumprojektā ir plānots saglabāt absolūto aizliegumu ieņemt amatu, tad saskaņā ar Satversmes tiesas judikatūru</w:t>
            </w:r>
            <w:r w:rsidRPr="00A53EEC">
              <w:rPr>
                <w:rStyle w:val="FootnoteReference"/>
                <w:rFonts w:ascii="Times New Roman" w:hAnsi="Times New Roman" w:cs="Times New Roman"/>
                <w:sz w:val="20"/>
                <w:szCs w:val="20"/>
              </w:rPr>
              <w:footnoteReference w:id="3"/>
            </w:r>
            <w:r w:rsidRPr="00A53EEC">
              <w:rPr>
                <w:rFonts w:ascii="Times New Roman" w:hAnsi="Times New Roman" w:cs="Times New Roman"/>
                <w:sz w:val="20"/>
                <w:szCs w:val="20"/>
              </w:rPr>
              <w:t xml:space="preserve">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amatu pie šāda absolūta aizlieguma pastāvēšanas.</w:t>
            </w:r>
            <w:r w:rsidRPr="00A53EEC">
              <w:rPr>
                <w:rStyle w:val="FootnoteReference"/>
                <w:rFonts w:ascii="Times New Roman" w:hAnsi="Times New Roman" w:cs="Times New Roman"/>
                <w:sz w:val="20"/>
                <w:szCs w:val="20"/>
              </w:rPr>
              <w:footnoteReference w:id="4"/>
            </w:r>
            <w:r w:rsidRPr="00A53EEC">
              <w:rPr>
                <w:rFonts w:ascii="Times New Roman" w:hAnsi="Times New Roman" w:cs="Times New Roman"/>
                <w:sz w:val="20"/>
                <w:szCs w:val="20"/>
              </w:rPr>
              <w:t xml:space="preserve"> Šāda kārtība ļautu izdarīt pamatotu vērtējumu tam, vai ļaut vai neļaut konkrētai personai kandidēt uz amatu ieguldījumu brokeru sabiedrībā, kā arī ļautu </w:t>
            </w:r>
            <w:proofErr w:type="spellStart"/>
            <w:r w:rsidRPr="00A53EEC">
              <w:rPr>
                <w:rFonts w:ascii="Times New Roman" w:hAnsi="Times New Roman" w:cs="Times New Roman"/>
                <w:sz w:val="20"/>
                <w:szCs w:val="20"/>
              </w:rPr>
              <w:t>pamattiesību</w:t>
            </w:r>
            <w:proofErr w:type="spellEnd"/>
            <w:r w:rsidRPr="00A53EEC">
              <w:rPr>
                <w:rFonts w:ascii="Times New Roman" w:hAnsi="Times New Roman" w:cs="Times New Roman"/>
                <w:sz w:val="20"/>
                <w:szCs w:val="20"/>
              </w:rPr>
              <w:t xml:space="preserve"> ierobežojuma leģitīmo mērķi sasniegt vismaz tādā pašā kvalitātē.</w:t>
            </w:r>
          </w:p>
          <w:p w14:paraId="49F27716" w14:textId="77777777" w:rsidR="00665A51" w:rsidRPr="001D52FC" w:rsidRDefault="00665A51" w:rsidP="00665A51">
            <w:pPr>
              <w:spacing w:after="0" w:line="240" w:lineRule="auto"/>
              <w:jc w:val="both"/>
              <w:rPr>
                <w:rFonts w:ascii="Times New Roman" w:eastAsia="Times New Roman" w:hAnsi="Times New Roman" w:cs="Times New Roman"/>
                <w:b/>
                <w:bCs/>
                <w:sz w:val="20"/>
              </w:rPr>
            </w:pPr>
            <w:r w:rsidRPr="001D52FC">
              <w:rPr>
                <w:rFonts w:ascii="Times New Roman" w:eastAsia="Times New Roman" w:hAnsi="Times New Roman" w:cs="Times New Roman"/>
                <w:b/>
                <w:bCs/>
                <w:sz w:val="20"/>
              </w:rPr>
              <w:t>Š.g. 11.maija uzturētais iebildums.</w:t>
            </w:r>
          </w:p>
          <w:p w14:paraId="75CF6D0B" w14:textId="77777777" w:rsidR="00665A51" w:rsidRPr="001D52FC" w:rsidRDefault="00665A51" w:rsidP="00665A51">
            <w:pPr>
              <w:pStyle w:val="naisc"/>
              <w:spacing w:before="0" w:after="0"/>
              <w:jc w:val="both"/>
              <w:rPr>
                <w:sz w:val="20"/>
                <w:szCs w:val="20"/>
              </w:rPr>
            </w:pPr>
            <w:r w:rsidRPr="001D52FC">
              <w:rPr>
                <w:sz w:val="20"/>
                <w:szCs w:val="20"/>
              </w:rPr>
              <w:t>Tieslietu ministrija uztur iepriekš izteikto iebildumu par likumprojekta 8. panta trešajā daļā paredzēto ierobežojumu personai ieņemt amatu ieguldījumu brokeru sabiedrībā, ja tā ir sodīta par tīša noziedzīga nodarījuma izdarīšanu (neatkarīgi no sodāmības dzēšanas vai noņemšanas) un ja tā par tīša noziedzīga nodarījuma izdarīšanu ir tikusi notiesāta, atbrīvojot no soda vai pret kuru kriminālprocess izbeigts uz nereabilitējoša pamata. Norādām, ka ierobežojums, kas noteic aizliegumu ieņemt noteiktus amatus neierobežotu laiku arī pēc sodāmības dzēšanas vai noņemšanas ir uzskatāms par absolūtu,</w:t>
            </w:r>
            <w:r w:rsidRPr="001D52FC">
              <w:rPr>
                <w:sz w:val="20"/>
                <w:szCs w:val="20"/>
              </w:rPr>
              <w:footnoteReference w:customMarkFollows="1" w:id="5"/>
              <w:t xml:space="preserve">[1] un tam nepieciešams analīzē balstīts </w:t>
            </w:r>
            <w:proofErr w:type="spellStart"/>
            <w:r w:rsidRPr="001D52FC">
              <w:rPr>
                <w:sz w:val="20"/>
                <w:szCs w:val="20"/>
              </w:rPr>
              <w:t>izvērtējums</w:t>
            </w:r>
            <w:proofErr w:type="spellEnd"/>
            <w:r w:rsidRPr="001D52FC">
              <w:rPr>
                <w:sz w:val="20"/>
                <w:szCs w:val="20"/>
              </w:rPr>
              <w:t xml:space="preserve">,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w:t>
            </w:r>
            <w:r w:rsidRPr="001D52FC">
              <w:rPr>
                <w:sz w:val="20"/>
                <w:szCs w:val="20"/>
              </w:rPr>
              <w:lastRenderedPageBreak/>
              <w:t>pretējā gadījumā norma var tikt atzīta par neatbilstošu Satversmes 106. panta pirmajam teikumam.</w:t>
            </w:r>
            <w:r w:rsidRPr="001D52FC">
              <w:rPr>
                <w:sz w:val="20"/>
                <w:szCs w:val="20"/>
              </w:rPr>
              <w:footnoteReference w:customMarkFollows="1" w:id="6"/>
              <w:t>[2]</w:t>
            </w:r>
          </w:p>
          <w:p w14:paraId="319727F9" w14:textId="77777777" w:rsidR="00665A51" w:rsidRPr="001D52FC" w:rsidRDefault="00665A51" w:rsidP="00665A51">
            <w:pPr>
              <w:pStyle w:val="naisc"/>
              <w:spacing w:before="0" w:after="0"/>
              <w:jc w:val="both"/>
              <w:rPr>
                <w:sz w:val="20"/>
                <w:szCs w:val="20"/>
              </w:rPr>
            </w:pPr>
            <w:r w:rsidRPr="001D52FC">
              <w:rPr>
                <w:sz w:val="20"/>
                <w:szCs w:val="20"/>
              </w:rPr>
              <w:t xml:space="preserve">Ņemot vērā minēto, lūdzam precizēt likumprojekta 8. panta trešo daļu, izsakot to šādā vai līdzīgā redakcijā: “(3) Par ieguldījumu brokeru sabiedrības valdes priekšsēdētāju, valdes locekli, iekšējā audita dienesta vadītāju, risku direktoru, par darbības atbilstības kontroli atbildīgo personu,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 </w:t>
            </w:r>
          </w:p>
          <w:p w14:paraId="0EE5415E" w14:textId="77777777" w:rsidR="00665A51" w:rsidRPr="001D52FC" w:rsidRDefault="00665A51" w:rsidP="00665A51">
            <w:pPr>
              <w:pStyle w:val="naisc"/>
              <w:spacing w:before="0" w:after="0"/>
              <w:jc w:val="both"/>
              <w:rPr>
                <w:sz w:val="20"/>
                <w:szCs w:val="20"/>
              </w:rPr>
            </w:pPr>
            <w:r w:rsidRPr="001D52FC">
              <w:rPr>
                <w:sz w:val="20"/>
                <w:szCs w:val="20"/>
              </w:rPr>
              <w:t xml:space="preserve">1) ir sodīta par tīša noziedzīga nodarījuma izdarīšanu; </w:t>
            </w:r>
          </w:p>
          <w:p w14:paraId="0C0978AF" w14:textId="77777777" w:rsidR="00665A51" w:rsidRPr="001D52FC" w:rsidRDefault="00665A51" w:rsidP="00665A51">
            <w:pPr>
              <w:pStyle w:val="naisc"/>
              <w:spacing w:before="0" w:after="0"/>
              <w:jc w:val="both"/>
              <w:rPr>
                <w:sz w:val="20"/>
                <w:szCs w:val="20"/>
              </w:rPr>
            </w:pPr>
            <w:r w:rsidRPr="001D52FC">
              <w:rPr>
                <w:sz w:val="20"/>
                <w:szCs w:val="20"/>
              </w:rPr>
              <w:t>2) par tīša noziedzīga nodarījuma izdarīšanu notiesāta, atbrīvojot no soda vai pret kuru kriminālprocess izbeigts uz nereabilitējoša pamata — kamēr nav pagājis gads pēc attiecīgā lēmuma stāšanās spēkā.”</w:t>
            </w:r>
          </w:p>
          <w:p w14:paraId="62679AA1" w14:textId="77777777" w:rsidR="00665A51" w:rsidRPr="001D52FC" w:rsidRDefault="00665A51" w:rsidP="00665A51">
            <w:pPr>
              <w:pStyle w:val="naisc"/>
              <w:spacing w:before="0" w:after="0"/>
              <w:jc w:val="both"/>
              <w:rPr>
                <w:sz w:val="20"/>
                <w:szCs w:val="20"/>
              </w:rPr>
            </w:pPr>
            <w:r w:rsidRPr="001D52FC">
              <w:rPr>
                <w:sz w:val="20"/>
                <w:szCs w:val="20"/>
              </w:rPr>
              <w:t>Tomēr gadījumā, ja likumprojektā ir plānots saglabāt absolūto aizliegumu ieņemt amatu, tad saskaņā ar Satversmes tiesas judikatūru</w:t>
            </w:r>
            <w:r w:rsidRPr="001D52FC">
              <w:rPr>
                <w:sz w:val="20"/>
                <w:szCs w:val="20"/>
              </w:rPr>
              <w:footnoteReference w:customMarkFollows="1" w:id="7"/>
              <w:t>[3] nepieciešams izstrādāt regulējumu, kas paredz izvērtēšanas komisijas veidošanu, kura būtu tiesīga izvērtēt tāda kandidāta, kurš kādreiz ir bijis sodīts par tīša noziedzīga nodarījuma izdarīšanu, atbilstību darbam ieguldījumu brokeru sabiedrībā, ļaujot tam izņēmuma kārtā ieņemt amatu pie šāda absolūta aizlieguma pastāvēšanas.</w:t>
            </w:r>
            <w:r w:rsidRPr="001D52FC">
              <w:rPr>
                <w:sz w:val="20"/>
                <w:szCs w:val="20"/>
              </w:rPr>
              <w:footnoteReference w:customMarkFollows="1" w:id="8"/>
              <w:t xml:space="preserve">[4] Šāda kārtība ļautu izdarīt pamatotu vērtējumu tam, vai ļaut vai neļaut konkrētai personai kandidēt uz amatu ieguldījumu brokeru sabiedrībā, kā arī ļautu </w:t>
            </w:r>
            <w:proofErr w:type="spellStart"/>
            <w:r w:rsidRPr="001D52FC">
              <w:rPr>
                <w:sz w:val="20"/>
                <w:szCs w:val="20"/>
              </w:rPr>
              <w:t>pamattiesību</w:t>
            </w:r>
            <w:proofErr w:type="spellEnd"/>
            <w:r w:rsidRPr="001D52FC">
              <w:rPr>
                <w:sz w:val="20"/>
                <w:szCs w:val="20"/>
              </w:rPr>
              <w:t xml:space="preserve"> ierobežojuma leģitīmo mērķi sasniegt vismaz tādā pašā kvalitātē.</w:t>
            </w:r>
          </w:p>
          <w:p w14:paraId="3CEC8D39" w14:textId="77777777" w:rsidR="00665A51" w:rsidRDefault="00665A51" w:rsidP="00665A51">
            <w:pPr>
              <w:pStyle w:val="NormalWeb"/>
              <w:ind w:right="13"/>
              <w:jc w:val="both"/>
              <w:rPr>
                <w:sz w:val="20"/>
                <w:szCs w:val="20"/>
              </w:rPr>
            </w:pPr>
            <w:r w:rsidRPr="001D52FC">
              <w:rPr>
                <w:sz w:val="20"/>
                <w:szCs w:val="20"/>
              </w:rPr>
              <w:t xml:space="preserve">Tieslietu ministrijas ieskatā Finanšu ministrijas sniegtais skaidrojums, ka šobrīd finanšu nozari regulējošajos normatīvajos aktos regulējums attiecībā uz absolūto </w:t>
            </w:r>
            <w:r w:rsidRPr="001D52FC">
              <w:rPr>
                <w:sz w:val="20"/>
                <w:szCs w:val="20"/>
              </w:rPr>
              <w:lastRenderedPageBreak/>
              <w:t xml:space="preserve">aizliegumu ieņemt valdes locekļa amatu ir vienveidīgs un konsekvents, tāpēc </w:t>
            </w:r>
            <w:proofErr w:type="spellStart"/>
            <w:r w:rsidRPr="001D52FC">
              <w:rPr>
                <w:sz w:val="20"/>
                <w:szCs w:val="20"/>
              </w:rPr>
              <w:t>izvērtējums</w:t>
            </w:r>
            <w:proofErr w:type="spellEnd"/>
            <w:r w:rsidRPr="001D52FC">
              <w:rPr>
                <w:sz w:val="20"/>
                <w:szCs w:val="20"/>
              </w:rPr>
              <w:t xml:space="preserve"> grozījumiem būtu jāveic kompleksi, nevar būt par pamatu iebilduma neņemšanai vērā. Norādām, ka likumprojekts ir jauns normatīvais akts, un tajā nebūtu pieļaujama tādu normu iekļaušana, kas neatbilst Satversmei, gluži pretēji – ar jauna normatīvā regulējuma izveidi ir iespējams uzsākt trūkumu novēršanu finanšu nozari regulējošajos normatīvajos aktos, uz kuriem norādījusi Satversmes tiesa. Attiecīgi aicinām precizēt likumprojektu atbilstoši iebildumā norādītajam.</w:t>
            </w:r>
          </w:p>
          <w:p w14:paraId="59F2AA0F" w14:textId="77777777" w:rsidR="00665A51" w:rsidRPr="007224B8" w:rsidRDefault="00665A51" w:rsidP="00665A51">
            <w:pPr>
              <w:pStyle w:val="naisc"/>
              <w:spacing w:before="0" w:after="0"/>
              <w:jc w:val="both"/>
              <w:rPr>
                <w:b/>
                <w:bCs/>
                <w:sz w:val="20"/>
              </w:rPr>
            </w:pPr>
            <w:r w:rsidRPr="007224B8">
              <w:rPr>
                <w:b/>
                <w:bCs/>
                <w:sz w:val="20"/>
              </w:rPr>
              <w:t>Š.g. 7.jūnijā uzturētais iebildums.</w:t>
            </w:r>
          </w:p>
          <w:p w14:paraId="682ACA25" w14:textId="4D72DFEF" w:rsidR="00665A51" w:rsidRPr="00BF1FE2" w:rsidRDefault="00665A51" w:rsidP="00665A51">
            <w:pPr>
              <w:pStyle w:val="NormalWeb"/>
              <w:ind w:right="13"/>
              <w:jc w:val="both"/>
              <w:rPr>
                <w:b/>
                <w:bCs/>
                <w:sz w:val="20"/>
                <w:szCs w:val="20"/>
              </w:rPr>
            </w:pPr>
            <w:r w:rsidRPr="007224B8">
              <w:rPr>
                <w:sz w:val="20"/>
              </w:rPr>
              <w:t>Tieslietu ministrija uztur tās izteikto iebildumu par likumprojekta 8. panta trešo daļu par ierobežojumiem pantā uzskaitītajām personām ieņemt amatus ieguldījumu brokeru sabiedrībā, kuru Tieslietu ministrijas ieskatā nepieciešams precizēt atbilstoši Satversmes tiesas 2020. gada 17. decembra sprieduma lietā Nr. 2020-18-01 norādītajam. Norādām, ka, lai gan Finanšu ministrija likumprojekta anotācijā iekļāvusi normas nepieciešamības pamatojumu, Tieslietu ministrijas ieskatā tas neatbilst Satversmes tiesas spriedumam lietā Nr. 2020-18-01, jo, saglabājot absolūtu aizliegumu, likumprojektā nav piedāvāts izveidot izvērtēšanas iestādi vai komisiju, kas ļautu tomēr kandidēt arī personām, uz kurām attiecināmi likumā paredzētie ierobežojumi.</w:t>
            </w:r>
          </w:p>
        </w:tc>
        <w:tc>
          <w:tcPr>
            <w:tcW w:w="848" w:type="pct"/>
            <w:gridSpan w:val="2"/>
            <w:tcBorders>
              <w:top w:val="single" w:sz="6" w:space="0" w:color="000000"/>
              <w:left w:val="single" w:sz="6" w:space="0" w:color="000000"/>
              <w:bottom w:val="single" w:sz="6" w:space="0" w:color="000000"/>
              <w:right w:val="single" w:sz="6" w:space="0" w:color="000000"/>
            </w:tcBorders>
          </w:tcPr>
          <w:p w14:paraId="52D3E1B5" w14:textId="3AC0AD0F" w:rsidR="00665A51" w:rsidRDefault="00665A51" w:rsidP="00665A51">
            <w:pPr>
              <w:pStyle w:val="naisc"/>
              <w:spacing w:before="0" w:after="0"/>
              <w:jc w:val="both"/>
              <w:rPr>
                <w:b/>
                <w:bCs/>
                <w:sz w:val="20"/>
                <w:szCs w:val="20"/>
              </w:rPr>
            </w:pPr>
            <w:r>
              <w:rPr>
                <w:b/>
                <w:bCs/>
                <w:sz w:val="20"/>
                <w:szCs w:val="20"/>
              </w:rPr>
              <w:lastRenderedPageBreak/>
              <w:t>Panākta vienošanās elektroniskajā saskaņošanā.</w:t>
            </w:r>
          </w:p>
          <w:p w14:paraId="2586C56E" w14:textId="77777777" w:rsidR="00665A51" w:rsidRDefault="00665A51" w:rsidP="00665A51">
            <w:pPr>
              <w:pStyle w:val="naisc"/>
              <w:spacing w:before="0" w:after="0"/>
              <w:jc w:val="both"/>
              <w:rPr>
                <w:sz w:val="20"/>
                <w:szCs w:val="20"/>
              </w:rPr>
            </w:pPr>
            <w:r>
              <w:rPr>
                <w:sz w:val="20"/>
                <w:szCs w:val="20"/>
              </w:rPr>
              <w:t>Likumprojekta 8.panta trešā daļa izteikta jaunā redakcijā.</w:t>
            </w:r>
          </w:p>
          <w:p w14:paraId="3E50DD49" w14:textId="77777777" w:rsidR="00665A51" w:rsidRDefault="00665A51" w:rsidP="00665A51">
            <w:pPr>
              <w:pStyle w:val="naisc"/>
              <w:spacing w:before="0" w:after="0"/>
              <w:jc w:val="both"/>
              <w:rPr>
                <w:sz w:val="20"/>
                <w:szCs w:val="20"/>
              </w:rPr>
            </w:pPr>
            <w:proofErr w:type="spellStart"/>
            <w:r>
              <w:rPr>
                <w:sz w:val="20"/>
                <w:szCs w:val="20"/>
              </w:rPr>
              <w:lastRenderedPageBreak/>
              <w:t>Papidināts</w:t>
            </w:r>
            <w:proofErr w:type="spellEnd"/>
            <w:r>
              <w:rPr>
                <w:sz w:val="20"/>
                <w:szCs w:val="20"/>
              </w:rPr>
              <w:t xml:space="preserve"> Anotācijas I sadaļas 2.punkts.</w:t>
            </w:r>
          </w:p>
          <w:p w14:paraId="4C99E913" w14:textId="77777777" w:rsidR="00665A51" w:rsidRDefault="00665A51" w:rsidP="0084387D">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31A4687B"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lastRenderedPageBreak/>
              <w:t>Likumprojekta 8.panta trešā daļa:</w:t>
            </w:r>
          </w:p>
          <w:p w14:paraId="0B48FEEB"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 xml:space="preserve">(3) Par ieguldījumu brokeru sabiedrības valdes priekšsēdētāju, valdes locekli, </w:t>
            </w:r>
            <w:r w:rsidRPr="00D62A79">
              <w:rPr>
                <w:rFonts w:ascii="Times New Roman" w:eastAsia="Times New Roman" w:hAnsi="Times New Roman" w:cs="Times New Roman"/>
                <w:sz w:val="20"/>
                <w:szCs w:val="20"/>
                <w:lang w:eastAsia="lv-LV"/>
              </w:rPr>
              <w:lastRenderedPageBreak/>
              <w:t>iekšējā audita dienesta vadītāju, risku direktoru, par darbības atbilstības kontroli atbildīgo 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 nevar būt persona, kura:</w:t>
            </w:r>
          </w:p>
          <w:p w14:paraId="0A6834BF"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1) ir sodīta par tīša noziedzīga nodarījuma izdarīšanu pret valsti, īpašumu vai pārvaldības kārtību vai par tīša noziedzīga nodarījuma izdarīšanu tautsaimniecībā vai valsts institūciju dienestā, vai par tāda nozieguma izdarīšanu, kas saistīts ar terorismu,</w:t>
            </w:r>
          </w:p>
          <w:p w14:paraId="5ABC3FC7" w14:textId="77777777" w:rsidR="00665A51" w:rsidRPr="00D62A79" w:rsidRDefault="00665A51" w:rsidP="00665A51">
            <w:pPr>
              <w:autoSpaceDE w:val="0"/>
              <w:autoSpaceDN w:val="0"/>
              <w:adjustRightInd w:val="0"/>
              <w:jc w:val="both"/>
              <w:rPr>
                <w:rFonts w:ascii="Times New Roman" w:eastAsia="Times New Roman" w:hAnsi="Times New Roman" w:cs="Times New Roman"/>
                <w:sz w:val="20"/>
                <w:szCs w:val="20"/>
                <w:lang w:eastAsia="lv-LV"/>
              </w:rPr>
            </w:pPr>
            <w:r w:rsidRPr="00D62A79">
              <w:rPr>
                <w:rFonts w:ascii="Times New Roman" w:eastAsia="Times New Roman" w:hAnsi="Times New Roman" w:cs="Times New Roman"/>
                <w:sz w:val="20"/>
                <w:szCs w:val="20"/>
                <w:lang w:eastAsia="lv-LV"/>
              </w:rPr>
              <w:t>2) notiesāta par šīs daļas 1.punktā minētā tīša noziedzīga nodarījuma izdarīšanu, atbrīvojot no soda vai pret kuru kriminālprocess izbeigts uz nereabilitējoša pamata — kamēr nav pagājis gads pēc attiecīgā lēmuma stāšanās spēkā.</w:t>
            </w:r>
          </w:p>
          <w:p w14:paraId="78E56173" w14:textId="77777777" w:rsidR="00665A51" w:rsidRDefault="00665A51" w:rsidP="00665A51">
            <w:pPr>
              <w:autoSpaceDE w:val="0"/>
              <w:autoSpaceDN w:val="0"/>
              <w:adjustRightInd w:val="0"/>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Anotācijas I sadaļas 2.punkts:</w:t>
            </w:r>
          </w:p>
          <w:p w14:paraId="478F4C81" w14:textId="03876C3C" w:rsidR="00665A51" w:rsidRDefault="00665A51" w:rsidP="00665A51">
            <w:pPr>
              <w:spacing w:after="0" w:line="240" w:lineRule="auto"/>
              <w:jc w:val="both"/>
              <w:rPr>
                <w:rFonts w:ascii="Times New Roman" w:hAnsi="Times New Roman" w:cs="Times New Roman"/>
                <w:sz w:val="20"/>
                <w:szCs w:val="20"/>
              </w:rPr>
            </w:pPr>
            <w:r w:rsidRPr="00D62A79">
              <w:rPr>
                <w:rFonts w:ascii="Times New Roman" w:eastAsia="Times New Roman" w:hAnsi="Times New Roman" w:cs="Times New Roman"/>
                <w:sz w:val="20"/>
                <w:szCs w:val="20"/>
                <w:lang w:eastAsia="lv-LV"/>
              </w:rPr>
              <w:t xml:space="preserve">Likumprojekta 8.pants trešās daļas jaunā redakcijā paredz nodrošināt tiesību normas atbilstību Satversmes tiesas 2020. gada 17. decembra sprieduma lietā Nr.2020-18-01 norādītajam, proti, tiek </w:t>
            </w:r>
            <w:r w:rsidRPr="00D62A79">
              <w:rPr>
                <w:rFonts w:ascii="Times New Roman" w:eastAsia="Times New Roman" w:hAnsi="Times New Roman" w:cs="Times New Roman"/>
                <w:sz w:val="20"/>
                <w:szCs w:val="20"/>
                <w:lang w:eastAsia="lv-LV"/>
              </w:rPr>
              <w:lastRenderedPageBreak/>
              <w:t>izslēgts absolūtais aizliegums būt par ieguldījumu brokeru sabiedrības valdes priekšsēdētāju, valdes locekli, iekšējā audita dienesta vadītāju, risku direktoru, par darbības atbilstības kontroli atbildīgo</w:t>
            </w:r>
            <w:r>
              <w:rPr>
                <w:rFonts w:ascii="Times New Roman" w:eastAsia="Times New Roman" w:hAnsi="Times New Roman" w:cs="Times New Roman"/>
                <w:sz w:val="20"/>
                <w:szCs w:val="20"/>
                <w:lang w:eastAsia="lv-LV"/>
              </w:rPr>
              <w:t xml:space="preserve"> </w:t>
            </w:r>
            <w:r w:rsidRPr="00D62A79">
              <w:rPr>
                <w:rFonts w:ascii="Times New Roman" w:eastAsia="Times New Roman" w:hAnsi="Times New Roman" w:cs="Times New Roman"/>
                <w:sz w:val="20"/>
                <w:szCs w:val="20"/>
                <w:lang w:eastAsia="lv-LV"/>
              </w:rPr>
              <w:t>personu, sabiedrības kontrolierim, par noziedzīgi iegūtu līdzekļu legalizācijas un terorisma finansēšanas novēršanas prasību izpildi atbildīgo personu, ārvalsts ieguldījumu brokeru sabiedrības filiāles vai ieguldījumu brokeru sabiedrības filiāles citā dalībvalstī vadītāju.</w:t>
            </w:r>
          </w:p>
        </w:tc>
      </w:tr>
      <w:tr w:rsidR="0085739E" w:rsidRPr="00184920" w14:paraId="53CFD680" w14:textId="77777777" w:rsidTr="0085739E">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5F5386F" w14:textId="21393C59" w:rsidR="0085739E" w:rsidRDefault="0085739E" w:rsidP="0085739E">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w:t>
            </w:r>
          </w:p>
        </w:tc>
        <w:tc>
          <w:tcPr>
            <w:tcW w:w="692" w:type="pct"/>
            <w:tcBorders>
              <w:top w:val="single" w:sz="6" w:space="0" w:color="000000"/>
              <w:left w:val="single" w:sz="6" w:space="0" w:color="000000"/>
              <w:bottom w:val="single" w:sz="6" w:space="0" w:color="000000"/>
              <w:right w:val="single" w:sz="6" w:space="0" w:color="000000"/>
            </w:tcBorders>
          </w:tcPr>
          <w:p w14:paraId="2BCCDF40" w14:textId="77777777" w:rsidR="0085739E" w:rsidRPr="00A53EEC" w:rsidRDefault="0085739E" w:rsidP="0085739E">
            <w:pPr>
              <w:pStyle w:val="NoSpacing"/>
              <w:widowControl/>
              <w:rPr>
                <w:rFonts w:eastAsiaTheme="minorHAnsi"/>
                <w:b/>
                <w:bCs/>
                <w:sz w:val="20"/>
                <w:szCs w:val="20"/>
              </w:rPr>
            </w:pPr>
            <w:r w:rsidRPr="00A53EEC">
              <w:rPr>
                <w:rFonts w:eastAsiaTheme="minorHAnsi"/>
                <w:b/>
                <w:bCs/>
                <w:sz w:val="20"/>
                <w:szCs w:val="20"/>
              </w:rPr>
              <w:t>8. pants. Prasības ieguldījumu brokeru sabiedrības amatpersonām</w:t>
            </w:r>
          </w:p>
          <w:p w14:paraId="6D9D6793" w14:textId="77777777" w:rsidR="0085739E" w:rsidRDefault="0085739E" w:rsidP="0085739E">
            <w:pPr>
              <w:pStyle w:val="NoSpacing"/>
              <w:widowControl/>
              <w:rPr>
                <w:rFonts w:eastAsiaTheme="minorHAnsi"/>
                <w:bCs/>
                <w:sz w:val="20"/>
                <w:szCs w:val="20"/>
              </w:rPr>
            </w:pPr>
            <w:r w:rsidRPr="00A53EEC">
              <w:rPr>
                <w:rFonts w:eastAsiaTheme="minorHAnsi"/>
                <w:bCs/>
                <w:sz w:val="20"/>
                <w:szCs w:val="20"/>
              </w:rPr>
              <w:t xml:space="preserve">(4) Ieguldījumu brokeru sabiedrības padomes pienākums ir nekavējoties </w:t>
            </w:r>
            <w:r w:rsidRPr="00A53EEC">
              <w:rPr>
                <w:rFonts w:eastAsiaTheme="minorHAnsi"/>
                <w:bCs/>
                <w:sz w:val="20"/>
                <w:szCs w:val="20"/>
                <w:u w:val="single"/>
              </w:rPr>
              <w:t>atsaukt no amata šā panta pirmajā daļā minētās personas</w:t>
            </w:r>
            <w:r w:rsidRPr="00A53EEC">
              <w:rPr>
                <w:rFonts w:eastAsiaTheme="minorHAnsi"/>
                <w:bCs/>
                <w:sz w:val="20"/>
                <w:szCs w:val="20"/>
              </w:rPr>
              <w:t>, ja tās neatbilst šā panta pirmās daļas prasībām vai uz tām var attiecināt šā panta trešās daļas 1. vai 2. punktu.</w:t>
            </w:r>
          </w:p>
          <w:p w14:paraId="4A9B5DA0" w14:textId="77777777" w:rsidR="0085739E" w:rsidRPr="00A53EEC" w:rsidRDefault="0085739E" w:rsidP="0085739E"/>
          <w:p w14:paraId="1B82C46E" w14:textId="45639A44" w:rsidR="0085739E" w:rsidRPr="00BF1FE2" w:rsidRDefault="0085739E" w:rsidP="0085739E">
            <w:pPr>
              <w:pStyle w:val="NoSpacing"/>
              <w:widowControl/>
              <w:rPr>
                <w:rFonts w:eastAsiaTheme="minorHAnsi"/>
                <w:b/>
                <w:bCs/>
                <w:sz w:val="20"/>
                <w:szCs w:val="20"/>
              </w:rPr>
            </w:pPr>
            <w:r w:rsidRPr="00A53EEC">
              <w:rPr>
                <w:rFonts w:eastAsiaTheme="minorHAnsi"/>
                <w:bCs/>
                <w:sz w:val="20"/>
                <w:szCs w:val="20"/>
              </w:rPr>
              <w:t xml:space="preserve">(6) Akcionāru vai </w:t>
            </w:r>
            <w:r w:rsidRPr="00A53EEC">
              <w:rPr>
                <w:rFonts w:eastAsiaTheme="minorHAnsi"/>
                <w:bCs/>
                <w:sz w:val="20"/>
                <w:szCs w:val="20"/>
                <w:u w:val="single"/>
              </w:rPr>
              <w:t>dalībnieku sapulcei ir pienākums nekavējoties atsaukt no amata šā panta piektajā daļā minētās personas</w:t>
            </w:r>
            <w:r w:rsidRPr="00A53EEC">
              <w:rPr>
                <w:rFonts w:eastAsiaTheme="minorHAnsi"/>
                <w:bCs/>
                <w:sz w:val="20"/>
                <w:szCs w:val="20"/>
              </w:rPr>
              <w:t>, ja tās neatbilst attiecīgajā daļā noteiktajām prasībām.</w:t>
            </w:r>
          </w:p>
        </w:tc>
        <w:tc>
          <w:tcPr>
            <w:tcW w:w="1309" w:type="pct"/>
            <w:tcBorders>
              <w:top w:val="single" w:sz="6" w:space="0" w:color="000000"/>
              <w:left w:val="single" w:sz="6" w:space="0" w:color="000000"/>
              <w:bottom w:val="single" w:sz="6" w:space="0" w:color="000000"/>
              <w:right w:val="single" w:sz="6" w:space="0" w:color="000000"/>
            </w:tcBorders>
          </w:tcPr>
          <w:p w14:paraId="26DBAA07" w14:textId="77777777" w:rsidR="0085739E" w:rsidRDefault="0085739E" w:rsidP="0085739E">
            <w:pPr>
              <w:pStyle w:val="NormalWeb"/>
              <w:ind w:right="13"/>
              <w:jc w:val="both"/>
              <w:rPr>
                <w:sz w:val="20"/>
                <w:szCs w:val="20"/>
              </w:rPr>
            </w:pPr>
            <w:r w:rsidRPr="00C56A30">
              <w:rPr>
                <w:b/>
                <w:bCs/>
                <w:sz w:val="20"/>
                <w:szCs w:val="20"/>
              </w:rPr>
              <w:lastRenderedPageBreak/>
              <w:t>Iebildums.</w:t>
            </w:r>
            <w:r w:rsidRPr="00C56A30">
              <w:rPr>
                <w:sz w:val="20"/>
                <w:szCs w:val="20"/>
              </w:rPr>
              <w:t xml:space="preserve"> Likumprojekta 8. panta ceturtā daļa paredz ieguldījumu brokeru sabiedrības padomes pienākumu atsaukt šī panta pirmajā daļā minētās personas, tostarp valdes locekļus, savukārt šī panta sestā daļa paredz dalībnieku sapulces pienākumu atsaukt padomes locekļus, ja tie neatbilst konkrētām prasībām. Norādām, ka sabiedrībās ar ierobežotu atbildību dalībnieku sapulces kompetencē ietilpst arī valdes locekļu atsaukšana, savukārt padomes izveidošana saskaņā ar Komerclikumu nav obligāta. Tāpat norādām, ka pantā paredzēts pienākums atsaukt minētās personas no to amatiem, taču nav norādītas sekas tam, ja šo personu atsaukšana netiek īstenota. Tādēļ lūdzam precizēt likumprojekta 8. pantu, </w:t>
            </w:r>
            <w:r w:rsidRPr="00C56A30">
              <w:rPr>
                <w:sz w:val="20"/>
                <w:szCs w:val="20"/>
              </w:rPr>
              <w:lastRenderedPageBreak/>
              <w:t>nosakot dalībnieku sapulces tiesības atsaukt valdes locekļus, un paredzot sekas, kādas rodas, ja padomes un valdes locekļi, kas neatbilst pantā noteiktajām prasībām, netiek atsaukti.</w:t>
            </w:r>
          </w:p>
          <w:p w14:paraId="54168AA2" w14:textId="77777777" w:rsidR="0085739E" w:rsidRPr="004801F3" w:rsidRDefault="0085739E" w:rsidP="0085739E">
            <w:pPr>
              <w:pStyle w:val="naisc"/>
              <w:spacing w:before="0" w:after="0"/>
              <w:jc w:val="both"/>
              <w:rPr>
                <w:b/>
                <w:bCs/>
                <w:sz w:val="20"/>
                <w:szCs w:val="20"/>
              </w:rPr>
            </w:pPr>
            <w:r w:rsidRPr="004801F3">
              <w:rPr>
                <w:b/>
                <w:bCs/>
                <w:sz w:val="20"/>
                <w:szCs w:val="20"/>
              </w:rPr>
              <w:t>Š.g. 11.maija uzturētais iebildums.</w:t>
            </w:r>
          </w:p>
          <w:p w14:paraId="7FD15C9D" w14:textId="77777777" w:rsidR="0085739E" w:rsidRPr="004801F3" w:rsidRDefault="0085739E" w:rsidP="0085739E">
            <w:pPr>
              <w:pStyle w:val="naisc"/>
              <w:spacing w:before="0" w:after="0"/>
              <w:jc w:val="both"/>
              <w:rPr>
                <w:sz w:val="20"/>
                <w:szCs w:val="20"/>
              </w:rPr>
            </w:pPr>
            <w:r w:rsidRPr="004801F3">
              <w:rPr>
                <w:sz w:val="20"/>
                <w:szCs w:val="20"/>
              </w:rPr>
              <w:t xml:space="preserve">Likumprojekta 8. pantā paredzēts pienākums atsaukt pirmajā daļā uzskaitītās personas no to amatiem, taču nav norādītas sekas tam, ja šo personu atsaukšana netiek īstenota. Lai gan Finanšu ministrija skaidro, ka Komisija ir pilntiesīga autonoma valsts iestāde, kas atbilstoši savam darbības mērķim un uzdevumiem regulē un pārrauga finanšu un kapitāla tirgu un tā dalībnieku darbību, kā to paredz Finanšu un kapitāla tirgus komisijas likuma 2. pants, un ir tiesīga pieprasīt novērst pārkāpumus, piemērot normatīvajos aktos noteiktās sankcijas finanšu un kapitāla tirgus dalībniekiem un to amatpersonām, ja šie akti tiek pārkāpti, vēlamies norādīt, ka tiesību normām ir jābūt skaidrām un nepārprotamām, turklāt ar skaidri izrietošām sekām. </w:t>
            </w:r>
          </w:p>
          <w:p w14:paraId="02B67C18" w14:textId="1DDAE53A" w:rsidR="0085739E" w:rsidRPr="00BF1FE2" w:rsidRDefault="0085739E" w:rsidP="0085739E">
            <w:pPr>
              <w:pStyle w:val="NormalWeb"/>
              <w:ind w:right="13"/>
              <w:jc w:val="both"/>
              <w:rPr>
                <w:b/>
                <w:bCs/>
                <w:sz w:val="20"/>
                <w:szCs w:val="20"/>
              </w:rPr>
            </w:pPr>
            <w:r w:rsidRPr="004801F3">
              <w:rPr>
                <w:sz w:val="20"/>
                <w:szCs w:val="20"/>
              </w:rPr>
              <w:t>Tādēļ lūdzam precizēt likumprojekta 8. pantu, paredzot sekas, kādas rodas, ja padomes un valdes locekļi, kas neatbilst pantā noteiktajām prasībām, netiek atsaukti, vai ievietojot atsauci uz normu, kura paredz šādas sekas.</w:t>
            </w:r>
          </w:p>
        </w:tc>
        <w:tc>
          <w:tcPr>
            <w:tcW w:w="848" w:type="pct"/>
            <w:gridSpan w:val="2"/>
            <w:tcBorders>
              <w:top w:val="single" w:sz="6" w:space="0" w:color="000000"/>
              <w:left w:val="single" w:sz="6" w:space="0" w:color="000000"/>
              <w:bottom w:val="single" w:sz="6" w:space="0" w:color="000000"/>
              <w:right w:val="single" w:sz="6" w:space="0" w:color="000000"/>
            </w:tcBorders>
          </w:tcPr>
          <w:p w14:paraId="2DC346D0" w14:textId="77DF192E" w:rsidR="0085739E" w:rsidRPr="0085739E" w:rsidRDefault="00BC341A" w:rsidP="0085739E">
            <w:pPr>
              <w:pStyle w:val="NormalWeb"/>
              <w:ind w:right="13"/>
              <w:jc w:val="both"/>
              <w:rPr>
                <w:sz w:val="20"/>
                <w:szCs w:val="20"/>
              </w:rPr>
            </w:pPr>
            <w:r>
              <w:rPr>
                <w:b/>
                <w:bCs/>
                <w:sz w:val="20"/>
                <w:szCs w:val="20"/>
              </w:rPr>
              <w:lastRenderedPageBreak/>
              <w:t>Panākta vienošanās elektroniskajā saskaņošanā.</w:t>
            </w:r>
            <w:r w:rsidR="0085739E" w:rsidRPr="0085739E">
              <w:rPr>
                <w:sz w:val="20"/>
                <w:szCs w:val="20"/>
              </w:rPr>
              <w:t xml:space="preserve"> </w:t>
            </w:r>
            <w:r w:rsidR="0085739E" w:rsidRPr="00F32462">
              <w:rPr>
                <w:sz w:val="20"/>
                <w:szCs w:val="20"/>
              </w:rPr>
              <w:t>Likumprojekta 8.panta sestā daļa papildināta ar gadījumu, ja sabiedrībai ar ierobežotu atbildību padome nav izveidota, proti, dalībnieku sapulcei paredzēts pienākums atsaukt valdes locekļus, ja tie neatbilst prasībām.</w:t>
            </w:r>
            <w:r w:rsidR="0085739E">
              <w:rPr>
                <w:sz w:val="20"/>
                <w:szCs w:val="20"/>
              </w:rPr>
              <w:t xml:space="preserve"> Attiecībā uz sekām, </w:t>
            </w:r>
            <w:r w:rsidR="0085739E" w:rsidRPr="00C56A30">
              <w:rPr>
                <w:sz w:val="20"/>
                <w:szCs w:val="20"/>
              </w:rPr>
              <w:t>ja šo personu atsaukšana netiek īstenota</w:t>
            </w:r>
            <w:r w:rsidR="0085739E">
              <w:rPr>
                <w:sz w:val="20"/>
                <w:szCs w:val="20"/>
              </w:rPr>
              <w:t xml:space="preserve">,  vēršam uzmanību, ka Komisija ir </w:t>
            </w:r>
            <w:r w:rsidR="0085739E" w:rsidRPr="00F32462">
              <w:rPr>
                <w:sz w:val="20"/>
                <w:szCs w:val="20"/>
              </w:rPr>
              <w:t xml:space="preserve">pilntiesīga autonoma valsts iestāde, kas atbilstoši savam </w:t>
            </w:r>
            <w:r w:rsidR="0085739E" w:rsidRPr="00F32462">
              <w:rPr>
                <w:sz w:val="20"/>
                <w:szCs w:val="20"/>
              </w:rPr>
              <w:lastRenderedPageBreak/>
              <w:t>darbības mērķim un uzdevumiem regulē un pārrauga finanšu un kapitāla tirgu un tā dalībnieku darbību</w:t>
            </w:r>
            <w:r w:rsidR="0085739E">
              <w:rPr>
                <w:sz w:val="20"/>
                <w:szCs w:val="20"/>
              </w:rPr>
              <w:t xml:space="preserve">, kā to paredz Finanšu un kapitāla tirgus komisijas likuma 2.pants. Proti, Komisija ir tiesīga pieprasīt novērst pārkāpumus, </w:t>
            </w:r>
            <w:r w:rsidR="0085739E" w:rsidRPr="00EB6317">
              <w:rPr>
                <w:sz w:val="20"/>
                <w:szCs w:val="20"/>
              </w:rPr>
              <w:t>piemērot normatīvajos aktos noteiktās sankcijas finanšu un kapitāla tirgus dalībniekiem un to amatpersonām, ja šie akti tiek pārkāpti</w:t>
            </w:r>
            <w:r w:rsidR="0085739E">
              <w:rPr>
                <w:sz w:val="20"/>
                <w:szCs w:val="20"/>
              </w:rPr>
              <w:t xml:space="preserve"> u.c. </w:t>
            </w:r>
            <w:r w:rsidR="0085739E" w:rsidRPr="0085739E">
              <w:rPr>
                <w:sz w:val="20"/>
                <w:szCs w:val="20"/>
              </w:rPr>
              <w:t>Nav objektīvi iespējams izvērtēt un aprakstīt visas iespējamās sekas, ņemot vērā, ka tās būs atkarīgas no faktiskajiem apstākļiem un secinājuma, pie kāda Finanšu un kapitāla komisija katrā individuālā gadījumā nonāk. Nosakot konkrētas sekas likumprojekta 8.pantā izrietošajam pienākumam atsaukt 8.panta pirmajā daļā uzskaitītās personas no to amatiem liedz Finanšu un kapitāla tirgus komisijai piemērot Administratīvā procesa likumā noteiktos principus, Finanšu un kapitāla tirgus komisijas likuma 17.</w:t>
            </w:r>
            <w:r w:rsidR="0085739E" w:rsidRPr="00BC341A">
              <w:rPr>
                <w:sz w:val="20"/>
                <w:szCs w:val="20"/>
                <w:vertAlign w:val="superscript"/>
              </w:rPr>
              <w:t>1</w:t>
            </w:r>
            <w:r w:rsidR="0085739E" w:rsidRPr="0085739E">
              <w:rPr>
                <w:sz w:val="20"/>
                <w:szCs w:val="20"/>
              </w:rPr>
              <w:t xml:space="preserve"> pantā iestrādātos kritērijus, proti, pieņemot lēmumu par sankciju piemērošanu personām, kuras pārkāpušas finanšu un kapitāla tirgu regulējošos normatīvos aktus, Finanšu un kapitāla tirgus komisija ņem vērā pārkāpuma smagumu, pārkāpuma ilgumu, personas atbildības pakāpi, pārkāpuma rezultātā personas gūtos ienākumus, pārkāpuma rezultātā radīto zaudējumu atlīdzināšanu, personas sadarbību pārkāpuma pārbaudē, personas pieredzi finanšu un kapitāla tirgū, personas finansiālo </w:t>
            </w:r>
            <w:r w:rsidR="0085739E" w:rsidRPr="0085739E">
              <w:rPr>
                <w:sz w:val="20"/>
                <w:szCs w:val="20"/>
              </w:rPr>
              <w:lastRenderedPageBreak/>
              <w:t>stāvokli, personas iepriekš izdarītos pārkāpumus finanšu un kapitāla tirgū, kā arī uzraudzības labākās prakses piemērus, kādus ievēro Eiropas Savienības dalībvalstu uzraugi ņemot vērā ESMA un ECB standartus un vadlīnijas.</w:t>
            </w:r>
          </w:p>
        </w:tc>
        <w:tc>
          <w:tcPr>
            <w:tcW w:w="936" w:type="pct"/>
            <w:tcBorders>
              <w:top w:val="single" w:sz="4" w:space="0" w:color="auto"/>
              <w:left w:val="single" w:sz="4" w:space="0" w:color="auto"/>
              <w:bottom w:val="single" w:sz="4" w:space="0" w:color="auto"/>
              <w:right w:val="single" w:sz="4" w:space="0" w:color="auto"/>
            </w:tcBorders>
          </w:tcPr>
          <w:p w14:paraId="6C6C4A5D" w14:textId="77777777" w:rsidR="0085739E" w:rsidRDefault="0085739E" w:rsidP="0085739E">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Likumprojekta 8.panta sestā daļa:</w:t>
            </w:r>
          </w:p>
          <w:p w14:paraId="378065D8" w14:textId="116DCA93" w:rsidR="0085739E" w:rsidRDefault="0085739E" w:rsidP="0085739E">
            <w:pPr>
              <w:spacing w:after="0" w:line="240" w:lineRule="auto"/>
              <w:jc w:val="both"/>
              <w:rPr>
                <w:rFonts w:ascii="Times New Roman" w:hAnsi="Times New Roman" w:cs="Times New Roman"/>
                <w:sz w:val="20"/>
                <w:szCs w:val="20"/>
              </w:rPr>
            </w:pPr>
            <w:r>
              <w:rPr>
                <w:rFonts w:ascii="Times New Roman" w:eastAsia="Times New Roman" w:hAnsi="Times New Roman" w:cs="Times New Roman"/>
                <w:sz w:val="20"/>
                <w:szCs w:val="20"/>
                <w:lang w:eastAsia="lv-LV"/>
              </w:rPr>
              <w:t>“(6)</w:t>
            </w:r>
            <w:r w:rsidRPr="00A53EEC">
              <w:rPr>
                <w:bCs/>
                <w:sz w:val="20"/>
                <w:szCs w:val="20"/>
              </w:rPr>
              <w:t> </w:t>
            </w:r>
            <w:r w:rsidRPr="00F32462">
              <w:rPr>
                <w:rFonts w:ascii="Times New Roman" w:eastAsia="Times New Roman" w:hAnsi="Times New Roman" w:cs="Times New Roman"/>
                <w:sz w:val="20"/>
                <w:szCs w:val="20"/>
                <w:lang w:eastAsia="lv-LV"/>
              </w:rPr>
              <w:t>Akcionāru vai dalībnieku sapulcei ir pienākums nekavējoties atsaukt no amata šā panta piektajā daļā minētās personas, ja tās neatbilst attiecīgajā daļā noteiktajām prasībām.</w:t>
            </w:r>
            <w:r>
              <w:rPr>
                <w:rFonts w:ascii="Times New Roman" w:eastAsia="Times New Roman" w:hAnsi="Times New Roman" w:cs="Times New Roman"/>
                <w:sz w:val="20"/>
                <w:szCs w:val="20"/>
                <w:lang w:eastAsia="lv-LV"/>
              </w:rPr>
              <w:t xml:space="preserve"> </w:t>
            </w:r>
            <w:r w:rsidRPr="00F32462">
              <w:rPr>
                <w:rFonts w:ascii="Times New Roman" w:eastAsia="Times New Roman" w:hAnsi="Times New Roman" w:cs="Times New Roman"/>
                <w:sz w:val="20"/>
                <w:szCs w:val="20"/>
                <w:u w:val="single"/>
                <w:lang w:eastAsia="lv-LV"/>
              </w:rPr>
              <w:t>Gadījumā, ja padome nav izveidota, tad dalībnieku sapulcei ir pienākums nekavējoties atsaukt no amata šā panta pirmajā daļā minētās personas, ja tās neatbilst šā panta pirmās daļas prasībām vai uz tām var attiecināt šā panta trešās daļas 1. vai 2. punktu.</w:t>
            </w:r>
          </w:p>
        </w:tc>
      </w:tr>
      <w:tr w:rsidR="0085739E" w:rsidRPr="00184920" w14:paraId="3214A3F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7E5D77C" w14:textId="3D2AC686" w:rsidR="0085739E" w:rsidRPr="00184920" w:rsidRDefault="0085739E" w:rsidP="0085739E">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5.</w:t>
            </w:r>
          </w:p>
        </w:tc>
        <w:tc>
          <w:tcPr>
            <w:tcW w:w="692" w:type="pct"/>
            <w:tcBorders>
              <w:top w:val="single" w:sz="6" w:space="0" w:color="000000"/>
              <w:left w:val="single" w:sz="6" w:space="0" w:color="000000"/>
              <w:bottom w:val="single" w:sz="6" w:space="0" w:color="000000"/>
              <w:right w:val="single" w:sz="6" w:space="0" w:color="000000"/>
            </w:tcBorders>
          </w:tcPr>
          <w:p w14:paraId="05242DE9" w14:textId="77777777" w:rsidR="0085739E" w:rsidRPr="00B6231B" w:rsidRDefault="0085739E" w:rsidP="0085739E">
            <w:pPr>
              <w:pStyle w:val="NoSpacing"/>
              <w:widowControl/>
              <w:rPr>
                <w:rFonts w:eastAsiaTheme="minorHAnsi"/>
                <w:b/>
                <w:bCs/>
                <w:sz w:val="20"/>
                <w:szCs w:val="20"/>
              </w:rPr>
            </w:pPr>
            <w:r w:rsidRPr="00A53EEC">
              <w:rPr>
                <w:rFonts w:eastAsiaTheme="minorHAnsi"/>
                <w:b/>
                <w:bCs/>
                <w:sz w:val="20"/>
                <w:szCs w:val="20"/>
              </w:rPr>
              <w:t>8. pants. Prasības ieguldījumu brokeru sabiedrības amatpersonām</w:t>
            </w:r>
          </w:p>
          <w:p w14:paraId="27888DEF" w14:textId="5F49C83C" w:rsidR="0085739E" w:rsidRPr="00C56A30" w:rsidRDefault="0085739E" w:rsidP="0085739E">
            <w:pPr>
              <w:pStyle w:val="NoSpacing"/>
              <w:widowControl/>
              <w:rPr>
                <w:rFonts w:eastAsiaTheme="minorHAnsi"/>
                <w:bCs/>
                <w:sz w:val="20"/>
                <w:szCs w:val="20"/>
              </w:rPr>
            </w:pPr>
            <w:r w:rsidRPr="00B6231B">
              <w:rPr>
                <w:rFonts w:eastAsiaTheme="minorHAnsi"/>
                <w:bCs/>
                <w:sz w:val="20"/>
                <w:szCs w:val="20"/>
              </w:rPr>
              <w:t xml:space="preserve">(7) Komisija ieguldījumu brokeru sabiedrībai neizsniedz licenci, kamēr tā nav informēta </w:t>
            </w:r>
            <w:r w:rsidRPr="00B6231B">
              <w:rPr>
                <w:rFonts w:eastAsiaTheme="minorHAnsi"/>
                <w:bCs/>
                <w:sz w:val="20"/>
                <w:szCs w:val="20"/>
                <w:u w:val="single"/>
              </w:rPr>
              <w:t>par akcionāru vai dalībnieku identitāti, par fiziskajām vai juridiskajām personām, kurām ir būtiska līdzdalība</w:t>
            </w:r>
            <w:r w:rsidRPr="00B6231B">
              <w:rPr>
                <w:rFonts w:eastAsiaTheme="minorHAnsi"/>
                <w:bCs/>
                <w:sz w:val="20"/>
                <w:szCs w:val="20"/>
              </w:rPr>
              <w:t xml:space="preserve">, un par minētās līdzdalības apmēru. </w:t>
            </w:r>
          </w:p>
        </w:tc>
        <w:tc>
          <w:tcPr>
            <w:tcW w:w="1309" w:type="pct"/>
            <w:tcBorders>
              <w:top w:val="single" w:sz="6" w:space="0" w:color="000000"/>
              <w:left w:val="single" w:sz="6" w:space="0" w:color="000000"/>
              <w:bottom w:val="single" w:sz="6" w:space="0" w:color="000000"/>
              <w:right w:val="single" w:sz="6" w:space="0" w:color="000000"/>
            </w:tcBorders>
          </w:tcPr>
          <w:p w14:paraId="3CB9D427" w14:textId="10DBA0AF" w:rsidR="0085739E" w:rsidRPr="00C56A30" w:rsidRDefault="0085739E" w:rsidP="0085739E">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Likumprojekta 8. panta septītā daļa paredz pienākumu informēt Komisiju par ieguldījumu brokeru sabiedrības akcionāru un dalībnieku identitāti un fiziskām vai juridiskām personām, kurām ir būtiska līdzdalība sabiedrībā. Norādām, ka Tieslietu ministrijas ieskatā Komisijai būtu nepieciešams vērtēt ne tikai akcionārus un dalībniekus, bet arī patiesā labuma guvējus. Ņemot vērā minēto aicinām precizēt likumprojekta 8. panta septīto daļu un vienlaikus izvērtēt, vai tajā ir nepieciešams saglabāt regulējumu arī par citām  fiziskām un juridiskām personām, kurām ir būtiska līdzdalība sabiedrībā.</w:t>
            </w:r>
          </w:p>
        </w:tc>
        <w:tc>
          <w:tcPr>
            <w:tcW w:w="848" w:type="pct"/>
            <w:gridSpan w:val="2"/>
            <w:tcBorders>
              <w:top w:val="single" w:sz="6" w:space="0" w:color="000000"/>
              <w:left w:val="single" w:sz="6" w:space="0" w:color="000000"/>
              <w:bottom w:val="single" w:sz="6" w:space="0" w:color="000000"/>
              <w:right w:val="single" w:sz="6" w:space="0" w:color="000000"/>
            </w:tcBorders>
          </w:tcPr>
          <w:p w14:paraId="400CBD33" w14:textId="28CEDE4E" w:rsidR="0085739E" w:rsidRPr="00723771" w:rsidRDefault="0085739E" w:rsidP="0085739E">
            <w:pPr>
              <w:spacing w:after="0" w:line="240" w:lineRule="auto"/>
              <w:jc w:val="both"/>
              <w:rPr>
                <w:rFonts w:ascii="Times New Roman" w:eastAsia="Times New Roman" w:hAnsi="Times New Roman" w:cs="Times New Roman"/>
                <w:sz w:val="20"/>
                <w:szCs w:val="20"/>
                <w:lang w:eastAsia="lv-LV"/>
              </w:rPr>
            </w:pPr>
            <w:r w:rsidRPr="001957A0">
              <w:rPr>
                <w:rFonts w:ascii="Times New Roman" w:eastAsia="Times New Roman" w:hAnsi="Times New Roman" w:cs="Times New Roman"/>
                <w:b/>
                <w:bCs/>
                <w:sz w:val="20"/>
                <w:szCs w:val="20"/>
                <w:lang w:eastAsia="lv-LV"/>
              </w:rPr>
              <w:t>Sniedzam skaidrojumu.</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Lūdzam ņemt vērā, ka likumprojekta 8.panta noteikumi ir spēkā esoši noteikumi Finanšu instrumentu tirgus likumā, proti, identisku regulējumu paredz Finanšu instrumentu tirgus likuma 106. pants. N</w:t>
            </w:r>
            <w:r>
              <w:rPr>
                <w:rFonts w:ascii="Times New Roman" w:hAnsi="Times New Roman" w:cs="Times New Roman"/>
                <w:sz w:val="20"/>
                <w:szCs w:val="20"/>
              </w:rPr>
              <w:t>orādām, ka likumprojekta 8.pantā (Finanšu instrumentu tirgus likuma 106. pantā) ir pārņemta Direktīvas Nr. 2014/65/ES 9.panta 1.punkta pirmā rindkopa. Likumprojekta anotācijas I sadaļas 2.punktā ir ietverta informācija par Finanšu instrumentu tirgus likuma pārceltajām normām, kā arī pats likumprojekts ietver atsauci uz Direktīvu Nr. 2014/65/ES.</w:t>
            </w:r>
          </w:p>
        </w:tc>
        <w:tc>
          <w:tcPr>
            <w:tcW w:w="936" w:type="pct"/>
            <w:tcBorders>
              <w:top w:val="single" w:sz="4" w:space="0" w:color="auto"/>
              <w:left w:val="single" w:sz="4" w:space="0" w:color="auto"/>
              <w:bottom w:val="single" w:sz="4" w:space="0" w:color="auto"/>
              <w:right w:val="single" w:sz="4" w:space="0" w:color="auto"/>
            </w:tcBorders>
          </w:tcPr>
          <w:p w14:paraId="43C32FFC" w14:textId="77777777" w:rsidR="0085739E" w:rsidRPr="00184920" w:rsidRDefault="0085739E" w:rsidP="0085739E">
            <w:pPr>
              <w:spacing w:after="0" w:line="240" w:lineRule="auto"/>
              <w:jc w:val="center"/>
              <w:rPr>
                <w:rFonts w:ascii="Times New Roman" w:eastAsia="Times New Roman" w:hAnsi="Times New Roman" w:cs="Times New Roman"/>
                <w:sz w:val="20"/>
                <w:szCs w:val="20"/>
                <w:lang w:eastAsia="lv-LV"/>
              </w:rPr>
            </w:pPr>
          </w:p>
        </w:tc>
      </w:tr>
      <w:tr w:rsidR="00D92D2A" w:rsidRPr="00D92D2A" w14:paraId="15E52DB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B490671" w14:textId="3A473BD2" w:rsidR="00D92D2A"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6.</w:t>
            </w:r>
          </w:p>
        </w:tc>
        <w:tc>
          <w:tcPr>
            <w:tcW w:w="692" w:type="pct"/>
            <w:tcBorders>
              <w:top w:val="single" w:sz="6" w:space="0" w:color="000000"/>
              <w:left w:val="single" w:sz="6" w:space="0" w:color="000000"/>
              <w:bottom w:val="single" w:sz="6" w:space="0" w:color="000000"/>
              <w:right w:val="single" w:sz="6" w:space="0" w:color="000000"/>
            </w:tcBorders>
          </w:tcPr>
          <w:p w14:paraId="1ED619D7" w14:textId="77777777" w:rsidR="00D92D2A" w:rsidRPr="00C56A30" w:rsidRDefault="00D92D2A" w:rsidP="00D92D2A">
            <w:pPr>
              <w:pStyle w:val="NoSpacing"/>
              <w:widowControl/>
              <w:rPr>
                <w:rFonts w:eastAsiaTheme="minorHAnsi"/>
                <w:b/>
                <w:bCs/>
                <w:sz w:val="20"/>
                <w:szCs w:val="20"/>
              </w:rPr>
            </w:pPr>
            <w:r w:rsidRPr="00C56A30">
              <w:rPr>
                <w:rFonts w:eastAsiaTheme="minorHAnsi"/>
                <w:b/>
                <w:bCs/>
                <w:sz w:val="20"/>
                <w:szCs w:val="20"/>
              </w:rPr>
              <w:t>9. pants. Noteikumi par ieguldījumu brokeru sabiedrības valdes un padomes locekļa ieņemamo valdes un padomes locekļa amata vietu kopējo skaitu</w:t>
            </w:r>
          </w:p>
          <w:p w14:paraId="16AA0B00" w14:textId="77777777" w:rsidR="00D92D2A" w:rsidRPr="00C56A30" w:rsidRDefault="00D92D2A" w:rsidP="00D92D2A">
            <w:pPr>
              <w:pStyle w:val="NoSpacing"/>
              <w:widowControl/>
              <w:rPr>
                <w:rFonts w:eastAsiaTheme="minorHAnsi"/>
                <w:noProof/>
                <w:sz w:val="20"/>
                <w:szCs w:val="20"/>
              </w:rPr>
            </w:pPr>
            <w:r w:rsidRPr="00C56A30">
              <w:rPr>
                <w:rFonts w:eastAsiaTheme="minorHAnsi"/>
                <w:bCs/>
                <w:sz w:val="20"/>
                <w:szCs w:val="20"/>
              </w:rPr>
              <w:t xml:space="preserve">(1) Nosakot, cik valdes un padomes locekļa amata vietu ieguldījumu brokeru sabiedrības </w:t>
            </w:r>
            <w:r w:rsidRPr="00C56A30">
              <w:rPr>
                <w:rFonts w:eastAsiaTheme="minorHAnsi"/>
                <w:noProof/>
                <w:sz w:val="20"/>
                <w:szCs w:val="20"/>
              </w:rPr>
              <w:t xml:space="preserve">valdes vai padomes(ja tāda ir izveidota) </w:t>
            </w:r>
            <w:r w:rsidRPr="00C56A30">
              <w:rPr>
                <w:rFonts w:eastAsiaTheme="minorHAnsi"/>
                <w:bCs/>
                <w:sz w:val="20"/>
                <w:szCs w:val="20"/>
              </w:rPr>
              <w:t xml:space="preserve">loceklis drīkst ieņemt vienlaikus, tiek ņemti vērā individuāli apstākļi, kā arī ieguldījumu brokeru </w:t>
            </w:r>
            <w:r w:rsidRPr="00C56A30">
              <w:rPr>
                <w:rFonts w:eastAsiaTheme="minorHAnsi"/>
                <w:bCs/>
                <w:sz w:val="20"/>
                <w:szCs w:val="20"/>
              </w:rPr>
              <w:lastRenderedPageBreak/>
              <w:t>sabiedrības darbības veids, apjoms un sarežģītība.</w:t>
            </w:r>
          </w:p>
          <w:p w14:paraId="1474B3D4" w14:textId="77777777" w:rsidR="00D92D2A" w:rsidRPr="00C56A30" w:rsidRDefault="00D92D2A" w:rsidP="00D92D2A">
            <w:pPr>
              <w:pStyle w:val="NoSpacing"/>
              <w:widowControl/>
              <w:rPr>
                <w:rFonts w:eastAsiaTheme="minorHAnsi"/>
                <w:noProof/>
                <w:sz w:val="20"/>
                <w:szCs w:val="20"/>
              </w:rPr>
            </w:pPr>
            <w:r w:rsidRPr="00C56A30">
              <w:rPr>
                <w:rFonts w:eastAsiaTheme="minorHAnsi"/>
                <w:bCs/>
                <w:sz w:val="20"/>
                <w:szCs w:val="20"/>
              </w:rPr>
              <w:t xml:space="preserve">(2) Lieluma, iekšējās organizācijas un darbības veida, apjoma un sarežģītības ziņā nozīmīgās ieguldījumu brokeru sabiedrības </w:t>
            </w:r>
            <w:r w:rsidRPr="00C56A30">
              <w:rPr>
                <w:rFonts w:eastAsiaTheme="minorHAnsi"/>
                <w:noProof/>
                <w:sz w:val="20"/>
                <w:szCs w:val="20"/>
              </w:rPr>
              <w:t>valdes un padomes(ja tāda ir izveidota)</w:t>
            </w:r>
            <w:r w:rsidRPr="00C56A30">
              <w:rPr>
                <w:rFonts w:eastAsiaTheme="minorHAnsi"/>
                <w:bCs/>
                <w:sz w:val="20"/>
                <w:szCs w:val="20"/>
              </w:rPr>
              <w:t xml:space="preserve"> loceklis, izņemot gadījumus, kad tas pārstāv Latvijas Republiku, vienlaikus neieņem vairāk kā:</w:t>
            </w:r>
          </w:p>
          <w:p w14:paraId="5C2381AA"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1) vienu valdes locekļa amata vietu un divas padomes locekļa amata vietas;</w:t>
            </w:r>
          </w:p>
          <w:p w14:paraId="593232B2"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četras padomes locekļa amata vietas.</w:t>
            </w:r>
          </w:p>
          <w:p w14:paraId="75CFABA1"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 xml:space="preserve">(3) Šā panta izpratnē par vienu valdes un </w:t>
            </w:r>
            <w:r w:rsidRPr="00C56A30">
              <w:rPr>
                <w:rFonts w:eastAsiaTheme="minorHAnsi"/>
                <w:noProof/>
                <w:sz w:val="20"/>
                <w:szCs w:val="20"/>
              </w:rPr>
              <w:t>padomes(ja tāda ir izveidota)</w:t>
            </w:r>
            <w:r w:rsidRPr="00C56A30">
              <w:rPr>
                <w:rFonts w:eastAsiaTheme="minorHAnsi"/>
                <w:bCs/>
                <w:sz w:val="20"/>
                <w:szCs w:val="20"/>
              </w:rPr>
              <w:t xml:space="preserve"> locekļa amata vietu tiek uzskatītas valdes un padomes locekļa amata vietas:</w:t>
            </w:r>
          </w:p>
          <w:p w14:paraId="3AF83EF1"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1) vienas konsolidācijas grupas ietvaros;</w:t>
            </w:r>
          </w:p>
          <w:p w14:paraId="60937C57"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iestādēs, kuras ietilpst vienā un tajā pašā Regulas Nr. </w:t>
            </w:r>
            <w:hyperlink r:id="rId8" w:tgtFrame="_blank" w:history="1">
              <w:r w:rsidRPr="00C56A30">
                <w:rPr>
                  <w:rFonts w:eastAsiaTheme="minorHAnsi"/>
                  <w:bCs/>
                  <w:sz w:val="20"/>
                  <w:szCs w:val="20"/>
                </w:rPr>
                <w:t>575/2013</w:t>
              </w:r>
            </w:hyperlink>
            <w:r w:rsidRPr="00C56A30">
              <w:rPr>
                <w:rFonts w:eastAsiaTheme="minorHAnsi"/>
                <w:bCs/>
                <w:sz w:val="20"/>
                <w:szCs w:val="20"/>
              </w:rPr>
              <w:t> 113.panta 7.punkta nosacījumiem atbilstošā institucionālās aizsardzības shēmā;</w:t>
            </w:r>
          </w:p>
          <w:p w14:paraId="1515F8D0"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3) sabiedrībās (tai skaitā tādās, kas nav finanšu iestādes), kurās ieguldījumu brokeru sabiedrībām ir būtiska līdzdalība.</w:t>
            </w:r>
          </w:p>
          <w:p w14:paraId="06F709ED"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 xml:space="preserve">(4) Šā panta izpratnē par valdes vai </w:t>
            </w:r>
            <w:r w:rsidRPr="00C56A30">
              <w:rPr>
                <w:rFonts w:eastAsiaTheme="minorHAnsi"/>
                <w:noProof/>
                <w:sz w:val="20"/>
                <w:szCs w:val="20"/>
              </w:rPr>
              <w:t>padomes(ja tāda ir izveidota)</w:t>
            </w:r>
            <w:r w:rsidRPr="00C56A30">
              <w:rPr>
                <w:rFonts w:eastAsiaTheme="minorHAnsi"/>
                <w:bCs/>
                <w:sz w:val="20"/>
                <w:szCs w:val="20"/>
              </w:rPr>
              <w:t xml:space="preserve"> locekļa amata vietu netiek uzskatītas valdes vai padomes locekļa amata </w:t>
            </w:r>
            <w:r w:rsidRPr="00C56A30">
              <w:rPr>
                <w:rFonts w:eastAsiaTheme="minorHAnsi"/>
                <w:bCs/>
                <w:sz w:val="20"/>
                <w:szCs w:val="20"/>
              </w:rPr>
              <w:lastRenderedPageBreak/>
              <w:t>vietas biedrībās, nodibinājumos un citās organizācijās, kuru darbībai nav peļņas gūšanas rakstura.</w:t>
            </w:r>
          </w:p>
          <w:p w14:paraId="4E446BB7" w14:textId="77777777" w:rsidR="00D92D2A" w:rsidRPr="00C56A30" w:rsidRDefault="00D92D2A" w:rsidP="00D92D2A">
            <w:pPr>
              <w:pStyle w:val="NoSpacing"/>
              <w:widowControl/>
              <w:rPr>
                <w:rFonts w:eastAsiaTheme="minorHAnsi"/>
                <w:noProof/>
                <w:sz w:val="20"/>
                <w:szCs w:val="20"/>
              </w:rPr>
            </w:pPr>
            <w:r w:rsidRPr="00C56A30">
              <w:rPr>
                <w:rFonts w:eastAsiaTheme="minorHAnsi"/>
                <w:bCs/>
                <w:sz w:val="20"/>
                <w:szCs w:val="20"/>
              </w:rPr>
              <w:t xml:space="preserve">(5) Komisija ir tiesīga atļaut ieguldījumu brokeru sabiedrības </w:t>
            </w:r>
            <w:r w:rsidRPr="00C56A30">
              <w:rPr>
                <w:rFonts w:eastAsiaTheme="minorHAnsi"/>
                <w:noProof/>
                <w:sz w:val="20"/>
                <w:szCs w:val="20"/>
              </w:rPr>
              <w:t>valdes vai padomes(ja tāda ir izveidota)</w:t>
            </w:r>
            <w:r w:rsidRPr="00C56A30">
              <w:rPr>
                <w:rFonts w:eastAsiaTheme="minorHAnsi"/>
                <w:bCs/>
                <w:sz w:val="20"/>
                <w:szCs w:val="20"/>
              </w:rPr>
              <w:t xml:space="preserve"> loceklim ieņemt vienu papildu padomes locekļa amata vietu.</w:t>
            </w:r>
          </w:p>
          <w:p w14:paraId="1B88FA57" w14:textId="31E5222C" w:rsidR="00D92D2A" w:rsidRPr="00A53EEC" w:rsidRDefault="00D92D2A" w:rsidP="00D92D2A">
            <w:pPr>
              <w:pStyle w:val="NoSpacing"/>
              <w:widowControl/>
              <w:rPr>
                <w:rFonts w:eastAsiaTheme="minorHAnsi"/>
                <w:b/>
                <w:bCs/>
                <w:sz w:val="20"/>
                <w:szCs w:val="20"/>
              </w:rPr>
            </w:pPr>
            <w:r w:rsidRPr="00C56A30">
              <w:rPr>
                <w:bCs/>
                <w:sz w:val="20"/>
                <w:szCs w:val="20"/>
              </w:rPr>
              <w:t>(6) Komisija regulāri sniedz Eiropas Banku iestādei informāciju par saskaņā ar šā panta piekto daļu dotajām atļaujām.</w:t>
            </w:r>
          </w:p>
        </w:tc>
        <w:tc>
          <w:tcPr>
            <w:tcW w:w="1309" w:type="pct"/>
            <w:tcBorders>
              <w:top w:val="single" w:sz="6" w:space="0" w:color="000000"/>
              <w:left w:val="single" w:sz="6" w:space="0" w:color="000000"/>
              <w:bottom w:val="single" w:sz="6" w:space="0" w:color="000000"/>
              <w:right w:val="single" w:sz="6" w:space="0" w:color="000000"/>
            </w:tcBorders>
          </w:tcPr>
          <w:p w14:paraId="2E4FD536" w14:textId="77777777" w:rsidR="00D92D2A" w:rsidRDefault="00D92D2A" w:rsidP="00D92D2A">
            <w:pPr>
              <w:spacing w:after="0" w:line="240" w:lineRule="auto"/>
              <w:jc w:val="both"/>
              <w:rPr>
                <w:rFonts w:ascii="Times New Roman" w:hAnsi="Times New Roman" w:cs="Times New Roman"/>
                <w:sz w:val="20"/>
                <w:szCs w:val="20"/>
              </w:rPr>
            </w:pPr>
            <w:r w:rsidRPr="00C56A30">
              <w:rPr>
                <w:rFonts w:ascii="Times New Roman" w:hAnsi="Times New Roman" w:cs="Times New Roman"/>
                <w:b/>
                <w:bCs/>
                <w:sz w:val="20"/>
                <w:szCs w:val="20"/>
              </w:rPr>
              <w:lastRenderedPageBreak/>
              <w:t>Iebildums.</w:t>
            </w:r>
            <w:r w:rsidRPr="00C56A30">
              <w:rPr>
                <w:rFonts w:ascii="Times New Roman" w:hAnsi="Times New Roman" w:cs="Times New Roman"/>
                <w:sz w:val="20"/>
                <w:szCs w:val="20"/>
              </w:rPr>
              <w:t xml:space="preserve"> Norādām, ka likumprojekta 9. panta gramatiskais noformējums ir grūti uztverams un var radīt maldīgu priekšstatu par to, ka vienā ieguldījumu brokeru sabiedrībā viena persona var ieņemt vairākas valdes un padomes locekļu amata vietas. Līdz ar to aicinām precizēt likumprojekta 9. pantu, iekļaujot tajā norādi uz to, ka valdes un padomes locekļiem ir atļauts ieņemt valdes un padomes locekļa amatu citā komercsabiedrībā, kā arī precizēt, vai ar citu komercsabiedrību ir domāta jebkura cita komercsabiedrība, vai arī tikai noteiktas jomas komercsabiedrība (skatīt, piemēram, Komerclikuma 171. panta redakciju).</w:t>
            </w:r>
          </w:p>
          <w:p w14:paraId="4618BC8C" w14:textId="77777777" w:rsidR="00D92D2A" w:rsidRDefault="00D92D2A" w:rsidP="00D92D2A">
            <w:pPr>
              <w:spacing w:after="0" w:line="240" w:lineRule="auto"/>
              <w:jc w:val="both"/>
              <w:rPr>
                <w:rFonts w:ascii="Times New Roman" w:hAnsi="Times New Roman" w:cs="Times New Roman"/>
                <w:b/>
                <w:bCs/>
                <w:sz w:val="20"/>
                <w:szCs w:val="20"/>
              </w:rPr>
            </w:pPr>
          </w:p>
          <w:p w14:paraId="3E061349" w14:textId="77777777" w:rsidR="00D92D2A" w:rsidRDefault="00D92D2A" w:rsidP="00D92D2A">
            <w:pPr>
              <w:spacing w:after="0" w:line="240" w:lineRule="auto"/>
              <w:jc w:val="both"/>
              <w:rPr>
                <w:rFonts w:ascii="Times New Roman" w:eastAsia="Times New Roman" w:hAnsi="Times New Roman" w:cs="Times New Roman"/>
                <w:b/>
                <w:bCs/>
                <w:sz w:val="20"/>
              </w:rPr>
            </w:pPr>
            <w:r>
              <w:rPr>
                <w:rFonts w:ascii="Times New Roman" w:eastAsia="Times New Roman" w:hAnsi="Times New Roman" w:cs="Times New Roman"/>
                <w:b/>
                <w:bCs/>
                <w:sz w:val="20"/>
              </w:rPr>
              <w:t>Š.g. 11.maija uzturētais iebildums.</w:t>
            </w:r>
          </w:p>
          <w:p w14:paraId="0A1EBBDA" w14:textId="77777777" w:rsidR="00D92D2A" w:rsidRPr="002A1654" w:rsidRDefault="00D92D2A" w:rsidP="00D92D2A">
            <w:pPr>
              <w:pStyle w:val="naisc"/>
              <w:spacing w:before="0" w:after="0"/>
              <w:jc w:val="both"/>
              <w:rPr>
                <w:sz w:val="20"/>
                <w:szCs w:val="20"/>
              </w:rPr>
            </w:pPr>
            <w:r w:rsidRPr="002A1654">
              <w:rPr>
                <w:sz w:val="20"/>
                <w:szCs w:val="20"/>
              </w:rPr>
              <w:t xml:space="preserve">Tieslietu ministrijas ieskatā likumprojekta 9. panta redakcija nav skaidra un to nepieciešams precizēt, līdz ar </w:t>
            </w:r>
            <w:r w:rsidRPr="002A1654">
              <w:rPr>
                <w:sz w:val="20"/>
                <w:szCs w:val="20"/>
              </w:rPr>
              <w:t xml:space="preserve">to uzturam iepriekš izteikto iebildumu par likumprojekta 9. pantu. Tieslietu ministrijas ieskatā attiecīgo normu nepieciešams precizēt, jau tās pirmajā daļā paredzot, ka ieguldījumu brokeru sabiedrības valdes un padomes loceklis vienlaikus var ieņemt vairākas valdes un padomes locekļu amatu vietas vairākās ieguldījumu brokeru sabiedrībās (vai vairākās sabiedrībās).  </w:t>
            </w:r>
          </w:p>
          <w:p w14:paraId="70F8948C" w14:textId="581955FD" w:rsidR="00D92D2A" w:rsidRPr="00C56A30" w:rsidRDefault="00D92D2A" w:rsidP="00B27A52">
            <w:pPr>
              <w:pStyle w:val="naisc"/>
              <w:spacing w:before="0" w:after="0"/>
              <w:jc w:val="both"/>
              <w:rPr>
                <w:b/>
                <w:bCs/>
                <w:sz w:val="20"/>
                <w:szCs w:val="20"/>
              </w:rPr>
            </w:pPr>
            <w:r w:rsidRPr="002A1654">
              <w:rPr>
                <w:sz w:val="20"/>
                <w:szCs w:val="20"/>
              </w:rPr>
              <w:t> Tāpat norādām, ka Finanšu ministrijas skaidrojumam neņemt vērā iebildumu, jo likumprojektam identisks regulējums ir iekļauts spēkā esošajā Finanšu instrumentu tirgus likumā, nevar piekrist, jo tiesību aktu projektu sagatavošanā ir jāņem vērā tiesību sistēmas mainīgums un tas, ka arī spēkā esošā regulējuma aktualitāti ir nepieciešams pārvērtēt, jo tas var būt novecojis. Sevišķi svarīgi to ņemt vērā, ja jauna tiesību akta izstrāde tiek balstīta uz jau spēkā esošu regulējumu, līdz ar to spēkā esošajam regulējumam, tā atbilstībai jāpieiet kritiski.</w:t>
            </w:r>
          </w:p>
        </w:tc>
        <w:tc>
          <w:tcPr>
            <w:tcW w:w="848" w:type="pct"/>
            <w:gridSpan w:val="2"/>
            <w:tcBorders>
              <w:top w:val="single" w:sz="6" w:space="0" w:color="000000"/>
              <w:left w:val="single" w:sz="6" w:space="0" w:color="000000"/>
              <w:bottom w:val="single" w:sz="6" w:space="0" w:color="000000"/>
              <w:right w:val="single" w:sz="6" w:space="0" w:color="000000"/>
            </w:tcBorders>
          </w:tcPr>
          <w:p w14:paraId="076D49D4" w14:textId="6607EABD" w:rsidR="00D92D2A" w:rsidRDefault="006B1E30" w:rsidP="00D92D2A">
            <w:pPr>
              <w:pStyle w:val="naisc"/>
              <w:spacing w:before="0" w:after="0"/>
              <w:jc w:val="both"/>
              <w:rPr>
                <w:sz w:val="20"/>
                <w:szCs w:val="20"/>
              </w:rPr>
            </w:pPr>
            <w:r>
              <w:rPr>
                <w:b/>
                <w:bCs/>
                <w:sz w:val="20"/>
                <w:szCs w:val="20"/>
              </w:rPr>
              <w:lastRenderedPageBreak/>
              <w:t>Panākta vienošanās elektroniskajā saskaņošanā.</w:t>
            </w:r>
            <w:r w:rsidRPr="0085739E">
              <w:rPr>
                <w:sz w:val="20"/>
                <w:szCs w:val="20"/>
              </w:rPr>
              <w:t xml:space="preserve"> </w:t>
            </w:r>
            <w:r w:rsidR="00D92D2A">
              <w:rPr>
                <w:b/>
                <w:bCs/>
                <w:sz w:val="20"/>
                <w:szCs w:val="20"/>
              </w:rPr>
              <w:t xml:space="preserve"> </w:t>
            </w:r>
            <w:r w:rsidR="00D92D2A">
              <w:rPr>
                <w:sz w:val="20"/>
                <w:szCs w:val="20"/>
              </w:rPr>
              <w:t xml:space="preserve">Atkārtoti norādām, ka mūsu ieskatā bažas par to, ka </w:t>
            </w:r>
            <w:r w:rsidR="00D92D2A" w:rsidRPr="00C56A30">
              <w:rPr>
                <w:sz w:val="20"/>
                <w:szCs w:val="20"/>
              </w:rPr>
              <w:t>vienā ieguldījumu brokeru sabiedrībā viena persona var ieņemt vairākas valdes un padomes locekļu amata vietas</w:t>
            </w:r>
            <w:r w:rsidR="00D92D2A">
              <w:rPr>
                <w:sz w:val="20"/>
                <w:szCs w:val="20"/>
              </w:rPr>
              <w:t xml:space="preserve"> ir nepamatotas, jo likumprojekta 9.panta trešās daļas uzskaitījums skaidri definē, kas ir domāts ar “viena padomes vai valdes locekļa amata vieta”. </w:t>
            </w:r>
          </w:p>
          <w:p w14:paraId="06B5FB9F" w14:textId="77777777" w:rsidR="00D92D2A" w:rsidRPr="006B1E30" w:rsidRDefault="00D92D2A" w:rsidP="00D92D2A">
            <w:pPr>
              <w:pStyle w:val="naisc"/>
              <w:spacing w:before="0" w:after="0"/>
              <w:jc w:val="both"/>
              <w:rPr>
                <w:sz w:val="20"/>
                <w:szCs w:val="20"/>
              </w:rPr>
            </w:pPr>
            <w:r w:rsidRPr="006B1E30">
              <w:rPr>
                <w:sz w:val="20"/>
                <w:szCs w:val="20"/>
              </w:rPr>
              <w:t xml:space="preserve">Uzsveram ka likumprojekta 9.panta noteikumi ir spēkā esoši noteikumi Finanšu instrumentu tirgus likumā, proti, identisku regulējumu paredz Finanšu instrumentu tirgus likuma </w:t>
            </w:r>
            <w:r w:rsidRPr="006B1E30">
              <w:rPr>
                <w:sz w:val="20"/>
                <w:szCs w:val="20"/>
              </w:rPr>
              <w:lastRenderedPageBreak/>
              <w:t>106.</w:t>
            </w:r>
            <w:r w:rsidRPr="006B1E30">
              <w:rPr>
                <w:sz w:val="20"/>
                <w:szCs w:val="20"/>
                <w:vertAlign w:val="superscript"/>
              </w:rPr>
              <w:t>1</w:t>
            </w:r>
            <w:r w:rsidRPr="006B1E30">
              <w:rPr>
                <w:sz w:val="20"/>
                <w:szCs w:val="20"/>
              </w:rPr>
              <w:t xml:space="preserve"> pants. Likumprojekta 9.pantā (Finanšu instrumentu tirgus likuma 106.</w:t>
            </w:r>
            <w:r w:rsidRPr="006B1E30">
              <w:rPr>
                <w:sz w:val="20"/>
                <w:szCs w:val="20"/>
                <w:vertAlign w:val="superscript"/>
              </w:rPr>
              <w:t>1</w:t>
            </w:r>
            <w:r w:rsidRPr="006B1E30">
              <w:rPr>
                <w:sz w:val="20"/>
                <w:szCs w:val="20"/>
              </w:rPr>
              <w:t xml:space="preserve"> pantā) ir pārņemta Direktīvas Nr. 2014/65/ES 9.panta 1.punkta pirmā rindkopa un 9.panta 2.punkta pirmā rindkopa. Likumprojekta anotācijas I sadaļas 2.punktā ir ietverta informācija par Finanšu instrumentu tirgus likuma pārceltajām normām, kā arī pats likumprojekts ietver atsauci uz Direktīvu Nr. 2014/65/ES. </w:t>
            </w:r>
          </w:p>
          <w:p w14:paraId="0E82BFAF" w14:textId="77777777" w:rsidR="00D92D2A" w:rsidRPr="006B1E30" w:rsidRDefault="00D92D2A" w:rsidP="00D92D2A">
            <w:pPr>
              <w:pStyle w:val="naisc"/>
              <w:spacing w:before="0" w:after="0"/>
              <w:jc w:val="both"/>
              <w:rPr>
                <w:sz w:val="20"/>
                <w:szCs w:val="20"/>
              </w:rPr>
            </w:pPr>
            <w:r w:rsidRPr="006B1E30">
              <w:rPr>
                <w:sz w:val="20"/>
                <w:szCs w:val="20"/>
              </w:rPr>
              <w:t>Papildus norādām, ka identisks regulējums paredzēts ar Kredītiestāžu likumā attiecīgi ieviešot Direktīvas 2013/36/EU 91.panta prasības.</w:t>
            </w:r>
          </w:p>
          <w:p w14:paraId="49004389" w14:textId="77777777" w:rsidR="00D92D2A" w:rsidRPr="006B1E30" w:rsidRDefault="00D92D2A" w:rsidP="00D92D2A">
            <w:pPr>
              <w:pStyle w:val="naisc"/>
              <w:spacing w:before="0" w:after="0"/>
              <w:jc w:val="both"/>
              <w:rPr>
                <w:sz w:val="20"/>
                <w:szCs w:val="20"/>
              </w:rPr>
            </w:pPr>
            <w:r w:rsidRPr="006B1E30">
              <w:rPr>
                <w:sz w:val="20"/>
                <w:szCs w:val="20"/>
              </w:rPr>
              <w:t xml:space="preserve">Tāpat norādām, ka minētās normas piemērojot praksē, problēmas to piemērošanā vai interpretācija nav konstatētas, tieši pretēji – tirgus dalībniekam nosacījumi par atļauto ieguldījumu brokeru sabiedrības valdes un padomes locekļu skaitu ir skaidri un izprotami, padarot valdes un padomes locekļu izvērtēšanas procesu kvalitatīvāku. </w:t>
            </w:r>
          </w:p>
          <w:p w14:paraId="2A2BC9FE" w14:textId="77777777" w:rsidR="00D92D2A" w:rsidRPr="007135DF" w:rsidRDefault="00D92D2A" w:rsidP="00D92D2A">
            <w:pPr>
              <w:pStyle w:val="naisc"/>
              <w:spacing w:before="0" w:after="0"/>
              <w:jc w:val="both"/>
              <w:rPr>
                <w:sz w:val="20"/>
                <w:szCs w:val="20"/>
                <w:u w:val="single"/>
              </w:rPr>
            </w:pPr>
            <w:r w:rsidRPr="006B1E30">
              <w:rPr>
                <w:sz w:val="20"/>
                <w:szCs w:val="20"/>
              </w:rPr>
              <w:t>Minētās normas aktualitāte, to paredzot arī šajā likumprojektā, ir pārvērtēta un nav pamata šo normu precizēt vai svītrot kā novecojušu</w:t>
            </w:r>
            <w:r w:rsidRPr="007135DF">
              <w:rPr>
                <w:sz w:val="20"/>
                <w:szCs w:val="20"/>
                <w:u w:val="single"/>
              </w:rPr>
              <w:t>.</w:t>
            </w:r>
          </w:p>
          <w:p w14:paraId="6CF0EC56" w14:textId="77777777" w:rsidR="00D92D2A" w:rsidRDefault="00D92D2A" w:rsidP="00D92D2A">
            <w:pPr>
              <w:pStyle w:val="naisc"/>
              <w:spacing w:before="0" w:after="0"/>
              <w:jc w:val="both"/>
              <w:rPr>
                <w:sz w:val="20"/>
                <w:szCs w:val="20"/>
              </w:rPr>
            </w:pPr>
          </w:p>
          <w:p w14:paraId="0B67C0DD" w14:textId="77777777" w:rsidR="00D92D2A" w:rsidRPr="001957A0" w:rsidRDefault="00D92D2A" w:rsidP="00D92D2A">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5EDE22CC" w14:textId="77777777" w:rsidR="00D92D2A" w:rsidRPr="006B17FE" w:rsidRDefault="00D92D2A" w:rsidP="00D92D2A">
            <w:pPr>
              <w:pStyle w:val="naisc"/>
              <w:spacing w:before="0" w:after="0"/>
              <w:jc w:val="both"/>
              <w:rPr>
                <w:sz w:val="20"/>
                <w:szCs w:val="20"/>
              </w:rPr>
            </w:pPr>
            <w:r w:rsidRPr="006B17FE">
              <w:rPr>
                <w:sz w:val="20"/>
                <w:szCs w:val="20"/>
              </w:rPr>
              <w:lastRenderedPageBreak/>
              <w:t>Anotācijas I sadaļas 2.punkts:</w:t>
            </w:r>
          </w:p>
          <w:p w14:paraId="265E9775" w14:textId="0AE9DA08"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r w:rsidRPr="00D92D2A">
              <w:rPr>
                <w:rFonts w:ascii="Times New Roman" w:eastAsia="Times New Roman" w:hAnsi="Times New Roman" w:cs="Times New Roman"/>
                <w:sz w:val="20"/>
                <w:szCs w:val="20"/>
                <w:lang w:eastAsia="lv-LV"/>
              </w:rPr>
              <w:t>Likumprojekta 9.panta regulējums ir vērsts uz vienu konsolidācijas grupu, Regulas Nr. </w:t>
            </w:r>
            <w:hyperlink r:id="rId9" w:tgtFrame="_blank" w:history="1">
              <w:r w:rsidRPr="00D92D2A">
                <w:rPr>
                  <w:rFonts w:ascii="Times New Roman" w:eastAsia="Times New Roman" w:hAnsi="Times New Roman" w:cs="Times New Roman"/>
                  <w:sz w:val="20"/>
                  <w:szCs w:val="20"/>
                  <w:lang w:eastAsia="lv-LV"/>
                </w:rPr>
                <w:t>575/2013</w:t>
              </w:r>
            </w:hyperlink>
            <w:r w:rsidRPr="00D92D2A">
              <w:rPr>
                <w:rFonts w:ascii="Times New Roman" w:eastAsia="Times New Roman" w:hAnsi="Times New Roman" w:cs="Times New Roman"/>
                <w:sz w:val="20"/>
                <w:szCs w:val="20"/>
                <w:lang w:eastAsia="lv-LV"/>
              </w:rPr>
              <w:t> 113.panta 7.punkta nosacījumiem attiecībā uz  institucionālās aizsardzības shēmu, kā arī uz sabiedrībām, kurās ieguldījumu brokeru sabiedrībām ir būtiska līdzdalība, lai nodrošinātu ieguldījumu brokeru sabiedrības pārvaldību, izslēdzot iespējamo interešu konfliktu.</w:t>
            </w:r>
          </w:p>
        </w:tc>
      </w:tr>
      <w:tr w:rsidR="007C391A" w:rsidRPr="00D92D2A" w14:paraId="54A9C2D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2E46AD4" w14:textId="63FC49D9" w:rsidR="007C391A" w:rsidRDefault="007C391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7.</w:t>
            </w:r>
          </w:p>
        </w:tc>
        <w:tc>
          <w:tcPr>
            <w:tcW w:w="692" w:type="pct"/>
            <w:tcBorders>
              <w:top w:val="single" w:sz="6" w:space="0" w:color="000000"/>
              <w:left w:val="single" w:sz="6" w:space="0" w:color="000000"/>
              <w:bottom w:val="single" w:sz="6" w:space="0" w:color="000000"/>
              <w:right w:val="single" w:sz="6" w:space="0" w:color="000000"/>
            </w:tcBorders>
          </w:tcPr>
          <w:p w14:paraId="5E8F9FF3" w14:textId="77777777" w:rsidR="007C391A" w:rsidRPr="002073EB" w:rsidRDefault="007C391A" w:rsidP="007C391A">
            <w:pPr>
              <w:pStyle w:val="NoSpacing"/>
              <w:widowControl/>
              <w:rPr>
                <w:rFonts w:eastAsiaTheme="minorHAnsi"/>
                <w:b/>
                <w:bCs/>
                <w:sz w:val="20"/>
                <w:szCs w:val="20"/>
              </w:rPr>
            </w:pPr>
            <w:r w:rsidRPr="002073EB">
              <w:rPr>
                <w:rFonts w:eastAsiaTheme="minorHAnsi"/>
                <w:b/>
                <w:bCs/>
                <w:sz w:val="20"/>
                <w:szCs w:val="20"/>
              </w:rPr>
              <w:t>10. pants. Dokumenti, kurus ieguldījumu brokeru sabiedrība iesniedz licences saņemšanai</w:t>
            </w:r>
          </w:p>
          <w:p w14:paraId="2FE3000A" w14:textId="46F82311" w:rsidR="007C391A" w:rsidRPr="00C56A30" w:rsidRDefault="007C391A" w:rsidP="007C391A">
            <w:pPr>
              <w:pStyle w:val="NoSpacing"/>
              <w:widowControl/>
              <w:rPr>
                <w:rFonts w:eastAsiaTheme="minorHAnsi"/>
                <w:b/>
                <w:bCs/>
                <w:sz w:val="20"/>
                <w:szCs w:val="20"/>
              </w:rPr>
            </w:pPr>
            <w:r w:rsidRPr="002073EB">
              <w:rPr>
                <w:rFonts w:eastAsiaTheme="minorHAnsi"/>
                <w:bCs/>
                <w:sz w:val="20"/>
                <w:szCs w:val="20"/>
              </w:rPr>
              <w:t xml:space="preserve">(4) </w:t>
            </w:r>
            <w:r w:rsidRPr="002073EB">
              <w:rPr>
                <w:rFonts w:eastAsiaTheme="minorHAnsi"/>
                <w:bCs/>
                <w:sz w:val="20"/>
                <w:szCs w:val="20"/>
                <w:u w:val="single"/>
              </w:rPr>
              <w:t>Komisijai ir tiesības pieprasīt, lai ieguldījumu brokeru sabiedrība precizē iesniegtos dokumentus un informāciju</w:t>
            </w:r>
            <w:r w:rsidRPr="002073EB">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27980FE2" w14:textId="77777777" w:rsidR="007C391A" w:rsidRDefault="007C391A" w:rsidP="007C391A">
            <w:pPr>
              <w:jc w:val="both"/>
              <w:rPr>
                <w:rFonts w:ascii="Times New Roman" w:hAnsi="Times New Roman" w:cs="Times New Roman"/>
                <w:sz w:val="20"/>
                <w:szCs w:val="20"/>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Likumprojekta 10. panta ceturtā daļa, kas paredz Finanšu un kapitāla tirgus komisijas (turpmāk – Komisija) tiesības pieprasīt, lai ieguldījumu brokeru sabiedrība precizē iesniegtos dokumentus un informāciju, dublē Administratīvā procesa likuma 59. pantā nostiprinātās iestādes tiesības iegūt informāciju no administratīvā procesa dalībniekiem. Ievērojot minēto, atbilstoši Ministru kabineta 2009. gada 3. februāra noteikumu Nr. 108 </w:t>
            </w:r>
            <w:r>
              <w:rPr>
                <w:rFonts w:ascii="Times New Roman" w:hAnsi="Times New Roman" w:cs="Times New Roman"/>
                <w:sz w:val="20"/>
                <w:szCs w:val="20"/>
              </w:rPr>
              <w:t>“</w:t>
            </w:r>
            <w:r w:rsidRPr="00C56A30">
              <w:rPr>
                <w:rFonts w:ascii="Times New Roman" w:hAnsi="Times New Roman" w:cs="Times New Roman"/>
                <w:sz w:val="20"/>
                <w:szCs w:val="20"/>
              </w:rPr>
              <w:t>Normatīvo aktu projektu sagatavošanas noteikumi</w:t>
            </w:r>
            <w:r>
              <w:rPr>
                <w:rFonts w:ascii="Times New Roman" w:hAnsi="Times New Roman" w:cs="Times New Roman"/>
                <w:sz w:val="20"/>
                <w:szCs w:val="20"/>
              </w:rPr>
              <w:t>”</w:t>
            </w:r>
            <w:r w:rsidRPr="00C56A30">
              <w:rPr>
                <w:rFonts w:ascii="Times New Roman" w:hAnsi="Times New Roman" w:cs="Times New Roman"/>
                <w:sz w:val="20"/>
                <w:szCs w:val="20"/>
              </w:rPr>
              <w:t xml:space="preserve"> (turpmāk – noteikumi Nr. 108) 3.2. apakšpunktam lūdzam izslēgt likumprojekta 12. panta ceturto daļu.</w:t>
            </w:r>
          </w:p>
          <w:p w14:paraId="64B2A923" w14:textId="77777777" w:rsidR="007C391A" w:rsidRPr="00836CA9" w:rsidRDefault="007C391A" w:rsidP="007C391A">
            <w:pPr>
              <w:pStyle w:val="naisc"/>
              <w:spacing w:before="0" w:after="0"/>
              <w:jc w:val="both"/>
              <w:rPr>
                <w:b/>
                <w:bCs/>
                <w:sz w:val="20"/>
                <w:szCs w:val="20"/>
              </w:rPr>
            </w:pPr>
            <w:r w:rsidRPr="00836CA9">
              <w:rPr>
                <w:b/>
                <w:bCs/>
                <w:sz w:val="20"/>
                <w:szCs w:val="20"/>
              </w:rPr>
              <w:t>Š.g</w:t>
            </w:r>
            <w:r>
              <w:rPr>
                <w:b/>
                <w:bCs/>
                <w:sz w:val="20"/>
                <w:szCs w:val="20"/>
              </w:rPr>
              <w:t>.</w:t>
            </w:r>
            <w:r w:rsidRPr="00836CA9">
              <w:rPr>
                <w:b/>
                <w:bCs/>
                <w:sz w:val="20"/>
                <w:szCs w:val="20"/>
              </w:rPr>
              <w:t xml:space="preserve"> 11 maija uzturētais iebildums.</w:t>
            </w:r>
          </w:p>
          <w:p w14:paraId="350F95D5" w14:textId="77777777" w:rsidR="007C391A" w:rsidRPr="00836CA9" w:rsidRDefault="007C391A" w:rsidP="007C391A">
            <w:pPr>
              <w:pStyle w:val="naisc"/>
              <w:spacing w:before="0" w:after="0"/>
              <w:jc w:val="both"/>
              <w:rPr>
                <w:sz w:val="20"/>
                <w:szCs w:val="20"/>
              </w:rPr>
            </w:pPr>
            <w:r w:rsidRPr="00836CA9">
              <w:rPr>
                <w:sz w:val="20"/>
                <w:szCs w:val="20"/>
              </w:rPr>
              <w:t xml:space="preserve">Tieslietu ministrija uztur iebildumu par likumprojekta 10. panta ceturto daļu. Atkārtoti vēršam uzmanību, ka likumprojekta 10. panta ceturtā daļa, kas paredz Komisijas tiesības pieprasīt, lai ieguldījumu brokeru sabiedrība precizē iesniegtos dokumentus un informāciju, dublē Administratīvā procesa likuma 59. pantā nostiprinātās iestādes tiesības iegūt informāciju no administratīvā procesa dalībniekiem. </w:t>
            </w:r>
          </w:p>
          <w:p w14:paraId="31F3D85B" w14:textId="77777777" w:rsidR="007C391A" w:rsidRPr="00836CA9" w:rsidRDefault="007C391A" w:rsidP="007C391A">
            <w:pPr>
              <w:pStyle w:val="naisc"/>
              <w:spacing w:before="0" w:after="0"/>
              <w:jc w:val="both"/>
              <w:rPr>
                <w:sz w:val="20"/>
                <w:szCs w:val="20"/>
              </w:rPr>
            </w:pPr>
            <w:r w:rsidRPr="00836CA9">
              <w:rPr>
                <w:sz w:val="20"/>
                <w:szCs w:val="20"/>
              </w:rPr>
              <w:t xml:space="preserve">Ievērojot minēto, atbilstoši Ministru kabineta 2009. gada 3. februāra noteikumu Nr. 108 “Normatīvo aktu projektu </w:t>
            </w:r>
            <w:r w:rsidRPr="00836CA9">
              <w:rPr>
                <w:sz w:val="20"/>
                <w:szCs w:val="20"/>
              </w:rPr>
              <w:lastRenderedPageBreak/>
              <w:t xml:space="preserve">sagatavošanas noteikumi” (turpmāk – noteikumi Nr. 108) 3.2. apakšpunktam lūdzam izslēgt likumprojekta 12. panta ceturto daļu. </w:t>
            </w:r>
          </w:p>
          <w:p w14:paraId="4411C9DB" w14:textId="77777777" w:rsidR="007C391A" w:rsidRDefault="007C391A" w:rsidP="007C391A">
            <w:pPr>
              <w:spacing w:after="0" w:line="240" w:lineRule="auto"/>
              <w:jc w:val="both"/>
              <w:rPr>
                <w:rFonts w:ascii="Times New Roman" w:hAnsi="Times New Roman" w:cs="Times New Roman"/>
                <w:sz w:val="20"/>
                <w:szCs w:val="20"/>
              </w:rPr>
            </w:pPr>
            <w:r w:rsidRPr="00FB22A1">
              <w:rPr>
                <w:rFonts w:ascii="Times New Roman" w:hAnsi="Times New Roman" w:cs="Times New Roman"/>
                <w:sz w:val="20"/>
                <w:szCs w:val="20"/>
              </w:rPr>
              <w:t>Papildus vēršam uzmanību, ka no direktīvām izrietošas prasības nav jādublē speciālajā nacionālajā regulējumā gadījumā, ja tās jau ir vispārīgi noregulētas nacionālajās tiesībās. Konkrētajā gadījumā anotācijas V sadaļā jānorāda, ka direktīvas prasības jau pēc būtības pārņemtas Administratīvā procesa likuma minētajās normās un papildus transponēšanas pasākumi nav nepieciešami.</w:t>
            </w:r>
          </w:p>
          <w:p w14:paraId="7979ABE6" w14:textId="77777777" w:rsidR="007C391A" w:rsidRPr="00FB22A1" w:rsidRDefault="007C391A" w:rsidP="007C391A">
            <w:pPr>
              <w:pStyle w:val="naisc"/>
              <w:spacing w:before="0" w:after="0"/>
              <w:jc w:val="both"/>
              <w:rPr>
                <w:b/>
                <w:bCs/>
                <w:sz w:val="20"/>
                <w:szCs w:val="20"/>
              </w:rPr>
            </w:pPr>
            <w:r w:rsidRPr="00FB22A1">
              <w:rPr>
                <w:b/>
                <w:bCs/>
                <w:sz w:val="20"/>
                <w:szCs w:val="20"/>
              </w:rPr>
              <w:t>Š.g. 7.jūnijā uzturētais iebildums.</w:t>
            </w:r>
          </w:p>
          <w:p w14:paraId="4BC4927C" w14:textId="77777777" w:rsidR="007C391A" w:rsidRPr="00FB22A1" w:rsidRDefault="007C391A" w:rsidP="007C391A">
            <w:pPr>
              <w:spacing w:after="0" w:line="23" w:lineRule="atLeast"/>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Tieslietu ministrija uztur izziņas I sadaļas 7. punktā ietverto iebildumu. Atkārtoti vēršam uzmanību, ka likumprojekta 10. panta ceturtā daļa, kas paredz Komisijas tiesības pieprasīt, lai ieguldījumu brokeru sabiedrība precizē iesniegtos dokumentus un informāciju, dublē Administratīvā procesa likuma 59. pantā nostiprinātās iestādes tiesības iegūt informāciju no administratīvā procesa dalībniekiem. Ievērojot minēto, atbilstoši Ministru kabineta 2009. gada 3. februāra noteikumu Nr. 108 "Normatīvo aktu projektu sagatavošanas noteikumi" (turpmāk – noteikumi Nr. 108) 3.2. apakšpunktam lūdzam izslēgt likumprojekta 12. panta ceturto daļu.</w:t>
            </w:r>
          </w:p>
          <w:p w14:paraId="4F3489AB" w14:textId="77777777" w:rsidR="007C391A" w:rsidRPr="00FB22A1" w:rsidRDefault="007C391A" w:rsidP="007C391A">
            <w:pPr>
              <w:spacing w:after="0" w:line="23" w:lineRule="atLeast"/>
              <w:ind w:firstLine="567"/>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 (sk. Valsts kanceleja: Normatīvo aktu projektu izstrādes rokasgrāmata, Rīga, 2016, 17.-18. lpp.).</w:t>
            </w:r>
          </w:p>
          <w:p w14:paraId="607B1E33" w14:textId="77777777" w:rsidR="007C391A" w:rsidRPr="00FB22A1" w:rsidRDefault="007C391A" w:rsidP="007C391A">
            <w:pPr>
              <w:spacing w:after="0" w:line="23" w:lineRule="atLeast"/>
              <w:ind w:firstLine="567"/>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Vienlaikus jānorāda, ka ikvienam, kas vēlas saņemt licenci, lai darbotos Latvijas tirgū, būtu jāpārzina kā minimums galvenie procesuālie likumi, kas regulēs to darbību, tostarp Administratīvā procesa likums, tāpēc nevarētu piekrist, ka šāda tiesību normu dublēšana veicinās savlaicīgu informētību.</w:t>
            </w:r>
          </w:p>
          <w:p w14:paraId="6E426902" w14:textId="77777777" w:rsidR="007C391A" w:rsidRPr="00FB22A1" w:rsidRDefault="007C391A" w:rsidP="007C391A">
            <w:pPr>
              <w:spacing w:after="0" w:line="23" w:lineRule="atLeast"/>
              <w:ind w:firstLine="567"/>
              <w:jc w:val="both"/>
              <w:rPr>
                <w:rFonts w:ascii="Times New Roman" w:eastAsia="Times New Roman" w:hAnsi="Times New Roman" w:cs="Times New Roman"/>
                <w:sz w:val="20"/>
                <w:szCs w:val="20"/>
                <w:lang w:eastAsia="lv-LV"/>
              </w:rPr>
            </w:pPr>
            <w:r w:rsidRPr="00FB22A1">
              <w:rPr>
                <w:rFonts w:ascii="Times New Roman" w:eastAsia="Times New Roman" w:hAnsi="Times New Roman" w:cs="Times New Roman"/>
                <w:sz w:val="20"/>
                <w:szCs w:val="20"/>
                <w:lang w:eastAsia="lv-LV"/>
              </w:rPr>
              <w:t xml:space="preserve">Turklāt jānorāda, ka atbilstoši noteikumu Nr. 108 4. punktam daļēja tiesību normu pārrakstīšana ir pieļaujama, ja citādi nebūtu iespējams saprotami un skaidri formulēt tiesību normu, tomēr uz likumprojektā </w:t>
            </w:r>
            <w:r w:rsidRPr="00FB22A1">
              <w:rPr>
                <w:rFonts w:ascii="Times New Roman" w:eastAsia="Times New Roman" w:hAnsi="Times New Roman" w:cs="Times New Roman"/>
                <w:sz w:val="20"/>
                <w:szCs w:val="20"/>
                <w:lang w:eastAsia="lv-LV"/>
              </w:rPr>
              <w:lastRenderedPageBreak/>
              <w:t>ietverto regulējumu to nevar attiecināt, jo regulējums Administratīvā procesa likumā ir pietiekoši skaidrs un saprotams (sal. Valsts kanceleja: Normatīvo aktu projektu izstrādes rokasgrāmata, Rīga, 2016, 18. lpp.).</w:t>
            </w:r>
          </w:p>
          <w:p w14:paraId="32853BE0" w14:textId="51301C3A" w:rsidR="007C391A" w:rsidRPr="00C56A30" w:rsidRDefault="007C391A" w:rsidP="007C391A">
            <w:pPr>
              <w:spacing w:after="0" w:line="23" w:lineRule="atLeast"/>
              <w:ind w:firstLine="567"/>
              <w:jc w:val="both"/>
              <w:rPr>
                <w:rFonts w:ascii="Times New Roman" w:hAnsi="Times New Roman" w:cs="Times New Roman"/>
                <w:b/>
                <w:bCs/>
                <w:sz w:val="20"/>
                <w:szCs w:val="20"/>
              </w:rPr>
            </w:pPr>
            <w:r w:rsidRPr="007C391A">
              <w:rPr>
                <w:rFonts w:ascii="Times New Roman" w:eastAsia="Times New Roman" w:hAnsi="Times New Roman" w:cs="Times New Roman"/>
                <w:sz w:val="20"/>
                <w:szCs w:val="20"/>
                <w:lang w:eastAsia="lv-LV"/>
              </w:rPr>
              <w:t>Papildus vēršam uzmanību uz to, ka Finanšu ministrija minēto normu pamato ar Direktīvas Nr. 2014/65/ES 7. panta 1. un 2. punkta pārņemšanu. No Eiropas Savienības direktīvu pārņemšanas viedokļa iebildums ir uzturams. Direktīva nekādā veidā nepieprasa dalībvalstīm dublēt normatīvo regulējumu vairākos tiesību aktos. Šajā gadījumā likumprojekta 10. panta ceturtā daļa būtu izslēdzam, savukārt anotācijas V sadaļas 1. tabulā jānorāda, ka attiecīgā direktīvas norma pēc būtības pārņemta Administratīvā procesa likumā.</w:t>
            </w:r>
          </w:p>
        </w:tc>
        <w:tc>
          <w:tcPr>
            <w:tcW w:w="848" w:type="pct"/>
            <w:gridSpan w:val="2"/>
            <w:tcBorders>
              <w:top w:val="single" w:sz="6" w:space="0" w:color="000000"/>
              <w:left w:val="single" w:sz="6" w:space="0" w:color="000000"/>
              <w:bottom w:val="single" w:sz="6" w:space="0" w:color="000000"/>
              <w:right w:val="single" w:sz="6" w:space="0" w:color="000000"/>
            </w:tcBorders>
          </w:tcPr>
          <w:p w14:paraId="4A93AC42" w14:textId="5D4781F9" w:rsidR="007C391A" w:rsidRDefault="007C391A" w:rsidP="007C391A">
            <w:pPr>
              <w:pStyle w:val="naisc"/>
              <w:spacing w:before="0" w:after="0"/>
              <w:jc w:val="both"/>
              <w:rPr>
                <w:sz w:val="20"/>
                <w:szCs w:val="20"/>
              </w:rPr>
            </w:pPr>
            <w:r>
              <w:rPr>
                <w:b/>
                <w:bCs/>
                <w:sz w:val="20"/>
                <w:szCs w:val="20"/>
              </w:rPr>
              <w:lastRenderedPageBreak/>
              <w:t xml:space="preserve">Panākta vienošanās elektroniskajā saskaņošanā. </w:t>
            </w:r>
            <w:r w:rsidRPr="00692A03">
              <w:rPr>
                <w:b/>
                <w:bCs/>
                <w:sz w:val="20"/>
                <w:szCs w:val="20"/>
              </w:rPr>
              <w:t>Sniedzam skaidrojumu.</w:t>
            </w:r>
            <w:r>
              <w:rPr>
                <w:b/>
                <w:bCs/>
                <w:sz w:val="20"/>
                <w:szCs w:val="20"/>
              </w:rPr>
              <w:t xml:space="preserve"> </w:t>
            </w:r>
            <w:r>
              <w:rPr>
                <w:sz w:val="20"/>
                <w:szCs w:val="20"/>
              </w:rPr>
              <w:t>Lūdzam ņemt vērā, ka likumprojekta 10.panta noteikumi ir spēkā esoši noteikumi Finanšu instrumentu tirgus likumā, proti, identisku regulējumu paredz Finanšu instrumentu tirgus likuma 107. pants. Norādām, ka likumprojekta 10.pantā(Finanšu instrumentu tirgus likuma 107. pantā) ir pārņemtas Direktīvas Nr. 2014/65/ES 7.panta 1. un 2.punkta, 9.panta 5.punkta un 10.panta 1.punkta pirmās rindkopas prasības. Likumprojekta 10.panta ceturtās daļas regulējuma būtību ietver  Direktīvas Nr. 2014/65/ES 7.panta 1. un 2.punkts. Likumprojekta anotācijas I sadaļas 2.punktā ir ietverta informācija par Finanšu instrumentu tirgus likuma pārceltajām normām, kā arī pats likumprojekts ietver atsauci uz Direktīvu Nr. 2014/65/ES.</w:t>
            </w:r>
          </w:p>
          <w:p w14:paraId="35B7F73B" w14:textId="77777777" w:rsidR="007C391A" w:rsidRDefault="007C391A" w:rsidP="007C391A">
            <w:pPr>
              <w:pStyle w:val="naisc"/>
              <w:spacing w:before="0" w:after="0"/>
              <w:jc w:val="both"/>
              <w:rPr>
                <w:sz w:val="20"/>
                <w:szCs w:val="20"/>
              </w:rPr>
            </w:pPr>
            <w:r w:rsidRPr="00377ED4">
              <w:rPr>
                <w:sz w:val="20"/>
                <w:szCs w:val="20"/>
              </w:rPr>
              <w:t xml:space="preserve">Papildus norādām, ka Ministru kabineta 2009. gada 3. februāra noteikumu Nr. 108 “Normatīvo aktu projektu sagatavošanas noteikumi” ietver arī 4. apakšpunktu, proti, Finanšu ministrijas ieskatā likumprojekta 10.panta ceturtā daļa nodrošina Direktīvas Nr. 2014/64/ES pārņemšanu un skaidrības labad ietver noteikumus, kuri ir būtiski licencēšanas procesam, jo veidojot normatīvo regulējumu nevaram </w:t>
            </w:r>
            <w:proofErr w:type="spellStart"/>
            <w:r w:rsidRPr="00377ED4">
              <w:rPr>
                <w:sz w:val="20"/>
                <w:szCs w:val="20"/>
              </w:rPr>
              <w:t>prezumēt</w:t>
            </w:r>
            <w:proofErr w:type="spellEnd"/>
            <w:r w:rsidRPr="00377ED4">
              <w:rPr>
                <w:sz w:val="20"/>
                <w:szCs w:val="20"/>
              </w:rPr>
              <w:t>, ka normatīvā regulējuma lietotāji pilnībā orientējas Latvijas tiesību sistēmā, līdz ar to normas par iesniegto dokumentu un informācijas precizēšanu iekļaušana ir likuma lietotājam ērtāks veids, kā savlaicīgi būt informētam par Komisijas tiesībām procesa gaitā un savām iespējām attiecīgās prasības izpildīt.</w:t>
            </w:r>
          </w:p>
          <w:p w14:paraId="6D9457E4" w14:textId="77777777" w:rsidR="007C391A" w:rsidRPr="007C391A" w:rsidRDefault="007C391A" w:rsidP="007C391A">
            <w:pPr>
              <w:pStyle w:val="naisc"/>
              <w:spacing w:before="0" w:after="0"/>
              <w:jc w:val="both"/>
              <w:rPr>
                <w:sz w:val="20"/>
                <w:szCs w:val="20"/>
              </w:rPr>
            </w:pPr>
            <w:r w:rsidRPr="007C391A">
              <w:rPr>
                <w:sz w:val="20"/>
                <w:szCs w:val="20"/>
              </w:rPr>
              <w:t xml:space="preserve">Likumprojekta regulējums tomēr atšķiras no Administratīvā procesa regulējuma, proti, Finanšu un kapitāla tirgus komisija noteiktā termiņā izvērtē minētos dokumentus tikai pēc </w:t>
            </w:r>
            <w:proofErr w:type="spellStart"/>
            <w:r w:rsidRPr="007C391A">
              <w:rPr>
                <w:sz w:val="20"/>
                <w:szCs w:val="20"/>
              </w:rPr>
              <w:t>pēc</w:t>
            </w:r>
            <w:proofErr w:type="spellEnd"/>
            <w:r w:rsidRPr="007C391A">
              <w:rPr>
                <w:sz w:val="20"/>
                <w:szCs w:val="20"/>
              </w:rPr>
              <w:t xml:space="preserve"> visu pieteikuma dokumentu iesniegšanas, kā to paredz Direktīvas Nr. 2014/65/ES 7.panta 3.punkts.</w:t>
            </w:r>
          </w:p>
          <w:p w14:paraId="5B7BBD34" w14:textId="77777777" w:rsidR="007C391A" w:rsidRDefault="007C391A" w:rsidP="007C391A">
            <w:pPr>
              <w:pStyle w:val="naisc"/>
              <w:spacing w:before="0" w:after="0"/>
              <w:jc w:val="both"/>
              <w:rPr>
                <w:sz w:val="20"/>
                <w:szCs w:val="20"/>
              </w:rPr>
            </w:pPr>
            <w:r w:rsidRPr="00377ED4">
              <w:rPr>
                <w:sz w:val="20"/>
                <w:szCs w:val="20"/>
              </w:rPr>
              <w:t>Visbeidzot, atgādinām, ka Direktīva Nr. 2014/65/ES jau ir transponēta Latvijas tiesību sistēmā ar grozījumiem Finanšu instrumentu tirgus likumā.</w:t>
            </w:r>
          </w:p>
          <w:p w14:paraId="1B520C8B" w14:textId="77777777" w:rsidR="007C391A" w:rsidRDefault="007C391A" w:rsidP="007C391A">
            <w:pPr>
              <w:pStyle w:val="naisc"/>
              <w:spacing w:before="0" w:after="0"/>
              <w:jc w:val="both"/>
              <w:rPr>
                <w:sz w:val="20"/>
                <w:szCs w:val="20"/>
              </w:rPr>
            </w:pPr>
          </w:p>
          <w:p w14:paraId="3C56DBB7" w14:textId="77777777" w:rsidR="007C391A" w:rsidRDefault="007C391A" w:rsidP="00D92D2A">
            <w:pPr>
              <w:pStyle w:val="naisc"/>
              <w:spacing w:before="0" w:after="0"/>
              <w:jc w:val="both"/>
              <w:rPr>
                <w:b/>
                <w:bCs/>
                <w:sz w:val="20"/>
                <w:szCs w:val="20"/>
              </w:rPr>
            </w:pPr>
          </w:p>
        </w:tc>
        <w:tc>
          <w:tcPr>
            <w:tcW w:w="936" w:type="pct"/>
            <w:tcBorders>
              <w:top w:val="single" w:sz="4" w:space="0" w:color="auto"/>
              <w:left w:val="single" w:sz="4" w:space="0" w:color="auto"/>
              <w:bottom w:val="single" w:sz="4" w:space="0" w:color="auto"/>
              <w:right w:val="single" w:sz="4" w:space="0" w:color="auto"/>
            </w:tcBorders>
          </w:tcPr>
          <w:p w14:paraId="6B37BF10" w14:textId="77777777" w:rsidR="007C391A" w:rsidRPr="006B17FE" w:rsidRDefault="007C391A" w:rsidP="00D92D2A">
            <w:pPr>
              <w:pStyle w:val="naisc"/>
              <w:spacing w:before="0" w:after="0"/>
              <w:jc w:val="both"/>
              <w:rPr>
                <w:sz w:val="20"/>
                <w:szCs w:val="20"/>
              </w:rPr>
            </w:pPr>
          </w:p>
        </w:tc>
      </w:tr>
      <w:tr w:rsidR="00A447BA" w:rsidRPr="00D92D2A" w14:paraId="6406ECBC"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77D7647" w14:textId="4CCA24E2" w:rsidR="00A447BA" w:rsidRDefault="00A447B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8.</w:t>
            </w:r>
          </w:p>
        </w:tc>
        <w:tc>
          <w:tcPr>
            <w:tcW w:w="692" w:type="pct"/>
            <w:tcBorders>
              <w:top w:val="single" w:sz="6" w:space="0" w:color="000000"/>
              <w:left w:val="single" w:sz="6" w:space="0" w:color="000000"/>
              <w:bottom w:val="single" w:sz="6" w:space="0" w:color="000000"/>
              <w:right w:val="single" w:sz="6" w:space="0" w:color="000000"/>
            </w:tcBorders>
          </w:tcPr>
          <w:p w14:paraId="1943F115"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12.pants. Licences piešķiršanas kārtība</w:t>
            </w:r>
          </w:p>
          <w:p w14:paraId="1AA6B074" w14:textId="1B2E9004" w:rsidR="00A447BA" w:rsidRPr="00BE4B86" w:rsidRDefault="00A447BA" w:rsidP="00A447BA">
            <w:pPr>
              <w:pStyle w:val="NoSpacing"/>
              <w:widowControl/>
              <w:rPr>
                <w:rFonts w:eastAsiaTheme="minorHAnsi"/>
                <w:bCs/>
                <w:sz w:val="20"/>
                <w:szCs w:val="20"/>
              </w:rPr>
            </w:pPr>
            <w:r w:rsidRPr="00C56A30">
              <w:rPr>
                <w:rFonts w:eastAsiaTheme="minorHAnsi"/>
                <w:bCs/>
                <w:sz w:val="20"/>
                <w:szCs w:val="20"/>
              </w:rPr>
              <w:t xml:space="preserve">(1) Komisija izskata ieguldījumu brokeru sabiedrības iesniegumu licences saņemšanai un pieņem lēmumu </w:t>
            </w:r>
            <w:r w:rsidRPr="00C56A30">
              <w:rPr>
                <w:rFonts w:eastAsiaTheme="minorHAnsi"/>
                <w:bCs/>
                <w:sz w:val="20"/>
                <w:szCs w:val="20"/>
                <w:u w:val="single"/>
              </w:rPr>
              <w:t>sešu mēnešu</w:t>
            </w:r>
            <w:r w:rsidRPr="00C56A30">
              <w:rPr>
                <w:rFonts w:eastAsiaTheme="minorHAnsi"/>
                <w:bCs/>
                <w:sz w:val="20"/>
                <w:szCs w:val="20"/>
              </w:rPr>
              <w:t xml:space="preserve"> laikā pēc visu lēmuma pieņemšanai nepieciešamo šajā likumā noteikto un atbilstoši normatīvo aktu prasībām sagatavoto un noformēto dokumentu saņemšanas.</w:t>
            </w:r>
          </w:p>
          <w:p w14:paraId="07CC1A3A"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 xml:space="preserve">14. pants. Licencē noteikto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maiņa</w:t>
            </w:r>
          </w:p>
          <w:p w14:paraId="51B05BDC" w14:textId="4C48AD56" w:rsidR="00A447BA" w:rsidRPr="00BE4B86" w:rsidRDefault="00A447BA" w:rsidP="00BE4B86">
            <w:pPr>
              <w:pStyle w:val="NoSpacing"/>
              <w:widowControl/>
              <w:rPr>
                <w:rFonts w:eastAsiaTheme="minorHAnsi"/>
                <w:bCs/>
                <w:sz w:val="20"/>
                <w:szCs w:val="20"/>
              </w:rPr>
            </w:pPr>
            <w:r w:rsidRPr="00C56A30">
              <w:rPr>
                <w:rFonts w:eastAsiaTheme="minorHAnsi"/>
                <w:bCs/>
                <w:sz w:val="20"/>
                <w:szCs w:val="20"/>
              </w:rPr>
              <w:t xml:space="preserve">(3) Komisija </w:t>
            </w:r>
            <w:r w:rsidRPr="00C56A30">
              <w:rPr>
                <w:rFonts w:eastAsiaTheme="minorHAnsi"/>
                <w:bCs/>
                <w:sz w:val="20"/>
                <w:szCs w:val="20"/>
                <w:u w:val="single"/>
              </w:rPr>
              <w:t>30 dienu</w:t>
            </w:r>
            <w:r w:rsidRPr="00C56A30">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w:t>
            </w:r>
            <w:r w:rsidRPr="00C56A30">
              <w:rPr>
                <w:rFonts w:eastAsiaTheme="minorHAnsi"/>
                <w:bCs/>
                <w:sz w:val="20"/>
                <w:szCs w:val="20"/>
              </w:rPr>
              <w:lastRenderedPageBreak/>
              <w:t xml:space="preserve">licencē norādīto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maiņu.</w:t>
            </w:r>
          </w:p>
          <w:p w14:paraId="75C0EF72"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 xml:space="preserve">18.pants. Kārtība, kādā Latvijas Republikā reģistrēta ieguldījumu brokeru sabiedrība  uzsāk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sniegšanu citā dalībvalstī</w:t>
            </w:r>
          </w:p>
          <w:p w14:paraId="05AED12B" w14:textId="77777777" w:rsidR="00A447BA" w:rsidRPr="00C56A30" w:rsidRDefault="00A447BA" w:rsidP="00A447BA">
            <w:pPr>
              <w:pStyle w:val="NoSpacing"/>
              <w:widowControl/>
              <w:rPr>
                <w:rFonts w:eastAsiaTheme="minorHAnsi"/>
                <w:bCs/>
                <w:sz w:val="20"/>
                <w:szCs w:val="20"/>
              </w:rPr>
            </w:pPr>
            <w:r w:rsidRPr="00C56A30">
              <w:rPr>
                <w:rFonts w:eastAsiaTheme="minorHAnsi"/>
                <w:bCs/>
                <w:sz w:val="20"/>
                <w:szCs w:val="20"/>
              </w:rPr>
              <w:t xml:space="preserve">(7) Iesniegumu par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sniegšanas uzsākšanu citā dalībvalstī Komisija izskata </w:t>
            </w:r>
            <w:r w:rsidRPr="00C56A30">
              <w:rPr>
                <w:rFonts w:eastAsiaTheme="minorHAnsi"/>
                <w:bCs/>
                <w:sz w:val="20"/>
                <w:szCs w:val="20"/>
                <w:u w:val="single"/>
              </w:rPr>
              <w:t>viena mēneša</w:t>
            </w:r>
            <w:r w:rsidRPr="00C56A30">
              <w:rPr>
                <w:rFonts w:eastAsiaTheme="minorHAnsi"/>
                <w:bCs/>
                <w:sz w:val="20"/>
                <w:szCs w:val="20"/>
              </w:rPr>
              <w:t xml:space="preserve"> laikā pēc visu nepieciešamo atbilstoši šā likuma prasībām sagatavoto un noformēto dokumentu saņemšanas un par savu lēmumu </w:t>
            </w:r>
            <w:proofErr w:type="spellStart"/>
            <w:r w:rsidRPr="00C56A30">
              <w:rPr>
                <w:rFonts w:eastAsiaTheme="minorHAnsi"/>
                <w:bCs/>
                <w:sz w:val="20"/>
                <w:szCs w:val="20"/>
              </w:rPr>
              <w:t>rakstveidā</w:t>
            </w:r>
            <w:proofErr w:type="spellEnd"/>
            <w:r w:rsidRPr="00C56A30">
              <w:rPr>
                <w:rFonts w:eastAsiaTheme="minorHAnsi"/>
                <w:bCs/>
                <w:sz w:val="20"/>
                <w:szCs w:val="20"/>
              </w:rPr>
              <w:t xml:space="preserve"> informē attiecīgās dalībvalsts uzraudzības institūciju un attiecīgo ieguldījumu brokeru sabiedrību. Komisija pieņem lēmumu neatļaut ieguldījumu brokeru sabiedrībai uzsākt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sniegšanu kādā no dalībvalstīm, atverot filiāli, ja ieguldījumu brokeru sabiedrības pārvaldes struktūra vai finansiālā situācija nav atbilstoša plānotajai darbībai.</w:t>
            </w:r>
          </w:p>
          <w:p w14:paraId="3DB61EE5" w14:textId="2C0B65AF" w:rsidR="00A447BA" w:rsidRPr="00BE4B86" w:rsidRDefault="00A447BA" w:rsidP="00A447BA">
            <w:pPr>
              <w:pStyle w:val="NoSpacing"/>
              <w:widowControl/>
              <w:rPr>
                <w:rFonts w:eastAsiaTheme="minorHAnsi"/>
                <w:bCs/>
                <w:sz w:val="20"/>
                <w:szCs w:val="20"/>
              </w:rPr>
            </w:pPr>
            <w:r w:rsidRPr="00C56A30">
              <w:rPr>
                <w:rFonts w:eastAsiaTheme="minorHAnsi"/>
                <w:bCs/>
                <w:sz w:val="20"/>
                <w:szCs w:val="20"/>
              </w:rPr>
              <w:t xml:space="preserve">(8) Komisija </w:t>
            </w:r>
            <w:r w:rsidRPr="00C56A30">
              <w:rPr>
                <w:rFonts w:eastAsiaTheme="minorHAnsi"/>
                <w:bCs/>
                <w:sz w:val="20"/>
                <w:szCs w:val="20"/>
                <w:u w:val="single"/>
              </w:rPr>
              <w:t>sešu mēnešu</w:t>
            </w:r>
            <w:r w:rsidRPr="00C56A30">
              <w:rPr>
                <w:rFonts w:eastAsiaTheme="minorHAnsi"/>
                <w:bCs/>
                <w:sz w:val="20"/>
                <w:szCs w:val="20"/>
              </w:rPr>
              <w:t xml:space="preserve"> laikā pēc visu nepieciešamo </w:t>
            </w:r>
            <w:r w:rsidRPr="00C56A30">
              <w:rPr>
                <w:rFonts w:eastAsiaTheme="minorHAnsi"/>
                <w:bCs/>
                <w:sz w:val="20"/>
                <w:szCs w:val="20"/>
              </w:rPr>
              <w:lastRenderedPageBreak/>
              <w:t xml:space="preserve">atbilstoši šā likuma prasībām sagatavoto un noformēto dokumentu saņemšanas pieņem lēmumu neatļaut ieguldījumu brokeru sabiedrībai uzsākt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sniegšanu kādā no dalībvalstīm, atverot filiāli vai izmantojot piesaistītos aģentus, ja ieguldījumu brokeru sabiedrības pārvaldes struktūra vai finansiālā situācija neatbilst plānotajai darbībai. Par savu lēmumu Komisija </w:t>
            </w:r>
            <w:proofErr w:type="spellStart"/>
            <w:r w:rsidRPr="00C56A30">
              <w:rPr>
                <w:rFonts w:eastAsiaTheme="minorHAnsi"/>
                <w:bCs/>
                <w:sz w:val="20"/>
                <w:szCs w:val="20"/>
              </w:rPr>
              <w:t>rakstveidā</w:t>
            </w:r>
            <w:proofErr w:type="spellEnd"/>
            <w:r w:rsidRPr="00C56A30">
              <w:rPr>
                <w:rFonts w:eastAsiaTheme="minorHAnsi"/>
                <w:bCs/>
                <w:sz w:val="20"/>
                <w:szCs w:val="20"/>
              </w:rPr>
              <w:t xml:space="preserve"> informē attiecīgās dalībvalsts uzraudzības institūciju un ieguldījumu brokeru sabiedrību.</w:t>
            </w:r>
          </w:p>
          <w:p w14:paraId="0ECBFB01"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 xml:space="preserve">20. pants. Ārvalsts ieguldījumu brokeru sabiedrības tiesības sniegt ieguldījumu pakalpojumus un ieguldījumu </w:t>
            </w:r>
            <w:proofErr w:type="spellStart"/>
            <w:r w:rsidRPr="00C56A30">
              <w:rPr>
                <w:rFonts w:eastAsiaTheme="minorHAnsi"/>
                <w:b/>
                <w:bCs/>
                <w:sz w:val="20"/>
                <w:szCs w:val="20"/>
              </w:rPr>
              <w:t>blakuspakalpojumus</w:t>
            </w:r>
            <w:proofErr w:type="spellEnd"/>
          </w:p>
          <w:p w14:paraId="5D65B6F5" w14:textId="1D9303F4" w:rsidR="00A447BA" w:rsidRPr="00BE4B86" w:rsidRDefault="00A447BA" w:rsidP="007C391A">
            <w:pPr>
              <w:pStyle w:val="NoSpacing"/>
              <w:widowControl/>
              <w:rPr>
                <w:rFonts w:eastAsiaTheme="minorHAnsi"/>
                <w:bCs/>
                <w:sz w:val="20"/>
                <w:szCs w:val="20"/>
              </w:rPr>
            </w:pPr>
            <w:r w:rsidRPr="00C56A30">
              <w:rPr>
                <w:rFonts w:eastAsiaTheme="minorHAnsi"/>
                <w:bCs/>
                <w:sz w:val="20"/>
                <w:szCs w:val="20"/>
              </w:rPr>
              <w:t xml:space="preserve">(4) Komisija izskata ārvalsts ieguldījumu brokeru sabiedrības iesniegumu atļaujas saņemšanai un </w:t>
            </w:r>
            <w:r w:rsidRPr="00C56A30">
              <w:rPr>
                <w:rFonts w:eastAsiaTheme="minorHAnsi"/>
                <w:bCs/>
                <w:sz w:val="20"/>
                <w:szCs w:val="20"/>
                <w:u w:val="single"/>
              </w:rPr>
              <w:t>sešu mēnešu</w:t>
            </w:r>
            <w:r w:rsidRPr="00C56A30">
              <w:rPr>
                <w:rFonts w:eastAsiaTheme="minorHAnsi"/>
                <w:bCs/>
                <w:sz w:val="20"/>
                <w:szCs w:val="20"/>
              </w:rPr>
              <w:t xml:space="preserve"> laikā pēc visu lēmuma pieņemšanai nepieciešamo šajā likumā noteikto un atbilstoši normatīvo aktu prasībām sagatavoto un noformēto dokumentu saņemšanas pieņem lēmumu.</w:t>
            </w:r>
          </w:p>
          <w:p w14:paraId="2228B49D"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27.pants. Komisijas tiesības un pienākumi</w:t>
            </w:r>
          </w:p>
          <w:p w14:paraId="0731260D" w14:textId="2A51C22D" w:rsidR="00A447BA" w:rsidRPr="00BE4B86" w:rsidRDefault="00A447BA" w:rsidP="00BE4B86">
            <w:pPr>
              <w:pStyle w:val="NoSpacing"/>
              <w:widowControl/>
              <w:rPr>
                <w:rFonts w:eastAsiaTheme="minorHAnsi"/>
                <w:bCs/>
                <w:sz w:val="20"/>
                <w:szCs w:val="20"/>
              </w:rPr>
            </w:pPr>
            <w:r w:rsidRPr="00C56A30">
              <w:rPr>
                <w:rFonts w:eastAsiaTheme="minorHAnsi"/>
                <w:bCs/>
                <w:sz w:val="20"/>
                <w:szCs w:val="20"/>
              </w:rPr>
              <w:lastRenderedPageBreak/>
              <w:t xml:space="preserve">(1) Komisija ne vēlāk kā </w:t>
            </w:r>
            <w:r w:rsidRPr="00C56A30">
              <w:rPr>
                <w:rFonts w:eastAsiaTheme="minorHAnsi"/>
                <w:bCs/>
                <w:sz w:val="20"/>
                <w:szCs w:val="20"/>
                <w:u w:val="single"/>
              </w:rPr>
              <w:t>60 darbdienu</w:t>
            </w:r>
            <w:r w:rsidRPr="00C56A30">
              <w:rPr>
                <w:rFonts w:eastAsiaTheme="minorHAnsi"/>
                <w:bCs/>
                <w:sz w:val="20"/>
                <w:szCs w:val="20"/>
              </w:rPr>
              <w:t xml:space="preserve"> laikā no dienas, kad personai nosūtīta šā likuma </w:t>
            </w:r>
            <w:hyperlink r:id="rId10" w:anchor="p9" w:history="1">
              <w:r w:rsidRPr="00C56A30">
                <w:rPr>
                  <w:rFonts w:eastAsiaTheme="minorHAnsi"/>
                  <w:bCs/>
                  <w:sz w:val="20"/>
                  <w:szCs w:val="20"/>
                </w:rPr>
                <w:t>26.</w:t>
              </w:r>
            </w:hyperlink>
            <w:r w:rsidRPr="00C56A30">
              <w:rPr>
                <w:rFonts w:eastAsiaTheme="minorHAnsi"/>
                <w:bCs/>
                <w:sz w:val="20"/>
                <w:szCs w:val="20"/>
              </w:rPr>
              <w:t xml:space="preserve"> panta trešajā daļā minētā informācija par paziņojuma saņemšanu, izvērtē personas brīvā kapitāla pietiekamību visu tās iegādājamo ieguldījumu brokeru sabiedrības akciju vai daļu apmērā, finansiālo stabilitāti un plānotās līdzdalības iegūšanas finansiālo pamatotību, lai nodrošinātu tās ieguldījumu brokeru sabiedrības noturīgu un rūpīgu pārvaldību, kurā plānots iegūt līdzdalību, kā arī personas iespējamo ietekmi uz ieguldījumu brokeru sabiedrības vadību un darbību. Izvērtēšanas procesā Komisija ņem vērā arī šādus kritērijus:</w:t>
            </w:r>
          </w:p>
          <w:p w14:paraId="038D8570" w14:textId="77777777" w:rsidR="00A447BA" w:rsidRPr="00C56A30" w:rsidRDefault="00A447BA" w:rsidP="00A447BA">
            <w:pPr>
              <w:pStyle w:val="NoSpacing"/>
              <w:widowControl/>
              <w:rPr>
                <w:rFonts w:eastAsiaTheme="minorHAnsi"/>
                <w:b/>
                <w:bCs/>
                <w:sz w:val="20"/>
                <w:szCs w:val="20"/>
              </w:rPr>
            </w:pPr>
            <w:r w:rsidRPr="00C56A30">
              <w:rPr>
                <w:rFonts w:eastAsiaTheme="minorHAnsi"/>
                <w:b/>
                <w:bCs/>
                <w:sz w:val="20"/>
                <w:szCs w:val="20"/>
              </w:rPr>
              <w:t>50. pants. Ieguldījumu brokeru sabiedrību nozīmīgas filiāles</w:t>
            </w:r>
          </w:p>
          <w:p w14:paraId="52FE92C5" w14:textId="0ED55CB2" w:rsidR="00A447BA" w:rsidRPr="00BE4B86" w:rsidRDefault="00A447BA" w:rsidP="00BE4B86">
            <w:pPr>
              <w:pStyle w:val="NoSpacing"/>
              <w:widowControl/>
              <w:rPr>
                <w:rFonts w:eastAsiaTheme="minorHAnsi"/>
                <w:bCs/>
                <w:sz w:val="20"/>
                <w:szCs w:val="20"/>
              </w:rPr>
            </w:pPr>
            <w:r w:rsidRPr="00C56A30">
              <w:rPr>
                <w:rFonts w:eastAsiaTheme="minorHAnsi"/>
                <w:bCs/>
                <w:sz w:val="20"/>
                <w:szCs w:val="20"/>
              </w:rPr>
              <w:t xml:space="preserve">(3) Komisija un filiāles mītnes dalībvalsts uzraudzības institūcija vai konsolidācijas grupas uzraudzības institūcija sadarbojas un veic visas nepieciešamās darbības, lai </w:t>
            </w:r>
            <w:r w:rsidRPr="00C56A30">
              <w:rPr>
                <w:rFonts w:eastAsiaTheme="minorHAnsi"/>
                <w:bCs/>
                <w:sz w:val="20"/>
                <w:szCs w:val="20"/>
                <w:u w:val="single"/>
              </w:rPr>
              <w:t>divu mēnešu</w:t>
            </w:r>
            <w:r w:rsidRPr="00C56A30">
              <w:rPr>
                <w:rFonts w:eastAsiaTheme="minorHAnsi"/>
                <w:bCs/>
                <w:sz w:val="20"/>
                <w:szCs w:val="20"/>
              </w:rPr>
              <w:t xml:space="preserve"> laikā no šā panta pirmajā daļā minētā lūguma nosūtīšanas dienas pieņemtu saskaņotu lēmumu par filiāles atzīšanu par nozīmīgu.</w:t>
            </w:r>
          </w:p>
          <w:p w14:paraId="0B51673C" w14:textId="77777777" w:rsidR="00A447BA" w:rsidRPr="00C56A30" w:rsidRDefault="00A447BA" w:rsidP="00A447BA">
            <w:pPr>
              <w:pStyle w:val="tv213"/>
              <w:shd w:val="clear" w:color="auto" w:fill="FFFFFF"/>
              <w:spacing w:before="0" w:beforeAutospacing="0" w:after="0" w:afterAutospacing="0"/>
              <w:jc w:val="both"/>
              <w:rPr>
                <w:rFonts w:eastAsiaTheme="minorHAnsi"/>
                <w:b/>
                <w:sz w:val="20"/>
                <w:szCs w:val="20"/>
              </w:rPr>
            </w:pPr>
            <w:r w:rsidRPr="00C56A30">
              <w:rPr>
                <w:rFonts w:eastAsiaTheme="minorHAnsi"/>
                <w:b/>
                <w:sz w:val="20"/>
                <w:szCs w:val="20"/>
              </w:rPr>
              <w:t xml:space="preserve">67. pants. Papildu prasības </w:t>
            </w:r>
            <w:proofErr w:type="spellStart"/>
            <w:r w:rsidRPr="00C56A30">
              <w:rPr>
                <w:rFonts w:eastAsiaTheme="minorHAnsi"/>
                <w:b/>
                <w:sz w:val="20"/>
                <w:szCs w:val="20"/>
              </w:rPr>
              <w:t>pārvaldītājsabiedrībām</w:t>
            </w:r>
            <w:proofErr w:type="spellEnd"/>
          </w:p>
          <w:p w14:paraId="732F2E26" w14:textId="4CF23034" w:rsidR="00A447BA" w:rsidRPr="00A447BA" w:rsidRDefault="00A447BA" w:rsidP="00A447BA">
            <w:pPr>
              <w:pStyle w:val="NoSpacing"/>
              <w:widowControl/>
            </w:pPr>
            <w:r w:rsidRPr="00A447BA">
              <w:rPr>
                <w:rFonts w:eastAsiaTheme="minorHAnsi"/>
                <w:bCs/>
                <w:sz w:val="20"/>
                <w:szCs w:val="20"/>
              </w:rPr>
              <w:lastRenderedPageBreak/>
              <w:t xml:space="preserve">(5) Konsolidētās uzraudzības institūcija lēmumu par šā panta trešajā daļā minēto atļauju vai ceturtajā daļā minēto izņēmumu pieņem </w:t>
            </w:r>
            <w:r w:rsidRPr="00A447BA">
              <w:rPr>
                <w:rFonts w:eastAsiaTheme="minorHAnsi"/>
                <w:bCs/>
                <w:sz w:val="20"/>
                <w:szCs w:val="20"/>
                <w:u w:val="single"/>
              </w:rPr>
              <w:t>četru mēnešu</w:t>
            </w:r>
            <w:r w:rsidRPr="00A447BA">
              <w:rPr>
                <w:rFonts w:eastAsiaTheme="minorHAnsi"/>
                <w:bCs/>
                <w:sz w:val="20"/>
                <w:szCs w:val="20"/>
              </w:rPr>
              <w:t xml:space="preserve"> laikā no brīža, kad ir saņemta pilnīga informācija lēmuma pieņemšanai, bet ne vēlāk kā </w:t>
            </w:r>
            <w:r w:rsidRPr="00A447BA">
              <w:rPr>
                <w:rFonts w:eastAsiaTheme="minorHAnsi"/>
                <w:bCs/>
                <w:sz w:val="20"/>
                <w:szCs w:val="20"/>
                <w:u w:val="single"/>
              </w:rPr>
              <w:t>sešu mēnešu</w:t>
            </w:r>
            <w:r w:rsidRPr="00A447BA">
              <w:rPr>
                <w:rFonts w:eastAsiaTheme="minorHAnsi"/>
                <w:bCs/>
                <w:sz w:val="20"/>
                <w:szCs w:val="20"/>
              </w:rPr>
              <w:t xml:space="preserve"> laikā no pieteikuma iesniegšanas dienas.</w:t>
            </w:r>
          </w:p>
        </w:tc>
        <w:tc>
          <w:tcPr>
            <w:tcW w:w="1309" w:type="pct"/>
            <w:tcBorders>
              <w:top w:val="single" w:sz="6" w:space="0" w:color="000000"/>
              <w:left w:val="single" w:sz="6" w:space="0" w:color="000000"/>
              <w:bottom w:val="single" w:sz="6" w:space="0" w:color="000000"/>
              <w:right w:val="single" w:sz="6" w:space="0" w:color="000000"/>
            </w:tcBorders>
          </w:tcPr>
          <w:p w14:paraId="74718CDC" w14:textId="77777777" w:rsidR="00911FFF" w:rsidRDefault="00911FFF" w:rsidP="00911FFF">
            <w:pPr>
              <w:pStyle w:val="NoSpacing"/>
              <w:widowControl/>
              <w:rPr>
                <w:sz w:val="20"/>
                <w:szCs w:val="20"/>
              </w:rPr>
            </w:pPr>
            <w:r w:rsidRPr="0063376C">
              <w:rPr>
                <w:b/>
                <w:bCs/>
                <w:sz w:val="20"/>
                <w:szCs w:val="20"/>
              </w:rPr>
              <w:lastRenderedPageBreak/>
              <w:t>Iebildums.</w:t>
            </w:r>
            <w:r>
              <w:rPr>
                <w:sz w:val="20"/>
                <w:szCs w:val="20"/>
              </w:rPr>
              <w:t xml:space="preserve"> </w:t>
            </w:r>
            <w:r w:rsidRPr="0063376C">
              <w:rPr>
                <w:sz w:val="20"/>
                <w:szCs w:val="20"/>
              </w:rPr>
              <w:t xml:space="preserve">Administratīvā procesa likuma 64. panta pirmā daļa paredz, ka, ja administratīvā lieta ierosināta uz iesnieguma pamata, iestāde pieņem lēmumu par administratīvā akta izdošanu viena mēneša laikā no iesnieguma saņemšanas dienas, ja likumā nav noteikts cits termiņš vai citā normatīvajā aktā – īsāks termiņš administratīvā akta izdošanai. No minētā izriet, ka likumprojektā var tikt noteikts no Administratīvā procesa likuma 64. panta pirmajā daļā paredzētā viena mēneša termiņa atšķirīgs administratīvā akta izdošanas termiņš. Vienlaikus šāda atšķirīga termiņa noteikšanas nepieciešamība ir jāskaidro anotācijā. Papildus norādām, ka lēmuma pieņemšanas termiņa skaitīšana no brīža, kad persona iesniegusi visus dokumentus, var nesamērīgi pagarināt termiņu, kādā tiks pieņemts lēmums. Proti, formāli lēmuma pieņemšanai noteikts sešu mēnešu termiņš, taču faktiski nav </w:t>
            </w:r>
            <w:r w:rsidRPr="00AF6FAF">
              <w:rPr>
                <w:rFonts w:eastAsiaTheme="minorHAnsi"/>
                <w:bCs/>
                <w:sz w:val="20"/>
                <w:szCs w:val="20"/>
              </w:rPr>
              <w:t>zināms</w:t>
            </w:r>
            <w:r w:rsidRPr="0063376C">
              <w:rPr>
                <w:sz w:val="20"/>
                <w:szCs w:val="20"/>
              </w:rPr>
              <w:t xml:space="preserve">, cik garš tas būs, ja persona, iesniedzot iesniegumu, nebūs iesniegusi visus lēmuma pieņemšanai nepieciešamos dokumentus. </w:t>
            </w:r>
          </w:p>
          <w:p w14:paraId="4335D03A" w14:textId="77777777" w:rsidR="00911FFF" w:rsidRDefault="00911FFF" w:rsidP="00911FFF">
            <w:pPr>
              <w:spacing w:after="0" w:line="240" w:lineRule="auto"/>
              <w:jc w:val="both"/>
              <w:rPr>
                <w:rFonts w:ascii="Times New Roman" w:hAnsi="Times New Roman" w:cs="Times New Roman"/>
                <w:sz w:val="20"/>
                <w:szCs w:val="20"/>
              </w:rPr>
            </w:pPr>
            <w:r w:rsidRPr="0063376C">
              <w:rPr>
                <w:rFonts w:ascii="Times New Roman" w:hAnsi="Times New Roman" w:cs="Times New Roman"/>
                <w:sz w:val="20"/>
                <w:szCs w:val="20"/>
              </w:rPr>
              <w:t xml:space="preserve">Ievērojot minēto, lūdzam izvērtēt šāda regulējuma samērīgumu, atbilstoši precizēt likumprojektā ietvertās normas, kā arī papildināt anotāciju ar attiecīgu skaidrojumu gan likumprojekta 12. panta pirmajai daļai, gan arī pārējām likumprojektā ietvertajā normām, kas noteic garāku termiņu administratīvā akta izdošanai vai paredz termiņu skaitīt no brīža, kad iesniegti visi dokumenti, tostarp likumprojekta 14. panta trešajai daļai, 18. panta septītajai un astotajai daļai, 20. panta ceturtajai </w:t>
            </w:r>
            <w:r w:rsidRPr="0063376C">
              <w:rPr>
                <w:rFonts w:ascii="Times New Roman" w:hAnsi="Times New Roman" w:cs="Times New Roman"/>
                <w:sz w:val="20"/>
                <w:szCs w:val="20"/>
              </w:rPr>
              <w:t>daļai, 27. panta pirmajai daļai, likumprojekta 49. panta trešajai daļai, kā arī 65. panta piektajai daļai.</w:t>
            </w:r>
          </w:p>
          <w:p w14:paraId="0282281A" w14:textId="77777777" w:rsidR="00911FFF" w:rsidRDefault="00911FFF" w:rsidP="00911FFF">
            <w:pPr>
              <w:spacing w:after="0" w:line="240" w:lineRule="auto"/>
              <w:jc w:val="both"/>
              <w:rPr>
                <w:rFonts w:ascii="Times New Roman" w:eastAsia="Times New Roman" w:hAnsi="Times New Roman" w:cs="Times New Roman"/>
                <w:b/>
                <w:bCs/>
                <w:sz w:val="20"/>
                <w:szCs w:val="20"/>
                <w:lang w:eastAsia="lv-LV"/>
              </w:rPr>
            </w:pPr>
          </w:p>
          <w:p w14:paraId="5649178E" w14:textId="77777777" w:rsidR="00911FFF" w:rsidRDefault="00911FFF" w:rsidP="00911FFF">
            <w:pPr>
              <w:spacing w:after="0" w:line="240" w:lineRule="auto"/>
              <w:jc w:val="both"/>
              <w:rPr>
                <w:rFonts w:ascii="Times New Roman" w:eastAsia="Times New Roman" w:hAnsi="Times New Roman" w:cs="Times New Roman"/>
                <w:b/>
                <w:bCs/>
                <w:sz w:val="20"/>
                <w:szCs w:val="20"/>
                <w:lang w:eastAsia="lv-LV"/>
              </w:rPr>
            </w:pPr>
            <w:r w:rsidRPr="00363854">
              <w:rPr>
                <w:rFonts w:ascii="Times New Roman" w:eastAsia="Times New Roman" w:hAnsi="Times New Roman" w:cs="Times New Roman"/>
                <w:b/>
                <w:bCs/>
                <w:sz w:val="20"/>
                <w:szCs w:val="20"/>
                <w:lang w:eastAsia="lv-LV"/>
              </w:rPr>
              <w:t>Š.g. 11.maijā uzturētais iebildums.</w:t>
            </w:r>
          </w:p>
          <w:p w14:paraId="4D197F93" w14:textId="77777777" w:rsidR="00911FFF" w:rsidRPr="006953F3" w:rsidRDefault="00911FFF" w:rsidP="00911FFF">
            <w:pPr>
              <w:pStyle w:val="NoSpacing"/>
              <w:widowControl/>
              <w:rPr>
                <w:rFonts w:eastAsiaTheme="minorHAnsi"/>
                <w:bCs/>
                <w:sz w:val="20"/>
                <w:szCs w:val="20"/>
              </w:rPr>
            </w:pPr>
            <w:r w:rsidRPr="006953F3">
              <w:rPr>
                <w:rFonts w:eastAsiaTheme="minorHAnsi"/>
                <w:bCs/>
                <w:sz w:val="20"/>
                <w:szCs w:val="20"/>
              </w:rPr>
              <w:t>Vēršam uzmanību, ka izziņas 8. punktā ietvertais Tieslietu ministrijas iebildums, kurā lūgts izvērtēt lēmuma pieņemšanas termiņa skaitīšanu no brīža, kad persona iesniegusi visus dokumentus, nav ņemts vērā, tāpēc iebildums tiek uzturēts. Atkārtoti norādām, ka lēmuma pieņemšanas termiņa skaitīšana no brīža, kad persona</w:t>
            </w:r>
            <w:r>
              <w:rPr>
                <w:bCs/>
                <w:sz w:val="20"/>
                <w:szCs w:val="20"/>
              </w:rPr>
              <w:t xml:space="preserve"> </w:t>
            </w:r>
            <w:r w:rsidRPr="006953F3">
              <w:rPr>
                <w:rFonts w:eastAsiaTheme="minorHAnsi"/>
                <w:bCs/>
                <w:sz w:val="20"/>
                <w:szCs w:val="20"/>
              </w:rPr>
              <w:t xml:space="preserve">iesniegusi visus dokumentus, var nesamērīgi pagarināt termiņu, kādā tiks pieņemts lēmums. Proti, formāli lēmuma pieņemšanai noteikts sešu mēnešu termiņš, taču faktiski nav zināms, cik garš tas būs, ja persona, iesniedzot iesniegumu, nebūs iesniegusi visus lēmuma pieņemšanai nepieciešamos dokumentus. </w:t>
            </w:r>
          </w:p>
          <w:p w14:paraId="664004D7" w14:textId="77777777" w:rsidR="00911FFF" w:rsidRPr="006953F3" w:rsidRDefault="00911FFF" w:rsidP="00911FFF">
            <w:pPr>
              <w:pStyle w:val="NoSpacing"/>
              <w:widowControl/>
              <w:rPr>
                <w:rFonts w:eastAsiaTheme="minorHAnsi"/>
                <w:bCs/>
                <w:sz w:val="20"/>
                <w:szCs w:val="20"/>
              </w:rPr>
            </w:pPr>
            <w:r w:rsidRPr="006953F3">
              <w:rPr>
                <w:rFonts w:eastAsiaTheme="minorHAnsi"/>
                <w:bCs/>
                <w:sz w:val="20"/>
                <w:szCs w:val="20"/>
              </w:rPr>
              <w:t>Papildus vēršam uzmanību, ka Administratīvā procesa likuma 59. panta pirmā daļa paredz, ka pēc administratīvās lietas ierosināšanas iestāde iegūst informāciju, kas saskaņā ar normatīvajiem aktiem ir nepieciešama, lai pieņemtu attiecīgo lēmumu. Proti, Administratīvā procesa likums paredz iestādes pienākumu iegūt lēmuma pieņemšanai nepieciešamo informāciju, kas tiek iegūta lēmuma pieņemšanas termiņa ietvaros. Savukārt, ja iestāde objektīvu apstākļu dēļ nevar ievērot lēmuma pieņemšanai noteikto viena mēneša termiņu, saskaņā ar Administratīvā procesa likuma 64. panta otrajā daļā noteikto ir iespējams pagarināt lēmuma pieņemšanas termiņu. Ja persona būs iesniegusi visu lēmuma pieņemšanai nepieciešamo informāciju, nav saprotams, kāpēc lēmuma pieņemšanai ir vajadzīgs viens mēnesis. Administratīvā procesa likuma 64. panta pirmajā daļā noteiktā viena mēneša termiņa ietvaros iestādei ir paredzēts gan izskatīt iesniegumu un iegūt tā izskatīšanai visu nepieciešamo informāciju, gan pieņemt lēmumu.</w:t>
            </w:r>
          </w:p>
          <w:p w14:paraId="132FDDFE" w14:textId="77777777" w:rsidR="00D02FFA" w:rsidRPr="00DB00D2" w:rsidRDefault="00D02FFA" w:rsidP="00D02FFA">
            <w:pPr>
              <w:pStyle w:val="NoSpacing"/>
              <w:widowControl/>
              <w:rPr>
                <w:b/>
                <w:bCs/>
                <w:sz w:val="20"/>
                <w:szCs w:val="20"/>
              </w:rPr>
            </w:pPr>
            <w:r w:rsidRPr="00DB00D2">
              <w:rPr>
                <w:b/>
                <w:bCs/>
                <w:sz w:val="20"/>
                <w:szCs w:val="20"/>
              </w:rPr>
              <w:t>Š.g. 7.jūnijā uzturētais iebildums.</w:t>
            </w:r>
          </w:p>
          <w:p w14:paraId="2E642015" w14:textId="77777777" w:rsidR="00D02FFA" w:rsidRPr="00DB00D2" w:rsidRDefault="00D02FFA" w:rsidP="00D02FFA">
            <w:pPr>
              <w:pStyle w:val="NoSpacing"/>
              <w:widowControl/>
              <w:rPr>
                <w:sz w:val="20"/>
                <w:szCs w:val="20"/>
              </w:rPr>
            </w:pPr>
            <w:r w:rsidRPr="00DB00D2">
              <w:rPr>
                <w:sz w:val="20"/>
                <w:szCs w:val="20"/>
              </w:rPr>
              <w:t xml:space="preserve">Uzturam izziņas II sadaļas 8. punktā ietverto Tieslietu ministrijas iebildumu, kurā lūgts izvērtēt lēmuma pieņemšanas termiņa skaitīšanu no brīža, kad persona iesniegusi visus dokumentus, un papildināt ar </w:t>
            </w:r>
            <w:proofErr w:type="spellStart"/>
            <w:r w:rsidRPr="00DB00D2">
              <w:rPr>
                <w:sz w:val="20"/>
                <w:szCs w:val="20"/>
              </w:rPr>
              <w:t>izvērtējumu</w:t>
            </w:r>
            <w:proofErr w:type="spellEnd"/>
            <w:r w:rsidRPr="00DB00D2">
              <w:rPr>
                <w:sz w:val="20"/>
                <w:szCs w:val="20"/>
              </w:rPr>
              <w:t xml:space="preserve"> anotāciju, jo tas pēc būtības nav ņemts vērā.</w:t>
            </w:r>
          </w:p>
          <w:p w14:paraId="522F920E" w14:textId="77777777" w:rsidR="00D02FFA" w:rsidRPr="00DB00D2" w:rsidRDefault="00D02FFA" w:rsidP="00D02FFA">
            <w:pPr>
              <w:pStyle w:val="NoSpacing"/>
              <w:widowControl/>
              <w:rPr>
                <w:sz w:val="20"/>
                <w:szCs w:val="20"/>
              </w:rPr>
            </w:pPr>
            <w:r w:rsidRPr="00DB00D2">
              <w:rPr>
                <w:sz w:val="20"/>
                <w:szCs w:val="20"/>
              </w:rPr>
              <w:lastRenderedPageBreak/>
              <w:t xml:space="preserve">Ņemot vērā, ka iebildums nav ņemts vērā, turklāt arī </w:t>
            </w:r>
            <w:proofErr w:type="spellStart"/>
            <w:r w:rsidRPr="00DB00D2">
              <w:rPr>
                <w:sz w:val="20"/>
                <w:szCs w:val="20"/>
              </w:rPr>
              <w:t>izvērtējums</w:t>
            </w:r>
            <w:proofErr w:type="spellEnd"/>
            <w:r w:rsidRPr="00DB00D2">
              <w:rPr>
                <w:sz w:val="20"/>
                <w:szCs w:val="20"/>
              </w:rPr>
              <w:t xml:space="preserve"> anotācijā nav ietverts, tikai skaidrots, ka regulējums tiek pārņemts no attiecīgās direktīvas, atkārtoti norādām, ka lēmuma pieņemšanas termiņa skaitīšana no brīža, kad persona iesniegusi visus dokumentus, var nesamērīgi pagarināt termiņu, kādā tiks pieņemts lēmums. Proti, formāli lēmuma pieņemšanai noteikts sešu mēnešu termiņš, taču faktiski nav zināms, cik garš tas būs, ja persona, iesniedzot iesniegumu, nebūs iesniegusi visus lēmuma pieņemšanai nepieciešamos dokumentus.</w:t>
            </w:r>
          </w:p>
          <w:p w14:paraId="740A5605" w14:textId="0603076B" w:rsidR="00A447BA" w:rsidRPr="00C56A30" w:rsidRDefault="00D02FFA" w:rsidP="00D02FFA">
            <w:pPr>
              <w:pStyle w:val="NoSpacing"/>
              <w:widowControl/>
              <w:rPr>
                <w:b/>
                <w:bCs/>
                <w:sz w:val="20"/>
                <w:szCs w:val="20"/>
              </w:rPr>
            </w:pPr>
            <w:r w:rsidRPr="00DB00D2">
              <w:rPr>
                <w:sz w:val="20"/>
                <w:szCs w:val="20"/>
              </w:rPr>
              <w:t xml:space="preserve">Ievērojot minēto, lūdzam atkārtoti izvērtēt šāda regulējuma samērīgumu, atbilstoši precizēt likumprojektā ietvertās normas, kā arī papildināt anotāciju ar attiecīgo </w:t>
            </w:r>
            <w:proofErr w:type="spellStart"/>
            <w:r w:rsidRPr="00DB00D2">
              <w:rPr>
                <w:sz w:val="20"/>
                <w:szCs w:val="20"/>
              </w:rPr>
              <w:t>izvērtējumu</w:t>
            </w:r>
            <w:proofErr w:type="spellEnd"/>
            <w:r w:rsidRPr="00DB00D2">
              <w:rPr>
                <w:sz w:val="20"/>
                <w:szCs w:val="20"/>
              </w:rPr>
              <w:t xml:space="preserve"> likumprojekta 12. panta pirmajai daļai, 14. panta trešajai daļai, 18. panta septītajai un astotajai daļai, kā arī 20. panta ceturtajai daļai.</w:t>
            </w:r>
          </w:p>
        </w:tc>
        <w:tc>
          <w:tcPr>
            <w:tcW w:w="848" w:type="pct"/>
            <w:gridSpan w:val="2"/>
            <w:tcBorders>
              <w:top w:val="single" w:sz="6" w:space="0" w:color="000000"/>
              <w:left w:val="single" w:sz="6" w:space="0" w:color="000000"/>
              <w:bottom w:val="single" w:sz="6" w:space="0" w:color="000000"/>
              <w:right w:val="single" w:sz="6" w:space="0" w:color="000000"/>
            </w:tcBorders>
          </w:tcPr>
          <w:p w14:paraId="37077C41" w14:textId="7505D2DF" w:rsidR="00D02FFA" w:rsidRDefault="00D02FFA" w:rsidP="00D02FFA">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lang w:eastAsia="lv-LV"/>
              </w:rPr>
              <w:lastRenderedPageBreak/>
              <w:t>Panākta vienošanās elektroniskajā saskaņošanā</w:t>
            </w:r>
            <w:r w:rsidRPr="005B5630">
              <w:rPr>
                <w:rFonts w:ascii="Times New Roman" w:eastAsia="Times New Roman" w:hAnsi="Times New Roman" w:cs="Times New Roman"/>
                <w:b/>
                <w:bCs/>
                <w:sz w:val="20"/>
                <w:szCs w:val="20"/>
                <w:lang w:eastAsia="lv-LV"/>
              </w:rPr>
              <w:t>.</w:t>
            </w:r>
            <w:r>
              <w:rPr>
                <w:rFonts w:ascii="Times New Roman" w:eastAsia="Times New Roman" w:hAnsi="Times New Roman" w:cs="Times New Roman"/>
                <w:b/>
                <w:bCs/>
                <w:sz w:val="20"/>
                <w:szCs w:val="20"/>
                <w:lang w:eastAsia="lv-LV"/>
              </w:rPr>
              <w:t xml:space="preserve"> Sniedzam skaidrojumu.</w:t>
            </w:r>
            <w:r w:rsidRPr="005B5630">
              <w:rPr>
                <w:rFonts w:ascii="Times New Roman" w:eastAsia="Times New Roman" w:hAnsi="Times New Roman" w:cs="Times New Roman"/>
                <w:b/>
                <w:bCs/>
                <w:sz w:val="20"/>
                <w:szCs w:val="20"/>
                <w:lang w:eastAsia="lv-LV"/>
              </w:rPr>
              <w:t xml:space="preserve"> </w:t>
            </w:r>
            <w:r w:rsidRPr="005B5630">
              <w:rPr>
                <w:rFonts w:ascii="Times New Roman" w:eastAsia="Times New Roman" w:hAnsi="Times New Roman" w:cs="Times New Roman"/>
                <w:sz w:val="20"/>
                <w:szCs w:val="20"/>
                <w:lang w:eastAsia="lv-LV"/>
              </w:rPr>
              <w:t>Precizēta likumprojekta 14.panta trešā daļa. Papildināts anotācijas I sadaļas 2.punkts</w:t>
            </w:r>
            <w:r>
              <w:rPr>
                <w:rFonts w:ascii="Times New Roman" w:eastAsia="Times New Roman" w:hAnsi="Times New Roman" w:cs="Times New Roman"/>
                <w:sz w:val="20"/>
                <w:szCs w:val="20"/>
                <w:lang w:eastAsia="lv-LV"/>
              </w:rPr>
              <w:t>.</w:t>
            </w:r>
          </w:p>
          <w:p w14:paraId="3536A267" w14:textId="77777777" w:rsidR="00D02FFA" w:rsidRDefault="00D02FFA" w:rsidP="00D02FFA">
            <w:pPr>
              <w:spacing w:after="0" w:line="240" w:lineRule="auto"/>
              <w:jc w:val="both"/>
              <w:rPr>
                <w:rFonts w:ascii="Times New Roman" w:eastAsia="Times New Roman" w:hAnsi="Times New Roman" w:cs="Times New Roman"/>
                <w:sz w:val="20"/>
                <w:szCs w:val="20"/>
                <w:lang w:eastAsia="lv-LV"/>
              </w:rPr>
            </w:pPr>
          </w:p>
          <w:p w14:paraId="0C012CA0" w14:textId="77777777" w:rsidR="00D02FFA" w:rsidRPr="00347D57" w:rsidRDefault="00D02FFA" w:rsidP="00D02FFA">
            <w:pPr>
              <w:spacing w:after="0" w:line="240" w:lineRule="auto"/>
              <w:jc w:val="both"/>
              <w:rPr>
                <w:rFonts w:ascii="Times New Roman" w:eastAsia="Times New Roman" w:hAnsi="Times New Roman" w:cs="Times New Roman"/>
                <w:i/>
                <w:iCs/>
                <w:sz w:val="20"/>
                <w:szCs w:val="20"/>
                <w:lang w:eastAsia="lv-LV"/>
              </w:rPr>
            </w:pPr>
            <w:r w:rsidRPr="00347D57">
              <w:rPr>
                <w:rFonts w:ascii="Times New Roman" w:eastAsia="Times New Roman" w:hAnsi="Times New Roman" w:cs="Times New Roman"/>
                <w:sz w:val="20"/>
                <w:szCs w:val="20"/>
                <w:lang w:eastAsia="lv-LV"/>
              </w:rPr>
              <w:t xml:space="preserve">Papildus uzsveram, ka, piemēram, Direktīvas Nr. 2014/65/ES 7.panta 3.punkts paredz sekojošo: </w:t>
            </w:r>
            <w:r w:rsidRPr="00347D57">
              <w:rPr>
                <w:rFonts w:ascii="Times New Roman" w:eastAsia="Times New Roman" w:hAnsi="Times New Roman" w:cs="Times New Roman"/>
                <w:i/>
                <w:iCs/>
                <w:sz w:val="20"/>
                <w:szCs w:val="20"/>
                <w:lang w:eastAsia="lv-LV"/>
              </w:rPr>
              <w:t>Atļaujas pieprasījuma iesniedzējs sešu mēnešu laikā pēc visu pieteikuma dokumentu iesniegšanas tiek informēts, vai atļauja ir vai nav piešķirta.</w:t>
            </w:r>
          </w:p>
          <w:p w14:paraId="4B930583" w14:textId="77777777" w:rsidR="00A447BA" w:rsidRDefault="00A447BA" w:rsidP="007C391A">
            <w:pPr>
              <w:pStyle w:val="naisc"/>
              <w:spacing w:before="0" w:after="0"/>
              <w:jc w:val="both"/>
              <w:rPr>
                <w:b/>
                <w:bCs/>
                <w:sz w:val="20"/>
                <w:szCs w:val="20"/>
              </w:rPr>
            </w:pPr>
          </w:p>
        </w:tc>
        <w:tc>
          <w:tcPr>
            <w:tcW w:w="936" w:type="pct"/>
            <w:tcBorders>
              <w:top w:val="single" w:sz="4" w:space="0" w:color="auto"/>
              <w:left w:val="single" w:sz="4" w:space="0" w:color="auto"/>
              <w:bottom w:val="single" w:sz="4" w:space="0" w:color="auto"/>
              <w:right w:val="single" w:sz="4" w:space="0" w:color="auto"/>
            </w:tcBorders>
          </w:tcPr>
          <w:p w14:paraId="3AB5B09D"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14.panta trešā daļa:</w:t>
            </w:r>
          </w:p>
          <w:p w14:paraId="67454CAD" w14:textId="77777777" w:rsidR="0093332F" w:rsidRPr="00C56A30" w:rsidRDefault="0093332F" w:rsidP="0093332F">
            <w:pPr>
              <w:pStyle w:val="NoSpacing"/>
              <w:widowControl/>
              <w:rPr>
                <w:rFonts w:eastAsiaTheme="minorHAnsi"/>
                <w:b/>
                <w:bCs/>
                <w:sz w:val="20"/>
                <w:szCs w:val="20"/>
              </w:rPr>
            </w:pPr>
            <w:r w:rsidRPr="00C56A30">
              <w:rPr>
                <w:rFonts w:eastAsiaTheme="minorHAnsi"/>
                <w:b/>
                <w:bCs/>
                <w:sz w:val="20"/>
                <w:szCs w:val="20"/>
              </w:rPr>
              <w:t xml:space="preserve">14. pants. Licencē noteikto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maiņa</w:t>
            </w:r>
          </w:p>
          <w:p w14:paraId="689B7A49" w14:textId="77777777" w:rsidR="0093332F" w:rsidRPr="00C56A30" w:rsidRDefault="0093332F" w:rsidP="0093332F">
            <w:pPr>
              <w:pStyle w:val="NoSpacing"/>
              <w:widowControl/>
              <w:rPr>
                <w:rFonts w:eastAsiaTheme="minorHAnsi"/>
                <w:bCs/>
                <w:sz w:val="20"/>
                <w:szCs w:val="20"/>
              </w:rPr>
            </w:pPr>
            <w:r w:rsidRPr="00C56A30">
              <w:rPr>
                <w:rFonts w:eastAsiaTheme="minorHAnsi"/>
                <w:bCs/>
                <w:sz w:val="20"/>
                <w:szCs w:val="20"/>
              </w:rPr>
              <w:t xml:space="preserve">(3) Komisija </w:t>
            </w:r>
            <w:r w:rsidRPr="00337194">
              <w:rPr>
                <w:rFonts w:eastAsiaTheme="minorHAnsi"/>
                <w:bCs/>
                <w:sz w:val="20"/>
                <w:szCs w:val="20"/>
                <w:u w:val="single"/>
              </w:rPr>
              <w:t>viena mēneša</w:t>
            </w:r>
            <w:r w:rsidRPr="00C56A30">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maiņu.</w:t>
            </w:r>
          </w:p>
          <w:p w14:paraId="2FAF42DF"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71A5449E"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6C4658E8" w14:textId="77777777" w:rsidR="0093332F" w:rsidRPr="00625C8A" w:rsidRDefault="0093332F" w:rsidP="0093332F">
            <w:pPr>
              <w:spacing w:after="0" w:line="240" w:lineRule="auto"/>
              <w:jc w:val="both"/>
              <w:rPr>
                <w:rFonts w:ascii="Times New Roman" w:eastAsia="Times New Roman" w:hAnsi="Times New Roman" w:cs="Times New Roman"/>
                <w:b/>
                <w:bCs/>
                <w:sz w:val="20"/>
                <w:szCs w:val="20"/>
                <w:lang w:eastAsia="lv-LV"/>
              </w:rPr>
            </w:pPr>
            <w:r w:rsidRPr="00625C8A">
              <w:rPr>
                <w:rFonts w:ascii="Times New Roman" w:eastAsia="Times New Roman" w:hAnsi="Times New Roman" w:cs="Times New Roman"/>
                <w:b/>
                <w:bCs/>
                <w:sz w:val="20"/>
                <w:szCs w:val="20"/>
                <w:lang w:eastAsia="lv-LV"/>
              </w:rPr>
              <w:t>Papildināts anotācijas I sadaļas 2.punkts(atkarībā no pantu numerācijas attiecīgajās vietās):</w:t>
            </w:r>
          </w:p>
          <w:p w14:paraId="61CDB1B1"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2B26C56B"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12.panta pirmās daļas termiņš atbilst Direktīvas Nr. 2014/65/ES 7.panta 3.punktā noteiktajam termiņam, proti, minētā direktīva nosaka sešu mēnešu termiņu.</w:t>
            </w:r>
          </w:p>
          <w:p w14:paraId="097065DA"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380016B7"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Likumprojekta 18.panta septītās daļas termiņš atbilst Direktīvas Nr. </w:t>
            </w:r>
            <w:r>
              <w:rPr>
                <w:rFonts w:ascii="Times New Roman" w:eastAsia="Times New Roman" w:hAnsi="Times New Roman" w:cs="Times New Roman"/>
                <w:sz w:val="20"/>
                <w:szCs w:val="20"/>
                <w:lang w:eastAsia="lv-LV"/>
              </w:rPr>
              <w:t>2014/65/ES 34.panta 4.punkta termiņam, proti, minētā direktīva norma paredz formulējumu “vismaz mēnesi [….]”. Tāpat, 18.panta astotās daļas termiņš atbilst Direktīvas Nr. 2014/65/ES 7.panta 3.punktā noteiktajam termiņam, proti, minētā direktīva nosaka šo sešu mēnešu termiņu.</w:t>
            </w:r>
          </w:p>
          <w:p w14:paraId="76743EFF"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64A1B8A4"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20.panta ceturtās daļas termiņš atbilst Direktīvas Nr. 2014/65/ES 41.panta 1.punktā noteiktajam termiņām, proti, tie ir seši mēneši.</w:t>
            </w:r>
          </w:p>
          <w:p w14:paraId="2B355D19"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394142AD"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27.panta pirmās daļas termiņš atbilst Direktīvas Nr. 2014/65/ES 12.panta 1.punkta otrajai rindkopai, proti, minētā direktīva nosaka “sešdesmit darbdienu” termiņu.</w:t>
            </w:r>
          </w:p>
          <w:p w14:paraId="17A7C256"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19D72EC4"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50.panta trešās daļas termiņš atbilst Direktīvas Nr. 2009/111/EK 1.panta(tiek grozīta Direktīva Nr. 2006/48/EK) 4.punkta “42.a panta 1.punkta “c” apakšpunkta trešajā rindkopā” noteiktajam termiņam, proti, tie ir divi mēneši.</w:t>
            </w:r>
          </w:p>
          <w:p w14:paraId="4EA931F2" w14:textId="77777777" w:rsidR="00A447BA" w:rsidRDefault="00A447BA" w:rsidP="00D92D2A">
            <w:pPr>
              <w:pStyle w:val="naisc"/>
              <w:spacing w:before="0" w:after="0"/>
              <w:jc w:val="both"/>
              <w:rPr>
                <w:sz w:val="20"/>
                <w:szCs w:val="20"/>
              </w:rPr>
            </w:pPr>
          </w:p>
          <w:p w14:paraId="290EEBDB"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67.panta piektās daļas termiņi atbilst Direktīvas Nr. 2019/878 1.panta(tiek grozīta Direktīva Nr. 2013/36/ES) 9.punkta “21.a panta 10.punktā” noteiktajiem termiņiem, proti, tie ir četri un seši mēneši.</w:t>
            </w:r>
          </w:p>
          <w:p w14:paraId="3C7AEE9A" w14:textId="77777777" w:rsidR="0093332F" w:rsidRDefault="0093332F" w:rsidP="0093332F">
            <w:pPr>
              <w:spacing w:after="0" w:line="240" w:lineRule="auto"/>
              <w:jc w:val="both"/>
              <w:rPr>
                <w:rFonts w:ascii="Times New Roman" w:eastAsia="Times New Roman" w:hAnsi="Times New Roman" w:cs="Times New Roman"/>
                <w:sz w:val="20"/>
                <w:szCs w:val="20"/>
                <w:lang w:eastAsia="lv-LV"/>
              </w:rPr>
            </w:pPr>
          </w:p>
          <w:p w14:paraId="62474AA1" w14:textId="0AE1A8F3" w:rsidR="0093332F" w:rsidRPr="006B17FE" w:rsidRDefault="0093332F" w:rsidP="0093332F">
            <w:pPr>
              <w:pStyle w:val="naisc"/>
              <w:spacing w:before="0" w:after="0"/>
              <w:jc w:val="both"/>
              <w:rPr>
                <w:sz w:val="20"/>
                <w:szCs w:val="20"/>
              </w:rPr>
            </w:pPr>
            <w:r w:rsidRPr="00712A64">
              <w:rPr>
                <w:sz w:val="20"/>
                <w:szCs w:val="20"/>
              </w:rPr>
              <w:t xml:space="preserve">Regulējums attiecībā uz likumprojekta 12.panta pirmo daļu, 14.panta trešo daļu attiecībā lēmuma pieņemšanu pēc visu lēmuma pieņemšanai nepieciešamo šajā likumā noteikto un atbilstoši normatīvo </w:t>
            </w:r>
            <w:r w:rsidRPr="00712A64">
              <w:rPr>
                <w:sz w:val="20"/>
                <w:szCs w:val="20"/>
              </w:rPr>
              <w:lastRenderedPageBreak/>
              <w:t>aktu prasībām sagatavoto un noformēto dokumentu saņemšanas  izriet no Direktīvas Nr. 2014/65/ES 7.panta 3.punkta. Identiska prasība likumprojektā ietverta 18.panta septītajā un astotajā daļa, kura izriet no Direktīvas Nr. 2014/65/ES 34. un 35.panta. Likumprojekta 20.panta ceturtās daļas regulējums izriet no Direktīvas Nr. 2014/65/ES 41.panta 1.punkta. Likumprojekta 67.panta piektās daļas regulējums izriet no Direktīvas Nr. 2019/878 1.panta 9.punkts(21.a 10.punkts).</w:t>
            </w:r>
          </w:p>
        </w:tc>
      </w:tr>
      <w:tr w:rsidR="00D92D2A" w:rsidRPr="00184920" w14:paraId="57214CC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AF737AA" w14:textId="4A45D023" w:rsidR="00D92D2A" w:rsidRPr="00184920"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9.</w:t>
            </w:r>
          </w:p>
        </w:tc>
        <w:tc>
          <w:tcPr>
            <w:tcW w:w="692" w:type="pct"/>
            <w:tcBorders>
              <w:top w:val="single" w:sz="6" w:space="0" w:color="000000"/>
              <w:left w:val="single" w:sz="6" w:space="0" w:color="000000"/>
              <w:bottom w:val="single" w:sz="6" w:space="0" w:color="000000"/>
              <w:right w:val="single" w:sz="6" w:space="0" w:color="000000"/>
            </w:tcBorders>
          </w:tcPr>
          <w:p w14:paraId="0117E42B" w14:textId="77777777" w:rsidR="00D92D2A" w:rsidRPr="00C56A30" w:rsidRDefault="00D92D2A" w:rsidP="00D92D2A">
            <w:pPr>
              <w:pStyle w:val="NoSpacing"/>
              <w:widowControl/>
              <w:rPr>
                <w:rFonts w:eastAsiaTheme="minorHAnsi"/>
                <w:b/>
                <w:bCs/>
                <w:sz w:val="20"/>
                <w:szCs w:val="20"/>
              </w:rPr>
            </w:pPr>
            <w:r w:rsidRPr="00C56A30">
              <w:rPr>
                <w:rFonts w:eastAsiaTheme="minorHAnsi"/>
                <w:b/>
                <w:bCs/>
                <w:sz w:val="20"/>
                <w:szCs w:val="20"/>
              </w:rPr>
              <w:t>12.pants. Licences piešķiršanas kārtība</w:t>
            </w:r>
          </w:p>
          <w:p w14:paraId="0C98FD25"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Komisija neizsniedz licenci ieguldījumu brokeru sabiedrībai, ja:</w:t>
            </w:r>
          </w:p>
          <w:p w14:paraId="291F65E7" w14:textId="64343EC5" w:rsidR="00D92D2A" w:rsidRPr="00C56A30" w:rsidRDefault="00D92D2A" w:rsidP="00D92D2A">
            <w:pPr>
              <w:spacing w:after="0" w:line="240" w:lineRule="auto"/>
              <w:jc w:val="both"/>
              <w:rPr>
                <w:rFonts w:ascii="Times New Roman" w:eastAsia="Times New Roman" w:hAnsi="Times New Roman" w:cs="Times New Roman"/>
                <w:sz w:val="20"/>
                <w:lang w:eastAsia="lv-LV"/>
              </w:rPr>
            </w:pPr>
            <w:r w:rsidRPr="00C56A30">
              <w:rPr>
                <w:rFonts w:ascii="Times New Roman" w:hAnsi="Times New Roman" w:cs="Times New Roman"/>
                <w:bCs/>
                <w:sz w:val="20"/>
                <w:szCs w:val="20"/>
              </w:rPr>
              <w:t xml:space="preserve">6) nav iespējams pārliecināties par to personu identitāti, reputāciju vai brīvā kapitāla pietiekamību, kurām ieguldījumu brokeru sabiedrībā ir būtiska līdzdalība, vai ja Komisija konstatē, ka finanšu līdzekļi, kurus iegulda ieguldījumu brokeru sabiedrības kapitālā, iegūti </w:t>
            </w:r>
            <w:r w:rsidRPr="00C56A30">
              <w:rPr>
                <w:rFonts w:ascii="Times New Roman" w:hAnsi="Times New Roman" w:cs="Times New Roman"/>
                <w:bCs/>
                <w:sz w:val="20"/>
                <w:szCs w:val="20"/>
                <w:u w:val="single"/>
              </w:rPr>
              <w:t>neparastos vai aizdomīgos darījumos</w:t>
            </w:r>
            <w:r w:rsidRPr="00C56A30">
              <w:rPr>
                <w:rFonts w:ascii="Times New Roman" w:hAnsi="Times New Roman" w:cs="Times New Roman"/>
                <w:bCs/>
                <w:sz w:val="20"/>
                <w:szCs w:val="20"/>
              </w:rPr>
              <w:t xml:space="preserve"> un vai nav dokumentāri pierādīta šo finanšu līdzekļu tiesiska ieguve;</w:t>
            </w:r>
          </w:p>
        </w:tc>
        <w:tc>
          <w:tcPr>
            <w:tcW w:w="1309" w:type="pct"/>
            <w:tcBorders>
              <w:top w:val="single" w:sz="6" w:space="0" w:color="000000"/>
              <w:left w:val="single" w:sz="6" w:space="0" w:color="000000"/>
              <w:bottom w:val="single" w:sz="6" w:space="0" w:color="000000"/>
              <w:right w:val="single" w:sz="6" w:space="0" w:color="000000"/>
            </w:tcBorders>
          </w:tcPr>
          <w:p w14:paraId="34950D2F" w14:textId="3C40C61A" w:rsidR="00D92D2A" w:rsidRPr="00C56A3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Ar grozījumiem Noziedzīgi iegūtu līdzekļu legalizācijas un terorisma un </w:t>
            </w:r>
            <w:proofErr w:type="spellStart"/>
            <w:r w:rsidRPr="00C56A30">
              <w:rPr>
                <w:rFonts w:ascii="Times New Roman" w:hAnsi="Times New Roman" w:cs="Times New Roman"/>
                <w:sz w:val="20"/>
                <w:szCs w:val="20"/>
              </w:rPr>
              <w:t>proliferācijas</w:t>
            </w:r>
            <w:proofErr w:type="spellEnd"/>
            <w:r w:rsidRPr="00C56A30">
              <w:rPr>
                <w:rFonts w:ascii="Times New Roman" w:hAnsi="Times New Roman" w:cs="Times New Roman"/>
                <w:sz w:val="20"/>
                <w:szCs w:val="20"/>
              </w:rPr>
              <w:t xml:space="preserve"> finansēšanas novēršanas likumā, kas stājās spēkā 2019. gada 29. jūnijā, no minētā likuma izslēgts neparasta darījuma jēdziens, tāpēc lūdzam neparastus darījumus izslēgt no likumprojekta 12. panta otrās daļas 6. punkta.</w:t>
            </w:r>
          </w:p>
        </w:tc>
        <w:tc>
          <w:tcPr>
            <w:tcW w:w="848" w:type="pct"/>
            <w:gridSpan w:val="2"/>
            <w:tcBorders>
              <w:top w:val="single" w:sz="6" w:space="0" w:color="000000"/>
              <w:left w:val="single" w:sz="6" w:space="0" w:color="000000"/>
              <w:bottom w:val="single" w:sz="6" w:space="0" w:color="000000"/>
              <w:right w:val="single" w:sz="6" w:space="0" w:color="000000"/>
            </w:tcBorders>
          </w:tcPr>
          <w:p w14:paraId="55279BBD" w14:textId="69B8115B" w:rsidR="00D92D2A" w:rsidRPr="00387E81" w:rsidRDefault="00D92D2A" w:rsidP="00D92D2A">
            <w:pPr>
              <w:spacing w:after="0" w:line="240" w:lineRule="auto"/>
              <w:jc w:val="both"/>
              <w:rPr>
                <w:rFonts w:ascii="Times New Roman" w:eastAsia="Times New Roman" w:hAnsi="Times New Roman" w:cs="Times New Roman"/>
                <w:b/>
                <w:bCs/>
                <w:sz w:val="20"/>
                <w:szCs w:val="20"/>
                <w:lang w:eastAsia="lv-LV"/>
              </w:rPr>
            </w:pPr>
            <w:r w:rsidRPr="00387E81">
              <w:rPr>
                <w:rFonts w:ascii="Times New Roman" w:eastAsia="Times New Roman" w:hAnsi="Times New Roman" w:cs="Times New Roman"/>
                <w:b/>
                <w:bCs/>
                <w:sz w:val="20"/>
                <w:szCs w:val="20"/>
                <w:lang w:eastAsia="lv-LV"/>
              </w:rPr>
              <w:t xml:space="preserve">Iebildums ņemts vērā. </w:t>
            </w:r>
            <w:r w:rsidRPr="00387E81">
              <w:rPr>
                <w:rFonts w:ascii="Times New Roman" w:eastAsia="Times New Roman" w:hAnsi="Times New Roman" w:cs="Times New Roman"/>
                <w:sz w:val="20"/>
                <w:szCs w:val="20"/>
                <w:lang w:eastAsia="lv-LV"/>
              </w:rPr>
              <w:t>Likumprojekta 12.panta otrās daļas 6.punkts precizēts.</w:t>
            </w:r>
          </w:p>
        </w:tc>
        <w:tc>
          <w:tcPr>
            <w:tcW w:w="936" w:type="pct"/>
            <w:tcBorders>
              <w:top w:val="single" w:sz="4" w:space="0" w:color="auto"/>
              <w:left w:val="single" w:sz="4" w:space="0" w:color="auto"/>
              <w:bottom w:val="single" w:sz="4" w:space="0" w:color="auto"/>
              <w:right w:val="single" w:sz="4" w:space="0" w:color="auto"/>
            </w:tcBorders>
          </w:tcPr>
          <w:p w14:paraId="6BAFBC06" w14:textId="77777777" w:rsidR="00D92D2A" w:rsidRDefault="00D92D2A" w:rsidP="00D92D2A">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12.panta otrās daļas 6.punkts:</w:t>
            </w:r>
          </w:p>
          <w:p w14:paraId="6EF00EEF" w14:textId="77777777" w:rsidR="00D92D2A" w:rsidRPr="00C56A30" w:rsidRDefault="00D92D2A" w:rsidP="00D92D2A">
            <w:pPr>
              <w:pStyle w:val="NoSpacing"/>
              <w:widowControl/>
              <w:rPr>
                <w:rFonts w:eastAsiaTheme="minorHAnsi"/>
                <w:b/>
                <w:bCs/>
                <w:sz w:val="20"/>
                <w:szCs w:val="20"/>
              </w:rPr>
            </w:pPr>
            <w:r w:rsidRPr="00C56A30">
              <w:rPr>
                <w:rFonts w:eastAsiaTheme="minorHAnsi"/>
                <w:b/>
                <w:bCs/>
                <w:sz w:val="20"/>
                <w:szCs w:val="20"/>
              </w:rPr>
              <w:t>12.pants. Licences piešķiršanas kārtība</w:t>
            </w:r>
          </w:p>
          <w:p w14:paraId="0A79C8AF" w14:textId="77777777" w:rsidR="00D92D2A" w:rsidRPr="00C56A30" w:rsidRDefault="00D92D2A" w:rsidP="00D92D2A">
            <w:pPr>
              <w:pStyle w:val="NoSpacing"/>
              <w:widowControl/>
              <w:rPr>
                <w:rFonts w:eastAsiaTheme="minorHAnsi"/>
                <w:bCs/>
                <w:sz w:val="20"/>
                <w:szCs w:val="20"/>
              </w:rPr>
            </w:pPr>
            <w:r w:rsidRPr="00C56A30">
              <w:rPr>
                <w:rFonts w:eastAsiaTheme="minorHAnsi"/>
                <w:bCs/>
                <w:sz w:val="20"/>
                <w:szCs w:val="20"/>
              </w:rPr>
              <w:t>(2) Komisija neizsniedz licenci ieguldījumu brokeru sabiedrībai, ja:</w:t>
            </w:r>
          </w:p>
          <w:p w14:paraId="6B8E8F6E" w14:textId="36449ABA"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Cs/>
                <w:sz w:val="20"/>
                <w:szCs w:val="20"/>
              </w:rPr>
              <w:t xml:space="preserve">6) nav iespējams pārliecināties par to personu identitāti, reputāciju vai brīvā kapitāla pietiekamību, kurām ieguldījumu brokeru sabiedrībā ir būtiska līdzdalība, vai ja Komisija konstatē, ka finanšu līdzekļi, kurus iegulda ieguldījumu brokeru sabiedrības kapitālā, </w:t>
            </w:r>
            <w:bookmarkStart w:id="7" w:name="_Hlk69826534"/>
            <w:r w:rsidRPr="00C56A30">
              <w:rPr>
                <w:rFonts w:ascii="Times New Roman" w:hAnsi="Times New Roman" w:cs="Times New Roman"/>
                <w:bCs/>
                <w:sz w:val="20"/>
                <w:szCs w:val="20"/>
              </w:rPr>
              <w:t xml:space="preserve">iegūti </w:t>
            </w:r>
            <w:r w:rsidRPr="00C56A30">
              <w:rPr>
                <w:rFonts w:ascii="Times New Roman" w:hAnsi="Times New Roman" w:cs="Times New Roman"/>
                <w:bCs/>
                <w:sz w:val="20"/>
                <w:szCs w:val="20"/>
                <w:u w:val="single"/>
              </w:rPr>
              <w:t>aizdomīgos darījumos</w:t>
            </w:r>
            <w:r w:rsidRPr="00C56A30">
              <w:rPr>
                <w:rFonts w:ascii="Times New Roman" w:hAnsi="Times New Roman" w:cs="Times New Roman"/>
                <w:bCs/>
                <w:sz w:val="20"/>
                <w:szCs w:val="20"/>
              </w:rPr>
              <w:t xml:space="preserve">  vai dokumentāri</w:t>
            </w:r>
            <w:r>
              <w:rPr>
                <w:rFonts w:ascii="Times New Roman" w:hAnsi="Times New Roman" w:cs="Times New Roman"/>
                <w:bCs/>
                <w:sz w:val="20"/>
                <w:szCs w:val="20"/>
              </w:rPr>
              <w:t xml:space="preserve"> nav</w:t>
            </w:r>
            <w:r w:rsidRPr="00C56A30">
              <w:rPr>
                <w:rFonts w:ascii="Times New Roman" w:hAnsi="Times New Roman" w:cs="Times New Roman"/>
                <w:bCs/>
                <w:sz w:val="20"/>
                <w:szCs w:val="20"/>
              </w:rPr>
              <w:t xml:space="preserve"> pierādīta šo finanšu līdzekļu tiesiska ieguve</w:t>
            </w:r>
            <w:bookmarkEnd w:id="7"/>
            <w:r w:rsidRPr="00C56A30">
              <w:rPr>
                <w:rFonts w:ascii="Times New Roman" w:hAnsi="Times New Roman" w:cs="Times New Roman"/>
                <w:bCs/>
                <w:sz w:val="20"/>
                <w:szCs w:val="20"/>
              </w:rPr>
              <w:t>;</w:t>
            </w:r>
          </w:p>
        </w:tc>
      </w:tr>
      <w:tr w:rsidR="00D92D2A" w:rsidRPr="00184920" w14:paraId="514CE65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38B0B4B" w14:textId="1C2EAC86" w:rsidR="00D92D2A" w:rsidRPr="00184920"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10.</w:t>
            </w:r>
          </w:p>
        </w:tc>
        <w:tc>
          <w:tcPr>
            <w:tcW w:w="692" w:type="pct"/>
            <w:tcBorders>
              <w:top w:val="single" w:sz="6" w:space="0" w:color="000000"/>
              <w:left w:val="single" w:sz="6" w:space="0" w:color="000000"/>
              <w:bottom w:val="single" w:sz="6" w:space="0" w:color="000000"/>
              <w:right w:val="single" w:sz="6" w:space="0" w:color="000000"/>
            </w:tcBorders>
          </w:tcPr>
          <w:p w14:paraId="261CBED1" w14:textId="77777777" w:rsidR="00D92D2A" w:rsidRPr="002462A5" w:rsidRDefault="00D92D2A" w:rsidP="00D92D2A">
            <w:pPr>
              <w:pStyle w:val="NoSpacing"/>
              <w:widowControl/>
              <w:rPr>
                <w:rFonts w:eastAsiaTheme="minorHAnsi"/>
                <w:b/>
                <w:bCs/>
                <w:sz w:val="20"/>
                <w:szCs w:val="20"/>
              </w:rPr>
            </w:pPr>
            <w:r w:rsidRPr="002462A5">
              <w:rPr>
                <w:rFonts w:eastAsiaTheme="minorHAnsi"/>
                <w:b/>
                <w:bCs/>
                <w:sz w:val="20"/>
                <w:szCs w:val="20"/>
              </w:rPr>
              <w:t>13. pants. Paziņojums par izmaiņām pēc licences saņemšanas</w:t>
            </w:r>
          </w:p>
          <w:p w14:paraId="783CFB08" w14:textId="6C24C3C4" w:rsidR="00D92D2A" w:rsidRPr="00C56A30" w:rsidRDefault="00D92D2A" w:rsidP="00D92D2A">
            <w:pPr>
              <w:pStyle w:val="NoSpacing"/>
              <w:widowControl/>
              <w:rPr>
                <w:rFonts w:eastAsia="Times New Roman"/>
                <w:color w:val="414142"/>
                <w:sz w:val="20"/>
                <w:szCs w:val="20"/>
                <w:lang w:eastAsia="lv-LV"/>
              </w:rPr>
            </w:pPr>
            <w:r w:rsidRPr="002462A5">
              <w:rPr>
                <w:rFonts w:eastAsiaTheme="minorHAnsi"/>
                <w:bCs/>
                <w:sz w:val="20"/>
                <w:szCs w:val="20"/>
              </w:rPr>
              <w:t xml:space="preserve">(2) Ieguldījumu brokeru sabiedrība paziņo Komisijai par visām </w:t>
            </w:r>
            <w:r w:rsidRPr="002462A5">
              <w:rPr>
                <w:rFonts w:eastAsiaTheme="minorHAnsi"/>
                <w:bCs/>
                <w:sz w:val="20"/>
                <w:szCs w:val="20"/>
                <w:u w:val="single"/>
              </w:rPr>
              <w:t>būtiskajām izmaiņām</w:t>
            </w:r>
            <w:r w:rsidRPr="002462A5">
              <w:rPr>
                <w:rFonts w:eastAsiaTheme="minorHAnsi"/>
                <w:bCs/>
                <w:sz w:val="20"/>
                <w:szCs w:val="20"/>
              </w:rPr>
              <w:t xml:space="preserve">, kas saistītas ar tai izsniegtajā licencē noteikto ieguldījumu pakalpojumu un </w:t>
            </w:r>
            <w:r w:rsidRPr="002462A5">
              <w:rPr>
                <w:rFonts w:eastAsiaTheme="minorHAnsi"/>
                <w:bCs/>
                <w:sz w:val="20"/>
                <w:szCs w:val="20"/>
              </w:rPr>
              <w:lastRenderedPageBreak/>
              <w:t xml:space="preserve">ieguldījumu </w:t>
            </w:r>
            <w:proofErr w:type="spellStart"/>
            <w:r w:rsidRPr="002462A5">
              <w:rPr>
                <w:rFonts w:eastAsiaTheme="minorHAnsi"/>
                <w:bCs/>
                <w:sz w:val="20"/>
                <w:szCs w:val="20"/>
              </w:rPr>
              <w:t>blakuspakalpojumu</w:t>
            </w:r>
            <w:proofErr w:type="spellEnd"/>
            <w:r w:rsidRPr="002462A5">
              <w:rPr>
                <w:rFonts w:eastAsiaTheme="minorHAnsi"/>
                <w:bCs/>
                <w:sz w:val="20"/>
                <w:szCs w:val="20"/>
              </w:rPr>
              <w:t xml:space="preserve"> sniegšanu. </w:t>
            </w:r>
          </w:p>
        </w:tc>
        <w:tc>
          <w:tcPr>
            <w:tcW w:w="1309" w:type="pct"/>
            <w:tcBorders>
              <w:top w:val="single" w:sz="6" w:space="0" w:color="000000"/>
              <w:left w:val="single" w:sz="6" w:space="0" w:color="000000"/>
              <w:bottom w:val="single" w:sz="6" w:space="0" w:color="000000"/>
              <w:right w:val="single" w:sz="6" w:space="0" w:color="000000"/>
            </w:tcBorders>
          </w:tcPr>
          <w:p w14:paraId="56776A5A" w14:textId="418D4C99" w:rsidR="00D92D2A" w:rsidRPr="00C56A3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lastRenderedPageBreak/>
              <w:t>Iebildums.</w:t>
            </w:r>
            <w:r w:rsidRPr="00C56A30">
              <w:rPr>
                <w:rFonts w:ascii="Times New Roman" w:hAnsi="Times New Roman" w:cs="Times New Roman"/>
                <w:sz w:val="20"/>
                <w:szCs w:val="20"/>
              </w:rPr>
              <w:t xml:space="preserve"> Likumprojekta 13. panta otrā daļa noteic, ka ieguldījumu brokeru sabiedrība paziņo Komisijai par visām būtiskajām izmaiņām, kas saistītas ar tai izsniegtajā licencē noteikto ieguldījumu pakalpojumu un ieguldījumu </w:t>
            </w:r>
            <w:proofErr w:type="spellStart"/>
            <w:r w:rsidRPr="00C56A30">
              <w:rPr>
                <w:rFonts w:ascii="Times New Roman" w:hAnsi="Times New Roman" w:cs="Times New Roman"/>
                <w:sz w:val="20"/>
                <w:szCs w:val="20"/>
              </w:rPr>
              <w:t>blakuspakalpojumu</w:t>
            </w:r>
            <w:proofErr w:type="spellEnd"/>
            <w:r w:rsidRPr="00C56A30">
              <w:rPr>
                <w:rFonts w:ascii="Times New Roman" w:hAnsi="Times New Roman" w:cs="Times New Roman"/>
                <w:sz w:val="20"/>
                <w:szCs w:val="20"/>
              </w:rPr>
              <w:t xml:space="preserve"> sniegšanu. Lūdzam anotācijā skaidrot, kuras izmaiņas būs atzīstamas par būtiskām.</w:t>
            </w:r>
          </w:p>
        </w:tc>
        <w:tc>
          <w:tcPr>
            <w:tcW w:w="848" w:type="pct"/>
            <w:gridSpan w:val="2"/>
            <w:tcBorders>
              <w:top w:val="single" w:sz="6" w:space="0" w:color="000000"/>
              <w:left w:val="single" w:sz="6" w:space="0" w:color="000000"/>
              <w:bottom w:val="single" w:sz="6" w:space="0" w:color="000000"/>
              <w:right w:val="single" w:sz="6" w:space="0" w:color="000000"/>
            </w:tcBorders>
          </w:tcPr>
          <w:p w14:paraId="3E37CFB1" w14:textId="222E17EA" w:rsidR="00D92D2A" w:rsidRPr="00C33E32" w:rsidRDefault="00D92D2A" w:rsidP="00D92D2A">
            <w:pPr>
              <w:spacing w:after="0" w:line="240" w:lineRule="auto"/>
              <w:jc w:val="both"/>
              <w:rPr>
                <w:rFonts w:ascii="Times New Roman" w:eastAsia="Times New Roman" w:hAnsi="Times New Roman" w:cs="Times New Roman"/>
                <w:b/>
                <w:bCs/>
                <w:sz w:val="20"/>
                <w:szCs w:val="20"/>
                <w:lang w:eastAsia="lv-LV"/>
              </w:rPr>
            </w:pPr>
            <w:r w:rsidRPr="00C33E32">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sidRPr="00B41CE4">
              <w:rPr>
                <w:rFonts w:ascii="Times New Roman" w:eastAsia="Times New Roman" w:hAnsi="Times New Roman" w:cs="Times New Roman"/>
                <w:sz w:val="20"/>
                <w:szCs w:val="20"/>
                <w:lang w:eastAsia="lv-LV"/>
              </w:rPr>
              <w:t>Papildināts anotācijas I sadaļas 2.punkts.</w:t>
            </w:r>
          </w:p>
        </w:tc>
        <w:tc>
          <w:tcPr>
            <w:tcW w:w="936" w:type="pct"/>
            <w:tcBorders>
              <w:top w:val="single" w:sz="4" w:space="0" w:color="auto"/>
              <w:left w:val="single" w:sz="4" w:space="0" w:color="auto"/>
              <w:bottom w:val="single" w:sz="4" w:space="0" w:color="auto"/>
              <w:right w:val="single" w:sz="4" w:space="0" w:color="auto"/>
            </w:tcBorders>
          </w:tcPr>
          <w:p w14:paraId="0E733545" w14:textId="77777777" w:rsidR="00D92D2A" w:rsidRPr="00524EA4" w:rsidRDefault="00D92D2A" w:rsidP="00D92D2A">
            <w:pPr>
              <w:spacing w:after="0" w:line="240" w:lineRule="auto"/>
              <w:jc w:val="both"/>
              <w:rPr>
                <w:rFonts w:ascii="Times New Roman" w:hAnsi="Times New Roman" w:cs="Times New Roman"/>
                <w:sz w:val="20"/>
                <w:szCs w:val="20"/>
              </w:rPr>
            </w:pPr>
            <w:r w:rsidRPr="00524EA4">
              <w:rPr>
                <w:rFonts w:ascii="Times New Roman" w:hAnsi="Times New Roman" w:cs="Times New Roman"/>
                <w:sz w:val="20"/>
                <w:szCs w:val="20"/>
              </w:rPr>
              <w:t>Papildināts anotācijas I sadaļas 2.punkts:</w:t>
            </w:r>
          </w:p>
          <w:p w14:paraId="0BBAA0A5" w14:textId="77777777" w:rsidR="00D92D2A" w:rsidRPr="00524EA4" w:rsidRDefault="00D92D2A" w:rsidP="00D92D2A">
            <w:pPr>
              <w:spacing w:after="0" w:line="240" w:lineRule="auto"/>
              <w:jc w:val="both"/>
              <w:rPr>
                <w:rFonts w:ascii="Times New Roman" w:hAnsi="Times New Roman" w:cs="Times New Roman"/>
                <w:sz w:val="20"/>
                <w:szCs w:val="20"/>
              </w:rPr>
            </w:pPr>
            <w:r w:rsidRPr="00524EA4">
              <w:rPr>
                <w:rFonts w:ascii="Times New Roman" w:hAnsi="Times New Roman" w:cs="Times New Roman"/>
                <w:sz w:val="20"/>
                <w:szCs w:val="20"/>
              </w:rPr>
              <w:t>“</w:t>
            </w:r>
            <w:r w:rsidRPr="004B17C5">
              <w:rPr>
                <w:rFonts w:ascii="Times New Roman" w:hAnsi="Times New Roman" w:cs="Times New Roman"/>
                <w:sz w:val="20"/>
                <w:szCs w:val="20"/>
              </w:rPr>
              <w:t>Likumprojekta 13.panta otrajā daļa atbilst Direktīvas Nr. 2014/65/ES 21.panta 2.punkta pirmās rindkopas prasībām un formulējums “būtiskās izmaiņas” ir jāsaprot kā tādas, kuru rezultātā tiek veiktas izmaiņas ieguldījumu brokeru sabiedrība iekšējos procesos un dokumentos.”.</w:t>
            </w:r>
          </w:p>
          <w:p w14:paraId="7E27A0B3" w14:textId="11B1A28D"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p>
        </w:tc>
      </w:tr>
      <w:tr w:rsidR="00D92D2A" w:rsidRPr="00184920" w14:paraId="1A12E15A"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E2D866E" w14:textId="39345CE5" w:rsidR="00D92D2A" w:rsidRPr="00184920" w:rsidRDefault="00D92D2A" w:rsidP="00D92D2A">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11.</w:t>
            </w:r>
          </w:p>
        </w:tc>
        <w:tc>
          <w:tcPr>
            <w:tcW w:w="692" w:type="pct"/>
            <w:tcBorders>
              <w:top w:val="single" w:sz="6" w:space="0" w:color="000000"/>
              <w:left w:val="single" w:sz="6" w:space="0" w:color="000000"/>
              <w:bottom w:val="single" w:sz="6" w:space="0" w:color="000000"/>
              <w:right w:val="single" w:sz="6" w:space="0" w:color="000000"/>
            </w:tcBorders>
          </w:tcPr>
          <w:p w14:paraId="2156BD99" w14:textId="77777777" w:rsidR="00D92D2A" w:rsidRPr="00EE0709" w:rsidRDefault="00D92D2A" w:rsidP="00D92D2A">
            <w:pPr>
              <w:pStyle w:val="NoSpacing"/>
              <w:widowControl/>
              <w:rPr>
                <w:rFonts w:eastAsiaTheme="minorHAnsi"/>
                <w:b/>
                <w:bCs/>
                <w:sz w:val="20"/>
                <w:szCs w:val="20"/>
              </w:rPr>
            </w:pPr>
            <w:r w:rsidRPr="00EE0709">
              <w:rPr>
                <w:rFonts w:eastAsiaTheme="minorHAnsi"/>
                <w:b/>
                <w:bCs/>
                <w:sz w:val="20"/>
                <w:szCs w:val="20"/>
              </w:rPr>
              <w:t xml:space="preserve">14. pants. Licencē noteikto ieguldījumu pakalpojumu un ieguldījumu </w:t>
            </w:r>
            <w:proofErr w:type="spellStart"/>
            <w:r w:rsidRPr="00EE0709">
              <w:rPr>
                <w:rFonts w:eastAsiaTheme="minorHAnsi"/>
                <w:b/>
                <w:bCs/>
                <w:sz w:val="20"/>
                <w:szCs w:val="20"/>
              </w:rPr>
              <w:t>blakuspakalpojumu</w:t>
            </w:r>
            <w:proofErr w:type="spellEnd"/>
            <w:r w:rsidRPr="00EE0709">
              <w:rPr>
                <w:rFonts w:eastAsiaTheme="minorHAnsi"/>
                <w:b/>
                <w:bCs/>
                <w:sz w:val="20"/>
                <w:szCs w:val="20"/>
              </w:rPr>
              <w:t xml:space="preserve"> maiņa</w:t>
            </w:r>
          </w:p>
          <w:p w14:paraId="17B4664F" w14:textId="77777777" w:rsidR="00D92D2A" w:rsidRPr="00EE0709" w:rsidRDefault="00D92D2A" w:rsidP="00D92D2A">
            <w:pPr>
              <w:pStyle w:val="NoSpacing"/>
              <w:widowControl/>
              <w:rPr>
                <w:rFonts w:eastAsiaTheme="minorHAnsi"/>
                <w:bCs/>
                <w:sz w:val="20"/>
                <w:szCs w:val="20"/>
              </w:rPr>
            </w:pPr>
            <w:r w:rsidRPr="00EE0709">
              <w:rPr>
                <w:rFonts w:eastAsiaTheme="minorHAnsi"/>
                <w:bCs/>
                <w:sz w:val="20"/>
                <w:szCs w:val="20"/>
              </w:rPr>
              <w:t xml:space="preserve">(3) Komisija </w:t>
            </w:r>
            <w:r w:rsidRPr="00EE0709">
              <w:rPr>
                <w:rFonts w:eastAsiaTheme="minorHAnsi"/>
                <w:bCs/>
                <w:sz w:val="20"/>
                <w:szCs w:val="20"/>
                <w:u w:val="single"/>
              </w:rPr>
              <w:t>30 dienu</w:t>
            </w:r>
            <w:r w:rsidRPr="00EE0709">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EE0709">
              <w:rPr>
                <w:rFonts w:eastAsiaTheme="minorHAnsi"/>
                <w:bCs/>
                <w:sz w:val="20"/>
                <w:szCs w:val="20"/>
              </w:rPr>
              <w:t>blakuspakalpojumu</w:t>
            </w:r>
            <w:proofErr w:type="spellEnd"/>
            <w:r w:rsidRPr="00EE0709">
              <w:rPr>
                <w:rFonts w:eastAsiaTheme="minorHAnsi"/>
                <w:bCs/>
                <w:sz w:val="20"/>
                <w:szCs w:val="20"/>
              </w:rPr>
              <w:t xml:space="preserve"> maiņu.</w:t>
            </w:r>
          </w:p>
          <w:p w14:paraId="038ACFE1" w14:textId="7EF2B66D" w:rsidR="00D92D2A" w:rsidRPr="00C56A30" w:rsidRDefault="00D92D2A" w:rsidP="00D92D2A">
            <w:pPr>
              <w:pStyle w:val="NoSpacing"/>
              <w:widowControl/>
              <w:rPr>
                <w:rFonts w:eastAsiaTheme="minorHAnsi"/>
                <w:bCs/>
                <w:sz w:val="20"/>
                <w:szCs w:val="20"/>
              </w:rPr>
            </w:pPr>
            <w:r w:rsidRPr="00EE0709">
              <w:rPr>
                <w:rFonts w:eastAsiaTheme="minorHAnsi"/>
                <w:bCs/>
                <w:sz w:val="20"/>
                <w:szCs w:val="20"/>
              </w:rPr>
              <w:t xml:space="preserve">(4) </w:t>
            </w:r>
            <w:r w:rsidRPr="00EE0709">
              <w:rPr>
                <w:rFonts w:eastAsiaTheme="minorHAnsi"/>
                <w:bCs/>
                <w:sz w:val="20"/>
                <w:szCs w:val="20"/>
                <w:u w:val="single"/>
              </w:rPr>
              <w:t xml:space="preserve">Valsts nodeva par licencē norādīto ieguldījumu pakalpojumu un ieguldījumu </w:t>
            </w:r>
            <w:proofErr w:type="spellStart"/>
            <w:r w:rsidRPr="00EE0709">
              <w:rPr>
                <w:rFonts w:eastAsiaTheme="minorHAnsi"/>
                <w:bCs/>
                <w:sz w:val="20"/>
                <w:szCs w:val="20"/>
                <w:u w:val="single"/>
              </w:rPr>
              <w:t>blakuspakalpojumu</w:t>
            </w:r>
            <w:proofErr w:type="spellEnd"/>
            <w:r w:rsidRPr="00EE0709">
              <w:rPr>
                <w:rFonts w:eastAsiaTheme="minorHAnsi"/>
                <w:bCs/>
                <w:sz w:val="20"/>
                <w:szCs w:val="20"/>
                <w:u w:val="single"/>
              </w:rPr>
              <w:t xml:space="preserve"> maiņu nav jāmaksā</w:t>
            </w:r>
            <w:r w:rsidRPr="00EE0709">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39307432" w14:textId="77777777" w:rsidR="00D92D2A" w:rsidRPr="00C56A30" w:rsidRDefault="00D92D2A" w:rsidP="00D92D2A">
            <w:pPr>
              <w:pStyle w:val="NoSpacing"/>
              <w:rPr>
                <w:sz w:val="20"/>
                <w:szCs w:val="20"/>
              </w:rPr>
            </w:pPr>
            <w:r w:rsidRPr="00C56A30">
              <w:rPr>
                <w:b/>
                <w:bCs/>
                <w:sz w:val="20"/>
                <w:szCs w:val="20"/>
              </w:rPr>
              <w:t>Iebildums.</w:t>
            </w:r>
            <w:r w:rsidRPr="00C56A30">
              <w:rPr>
                <w:sz w:val="20"/>
                <w:szCs w:val="20"/>
              </w:rPr>
              <w:t xml:space="preserve"> Likumprojekta 14. panta trešajā daļā ietverts trīsdesmit dienu termiņš, vienlaikus likumprojekta 17. panta otrās daļas 2. punktā un septītajā daļā ietverts viena mēneša termiņš. Vēršam uzmanību, ka vienā likumā vajadzētu pieturēties pie viena no variantiem, ja vien šādai atšķirībai nav īpaša pamatojuma. Ievērojot minēto, lūdzam atbilstoši precizēt likumprojektu. </w:t>
            </w:r>
          </w:p>
          <w:p w14:paraId="7F559AC4" w14:textId="12E6811A" w:rsidR="00D92D2A" w:rsidRPr="00C56A30" w:rsidRDefault="00D92D2A" w:rsidP="00D92D2A">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sz w:val="20"/>
                <w:szCs w:val="20"/>
              </w:rPr>
              <w:t xml:space="preserve">Vienlaikus vēršam uzmanību, ka likumā nav noteikts, ka par licenci jāmaksā valsts nodeva, tāpēc nav saprotams, kāpēc likumprojekta 14. panta ceturtajā daļā īpaši atrunāts, ka valsts nodeva par licencē norādīto ieguldījumu pakalpojumu un ieguldījumu </w:t>
            </w:r>
            <w:proofErr w:type="spellStart"/>
            <w:r w:rsidRPr="00C56A30">
              <w:rPr>
                <w:rFonts w:ascii="Times New Roman" w:hAnsi="Times New Roman" w:cs="Times New Roman"/>
                <w:sz w:val="20"/>
                <w:szCs w:val="20"/>
              </w:rPr>
              <w:t>blakuspakalpojumu</w:t>
            </w:r>
            <w:proofErr w:type="spellEnd"/>
            <w:r w:rsidRPr="00C56A30">
              <w:rPr>
                <w:rFonts w:ascii="Times New Roman" w:hAnsi="Times New Roman" w:cs="Times New Roman"/>
                <w:sz w:val="20"/>
                <w:szCs w:val="20"/>
              </w:rPr>
              <w:t xml:space="preserve"> maiņu nav jāmaksā. Lūdzam sniegt skaidrojumu anotācijā vai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121F3B9B" w14:textId="2929481D" w:rsidR="00D92D2A" w:rsidRPr="00BF6BDC" w:rsidRDefault="00D92D2A" w:rsidP="00D92D2A">
            <w:pPr>
              <w:spacing w:after="0" w:line="240" w:lineRule="auto"/>
              <w:jc w:val="both"/>
              <w:rPr>
                <w:rFonts w:ascii="Times New Roman" w:eastAsia="Times New Roman" w:hAnsi="Times New Roman" w:cs="Times New Roman"/>
                <w:b/>
                <w:bCs/>
                <w:sz w:val="20"/>
                <w:szCs w:val="20"/>
                <w:lang w:eastAsia="lv-LV"/>
              </w:rPr>
            </w:pPr>
            <w:r w:rsidRPr="003F066F">
              <w:rPr>
                <w:rFonts w:ascii="Times New Roman" w:eastAsia="Times New Roman" w:hAnsi="Times New Roman" w:cs="Times New Roman"/>
                <w:b/>
                <w:bCs/>
                <w:sz w:val="20"/>
                <w:szCs w:val="20"/>
                <w:lang w:eastAsia="lv-LV"/>
              </w:rPr>
              <w:t xml:space="preserve">Iebildums ņemts vērā. </w:t>
            </w:r>
            <w:r w:rsidRPr="003F066F">
              <w:rPr>
                <w:rFonts w:ascii="Times New Roman" w:eastAsia="Times New Roman" w:hAnsi="Times New Roman" w:cs="Times New Roman"/>
                <w:sz w:val="20"/>
                <w:szCs w:val="20"/>
                <w:lang w:eastAsia="lv-LV"/>
              </w:rPr>
              <w:t>Likumprojekta 14.panta trešā daļa precizēta</w:t>
            </w:r>
            <w:r>
              <w:rPr>
                <w:rFonts w:ascii="Times New Roman" w:eastAsia="Times New Roman" w:hAnsi="Times New Roman" w:cs="Times New Roman"/>
                <w:sz w:val="20"/>
                <w:szCs w:val="20"/>
                <w:lang w:eastAsia="lv-LV"/>
              </w:rPr>
              <w:t>, likumprojekta 14.panta ceturtā daļa izslēgta.</w:t>
            </w:r>
          </w:p>
        </w:tc>
        <w:tc>
          <w:tcPr>
            <w:tcW w:w="936" w:type="pct"/>
            <w:tcBorders>
              <w:top w:val="single" w:sz="4" w:space="0" w:color="auto"/>
              <w:left w:val="single" w:sz="4" w:space="0" w:color="auto"/>
              <w:bottom w:val="single" w:sz="4" w:space="0" w:color="auto"/>
              <w:right w:val="single" w:sz="4" w:space="0" w:color="auto"/>
            </w:tcBorders>
          </w:tcPr>
          <w:p w14:paraId="23ADF2B9" w14:textId="77777777" w:rsidR="00D92D2A" w:rsidRDefault="00D92D2A" w:rsidP="00D92D2A">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14.panta trešā daļa:</w:t>
            </w:r>
          </w:p>
          <w:p w14:paraId="1F6A471C" w14:textId="77777777" w:rsidR="00D92D2A" w:rsidRPr="00EE0709" w:rsidRDefault="00D92D2A" w:rsidP="00D92D2A">
            <w:pPr>
              <w:pStyle w:val="NoSpacing"/>
              <w:widowControl/>
              <w:rPr>
                <w:rFonts w:eastAsiaTheme="minorHAnsi"/>
                <w:b/>
                <w:bCs/>
                <w:sz w:val="20"/>
                <w:szCs w:val="20"/>
              </w:rPr>
            </w:pPr>
            <w:r w:rsidRPr="00EE0709">
              <w:rPr>
                <w:rFonts w:eastAsiaTheme="minorHAnsi"/>
                <w:b/>
                <w:bCs/>
                <w:sz w:val="20"/>
                <w:szCs w:val="20"/>
              </w:rPr>
              <w:t xml:space="preserve">14. pants. Licencē noteikto ieguldījumu pakalpojumu un ieguldījumu </w:t>
            </w:r>
            <w:proofErr w:type="spellStart"/>
            <w:r w:rsidRPr="00EE0709">
              <w:rPr>
                <w:rFonts w:eastAsiaTheme="minorHAnsi"/>
                <w:b/>
                <w:bCs/>
                <w:sz w:val="20"/>
                <w:szCs w:val="20"/>
              </w:rPr>
              <w:t>blakuspakalpojumu</w:t>
            </w:r>
            <w:proofErr w:type="spellEnd"/>
            <w:r w:rsidRPr="00EE0709">
              <w:rPr>
                <w:rFonts w:eastAsiaTheme="minorHAnsi"/>
                <w:b/>
                <w:bCs/>
                <w:sz w:val="20"/>
                <w:szCs w:val="20"/>
              </w:rPr>
              <w:t xml:space="preserve"> maiņa</w:t>
            </w:r>
          </w:p>
          <w:p w14:paraId="4B36C806" w14:textId="0E4E39E8" w:rsidR="00D92D2A" w:rsidRPr="00EE0709" w:rsidRDefault="00D92D2A" w:rsidP="00D92D2A">
            <w:pPr>
              <w:pStyle w:val="NoSpacing"/>
              <w:widowControl/>
              <w:rPr>
                <w:rFonts w:eastAsiaTheme="minorHAnsi"/>
                <w:bCs/>
                <w:sz w:val="20"/>
                <w:szCs w:val="20"/>
              </w:rPr>
            </w:pPr>
            <w:r w:rsidRPr="00EE0709">
              <w:rPr>
                <w:rFonts w:eastAsiaTheme="minorHAnsi"/>
                <w:bCs/>
                <w:sz w:val="20"/>
                <w:szCs w:val="20"/>
              </w:rPr>
              <w:t xml:space="preserve">(3) Komisija </w:t>
            </w:r>
            <w:r w:rsidRPr="00BF6BDC">
              <w:rPr>
                <w:rFonts w:eastAsiaTheme="minorHAnsi"/>
                <w:bCs/>
                <w:sz w:val="20"/>
                <w:szCs w:val="20"/>
                <w:u w:val="single"/>
              </w:rPr>
              <w:t>viena mēneša</w:t>
            </w:r>
            <w:r w:rsidRPr="00EE0709">
              <w:rPr>
                <w:rFonts w:eastAsiaTheme="minorHAnsi"/>
                <w:bCs/>
                <w:sz w:val="20"/>
                <w:szCs w:val="20"/>
              </w:rPr>
              <w:t xml:space="preserve"> laikā pēc visu lēmuma pieņemšanai nepieciešamo šajā likumā noteikto un atbilstoši normatīvo aktu prasībām sagatavoto un noformēto dokumentu saņemšanas izskata ieguldījumu brokeru sabiedrības iesniegumu par licencē norādīto ieguldījumu pakalpojumu un ieguldījumu </w:t>
            </w:r>
            <w:proofErr w:type="spellStart"/>
            <w:r w:rsidRPr="00EE0709">
              <w:rPr>
                <w:rFonts w:eastAsiaTheme="minorHAnsi"/>
                <w:bCs/>
                <w:sz w:val="20"/>
                <w:szCs w:val="20"/>
              </w:rPr>
              <w:t>blakuspakalpojumu</w:t>
            </w:r>
            <w:proofErr w:type="spellEnd"/>
            <w:r w:rsidRPr="00EE0709">
              <w:rPr>
                <w:rFonts w:eastAsiaTheme="minorHAnsi"/>
                <w:bCs/>
                <w:sz w:val="20"/>
                <w:szCs w:val="20"/>
              </w:rPr>
              <w:t xml:space="preserve"> maiņu.</w:t>
            </w:r>
          </w:p>
          <w:p w14:paraId="533E5A16" w14:textId="648028E6" w:rsidR="00D92D2A" w:rsidRPr="00184920" w:rsidRDefault="00D92D2A" w:rsidP="00D92D2A">
            <w:pPr>
              <w:spacing w:after="0" w:line="240" w:lineRule="auto"/>
              <w:jc w:val="both"/>
              <w:rPr>
                <w:rFonts w:ascii="Times New Roman" w:eastAsia="Times New Roman" w:hAnsi="Times New Roman" w:cs="Times New Roman"/>
                <w:sz w:val="20"/>
                <w:szCs w:val="20"/>
                <w:lang w:eastAsia="lv-LV"/>
              </w:rPr>
            </w:pPr>
          </w:p>
        </w:tc>
      </w:tr>
      <w:tr w:rsidR="005F1C40" w:rsidRPr="00184920" w14:paraId="3B85647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02F27E8" w14:textId="6BE2A9A5" w:rsidR="005F1C40" w:rsidRDefault="005F1C40" w:rsidP="005F1C40">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12.</w:t>
            </w:r>
          </w:p>
        </w:tc>
        <w:tc>
          <w:tcPr>
            <w:tcW w:w="692" w:type="pct"/>
            <w:tcBorders>
              <w:top w:val="single" w:sz="6" w:space="0" w:color="000000"/>
              <w:left w:val="single" w:sz="6" w:space="0" w:color="000000"/>
              <w:bottom w:val="single" w:sz="6" w:space="0" w:color="000000"/>
              <w:right w:val="single" w:sz="6" w:space="0" w:color="000000"/>
            </w:tcBorders>
          </w:tcPr>
          <w:p w14:paraId="71930AB0" w14:textId="77777777" w:rsidR="005F1C40" w:rsidRPr="00533297" w:rsidRDefault="005F1C40" w:rsidP="005F1C40">
            <w:pPr>
              <w:pStyle w:val="NoSpacing"/>
              <w:widowControl/>
              <w:rPr>
                <w:rFonts w:eastAsiaTheme="minorHAnsi"/>
                <w:b/>
                <w:bCs/>
                <w:sz w:val="20"/>
                <w:szCs w:val="20"/>
              </w:rPr>
            </w:pPr>
            <w:r w:rsidRPr="00533297">
              <w:rPr>
                <w:rFonts w:eastAsiaTheme="minorHAnsi"/>
                <w:b/>
                <w:bCs/>
                <w:sz w:val="20"/>
                <w:szCs w:val="20"/>
              </w:rPr>
              <w:t>16.pants. Licences anulēšanas kārtība</w:t>
            </w:r>
          </w:p>
          <w:p w14:paraId="310DE392" w14:textId="77777777" w:rsidR="005F1C40" w:rsidRPr="00533297" w:rsidRDefault="005F1C40" w:rsidP="005F1C40">
            <w:pPr>
              <w:pStyle w:val="NoSpacing"/>
              <w:widowControl/>
              <w:rPr>
                <w:rFonts w:eastAsiaTheme="minorHAnsi"/>
                <w:bCs/>
                <w:sz w:val="20"/>
                <w:szCs w:val="20"/>
              </w:rPr>
            </w:pPr>
            <w:r w:rsidRPr="00533297">
              <w:rPr>
                <w:rFonts w:eastAsiaTheme="minorHAnsi"/>
                <w:bCs/>
                <w:sz w:val="20"/>
                <w:szCs w:val="20"/>
              </w:rPr>
              <w:t>(1) Komisija anulē ieguldījumu brokeru sabiedrībai izsniegto licenci šādos gadījumos:</w:t>
            </w:r>
          </w:p>
          <w:p w14:paraId="3C1AD808" w14:textId="7CE02596" w:rsidR="005F1C40" w:rsidRPr="00EE0709" w:rsidRDefault="005F1C40" w:rsidP="005F1C40">
            <w:pPr>
              <w:pStyle w:val="NoSpacing"/>
              <w:widowControl/>
              <w:rPr>
                <w:rFonts w:eastAsiaTheme="minorHAnsi"/>
                <w:b/>
                <w:bCs/>
                <w:sz w:val="20"/>
                <w:szCs w:val="20"/>
              </w:rPr>
            </w:pPr>
            <w:r w:rsidRPr="00533297">
              <w:rPr>
                <w:rFonts w:eastAsiaTheme="minorHAnsi"/>
                <w:bCs/>
                <w:sz w:val="20"/>
                <w:szCs w:val="20"/>
              </w:rPr>
              <w:t xml:space="preserve">10) </w:t>
            </w:r>
            <w:r w:rsidRPr="00533297">
              <w:rPr>
                <w:rFonts w:eastAsiaTheme="minorHAnsi"/>
                <w:bCs/>
                <w:sz w:val="20"/>
                <w:szCs w:val="20"/>
                <w:u w:val="single"/>
              </w:rPr>
              <w:t>ieguldījumu brokeru sabiedrības akcionāriem ar būtisku līdzdalību iestājies tiem piederošo akciju balsstiesību izmantošanas aizliegums, un tas ilgst vairāk nekā sešus mēnešus</w:t>
            </w:r>
            <w:r w:rsidRPr="00533297">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49DA14DC" w14:textId="2A2CAE89" w:rsidR="005F1C40" w:rsidRDefault="005F1C40" w:rsidP="005F1C40">
            <w:pPr>
              <w:pStyle w:val="NoSpacing"/>
              <w:rPr>
                <w:sz w:val="20"/>
                <w:szCs w:val="20"/>
              </w:rPr>
            </w:pPr>
            <w:r w:rsidRPr="005F1C40">
              <w:rPr>
                <w:b/>
                <w:bCs/>
                <w:sz w:val="20"/>
                <w:szCs w:val="20"/>
              </w:rPr>
              <w:t xml:space="preserve">Iebildums. </w:t>
            </w:r>
            <w:r w:rsidRPr="00C56A30">
              <w:rPr>
                <w:sz w:val="20"/>
                <w:szCs w:val="20"/>
              </w:rPr>
              <w:t xml:space="preserve">Likumprojekta 16. panta pirmās daļas 10. punktā noteikts, ka licence tiek anulēta, ja akcionāriem un dalībniekiem noteikts balsstiesību izmantošanas ierobežojums. Norādām, ka nav atbalstāms regulējums, kurš paredz, ka ikviens akcionāra un dalībnieka balsstiesību ierobežojums negatīvi ietekmē ieguldījumu brokeru sabiedrības darbību. Akcionārs (dalībnieks) un kapitālsabiedrība ir divi dažādi subjekti, un viena subjekta tiesību ierobežojums nedrīkst pakļaut riskam kapitālsabiedrības darbību. Šāda ierobežojuma ietekme uz kapitālsabiedrību būtu pieļaujama tikai gadījumos, kad akcionāra (dalībnieka) balsstiesības ir ierobežotas saistībā ar ieguldījumu brokeru sabiedrības darbību, bet, ja, piemēram, balsstiesību ierobežojuma pamatā ir civiltiesisks strīds starp akcionāriem (dalībniekiem), šādos gadījumos tādu negatīvu ietekmi kā sabiedrībai </w:t>
            </w:r>
            <w:r w:rsidRPr="00C56A30">
              <w:rPr>
                <w:sz w:val="20"/>
                <w:szCs w:val="20"/>
              </w:rPr>
              <w:lastRenderedPageBreak/>
              <w:t>piešķirtās licences anulēšanu pieļaut nedrīkst. Lūdzam attiecīgi precizēt likumprojekta 16. panta pirmās daļas 10. punktu.</w:t>
            </w:r>
          </w:p>
          <w:p w14:paraId="0F308508" w14:textId="77777777" w:rsidR="005F1C40" w:rsidRPr="005F1C40" w:rsidRDefault="005F1C40" w:rsidP="005F1C40">
            <w:pPr>
              <w:jc w:val="both"/>
            </w:pPr>
          </w:p>
          <w:p w14:paraId="02C06699" w14:textId="77777777" w:rsidR="005F1C40" w:rsidRPr="004D3771" w:rsidRDefault="005F1C40" w:rsidP="005F1C40">
            <w:pPr>
              <w:jc w:val="both"/>
              <w:rPr>
                <w:rFonts w:ascii="Times New Roman" w:eastAsia="Calibri" w:hAnsi="Times New Roman" w:cs="Times New Roman"/>
                <w:b/>
                <w:bCs/>
                <w:sz w:val="20"/>
                <w:szCs w:val="20"/>
              </w:rPr>
            </w:pPr>
            <w:r w:rsidRPr="004D3771">
              <w:rPr>
                <w:rFonts w:ascii="Times New Roman" w:eastAsia="Calibri" w:hAnsi="Times New Roman" w:cs="Times New Roman"/>
                <w:b/>
                <w:bCs/>
                <w:sz w:val="20"/>
                <w:szCs w:val="20"/>
              </w:rPr>
              <w:t>Š.g. 11.maijā uzturētais iebildums.</w:t>
            </w:r>
          </w:p>
          <w:p w14:paraId="6FBA5BA8" w14:textId="0AAF50EE" w:rsidR="005F1C40" w:rsidRPr="005F1C40" w:rsidRDefault="005F1C40" w:rsidP="005F1C40">
            <w:pPr>
              <w:jc w:val="both"/>
              <w:rPr>
                <w:rFonts w:ascii="Times New Roman" w:eastAsia="Calibri" w:hAnsi="Times New Roman" w:cs="Times New Roman"/>
                <w:sz w:val="20"/>
                <w:szCs w:val="20"/>
              </w:rPr>
            </w:pPr>
            <w:r w:rsidRPr="005F1C40">
              <w:rPr>
                <w:rFonts w:ascii="Times New Roman" w:eastAsia="Calibri" w:hAnsi="Times New Roman" w:cs="Times New Roman"/>
                <w:sz w:val="20"/>
                <w:szCs w:val="20"/>
              </w:rPr>
              <w:t xml:space="preserve">Attiecībā uz likumprojekta 16. panta pirmās daļas 10. punktu Finanšu ministrija ir skaidrojusi, ka šī norma attiecas uz ieguldījumu brokeru sabiedrības akcionāriem ar būtisku līdzdalību un gadījumos, kad iestājies tiem piederošo akciju balsstiesību izmantošanas aizliegums, un tas ilgst vairāk nekā sešus mēnešus, tas nozīmē, ka ieguldījumu brokeru sabiedrība ir </w:t>
            </w:r>
            <w:proofErr w:type="spellStart"/>
            <w:r w:rsidRPr="005F1C40">
              <w:rPr>
                <w:rFonts w:ascii="Times New Roman" w:eastAsia="Calibri" w:hAnsi="Times New Roman" w:cs="Times New Roman"/>
                <w:sz w:val="20"/>
                <w:szCs w:val="20"/>
              </w:rPr>
              <w:t>lemtnespējīga</w:t>
            </w:r>
            <w:proofErr w:type="spellEnd"/>
            <w:r w:rsidRPr="005F1C40">
              <w:rPr>
                <w:rFonts w:ascii="Times New Roman" w:eastAsia="Calibri" w:hAnsi="Times New Roman" w:cs="Times New Roman"/>
                <w:sz w:val="20"/>
                <w:szCs w:val="20"/>
              </w:rPr>
              <w:t xml:space="preserve"> ilgstošu periodu. Lai gan Finanšu ministrija norāda, ka šāds regulējums ir spēkā esošs arī Finanšu instrumentu tirgus likumā un Kredītiestāžu likumā, Tieslietu ministrija uztur izteikto iebildumu. Tas, ka identisks regulējums ir paredzēts citos normatīvajos aktos, nevar būt par pamatu regulējuma, kurš negatīvi ietekmē ieguldījumu brokeru sabiedrības darbību, attaisnošanai. Norādām, ka akcionārs (dalībnieks) un kapitālsabiedrība ir divi dažādi subjekti, un viena subjekta tiesību ierobežojums nedrīkst pakļaut riskam kapitālsabiedrības darbību. Šāda ierobežojuma ietekme uz kapitālsabiedrību būtu pieļaujama tikai gadījumos, kad akcionāra (dalībnieka) balsstiesības ir ierobežotas saistībā ar ieguldījumu brokeru sabiedrības darbību, bet, ja, piemēram, balsstiesību ierobežojuma pamatā ir civiltiesisks strīds starp akcionāriem (dalībniekiem), šādos gadījumos tādu negatīvu ietekmi kā sabiedrībai piešķirtās licences anulēšanu pieļaut nedrīkst.</w:t>
            </w:r>
          </w:p>
          <w:p w14:paraId="6CDE8232" w14:textId="1A9F2579" w:rsidR="005F1C40" w:rsidRPr="005F1C40" w:rsidRDefault="005F1C40" w:rsidP="005F1C40">
            <w:pPr>
              <w:jc w:val="both"/>
              <w:rPr>
                <w:rFonts w:ascii="Times New Roman" w:eastAsia="Calibri" w:hAnsi="Times New Roman" w:cs="Times New Roman"/>
                <w:sz w:val="20"/>
                <w:szCs w:val="20"/>
              </w:rPr>
            </w:pPr>
            <w:r w:rsidRPr="005F1C40">
              <w:rPr>
                <w:rFonts w:ascii="Times New Roman" w:eastAsia="Calibri" w:hAnsi="Times New Roman" w:cs="Times New Roman"/>
                <w:sz w:val="20"/>
                <w:szCs w:val="20"/>
              </w:rPr>
              <w:t>Lūdzam attiecīgi precizēt likumprojekta 16. panta pirmās daļas 10. punktu, lai novērstu gadījumus, kad arī, piemēram, civiltiesiska strīda dēļ daļā ierobežotas balsstiesības varētu būt par pamatu licences anulēšanai.</w:t>
            </w:r>
          </w:p>
        </w:tc>
        <w:tc>
          <w:tcPr>
            <w:tcW w:w="848" w:type="pct"/>
            <w:gridSpan w:val="2"/>
            <w:tcBorders>
              <w:top w:val="single" w:sz="6" w:space="0" w:color="000000"/>
              <w:left w:val="single" w:sz="6" w:space="0" w:color="000000"/>
              <w:bottom w:val="single" w:sz="6" w:space="0" w:color="000000"/>
              <w:right w:val="single" w:sz="6" w:space="0" w:color="000000"/>
            </w:tcBorders>
          </w:tcPr>
          <w:p w14:paraId="2A9CAE92" w14:textId="0DAF9DAB" w:rsidR="005F1C40" w:rsidRDefault="00E946CF" w:rsidP="005F1C40">
            <w:pPr>
              <w:spacing w:after="0" w:line="240" w:lineRule="auto"/>
              <w:jc w:val="both"/>
              <w:rPr>
                <w:rFonts w:ascii="Times New Roman" w:eastAsia="Times New Roman" w:hAnsi="Times New Roman" w:cs="Times New Roman"/>
                <w:sz w:val="20"/>
                <w:szCs w:val="20"/>
                <w:lang w:eastAsia="lv-LV"/>
              </w:rPr>
            </w:pPr>
            <w:r w:rsidRPr="00E946CF">
              <w:rPr>
                <w:rFonts w:ascii="Times New Roman" w:eastAsia="Times New Roman" w:hAnsi="Times New Roman" w:cs="Times New Roman"/>
                <w:b/>
                <w:bCs/>
                <w:sz w:val="20"/>
                <w:szCs w:val="20"/>
                <w:lang w:eastAsia="lv-LV"/>
              </w:rPr>
              <w:lastRenderedPageBreak/>
              <w:t xml:space="preserve">Panākta vienošanās elektroniskajā saskaņošanā. </w:t>
            </w:r>
            <w:r w:rsidR="005F1C40">
              <w:rPr>
                <w:rFonts w:ascii="Times New Roman" w:eastAsia="Times New Roman" w:hAnsi="Times New Roman" w:cs="Times New Roman"/>
                <w:sz w:val="20"/>
                <w:szCs w:val="20"/>
                <w:lang w:eastAsia="lv-LV"/>
              </w:rPr>
              <w:t xml:space="preserve">Vēršam uzmanību, ka likumprojekta 16.panta pirmās daļas 10.punktā minētais gadījums ir šaurs, proti, tas neattiecas uz visiem akcionāriem un vēl jo vairāk uz dalībniekiem, bet gan uz ieguldījumu brokeru sabiedrības akcionāriem ar būtisku līdzdalību. Ja </w:t>
            </w:r>
            <w:r w:rsidR="005F1C40" w:rsidRPr="00460B24">
              <w:rPr>
                <w:rFonts w:ascii="Times New Roman" w:eastAsia="Times New Roman" w:hAnsi="Times New Roman" w:cs="Times New Roman"/>
                <w:sz w:val="20"/>
                <w:szCs w:val="20"/>
                <w:lang w:eastAsia="lv-LV"/>
              </w:rPr>
              <w:t>ieguldījumu brokeru sabiedrības akcionāriem ar būtisku līdzdalību iestājies tiem piederošo akciju balsstiesību izmantošanas aizliegums, un tas ilgst vairāk nekā sešus mēnešus</w:t>
            </w:r>
            <w:r w:rsidR="005F1C40">
              <w:rPr>
                <w:rFonts w:ascii="Times New Roman" w:eastAsia="Times New Roman" w:hAnsi="Times New Roman" w:cs="Times New Roman"/>
                <w:sz w:val="20"/>
                <w:szCs w:val="20"/>
                <w:lang w:eastAsia="lv-LV"/>
              </w:rPr>
              <w:t xml:space="preserve">, tad tas nozīmē, ka </w:t>
            </w:r>
            <w:r w:rsidR="005F1C40">
              <w:rPr>
                <w:rFonts w:ascii="Times New Roman" w:eastAsia="Times New Roman" w:hAnsi="Times New Roman" w:cs="Times New Roman"/>
                <w:sz w:val="20"/>
                <w:szCs w:val="20"/>
                <w:lang w:eastAsia="lv-LV"/>
              </w:rPr>
              <w:lastRenderedPageBreak/>
              <w:t xml:space="preserve">ieguldījumu brokeru sabiedrība ir </w:t>
            </w:r>
            <w:proofErr w:type="spellStart"/>
            <w:r w:rsidR="005F1C40">
              <w:rPr>
                <w:rFonts w:ascii="Times New Roman" w:eastAsia="Times New Roman" w:hAnsi="Times New Roman" w:cs="Times New Roman"/>
                <w:sz w:val="20"/>
                <w:szCs w:val="20"/>
                <w:lang w:eastAsia="lv-LV"/>
              </w:rPr>
              <w:t>lemtnespējīga</w:t>
            </w:r>
            <w:proofErr w:type="spellEnd"/>
            <w:r w:rsidR="005F1C40">
              <w:rPr>
                <w:rFonts w:ascii="Times New Roman" w:eastAsia="Times New Roman" w:hAnsi="Times New Roman" w:cs="Times New Roman"/>
                <w:sz w:val="20"/>
                <w:szCs w:val="20"/>
                <w:lang w:eastAsia="lv-LV"/>
              </w:rPr>
              <w:t xml:space="preserve"> ilgstošu periodu.</w:t>
            </w:r>
          </w:p>
          <w:p w14:paraId="57E1E1D1" w14:textId="77777777" w:rsidR="005F1C40" w:rsidRDefault="005F1C40" w:rsidP="005F1C40">
            <w:pPr>
              <w:pStyle w:val="naisc"/>
              <w:spacing w:before="0" w:after="0"/>
              <w:jc w:val="both"/>
              <w:rPr>
                <w:sz w:val="20"/>
                <w:szCs w:val="20"/>
              </w:rPr>
            </w:pPr>
            <w:r>
              <w:rPr>
                <w:sz w:val="20"/>
                <w:szCs w:val="20"/>
              </w:rPr>
              <w:t>Šāds regulējums ir spēkā esošs Finanšu instrumentu tirgus likuma 111.panta pirmās daļas 10.punktā, kā arī Kredītiestāžu likuma 27.panta pirmās daļas 9.punkts paredz identisku regulējumu attiecībā uz kredītiestādes akcionāriem ar būtisku līdzdalību.</w:t>
            </w:r>
          </w:p>
          <w:p w14:paraId="0FA0F368" w14:textId="77777777" w:rsidR="005F1C40" w:rsidRPr="000128F4" w:rsidRDefault="005F1C40" w:rsidP="005F1C40">
            <w:pPr>
              <w:pStyle w:val="naisc"/>
              <w:spacing w:before="0" w:after="0"/>
              <w:jc w:val="both"/>
              <w:rPr>
                <w:sz w:val="20"/>
                <w:szCs w:val="20"/>
              </w:rPr>
            </w:pPr>
            <w:r w:rsidRPr="000128F4">
              <w:rPr>
                <w:sz w:val="20"/>
                <w:szCs w:val="20"/>
              </w:rPr>
              <w:t xml:space="preserve">Tāpat norādām, ka likumprojekta 16. panta pirmās daļas 10. punktā paredzētais nosacījums objektīvi norāda uz situāciju, kad attiecīgā sabiedrība nespēj veikt darbību un nolūkā nodrošināt ieguldītāju intereses ir  lietderīga un samērojama pret ieguldījumu brokeru sabiedrības akcionāru zaudējumiem. Šī norma ir vērsta uz finanšu tirgus stabilitātes nodrošināšanu un vērtējumu, vai attiecīgā sabiedrība var turpināt darboties tirgū bez tālāku negatīvu seku radīšanas. </w:t>
            </w:r>
          </w:p>
          <w:p w14:paraId="2F35A975" w14:textId="77777777" w:rsidR="005F1C40" w:rsidRPr="003F066F" w:rsidRDefault="005F1C40" w:rsidP="005F1C40">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5C26DE9F" w14:textId="77777777" w:rsidR="005F1C40" w:rsidRDefault="005F1C40" w:rsidP="005F1C40">
            <w:pPr>
              <w:tabs>
                <w:tab w:val="left" w:pos="3822"/>
              </w:tabs>
              <w:spacing w:after="0" w:line="240" w:lineRule="auto"/>
              <w:jc w:val="both"/>
              <w:rPr>
                <w:rFonts w:ascii="Times New Roman" w:eastAsia="Times New Roman" w:hAnsi="Times New Roman" w:cs="Times New Roman"/>
                <w:sz w:val="20"/>
              </w:rPr>
            </w:pPr>
            <w:r>
              <w:rPr>
                <w:rFonts w:ascii="Times New Roman" w:eastAsia="Times New Roman" w:hAnsi="Times New Roman" w:cs="Times New Roman"/>
                <w:sz w:val="20"/>
              </w:rPr>
              <w:lastRenderedPageBreak/>
              <w:t>Anotācijas I sadaļas 2.punkts:</w:t>
            </w:r>
          </w:p>
          <w:p w14:paraId="38B2B98F" w14:textId="5A375A6B" w:rsidR="005F1C40" w:rsidRDefault="005F1C40" w:rsidP="005F1C40">
            <w:pPr>
              <w:spacing w:after="0" w:line="240" w:lineRule="auto"/>
              <w:jc w:val="both"/>
              <w:rPr>
                <w:rFonts w:ascii="Times New Roman" w:eastAsia="Times New Roman" w:hAnsi="Times New Roman" w:cs="Times New Roman"/>
                <w:sz w:val="20"/>
                <w:szCs w:val="20"/>
                <w:lang w:eastAsia="lv-LV"/>
              </w:rPr>
            </w:pPr>
            <w:r w:rsidRPr="000149A0">
              <w:rPr>
                <w:rFonts w:ascii="Times New Roman" w:eastAsia="Times New Roman" w:hAnsi="Times New Roman" w:cs="Times New Roman"/>
                <w:sz w:val="20"/>
              </w:rPr>
              <w:t>Likumprojekta</w:t>
            </w:r>
            <w:r>
              <w:rPr>
                <w:rFonts w:ascii="Times New Roman" w:eastAsia="Times New Roman" w:hAnsi="Times New Roman" w:cs="Times New Roman"/>
                <w:sz w:val="20"/>
              </w:rPr>
              <w:t xml:space="preserve"> 16.panta pirmās daļas 10.punktā noteiktais pamatojams ar ieguldītāju interešu aizsardzību un finanšu tirgus stabilitāti, proti, ja ieguldījumu brokeru sabiedrības </w:t>
            </w:r>
            <w:r w:rsidRPr="003E4D9A">
              <w:rPr>
                <w:rFonts w:ascii="Times New Roman" w:eastAsia="Times New Roman" w:hAnsi="Times New Roman" w:cs="Times New Roman"/>
                <w:sz w:val="20"/>
              </w:rPr>
              <w:t>akcionāriem ar būtisku līdzdalību iestājies tiem piederošo akciju balsstiesību izmantošanas aizliegums, un tas ilgst vairāk nekā sešus mēnešus</w:t>
            </w:r>
            <w:r>
              <w:rPr>
                <w:rFonts w:ascii="Times New Roman" w:eastAsia="Times New Roman" w:hAnsi="Times New Roman" w:cs="Times New Roman"/>
                <w:sz w:val="20"/>
              </w:rPr>
              <w:t xml:space="preserve">, tas nozīmē, ka ieguldījumu brokeru sabiedrība ir </w:t>
            </w:r>
            <w:proofErr w:type="spellStart"/>
            <w:r>
              <w:rPr>
                <w:rFonts w:ascii="Times New Roman" w:eastAsia="Times New Roman" w:hAnsi="Times New Roman" w:cs="Times New Roman"/>
                <w:sz w:val="20"/>
              </w:rPr>
              <w:t>lemtnespējīga</w:t>
            </w:r>
            <w:proofErr w:type="spellEnd"/>
            <w:r>
              <w:rPr>
                <w:rFonts w:ascii="Times New Roman" w:eastAsia="Times New Roman" w:hAnsi="Times New Roman" w:cs="Times New Roman"/>
                <w:sz w:val="20"/>
              </w:rPr>
              <w:t xml:space="preserve"> – faktiski tā nespēj sniegt pakalpojumus un uzņemtās saistības. </w:t>
            </w:r>
            <w:r w:rsidRPr="00D13902">
              <w:rPr>
                <w:rFonts w:ascii="Times New Roman" w:eastAsia="Times New Roman" w:hAnsi="Times New Roman" w:cs="Times New Roman"/>
                <w:sz w:val="20"/>
              </w:rPr>
              <w:t xml:space="preserve">Turklāt, katra situācija tiek vērtēta atsevišķi, atbilstoši administratīvajā procesā noteiktajiem </w:t>
            </w:r>
            <w:r w:rsidRPr="00D13902">
              <w:rPr>
                <w:rFonts w:ascii="Times New Roman" w:eastAsia="Times New Roman" w:hAnsi="Times New Roman" w:cs="Times New Roman"/>
                <w:sz w:val="20"/>
              </w:rPr>
              <w:lastRenderedPageBreak/>
              <w:t>samērības un lietderības principiem un faktiskajam stāvoklim ieguldījumu brokeru sabiedrībā.</w:t>
            </w:r>
          </w:p>
        </w:tc>
      </w:tr>
      <w:tr w:rsidR="007D6D6F" w:rsidRPr="00184920" w14:paraId="4E49FDCD"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256511F" w14:textId="3A1D1D2B" w:rsidR="007D6D6F"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13.</w:t>
            </w:r>
          </w:p>
        </w:tc>
        <w:tc>
          <w:tcPr>
            <w:tcW w:w="692" w:type="pct"/>
            <w:tcBorders>
              <w:top w:val="single" w:sz="6" w:space="0" w:color="000000"/>
              <w:left w:val="single" w:sz="6" w:space="0" w:color="000000"/>
              <w:bottom w:val="single" w:sz="6" w:space="0" w:color="000000"/>
              <w:right w:val="single" w:sz="6" w:space="0" w:color="000000"/>
            </w:tcBorders>
          </w:tcPr>
          <w:p w14:paraId="4F082F26" w14:textId="77777777" w:rsidR="007D6D6F" w:rsidRPr="00C56A30" w:rsidRDefault="007D6D6F" w:rsidP="007D6D6F">
            <w:pPr>
              <w:pStyle w:val="NoSpacing"/>
              <w:widowControl/>
              <w:rPr>
                <w:rFonts w:eastAsiaTheme="minorHAnsi"/>
                <w:b/>
                <w:bCs/>
                <w:sz w:val="20"/>
                <w:szCs w:val="20"/>
              </w:rPr>
            </w:pPr>
            <w:r w:rsidRPr="00C56A30">
              <w:rPr>
                <w:rFonts w:eastAsiaTheme="minorHAnsi"/>
                <w:b/>
                <w:bCs/>
                <w:sz w:val="20"/>
                <w:szCs w:val="20"/>
              </w:rPr>
              <w:t xml:space="preserve">18.pants. Kārtība, kādā Latvijas Republikā reģistrēta ieguldījumu brokeru sabiedrība  uzsāk ieguldījumu pakalpojumu un ieguldījumu </w:t>
            </w:r>
            <w:proofErr w:type="spellStart"/>
            <w:r w:rsidRPr="00C56A30">
              <w:rPr>
                <w:rFonts w:eastAsiaTheme="minorHAnsi"/>
                <w:b/>
                <w:bCs/>
                <w:sz w:val="20"/>
                <w:szCs w:val="20"/>
              </w:rPr>
              <w:t>blakuspakalpojumu</w:t>
            </w:r>
            <w:proofErr w:type="spellEnd"/>
            <w:r w:rsidRPr="00C56A30">
              <w:rPr>
                <w:rFonts w:eastAsiaTheme="minorHAnsi"/>
                <w:b/>
                <w:bCs/>
                <w:sz w:val="20"/>
                <w:szCs w:val="20"/>
              </w:rPr>
              <w:t xml:space="preserve"> sniegšanu citā dalībvalstī</w:t>
            </w:r>
          </w:p>
          <w:p w14:paraId="0805B31A" w14:textId="77777777" w:rsidR="007D6D6F" w:rsidRPr="00C56A30" w:rsidRDefault="007D6D6F" w:rsidP="007D6D6F">
            <w:pPr>
              <w:pStyle w:val="NoSpacing"/>
              <w:widowControl/>
              <w:rPr>
                <w:rFonts w:eastAsiaTheme="minorHAnsi"/>
                <w:bCs/>
                <w:sz w:val="20"/>
                <w:szCs w:val="20"/>
              </w:rPr>
            </w:pPr>
            <w:r w:rsidRPr="00C56A30">
              <w:rPr>
                <w:rFonts w:eastAsiaTheme="minorHAnsi"/>
                <w:bCs/>
                <w:sz w:val="20"/>
                <w:szCs w:val="20"/>
              </w:rPr>
              <w:t xml:space="preserve">(7) Iesniegumu par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sniegšanas uzsākšanu citā dalībvalstī Komisija izskata </w:t>
            </w:r>
            <w:r w:rsidRPr="00C56A30">
              <w:rPr>
                <w:rFonts w:eastAsiaTheme="minorHAnsi"/>
                <w:bCs/>
                <w:sz w:val="20"/>
                <w:szCs w:val="20"/>
                <w:u w:val="single"/>
              </w:rPr>
              <w:t>viena mēneša</w:t>
            </w:r>
            <w:r w:rsidRPr="00C56A30">
              <w:rPr>
                <w:rFonts w:eastAsiaTheme="minorHAnsi"/>
                <w:bCs/>
                <w:sz w:val="20"/>
                <w:szCs w:val="20"/>
              </w:rPr>
              <w:t xml:space="preserve"> laikā pēc visu nepieciešamo atbilstoši šā likuma prasībām sagatavoto un noformēto dokumentu saņemšanas </w:t>
            </w:r>
            <w:r w:rsidRPr="001B7238">
              <w:rPr>
                <w:rFonts w:eastAsiaTheme="minorHAnsi"/>
                <w:bCs/>
                <w:sz w:val="20"/>
                <w:szCs w:val="20"/>
                <w:u w:val="single"/>
              </w:rPr>
              <w:t xml:space="preserve">un par savu lēmumu </w:t>
            </w:r>
            <w:proofErr w:type="spellStart"/>
            <w:r w:rsidRPr="001B7238">
              <w:rPr>
                <w:rFonts w:eastAsiaTheme="minorHAnsi"/>
                <w:bCs/>
                <w:sz w:val="20"/>
                <w:szCs w:val="20"/>
                <w:u w:val="single"/>
              </w:rPr>
              <w:t>rakstveidā</w:t>
            </w:r>
            <w:proofErr w:type="spellEnd"/>
            <w:r w:rsidRPr="001B7238">
              <w:rPr>
                <w:rFonts w:eastAsiaTheme="minorHAnsi"/>
                <w:bCs/>
                <w:sz w:val="20"/>
                <w:szCs w:val="20"/>
                <w:u w:val="single"/>
              </w:rPr>
              <w:t xml:space="preserve"> informē</w:t>
            </w:r>
            <w:r w:rsidRPr="00C56A30">
              <w:rPr>
                <w:rFonts w:eastAsiaTheme="minorHAnsi"/>
                <w:bCs/>
                <w:sz w:val="20"/>
                <w:szCs w:val="20"/>
              </w:rPr>
              <w:t xml:space="preserve"> attiecīgās dalībvalsts uzraudzības institūciju un attiecīgo ieguldījumu brokeru sabiedrību. Komisija pieņem lēmumu neatļaut ieguldījumu brokeru sabiedrībai uzsākt ieguldījumu pakalpojumu un ieguldījumu </w:t>
            </w:r>
            <w:proofErr w:type="spellStart"/>
            <w:r w:rsidRPr="00C56A30">
              <w:rPr>
                <w:rFonts w:eastAsiaTheme="minorHAnsi"/>
                <w:bCs/>
                <w:sz w:val="20"/>
                <w:szCs w:val="20"/>
              </w:rPr>
              <w:t>blakuspakalpojumu</w:t>
            </w:r>
            <w:proofErr w:type="spellEnd"/>
            <w:r w:rsidRPr="00C56A30">
              <w:rPr>
                <w:rFonts w:eastAsiaTheme="minorHAnsi"/>
                <w:bCs/>
                <w:sz w:val="20"/>
                <w:szCs w:val="20"/>
              </w:rPr>
              <w:t xml:space="preserve"> sniegšanu kādā no dalībvalstīm, atverot filiāli, ja ieguldījumu brokeru sabiedrības pārvaldes struktūra vai finansiālā situācija nav atbilstoša plānotajai darbībai.</w:t>
            </w:r>
          </w:p>
          <w:p w14:paraId="5DB4AE4E" w14:textId="77777777" w:rsidR="007D6D6F" w:rsidRPr="00C56A30" w:rsidRDefault="007D6D6F" w:rsidP="007D6D6F">
            <w:pPr>
              <w:spacing w:after="0" w:line="240" w:lineRule="auto"/>
              <w:jc w:val="both"/>
              <w:rPr>
                <w:rFonts w:ascii="Times New Roman" w:hAnsi="Times New Roman" w:cs="Times New Roman"/>
                <w:bCs/>
                <w:sz w:val="20"/>
                <w:szCs w:val="20"/>
              </w:rPr>
            </w:pPr>
            <w:r w:rsidRPr="00C56A30">
              <w:rPr>
                <w:rFonts w:ascii="Times New Roman" w:hAnsi="Times New Roman" w:cs="Times New Roman"/>
                <w:bCs/>
                <w:sz w:val="20"/>
                <w:szCs w:val="20"/>
              </w:rPr>
              <w:t xml:space="preserve">(8) Komisija </w:t>
            </w:r>
            <w:r w:rsidRPr="00C56A30">
              <w:rPr>
                <w:rFonts w:ascii="Times New Roman" w:hAnsi="Times New Roman" w:cs="Times New Roman"/>
                <w:bCs/>
                <w:sz w:val="20"/>
                <w:szCs w:val="20"/>
                <w:u w:val="single"/>
              </w:rPr>
              <w:t>sešu mēnešu</w:t>
            </w:r>
            <w:r w:rsidRPr="00C56A30">
              <w:rPr>
                <w:rFonts w:ascii="Times New Roman" w:hAnsi="Times New Roman" w:cs="Times New Roman"/>
                <w:bCs/>
                <w:sz w:val="20"/>
                <w:szCs w:val="20"/>
              </w:rPr>
              <w:t xml:space="preserve"> laikā pēc visu nepieciešamo atbilstoši šā likuma prasībām sagatavoto un noformēto dokumentu saņemšanas </w:t>
            </w:r>
            <w:r w:rsidRPr="00C56A30">
              <w:rPr>
                <w:rFonts w:ascii="Times New Roman" w:hAnsi="Times New Roman" w:cs="Times New Roman"/>
                <w:bCs/>
                <w:sz w:val="20"/>
                <w:szCs w:val="20"/>
              </w:rPr>
              <w:lastRenderedPageBreak/>
              <w:t xml:space="preserve">pieņem lēmumu neatļaut ieguldījumu brokeru sabiedrībai uzsākt ieguldījumu pakalpojumu un ieguldījumu </w:t>
            </w:r>
            <w:proofErr w:type="spellStart"/>
            <w:r w:rsidRPr="00C56A30">
              <w:rPr>
                <w:rFonts w:ascii="Times New Roman" w:hAnsi="Times New Roman" w:cs="Times New Roman"/>
                <w:bCs/>
                <w:sz w:val="20"/>
                <w:szCs w:val="20"/>
              </w:rPr>
              <w:t>blakuspakalpojumu</w:t>
            </w:r>
            <w:proofErr w:type="spellEnd"/>
            <w:r w:rsidRPr="00C56A30">
              <w:rPr>
                <w:rFonts w:ascii="Times New Roman" w:hAnsi="Times New Roman" w:cs="Times New Roman"/>
                <w:bCs/>
                <w:sz w:val="20"/>
                <w:szCs w:val="20"/>
              </w:rPr>
              <w:t xml:space="preserve"> sniegšanu kādā no dalībvalstīm, atverot filiāli vai izmantojot piesaistītos aģentus, ja ieguldījumu brokeru sabiedrības pārvaldes struktūra vai finansiālā situācija neatbilst plānotajai darbībai. </w:t>
            </w:r>
            <w:r w:rsidRPr="001B7238">
              <w:rPr>
                <w:rFonts w:ascii="Times New Roman" w:hAnsi="Times New Roman" w:cs="Times New Roman"/>
                <w:bCs/>
                <w:sz w:val="20"/>
                <w:szCs w:val="20"/>
                <w:u w:val="single"/>
              </w:rPr>
              <w:t xml:space="preserve">Par savu lēmumu Komisija </w:t>
            </w:r>
            <w:proofErr w:type="spellStart"/>
            <w:r w:rsidRPr="001B7238">
              <w:rPr>
                <w:rFonts w:ascii="Times New Roman" w:hAnsi="Times New Roman" w:cs="Times New Roman"/>
                <w:bCs/>
                <w:sz w:val="20"/>
                <w:szCs w:val="20"/>
                <w:u w:val="single"/>
              </w:rPr>
              <w:t>rakstveidā</w:t>
            </w:r>
            <w:proofErr w:type="spellEnd"/>
            <w:r w:rsidRPr="001B7238">
              <w:rPr>
                <w:rFonts w:ascii="Times New Roman" w:hAnsi="Times New Roman" w:cs="Times New Roman"/>
                <w:bCs/>
                <w:sz w:val="20"/>
                <w:szCs w:val="20"/>
                <w:u w:val="single"/>
              </w:rPr>
              <w:t xml:space="preserve"> informē</w:t>
            </w:r>
            <w:r w:rsidRPr="00C56A30">
              <w:rPr>
                <w:rFonts w:ascii="Times New Roman" w:hAnsi="Times New Roman" w:cs="Times New Roman"/>
                <w:bCs/>
                <w:sz w:val="20"/>
                <w:szCs w:val="20"/>
              </w:rPr>
              <w:t xml:space="preserve"> attiecīgās dalībvalsts uzraudzības institūciju un ieguldījumu brokeru sabiedrību.</w:t>
            </w:r>
          </w:p>
          <w:p w14:paraId="4472B494" w14:textId="778FD993" w:rsidR="007D6D6F" w:rsidRPr="00533297" w:rsidRDefault="007D6D6F" w:rsidP="007D6D6F">
            <w:pPr>
              <w:pStyle w:val="NoSpacing"/>
              <w:widowControl/>
              <w:rPr>
                <w:rFonts w:eastAsiaTheme="minorHAnsi"/>
                <w:b/>
                <w:bCs/>
                <w:sz w:val="20"/>
                <w:szCs w:val="20"/>
              </w:rPr>
            </w:pPr>
            <w:r w:rsidRPr="00C56A30">
              <w:rPr>
                <w:bCs/>
                <w:sz w:val="20"/>
                <w:szCs w:val="20"/>
              </w:rPr>
              <w:t xml:space="preserve">(11) Komisija </w:t>
            </w:r>
            <w:r w:rsidRPr="00C56A30">
              <w:rPr>
                <w:bCs/>
                <w:sz w:val="20"/>
                <w:szCs w:val="20"/>
                <w:u w:val="single"/>
              </w:rPr>
              <w:t>30 dienu</w:t>
            </w:r>
            <w:r w:rsidRPr="00C56A30">
              <w:rPr>
                <w:bCs/>
                <w:sz w:val="20"/>
                <w:szCs w:val="20"/>
              </w:rPr>
              <w:t xml:space="preserve"> laikā no dokumentu saņemšanas dienas izskata šā panta septītajā daļā minētos dokumentus un </w:t>
            </w:r>
            <w:r w:rsidRPr="001B7238">
              <w:rPr>
                <w:bCs/>
                <w:sz w:val="20"/>
                <w:szCs w:val="20"/>
                <w:u w:val="single"/>
              </w:rPr>
              <w:t xml:space="preserve">par savu lēmumu </w:t>
            </w:r>
            <w:proofErr w:type="spellStart"/>
            <w:r w:rsidRPr="001B7238">
              <w:rPr>
                <w:bCs/>
                <w:sz w:val="20"/>
                <w:szCs w:val="20"/>
                <w:u w:val="single"/>
              </w:rPr>
              <w:t>rakstveidā</w:t>
            </w:r>
            <w:proofErr w:type="spellEnd"/>
            <w:r w:rsidRPr="001B7238">
              <w:rPr>
                <w:bCs/>
                <w:sz w:val="20"/>
                <w:szCs w:val="20"/>
                <w:u w:val="single"/>
              </w:rPr>
              <w:t xml:space="preserve"> informē</w:t>
            </w:r>
            <w:r w:rsidRPr="00C56A30">
              <w:rPr>
                <w:bCs/>
                <w:sz w:val="20"/>
                <w:szCs w:val="20"/>
              </w:rPr>
              <w:t xml:space="preserve"> attiecīgās dalībvalsts uzraudzības institūciju un ieguldījumu brokeru sabiedrību.</w:t>
            </w:r>
          </w:p>
        </w:tc>
        <w:tc>
          <w:tcPr>
            <w:tcW w:w="1309" w:type="pct"/>
            <w:tcBorders>
              <w:top w:val="single" w:sz="6" w:space="0" w:color="000000"/>
              <w:left w:val="single" w:sz="6" w:space="0" w:color="000000"/>
              <w:bottom w:val="single" w:sz="6" w:space="0" w:color="000000"/>
              <w:right w:val="single" w:sz="6" w:space="0" w:color="000000"/>
            </w:tcBorders>
          </w:tcPr>
          <w:p w14:paraId="6A56A657" w14:textId="77777777" w:rsidR="007D6D6F" w:rsidRPr="00C56A30" w:rsidRDefault="007D6D6F" w:rsidP="007D6D6F">
            <w:pPr>
              <w:pStyle w:val="NoSpacing"/>
              <w:rPr>
                <w:sz w:val="20"/>
                <w:szCs w:val="20"/>
              </w:rPr>
            </w:pPr>
            <w:r w:rsidRPr="00C56A30">
              <w:rPr>
                <w:b/>
                <w:bCs/>
                <w:sz w:val="20"/>
                <w:szCs w:val="20"/>
              </w:rPr>
              <w:lastRenderedPageBreak/>
              <w:t>Iebildums.</w:t>
            </w:r>
            <w:r w:rsidRPr="00C56A30">
              <w:rPr>
                <w:sz w:val="20"/>
                <w:szCs w:val="20"/>
              </w:rPr>
              <w:t xml:space="preserve"> Likumprojekta 18. panta septītajā un astotajā daļā norādīts, ka par Komisijas pieņemto lēmumu neatļaut ieguldījumu brokeru sabiedrībai uzsākt ieguldījumu pakalpojumu un ieguldījumu </w:t>
            </w:r>
            <w:proofErr w:type="spellStart"/>
            <w:r w:rsidRPr="00C56A30">
              <w:rPr>
                <w:sz w:val="20"/>
                <w:szCs w:val="20"/>
              </w:rPr>
              <w:t>blakuspakalpojumu</w:t>
            </w:r>
            <w:proofErr w:type="spellEnd"/>
            <w:r w:rsidRPr="00C56A30">
              <w:rPr>
                <w:sz w:val="20"/>
                <w:szCs w:val="20"/>
              </w:rPr>
              <w:t xml:space="preserve"> sniegšanu kādā no dalībvalstīm, atverot filiāli vai izmantojot piesaistītos aģentus, ieguldījumu brokeru sabiedrība tiek informēta. Vienlaikus likumprojekta 27. panta septītajā un astotajā daļā ietverts regulējums par administratīvā akta nosūtīšanu tā adresātam. Ievērojot minēto, vēršam uzmanību, ka saskaņā ar Administratīvā procesa likuma 70. panta pirmo daļu administratīvais akts stājas spēkā ar brīdi, kad tas paziņots adresātam, nevis adresāts par to ir informēts, vai administratīvais akts tam ir nosūtīts, tāpēc lūdzam precizēt likumprojektu atbilstoši Administratīvā procesa likumā lietotajai terminoloģijai.</w:t>
            </w:r>
          </w:p>
          <w:p w14:paraId="193854D0" w14:textId="77777777" w:rsidR="007D6D6F" w:rsidRPr="00C56A30" w:rsidRDefault="007D6D6F" w:rsidP="007D6D6F">
            <w:pPr>
              <w:pStyle w:val="NoSpacing"/>
              <w:rPr>
                <w:sz w:val="20"/>
                <w:szCs w:val="20"/>
              </w:rPr>
            </w:pPr>
            <w:r w:rsidRPr="00C56A30">
              <w:rPr>
                <w:sz w:val="20"/>
                <w:szCs w:val="20"/>
              </w:rPr>
              <w:t xml:space="preserve">Vienlaikus nav skaidrs, ar ko atšķiras likumprojekta 18. panta septītajā un astotajā daļā ietvertais Komisijas lēmums neatļaut ieguldījumu brokeru sabiedrībai uzsākt ieguldījumu pakalpojumu un ieguldījumu </w:t>
            </w:r>
            <w:proofErr w:type="spellStart"/>
            <w:r w:rsidRPr="00C56A30">
              <w:rPr>
                <w:sz w:val="20"/>
                <w:szCs w:val="20"/>
              </w:rPr>
              <w:t>blakuspakalpojumu</w:t>
            </w:r>
            <w:proofErr w:type="spellEnd"/>
            <w:r w:rsidRPr="00C56A30">
              <w:rPr>
                <w:sz w:val="20"/>
                <w:szCs w:val="20"/>
              </w:rPr>
              <w:t xml:space="preserve"> sniegšanu kādā no dalībvalstīm, atverot filiāli, ja ieguldījumu brokeru sabiedrības pārvaldes struktūra vai finansiālā situācija nav atbilstoša jeb neatbilst plānotajai darbībai. Tā kā likumprojekta 18. panta septītā daļa minētajam lēmumam noteic viena mēneša termiņu, savukārt likumprojekta 18. panta astotā daļa minētajam lēmumam noteic sešu mēnešu termiņu, lūdzam sniegt skaidrojumu un atbilstoši precizēt likumprojektu. </w:t>
            </w:r>
          </w:p>
          <w:p w14:paraId="2BFAE37F" w14:textId="77777777" w:rsidR="007D6D6F" w:rsidRDefault="007D6D6F" w:rsidP="007D6D6F">
            <w:pPr>
              <w:pStyle w:val="NoSpacing"/>
              <w:rPr>
                <w:sz w:val="20"/>
                <w:szCs w:val="20"/>
              </w:rPr>
            </w:pPr>
            <w:r w:rsidRPr="00C56A30">
              <w:rPr>
                <w:sz w:val="20"/>
                <w:szCs w:val="20"/>
              </w:rPr>
              <w:t>Papildus vēršam uzmanību, ka nav skaidrs, kāpēc likumprojekta 18. panta vienpadsmitā daļa noteic 30 dienu termiņu šā panta septītajā daļā minēto dokumentu izskatīšanai, ja no likumprojekta 18. panta septītās daļas jau izriet, ka Komisija izskata iesniegumu un tam pievienotos dokumentus mēneša laikā. Ievērojot minēto, lūdzam precizēt likumprojekta 18. panta vienpadsmito daļu.</w:t>
            </w:r>
          </w:p>
          <w:p w14:paraId="52F63C94" w14:textId="77777777" w:rsidR="007D6D6F" w:rsidRPr="00BE4104" w:rsidRDefault="007D6D6F" w:rsidP="007D6D6F">
            <w:pPr>
              <w:spacing w:after="0" w:line="240" w:lineRule="auto"/>
              <w:jc w:val="both"/>
              <w:rPr>
                <w:rFonts w:ascii="Times New Roman" w:eastAsia="Times New Roman" w:hAnsi="Times New Roman" w:cs="Times New Roman"/>
                <w:b/>
                <w:bCs/>
                <w:sz w:val="20"/>
                <w:szCs w:val="20"/>
                <w:lang w:eastAsia="lv-LV"/>
              </w:rPr>
            </w:pPr>
            <w:r w:rsidRPr="00BE4104">
              <w:rPr>
                <w:rFonts w:ascii="Times New Roman" w:eastAsia="Times New Roman" w:hAnsi="Times New Roman" w:cs="Times New Roman"/>
                <w:b/>
                <w:bCs/>
                <w:sz w:val="20"/>
                <w:szCs w:val="20"/>
                <w:lang w:eastAsia="lv-LV"/>
              </w:rPr>
              <w:t>Š.g. 11.maijā uzturētais iebildums.</w:t>
            </w:r>
          </w:p>
          <w:p w14:paraId="4B7ED182" w14:textId="77777777" w:rsidR="007D6D6F" w:rsidRPr="00BE4104" w:rsidRDefault="007D6D6F" w:rsidP="007D6D6F">
            <w:pPr>
              <w:spacing w:after="0" w:line="240" w:lineRule="auto"/>
              <w:jc w:val="both"/>
              <w:rPr>
                <w:rFonts w:ascii="Times New Roman" w:eastAsia="Times New Roman" w:hAnsi="Times New Roman" w:cs="Times New Roman"/>
                <w:sz w:val="20"/>
                <w:szCs w:val="20"/>
                <w:lang w:eastAsia="lv-LV"/>
              </w:rPr>
            </w:pPr>
            <w:r w:rsidRPr="00BE4104">
              <w:rPr>
                <w:rFonts w:ascii="Times New Roman" w:eastAsia="Times New Roman" w:hAnsi="Times New Roman" w:cs="Times New Roman"/>
                <w:sz w:val="20"/>
                <w:szCs w:val="20"/>
                <w:lang w:eastAsia="lv-LV"/>
              </w:rPr>
              <w:t xml:space="preserve">Izziņas 13. punktā ietvertais Tieslietu ministrijas iebildums par likumprojekta 18. pantu pēc būtības nav ņemts vērā, tāpēc tas tiek uzturēts. Atkārtoti vēršam uzmanību, ka saskaņā ar Administratīvā procesa likuma 70. panta pirmo daļu administratīvais akts stājas spēkā ar </w:t>
            </w:r>
            <w:r w:rsidRPr="00BE4104">
              <w:rPr>
                <w:rFonts w:ascii="Times New Roman" w:eastAsia="Times New Roman" w:hAnsi="Times New Roman" w:cs="Times New Roman"/>
                <w:sz w:val="20"/>
                <w:szCs w:val="20"/>
                <w:lang w:eastAsia="lv-LV"/>
              </w:rPr>
              <w:lastRenderedPageBreak/>
              <w:t xml:space="preserve">brīdi, kad tas paziņots adresātam, nevis adresāts par to ir informēts, vai administratīvais akts tam ir nosūtīts. Proti, likumprojekta 18. panta septītajā un astotajā daļā, attiecībā uz administratīvā akta adresātu (ieguldījumu brokeru sabiedrību) lēmums ir jāpaziņo nevis par to </w:t>
            </w:r>
            <w:proofErr w:type="spellStart"/>
            <w:r w:rsidRPr="00BE4104">
              <w:rPr>
                <w:rFonts w:ascii="Times New Roman" w:eastAsia="Times New Roman" w:hAnsi="Times New Roman" w:cs="Times New Roman"/>
                <w:sz w:val="20"/>
                <w:szCs w:val="20"/>
                <w:lang w:eastAsia="lv-LV"/>
              </w:rPr>
              <w:t>rakstveidā</w:t>
            </w:r>
            <w:proofErr w:type="spellEnd"/>
            <w:r w:rsidRPr="00BE4104">
              <w:rPr>
                <w:rFonts w:ascii="Times New Roman" w:eastAsia="Times New Roman" w:hAnsi="Times New Roman" w:cs="Times New Roman"/>
                <w:sz w:val="20"/>
                <w:szCs w:val="20"/>
                <w:lang w:eastAsia="lv-LV"/>
              </w:rPr>
              <w:t xml:space="preserve"> jāinformē, savukārt attiecīgās dalībvalsts uzraudzības institūcijas par lēmumu var tikt informētas. Ievērojot minēto, lūdzam precizēt likumprojektu atbilstoši Administratīvā procesa likumā lietotajai terminoloģijai.</w:t>
            </w:r>
          </w:p>
          <w:p w14:paraId="5B38369A" w14:textId="77777777" w:rsidR="007D6D6F" w:rsidRPr="00BE4104" w:rsidRDefault="007D6D6F" w:rsidP="007D6D6F">
            <w:pPr>
              <w:spacing w:after="0" w:line="240" w:lineRule="auto"/>
              <w:jc w:val="both"/>
              <w:rPr>
                <w:rFonts w:ascii="Times New Roman" w:eastAsia="Times New Roman" w:hAnsi="Times New Roman" w:cs="Times New Roman"/>
                <w:sz w:val="20"/>
                <w:szCs w:val="20"/>
                <w:lang w:eastAsia="lv-LV"/>
              </w:rPr>
            </w:pPr>
            <w:r w:rsidRPr="00BE4104">
              <w:rPr>
                <w:rFonts w:ascii="Times New Roman" w:eastAsia="Times New Roman" w:hAnsi="Times New Roman" w:cs="Times New Roman"/>
                <w:sz w:val="20"/>
                <w:szCs w:val="20"/>
                <w:lang w:eastAsia="lv-LV"/>
              </w:rPr>
              <w:t xml:space="preserve">Vienlaikus atkārtoti norādām, ka nav skaidrs, ar ko atšķiras likumprojekta 18. panta septītajā un astotajā daļā ietvertais Komisijas lēmums neatļaut ieguldījumu brokeru sabiedrībai uzsākt ieguldījumu pakalpojumu un ieguldījumu </w:t>
            </w:r>
            <w:proofErr w:type="spellStart"/>
            <w:r w:rsidRPr="00BE4104">
              <w:rPr>
                <w:rFonts w:ascii="Times New Roman" w:eastAsia="Times New Roman" w:hAnsi="Times New Roman" w:cs="Times New Roman"/>
                <w:sz w:val="20"/>
                <w:szCs w:val="20"/>
                <w:lang w:eastAsia="lv-LV"/>
              </w:rPr>
              <w:t>blakuspakalpojumu</w:t>
            </w:r>
            <w:proofErr w:type="spellEnd"/>
            <w:r w:rsidRPr="00BE4104">
              <w:rPr>
                <w:rFonts w:ascii="Times New Roman" w:eastAsia="Times New Roman" w:hAnsi="Times New Roman" w:cs="Times New Roman"/>
                <w:sz w:val="20"/>
                <w:szCs w:val="20"/>
                <w:lang w:eastAsia="lv-LV"/>
              </w:rPr>
              <w:t xml:space="preserve"> sniegšanu kādā no dalībvalstīm, atverot filiāli, ja ieguldījumu brokeru sabiedrības pārvaldes struktūra vai finansiālā situācija nav atbilstoša jeb neatbilst plānotajai darbībai. Tā kā likumprojekta 18. panta septītā daļa minētajam lēmumam noteic viena mēneša termiņu, savukārt likumprojekta 18. panta astotā daļa minētajam lēmumam noteic sešu mēnešu termiņu, lūdzam papildināt anotāciju ar skaidrojumu vai atbilstoši precizēt likumprojektu. </w:t>
            </w:r>
          </w:p>
          <w:p w14:paraId="7F8672F2" w14:textId="28565E1F" w:rsidR="007D6D6F" w:rsidRPr="007D6D6F" w:rsidRDefault="007D6D6F" w:rsidP="007D6D6F">
            <w:pPr>
              <w:spacing w:after="0" w:line="240" w:lineRule="auto"/>
              <w:jc w:val="both"/>
              <w:rPr>
                <w:rFonts w:ascii="Times New Roman" w:eastAsia="Times New Roman" w:hAnsi="Times New Roman" w:cs="Times New Roman"/>
                <w:sz w:val="20"/>
                <w:szCs w:val="20"/>
                <w:lang w:eastAsia="lv-LV"/>
              </w:rPr>
            </w:pPr>
            <w:r w:rsidRPr="00BE4104">
              <w:rPr>
                <w:rFonts w:ascii="Times New Roman" w:eastAsia="Times New Roman" w:hAnsi="Times New Roman" w:cs="Times New Roman"/>
                <w:sz w:val="20"/>
                <w:szCs w:val="20"/>
                <w:lang w:eastAsia="lv-LV"/>
              </w:rPr>
              <w:t>Tāpat atkārtoti vēršam uzmanību, ka nav skaidrs, kāpēc likumprojekta 18. panta vienpadsmitā daļa atkārtoti noteic viena mēneša termiņu šā panta septītajā daļā minēto dokumentu izskatīšanai, ja no likumprojekta 18. panta septītās daļas jau izriet, ka Komisija izskata iesniegumu un tam pievienotos dokumentus mēneša laikā. Ievērojot minēto, lūdzam precizēt likumprojekta 18. panta vienpadsmito daļu vai sniegt skaidrojumu anotācijā.</w:t>
            </w:r>
          </w:p>
        </w:tc>
        <w:tc>
          <w:tcPr>
            <w:tcW w:w="848" w:type="pct"/>
            <w:gridSpan w:val="2"/>
            <w:tcBorders>
              <w:top w:val="single" w:sz="6" w:space="0" w:color="000000"/>
              <w:left w:val="single" w:sz="6" w:space="0" w:color="000000"/>
              <w:bottom w:val="single" w:sz="6" w:space="0" w:color="000000"/>
              <w:right w:val="single" w:sz="6" w:space="0" w:color="000000"/>
            </w:tcBorders>
          </w:tcPr>
          <w:p w14:paraId="20D454DF" w14:textId="623B26F7" w:rsidR="007D6D6F" w:rsidRDefault="00A109D2" w:rsidP="007D6D6F">
            <w:pPr>
              <w:spacing w:after="0" w:line="240" w:lineRule="auto"/>
              <w:jc w:val="both"/>
              <w:rPr>
                <w:rFonts w:ascii="Times New Roman" w:eastAsia="Times New Roman" w:hAnsi="Times New Roman" w:cs="Times New Roman"/>
                <w:sz w:val="20"/>
                <w:szCs w:val="20"/>
                <w:lang w:eastAsia="lv-LV"/>
              </w:rPr>
            </w:pPr>
            <w:r w:rsidRPr="00A109D2">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sidRPr="00A109D2">
              <w:rPr>
                <w:rFonts w:ascii="Times New Roman" w:eastAsia="Times New Roman" w:hAnsi="Times New Roman" w:cs="Times New Roman"/>
                <w:sz w:val="20"/>
                <w:szCs w:val="20"/>
                <w:lang w:eastAsia="lv-LV"/>
              </w:rPr>
              <w:t>Likumprojekta 18.panta septītā un astotā precizēta atbilstoši Direktīvas 2014/65/ES prasībām.</w:t>
            </w:r>
            <w:r w:rsidR="007D6D6F">
              <w:rPr>
                <w:rFonts w:ascii="Times New Roman" w:eastAsia="Times New Roman" w:hAnsi="Times New Roman" w:cs="Times New Roman"/>
                <w:sz w:val="20"/>
                <w:szCs w:val="20"/>
                <w:lang w:eastAsia="lv-LV"/>
              </w:rPr>
              <w:t xml:space="preserve"> Attiecībā uz 18.panta septītās un astotās daļas termiņiem lūdzam skatīt 8.iebildumu, proti, anotācijas I sadaļas 2.punkts ir papildināts ar sekojošo:</w:t>
            </w:r>
          </w:p>
          <w:p w14:paraId="0CC8B945"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18.panta septītās daļas termiņš atbilst Direktīvas Nr. 2014/65/ES 34.panta 4.punkta termiņam, proti, minētā direktīva norma paredz formulējumu “vismaz mēnesi [….]”. Tāpat, 18.panta astotās daļas termiņš atbilst Direktīvas Nr. 2014/65/ES 35.panta 5.punktā noteiktajam termiņam, proti, minētā direktīva nosaka šo trīs mēnešu termiņu.”.</w:t>
            </w:r>
          </w:p>
          <w:p w14:paraId="0B783FC5" w14:textId="77777777" w:rsidR="007D6D6F" w:rsidRPr="00A109D2" w:rsidRDefault="007D6D6F" w:rsidP="007D6D6F">
            <w:pPr>
              <w:spacing w:after="0" w:line="240" w:lineRule="auto"/>
              <w:jc w:val="both"/>
              <w:rPr>
                <w:rFonts w:ascii="Times New Roman" w:eastAsia="Times New Roman" w:hAnsi="Times New Roman" w:cs="Times New Roman"/>
                <w:sz w:val="20"/>
                <w:szCs w:val="20"/>
                <w:lang w:eastAsia="lv-LV"/>
              </w:rPr>
            </w:pPr>
            <w:r w:rsidRPr="00A109D2">
              <w:rPr>
                <w:rFonts w:ascii="Times New Roman" w:eastAsia="Times New Roman" w:hAnsi="Times New Roman" w:cs="Times New Roman"/>
                <w:sz w:val="20"/>
                <w:szCs w:val="20"/>
                <w:lang w:eastAsia="lv-LV"/>
              </w:rPr>
              <w:t>Likumprojekta 18.panta vienpadsmitā daļa ir izslēgta no likumprojekta, attiecīgi precizējot turpmāko daļu numerāciju.</w:t>
            </w:r>
          </w:p>
          <w:p w14:paraId="63F4B54F" w14:textId="1F3328C8" w:rsidR="007D6D6F" w:rsidRDefault="007D6D6F" w:rsidP="007D6D6F">
            <w:pPr>
              <w:spacing w:after="0" w:line="240" w:lineRule="auto"/>
              <w:jc w:val="both"/>
              <w:rPr>
                <w:rFonts w:ascii="Times New Roman" w:eastAsia="Times New Roman" w:hAnsi="Times New Roman" w:cs="Times New Roman"/>
                <w:b/>
                <w:bCs/>
                <w:sz w:val="20"/>
                <w:szCs w:val="20"/>
                <w:lang w:eastAsia="lv-LV"/>
              </w:rPr>
            </w:pPr>
            <w:r w:rsidRPr="006E77F6">
              <w:rPr>
                <w:rFonts w:ascii="Times New Roman" w:eastAsia="Times New Roman" w:hAnsi="Times New Roman" w:cs="Times New Roman"/>
                <w:sz w:val="20"/>
                <w:szCs w:val="20"/>
                <w:lang w:eastAsia="lv-LV"/>
              </w:rPr>
              <w:t>Papildus atgādinām, ka likumprojekta 18.panta regulējums ir Finanšu instrumentu tirgus likuma 113.pants, proti, tas ir spēkā esošs regulējums, kurā ir pārņemtas Direktīvas Nr. 2014/65/ES prasības.</w:t>
            </w:r>
          </w:p>
        </w:tc>
        <w:tc>
          <w:tcPr>
            <w:tcW w:w="936" w:type="pct"/>
            <w:tcBorders>
              <w:top w:val="single" w:sz="4" w:space="0" w:color="auto"/>
              <w:left w:val="single" w:sz="4" w:space="0" w:color="auto"/>
              <w:bottom w:val="single" w:sz="4" w:space="0" w:color="auto"/>
              <w:right w:val="single" w:sz="4" w:space="0" w:color="auto"/>
            </w:tcBorders>
          </w:tcPr>
          <w:p w14:paraId="0F3EDB7B" w14:textId="77777777" w:rsidR="007D6D6F" w:rsidRPr="008229A6" w:rsidRDefault="007D6D6F" w:rsidP="007D6D6F">
            <w:pPr>
              <w:spacing w:after="0" w:line="240" w:lineRule="auto"/>
              <w:jc w:val="both"/>
              <w:rPr>
                <w:rFonts w:ascii="Times New Roman" w:eastAsia="Times New Roman" w:hAnsi="Times New Roman" w:cs="Times New Roman"/>
                <w:b/>
                <w:bCs/>
                <w:sz w:val="20"/>
                <w:szCs w:val="20"/>
                <w:lang w:eastAsia="lv-LV"/>
              </w:rPr>
            </w:pPr>
            <w:r w:rsidRPr="008229A6">
              <w:rPr>
                <w:rFonts w:ascii="Times New Roman" w:eastAsia="Times New Roman" w:hAnsi="Times New Roman" w:cs="Times New Roman"/>
                <w:b/>
                <w:bCs/>
                <w:sz w:val="20"/>
                <w:szCs w:val="20"/>
                <w:lang w:eastAsia="lv-LV"/>
              </w:rPr>
              <w:t xml:space="preserve">18.pants. Kārtība, kādā Latvijas Republikā reģistrēta ieguldījumu brokeru sabiedrība  uzsāk ieguldījumu pakalpojumu un ieguldījumu </w:t>
            </w:r>
            <w:proofErr w:type="spellStart"/>
            <w:r w:rsidRPr="008229A6">
              <w:rPr>
                <w:rFonts w:ascii="Times New Roman" w:eastAsia="Times New Roman" w:hAnsi="Times New Roman" w:cs="Times New Roman"/>
                <w:b/>
                <w:bCs/>
                <w:sz w:val="20"/>
                <w:szCs w:val="20"/>
                <w:lang w:eastAsia="lv-LV"/>
              </w:rPr>
              <w:t>blakuspakalpojumu</w:t>
            </w:r>
            <w:proofErr w:type="spellEnd"/>
            <w:r w:rsidRPr="008229A6">
              <w:rPr>
                <w:rFonts w:ascii="Times New Roman" w:eastAsia="Times New Roman" w:hAnsi="Times New Roman" w:cs="Times New Roman"/>
                <w:b/>
                <w:bCs/>
                <w:sz w:val="20"/>
                <w:szCs w:val="20"/>
                <w:lang w:eastAsia="lv-LV"/>
              </w:rPr>
              <w:t xml:space="preserve"> sniegšanu citā dalībvalstī</w:t>
            </w:r>
          </w:p>
          <w:p w14:paraId="7976B727" w14:textId="77777777" w:rsidR="007D6D6F" w:rsidRPr="008229A6" w:rsidRDefault="007D6D6F" w:rsidP="007D6D6F">
            <w:pPr>
              <w:spacing w:after="0" w:line="240" w:lineRule="auto"/>
              <w:jc w:val="both"/>
              <w:rPr>
                <w:rFonts w:ascii="Times New Roman" w:eastAsia="Times New Roman" w:hAnsi="Times New Roman" w:cs="Times New Roman"/>
                <w:sz w:val="20"/>
                <w:szCs w:val="20"/>
                <w:lang w:eastAsia="lv-LV"/>
              </w:rPr>
            </w:pPr>
            <w:r w:rsidRPr="008229A6">
              <w:rPr>
                <w:rFonts w:ascii="Times New Roman" w:eastAsia="Times New Roman" w:hAnsi="Times New Roman" w:cs="Times New Roman"/>
                <w:sz w:val="20"/>
                <w:szCs w:val="20"/>
                <w:lang w:eastAsia="lv-LV"/>
              </w:rPr>
              <w:t xml:space="preserve">(7) Iesniegumu par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sniegšanas uzsākšanu citā dalībvalstī </w:t>
            </w:r>
            <w:r w:rsidRPr="008229A6">
              <w:rPr>
                <w:rFonts w:ascii="Times New Roman" w:eastAsia="Times New Roman" w:hAnsi="Times New Roman" w:cs="Times New Roman"/>
                <w:sz w:val="20"/>
                <w:szCs w:val="20"/>
                <w:u w:val="single"/>
                <w:lang w:eastAsia="lv-LV"/>
              </w:rPr>
              <w:t>neatverot filiāli</w:t>
            </w:r>
            <w:r w:rsidRPr="008229A6">
              <w:rPr>
                <w:rFonts w:ascii="Times New Roman" w:eastAsia="Times New Roman" w:hAnsi="Times New Roman" w:cs="Times New Roman"/>
                <w:sz w:val="20"/>
                <w:szCs w:val="20"/>
                <w:lang w:eastAsia="lv-LV"/>
              </w:rPr>
              <w:t xml:space="preserve"> Komisija izskata viena mēneša laikā pēc visu nepieciešamo atbilstoši šā likuma prasībām sagatavoto un noformēto dokumentu saņemšanas un </w:t>
            </w:r>
            <w:r w:rsidRPr="008229A6">
              <w:rPr>
                <w:rFonts w:ascii="Times New Roman" w:eastAsia="Times New Roman" w:hAnsi="Times New Roman" w:cs="Times New Roman"/>
                <w:sz w:val="20"/>
                <w:szCs w:val="20"/>
                <w:u w:val="single"/>
                <w:lang w:eastAsia="lv-LV"/>
              </w:rPr>
              <w:t>lēmumu paziņo</w:t>
            </w:r>
            <w:r w:rsidRPr="008229A6">
              <w:rPr>
                <w:rFonts w:ascii="Times New Roman" w:eastAsia="Times New Roman" w:hAnsi="Times New Roman" w:cs="Times New Roman"/>
                <w:sz w:val="20"/>
                <w:szCs w:val="20"/>
                <w:lang w:eastAsia="lv-LV"/>
              </w:rPr>
              <w:t xml:space="preserve"> attiecīgās dalībvalsts uzraudzības institūciju un attiecīgo ieguldījumu brokeru sabiedrību. Komisija pieņem lēmumu neatļaut ieguldījumu brokeru sabiedrībai uzsākt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sniegšanu kādā no dalībvalstīm </w:t>
            </w:r>
            <w:r w:rsidRPr="008229A6">
              <w:rPr>
                <w:rFonts w:ascii="Times New Roman" w:eastAsia="Times New Roman" w:hAnsi="Times New Roman" w:cs="Times New Roman"/>
                <w:sz w:val="20"/>
                <w:szCs w:val="20"/>
                <w:u w:val="single"/>
                <w:lang w:eastAsia="lv-LV"/>
              </w:rPr>
              <w:t>neatverot filiāli</w:t>
            </w:r>
            <w:r w:rsidRPr="008229A6">
              <w:rPr>
                <w:rFonts w:ascii="Times New Roman" w:eastAsia="Times New Roman" w:hAnsi="Times New Roman" w:cs="Times New Roman"/>
                <w:sz w:val="20"/>
                <w:szCs w:val="20"/>
                <w:lang w:eastAsia="lv-LV"/>
              </w:rPr>
              <w:t>, ja ieguldījumu brokeru sabiedrības pārvaldes struktūra vai finansiālā situācija nav atbilstoša plānotajai darbībai.</w:t>
            </w:r>
          </w:p>
          <w:p w14:paraId="3DDC7A3B" w14:textId="5A5D3938" w:rsidR="007D6D6F" w:rsidRDefault="007D6D6F" w:rsidP="007D6D6F">
            <w:pPr>
              <w:tabs>
                <w:tab w:val="left" w:pos="3822"/>
              </w:tabs>
              <w:spacing w:after="0" w:line="240" w:lineRule="auto"/>
              <w:jc w:val="both"/>
              <w:rPr>
                <w:rFonts w:ascii="Times New Roman" w:eastAsia="Times New Roman" w:hAnsi="Times New Roman" w:cs="Times New Roman"/>
                <w:sz w:val="20"/>
              </w:rPr>
            </w:pPr>
            <w:r w:rsidRPr="008229A6">
              <w:rPr>
                <w:rFonts w:ascii="Times New Roman" w:eastAsia="Times New Roman" w:hAnsi="Times New Roman" w:cs="Times New Roman"/>
                <w:sz w:val="20"/>
                <w:szCs w:val="20"/>
                <w:lang w:eastAsia="lv-LV"/>
              </w:rPr>
              <w:t xml:space="preserve">(8) Iesniegumu par ieguldījumu 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sniegšanas uzsākšanu citā dalībvalstī, </w:t>
            </w:r>
            <w:r w:rsidRPr="008229A6">
              <w:rPr>
                <w:rFonts w:ascii="Times New Roman" w:eastAsia="Times New Roman" w:hAnsi="Times New Roman" w:cs="Times New Roman"/>
                <w:sz w:val="20"/>
                <w:szCs w:val="20"/>
                <w:u w:val="single"/>
                <w:lang w:eastAsia="lv-LV"/>
              </w:rPr>
              <w:t>atverot filiāli</w:t>
            </w:r>
            <w:r w:rsidRPr="008229A6">
              <w:rPr>
                <w:rFonts w:ascii="Times New Roman" w:eastAsia="Times New Roman" w:hAnsi="Times New Roman" w:cs="Times New Roman"/>
                <w:sz w:val="20"/>
                <w:szCs w:val="20"/>
                <w:lang w:eastAsia="lv-LV"/>
              </w:rPr>
              <w:t xml:space="preserve">, Komisija izskata </w:t>
            </w:r>
            <w:r w:rsidRPr="008229A6">
              <w:rPr>
                <w:rFonts w:ascii="Times New Roman" w:eastAsia="Times New Roman" w:hAnsi="Times New Roman" w:cs="Times New Roman"/>
                <w:sz w:val="20"/>
                <w:szCs w:val="20"/>
                <w:u w:val="single"/>
                <w:lang w:eastAsia="lv-LV"/>
              </w:rPr>
              <w:t>trīs mēneša</w:t>
            </w:r>
            <w:r w:rsidRPr="008229A6">
              <w:rPr>
                <w:rFonts w:ascii="Times New Roman" w:eastAsia="Times New Roman" w:hAnsi="Times New Roman" w:cs="Times New Roman"/>
                <w:sz w:val="20"/>
                <w:szCs w:val="20"/>
                <w:lang w:eastAsia="lv-LV"/>
              </w:rPr>
              <w:t xml:space="preserve"> laikā pēc visu nepieciešamo atbilstoši šā likuma prasībām sagatavoto un noformēto dokumentu saņemšanas un </w:t>
            </w:r>
            <w:r w:rsidRPr="008229A6">
              <w:rPr>
                <w:rFonts w:ascii="Times New Roman" w:eastAsia="Times New Roman" w:hAnsi="Times New Roman" w:cs="Times New Roman"/>
                <w:sz w:val="20"/>
                <w:szCs w:val="20"/>
                <w:u w:val="single"/>
                <w:lang w:eastAsia="lv-LV"/>
              </w:rPr>
              <w:t>lēmumu paziņo</w:t>
            </w:r>
            <w:r w:rsidRPr="008229A6">
              <w:rPr>
                <w:rFonts w:ascii="Times New Roman" w:eastAsia="Times New Roman" w:hAnsi="Times New Roman" w:cs="Times New Roman"/>
                <w:sz w:val="20"/>
                <w:szCs w:val="20"/>
                <w:lang w:eastAsia="lv-LV"/>
              </w:rPr>
              <w:t xml:space="preserve"> attiecīgās dalībvalsts uzraudzības institūciju un attiecīgo ieguldījumu brokeru sabiedrību. Komisija </w:t>
            </w:r>
            <w:r w:rsidRPr="008229A6">
              <w:rPr>
                <w:rFonts w:ascii="Times New Roman" w:eastAsia="Times New Roman" w:hAnsi="Times New Roman" w:cs="Times New Roman"/>
                <w:sz w:val="20"/>
                <w:szCs w:val="20"/>
                <w:u w:val="single"/>
                <w:lang w:eastAsia="lv-LV"/>
              </w:rPr>
              <w:t>trīs mēnešu</w:t>
            </w:r>
            <w:r w:rsidRPr="008229A6">
              <w:rPr>
                <w:rFonts w:ascii="Times New Roman" w:eastAsia="Times New Roman" w:hAnsi="Times New Roman" w:cs="Times New Roman"/>
                <w:sz w:val="20"/>
                <w:szCs w:val="20"/>
                <w:lang w:eastAsia="lv-LV"/>
              </w:rPr>
              <w:t xml:space="preserve"> laikā pēc visu nepieciešamo atbilstoši šā likuma prasībām sagatavoto un noformēto dokumentu saņemšanas pieņem lēmumu neatļaut ieguldījumu brokeru sabiedrībai uzsākt ieguldījumu </w:t>
            </w:r>
            <w:r w:rsidRPr="008229A6">
              <w:rPr>
                <w:rFonts w:ascii="Times New Roman" w:eastAsia="Times New Roman" w:hAnsi="Times New Roman" w:cs="Times New Roman"/>
                <w:sz w:val="20"/>
                <w:szCs w:val="20"/>
                <w:lang w:eastAsia="lv-LV"/>
              </w:rPr>
              <w:lastRenderedPageBreak/>
              <w:t xml:space="preserve">pakalpojumu un ieguldījumu </w:t>
            </w:r>
            <w:proofErr w:type="spellStart"/>
            <w:r w:rsidRPr="008229A6">
              <w:rPr>
                <w:rFonts w:ascii="Times New Roman" w:eastAsia="Times New Roman" w:hAnsi="Times New Roman" w:cs="Times New Roman"/>
                <w:sz w:val="20"/>
                <w:szCs w:val="20"/>
                <w:lang w:eastAsia="lv-LV"/>
              </w:rPr>
              <w:t>blakuspakalpojumu</w:t>
            </w:r>
            <w:proofErr w:type="spellEnd"/>
            <w:r w:rsidRPr="008229A6">
              <w:rPr>
                <w:rFonts w:ascii="Times New Roman" w:eastAsia="Times New Roman" w:hAnsi="Times New Roman" w:cs="Times New Roman"/>
                <w:sz w:val="20"/>
                <w:szCs w:val="20"/>
                <w:lang w:eastAsia="lv-LV"/>
              </w:rPr>
              <w:t xml:space="preserve"> sniegšanu kādā no dalībvalstīm, </w:t>
            </w:r>
            <w:r w:rsidRPr="008229A6">
              <w:rPr>
                <w:rFonts w:ascii="Times New Roman" w:eastAsia="Times New Roman" w:hAnsi="Times New Roman" w:cs="Times New Roman"/>
                <w:sz w:val="20"/>
                <w:szCs w:val="20"/>
                <w:u w:val="single"/>
                <w:lang w:eastAsia="lv-LV"/>
              </w:rPr>
              <w:t>atverot filiāli vai izmantojot piesaistītos aģentus</w:t>
            </w:r>
            <w:r w:rsidRPr="008229A6">
              <w:rPr>
                <w:rFonts w:ascii="Times New Roman" w:eastAsia="Times New Roman" w:hAnsi="Times New Roman" w:cs="Times New Roman"/>
                <w:sz w:val="20"/>
                <w:szCs w:val="20"/>
                <w:lang w:eastAsia="lv-LV"/>
              </w:rPr>
              <w:t xml:space="preserve">, ja ieguldījumu brokeru sabiedrības pārvaldes struktūra vai finansiālā situācija neatbilst plānotajai darbībai. Komisija </w:t>
            </w:r>
            <w:r w:rsidRPr="008229A6">
              <w:rPr>
                <w:rFonts w:ascii="Times New Roman" w:eastAsia="Times New Roman" w:hAnsi="Times New Roman" w:cs="Times New Roman"/>
                <w:sz w:val="20"/>
                <w:szCs w:val="20"/>
                <w:u w:val="single"/>
                <w:lang w:eastAsia="lv-LV"/>
              </w:rPr>
              <w:t>lēmumu paziņo</w:t>
            </w:r>
            <w:r w:rsidRPr="008229A6">
              <w:rPr>
                <w:rFonts w:ascii="Times New Roman" w:eastAsia="Times New Roman" w:hAnsi="Times New Roman" w:cs="Times New Roman"/>
                <w:sz w:val="20"/>
                <w:szCs w:val="20"/>
                <w:lang w:eastAsia="lv-LV"/>
              </w:rPr>
              <w:t xml:space="preserve"> attiecīgās dalībvalsts uzraudzības institūciju un ieguldījumu brokeru sabiedrību.</w:t>
            </w:r>
          </w:p>
        </w:tc>
      </w:tr>
      <w:tr w:rsidR="007D6D6F" w:rsidRPr="00184920" w14:paraId="42820CB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1A47801" w14:textId="6BBBB6C7"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14.</w:t>
            </w:r>
          </w:p>
        </w:tc>
        <w:tc>
          <w:tcPr>
            <w:tcW w:w="692" w:type="pct"/>
            <w:tcBorders>
              <w:top w:val="single" w:sz="6" w:space="0" w:color="000000"/>
              <w:left w:val="single" w:sz="6" w:space="0" w:color="000000"/>
              <w:bottom w:val="single" w:sz="6" w:space="0" w:color="000000"/>
              <w:right w:val="single" w:sz="6" w:space="0" w:color="000000"/>
            </w:tcBorders>
          </w:tcPr>
          <w:p w14:paraId="436A2656" w14:textId="77777777" w:rsidR="007D6D6F" w:rsidRPr="00C56A30" w:rsidRDefault="007D6D6F" w:rsidP="007D6D6F">
            <w:pPr>
              <w:pStyle w:val="NoSpacing"/>
              <w:widowControl/>
              <w:rPr>
                <w:rFonts w:eastAsia="Times New Roman"/>
                <w:color w:val="414142"/>
                <w:sz w:val="20"/>
                <w:szCs w:val="20"/>
                <w:lang w:eastAsia="lv-LV"/>
              </w:rPr>
            </w:pPr>
            <w:r w:rsidRPr="00C56A30">
              <w:rPr>
                <w:rFonts w:eastAsiaTheme="minorHAnsi"/>
                <w:b/>
                <w:bCs/>
                <w:sz w:val="20"/>
                <w:szCs w:val="20"/>
              </w:rPr>
              <w:t>24.pants. Tiesības iegūt būtisku līdzdalību</w:t>
            </w:r>
          </w:p>
          <w:p w14:paraId="7D9CAB3B" w14:textId="5A4D8396" w:rsidR="007D6D6F" w:rsidRPr="00C56A30" w:rsidRDefault="007D6D6F" w:rsidP="007D6D6F">
            <w:pPr>
              <w:spacing w:after="0" w:line="240" w:lineRule="auto"/>
              <w:jc w:val="both"/>
              <w:rPr>
                <w:rFonts w:ascii="Times New Roman" w:eastAsia="Times New Roman" w:hAnsi="Times New Roman" w:cs="Times New Roman"/>
                <w:sz w:val="20"/>
                <w:lang w:eastAsia="lv-LV"/>
              </w:rPr>
            </w:pPr>
            <w:r w:rsidRPr="00C56A30">
              <w:rPr>
                <w:rFonts w:ascii="Times New Roman" w:hAnsi="Times New Roman" w:cs="Times New Roman"/>
                <w:bCs/>
                <w:sz w:val="20"/>
                <w:szCs w:val="20"/>
              </w:rPr>
              <w:t xml:space="preserve">(4) Ja personas, kuras tiek turētas aizdomās par būtiskas līdzdalības iegūšanu ieguldījumu brokeru sabiedrībā, nesniedz vai atsakās sniegt šā panta otrajā vai trešajā daļā minēto informāciju un kopā to līdzdalība aptver 10 un vairāk procentus no </w:t>
            </w:r>
            <w:r w:rsidRPr="00C56A30">
              <w:rPr>
                <w:rFonts w:ascii="Times New Roman" w:hAnsi="Times New Roman" w:cs="Times New Roman"/>
                <w:bCs/>
                <w:sz w:val="20"/>
                <w:szCs w:val="20"/>
              </w:rPr>
              <w:lastRenderedPageBreak/>
              <w:t>ieguldījumu brokeru sabiedrības pamatkapitāla vai balsstiesīgo akciju vai daļu skaita, šie akcionāri vai dalībnieki nevar izmantot visu tiem piederošo akciju balsstiesības. Komisija nekavējoties par šo faktu informē attiecīgos akcionārus vai dalībniekus un ieguldījumu brokeru sabiedrību.</w:t>
            </w:r>
          </w:p>
        </w:tc>
        <w:tc>
          <w:tcPr>
            <w:tcW w:w="1309" w:type="pct"/>
            <w:tcBorders>
              <w:top w:val="single" w:sz="6" w:space="0" w:color="000000"/>
              <w:left w:val="single" w:sz="6" w:space="0" w:color="000000"/>
              <w:bottom w:val="single" w:sz="6" w:space="0" w:color="000000"/>
              <w:right w:val="single" w:sz="6" w:space="0" w:color="000000"/>
            </w:tcBorders>
          </w:tcPr>
          <w:p w14:paraId="7E61F3B6" w14:textId="3BC1C71E" w:rsidR="007D6D6F" w:rsidRPr="00C56A3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lastRenderedPageBreak/>
              <w:t>Iebildums.</w:t>
            </w:r>
            <w:r w:rsidRPr="00C56A30">
              <w:rPr>
                <w:rFonts w:ascii="Times New Roman" w:hAnsi="Times New Roman" w:cs="Times New Roman"/>
                <w:sz w:val="20"/>
                <w:szCs w:val="20"/>
              </w:rPr>
              <w:t xml:space="preserve"> Likumprojekta 24. panta ceturtajā daļā paredzēts, ka Komisija var uzlikt akcionāriem vai dalībniekiem ierobežojumu, kas neļauj tiem izmantot visas tiem piederošo akciju balsstiesības, pirms tam informējot par šo faktu akcionārus vai dalībniekus un ieguldījumu brokeru sabiedrību. Lūdzam precizēt šo normu, paredzot, </w:t>
            </w:r>
            <w:r w:rsidRPr="00105957">
              <w:rPr>
                <w:rFonts w:ascii="Times New Roman" w:hAnsi="Times New Roman" w:cs="Times New Roman"/>
                <w:sz w:val="20"/>
                <w:szCs w:val="20"/>
              </w:rPr>
              <w:t>ka Komisija informē attiecīgos subjektus ne tikai par balsstiesību ierobežošanas faktu, bet arī par to, cik lielā apmērā šīs balsstiesības ir ierobežotas.</w:t>
            </w:r>
          </w:p>
        </w:tc>
        <w:tc>
          <w:tcPr>
            <w:tcW w:w="848" w:type="pct"/>
            <w:gridSpan w:val="2"/>
            <w:tcBorders>
              <w:top w:val="single" w:sz="6" w:space="0" w:color="000000"/>
              <w:left w:val="single" w:sz="6" w:space="0" w:color="000000"/>
              <w:bottom w:val="single" w:sz="6" w:space="0" w:color="000000"/>
              <w:right w:val="single" w:sz="6" w:space="0" w:color="000000"/>
            </w:tcBorders>
          </w:tcPr>
          <w:p w14:paraId="0ECF81EF" w14:textId="71FAD9BE" w:rsidR="007D6D6F" w:rsidRPr="00105957" w:rsidRDefault="007D6D6F" w:rsidP="007D6D6F">
            <w:pPr>
              <w:spacing w:after="0" w:line="240" w:lineRule="auto"/>
              <w:jc w:val="both"/>
              <w:rPr>
                <w:rFonts w:ascii="Times New Roman" w:eastAsia="Times New Roman" w:hAnsi="Times New Roman" w:cs="Times New Roman"/>
                <w:sz w:val="20"/>
                <w:szCs w:val="20"/>
                <w:lang w:eastAsia="lv-LV"/>
              </w:rPr>
            </w:pPr>
            <w:r w:rsidRPr="00105957">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Likumprojekta 24.panta ceturtā daļa attiecīgi precizēta.</w:t>
            </w:r>
          </w:p>
        </w:tc>
        <w:tc>
          <w:tcPr>
            <w:tcW w:w="936" w:type="pct"/>
            <w:tcBorders>
              <w:top w:val="single" w:sz="4" w:space="0" w:color="auto"/>
              <w:left w:val="single" w:sz="4" w:space="0" w:color="auto"/>
              <w:bottom w:val="single" w:sz="4" w:space="0" w:color="auto"/>
              <w:right w:val="single" w:sz="4" w:space="0" w:color="auto"/>
            </w:tcBorders>
          </w:tcPr>
          <w:p w14:paraId="567A6163"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24.panta ceturtā daļa:</w:t>
            </w:r>
          </w:p>
          <w:p w14:paraId="5F952C86" w14:textId="77777777" w:rsidR="007D6D6F" w:rsidRPr="00C56A30" w:rsidRDefault="007D6D6F" w:rsidP="007D6D6F">
            <w:pPr>
              <w:pStyle w:val="NoSpacing"/>
              <w:widowControl/>
              <w:rPr>
                <w:rFonts w:eastAsia="Times New Roman"/>
                <w:color w:val="414142"/>
                <w:sz w:val="20"/>
                <w:szCs w:val="20"/>
                <w:lang w:eastAsia="lv-LV"/>
              </w:rPr>
            </w:pPr>
            <w:r w:rsidRPr="00C56A30">
              <w:rPr>
                <w:rFonts w:eastAsiaTheme="minorHAnsi"/>
                <w:b/>
                <w:bCs/>
                <w:sz w:val="20"/>
                <w:szCs w:val="20"/>
              </w:rPr>
              <w:t>24.pants. Tiesības iegūt būtisku līdzdalību</w:t>
            </w:r>
          </w:p>
          <w:p w14:paraId="49B86831" w14:textId="112C619E"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Cs/>
                <w:sz w:val="20"/>
                <w:szCs w:val="20"/>
              </w:rPr>
              <w:t xml:space="preserve">(4) Ja personas, kuras tiek turētas aizdomās par būtiskas līdzdalības iegūšanu ieguldījumu brokeru sabiedrībā, nesniedz vai atsakās sniegt šā panta otrajā vai trešajā daļā minēto informāciju un kopā to līdzdalība aptver 10 un vairāk procentus no ieguldījumu brokeru sabiedrības pamatkapitāla vai balsstiesīgo akciju vai daļu skaita, šie </w:t>
            </w:r>
            <w:r w:rsidRPr="00C56A30">
              <w:rPr>
                <w:rFonts w:ascii="Times New Roman" w:hAnsi="Times New Roman" w:cs="Times New Roman"/>
                <w:bCs/>
                <w:sz w:val="20"/>
                <w:szCs w:val="20"/>
              </w:rPr>
              <w:lastRenderedPageBreak/>
              <w:t>akcionāri vai dalībnieki nevar izmantot visu tiem piederošo akciju balsstiesības. Komisija nekavējoties par šo faktu</w:t>
            </w:r>
            <w:r>
              <w:rPr>
                <w:rFonts w:ascii="Times New Roman" w:hAnsi="Times New Roman" w:cs="Times New Roman"/>
                <w:bCs/>
                <w:sz w:val="20"/>
                <w:szCs w:val="20"/>
              </w:rPr>
              <w:t xml:space="preserve"> un </w:t>
            </w:r>
            <w:r w:rsidRPr="00C56A30">
              <w:rPr>
                <w:rFonts w:ascii="Times New Roman" w:hAnsi="Times New Roman" w:cs="Times New Roman"/>
                <w:bCs/>
                <w:sz w:val="20"/>
                <w:szCs w:val="20"/>
              </w:rPr>
              <w:t xml:space="preserve"> </w:t>
            </w:r>
            <w:bookmarkStart w:id="8" w:name="_Hlk69892964"/>
            <w:r w:rsidRPr="00105957">
              <w:rPr>
                <w:rFonts w:ascii="Times New Roman" w:hAnsi="Times New Roman" w:cs="Times New Roman"/>
                <w:bCs/>
                <w:sz w:val="20"/>
                <w:szCs w:val="20"/>
                <w:u w:val="single"/>
              </w:rPr>
              <w:t>akciju balsstiesību ierobežojumu apmēru</w:t>
            </w:r>
            <w:bookmarkEnd w:id="8"/>
            <w:r w:rsidRPr="00C56A30">
              <w:rPr>
                <w:rFonts w:ascii="Times New Roman" w:hAnsi="Times New Roman" w:cs="Times New Roman"/>
                <w:bCs/>
                <w:sz w:val="20"/>
                <w:szCs w:val="20"/>
              </w:rPr>
              <w:t xml:space="preserve"> informē attiecīgos akcionārus vai dalībniekus un ieguldījumu brokeru sabiedrību.</w:t>
            </w:r>
          </w:p>
        </w:tc>
      </w:tr>
      <w:tr w:rsidR="007D6D6F" w:rsidRPr="00184920" w14:paraId="413910A6"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22FD946" w14:textId="1A920825"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15.</w:t>
            </w:r>
          </w:p>
        </w:tc>
        <w:tc>
          <w:tcPr>
            <w:tcW w:w="692" w:type="pct"/>
            <w:tcBorders>
              <w:top w:val="single" w:sz="6" w:space="0" w:color="000000"/>
              <w:left w:val="single" w:sz="6" w:space="0" w:color="000000"/>
              <w:bottom w:val="single" w:sz="6" w:space="0" w:color="000000"/>
              <w:right w:val="single" w:sz="6" w:space="0" w:color="000000"/>
            </w:tcBorders>
          </w:tcPr>
          <w:p w14:paraId="49F3E7DB" w14:textId="77777777" w:rsidR="007D6D6F" w:rsidRPr="00C56A30" w:rsidRDefault="007D6D6F" w:rsidP="007D6D6F">
            <w:pPr>
              <w:pStyle w:val="NoSpacing"/>
              <w:widowControl/>
              <w:rPr>
                <w:rFonts w:eastAsiaTheme="minorHAnsi"/>
                <w:b/>
                <w:bCs/>
                <w:sz w:val="20"/>
                <w:szCs w:val="20"/>
              </w:rPr>
            </w:pPr>
            <w:r w:rsidRPr="00C56A30">
              <w:rPr>
                <w:rFonts w:eastAsiaTheme="minorHAnsi"/>
                <w:b/>
                <w:bCs/>
                <w:sz w:val="20"/>
                <w:szCs w:val="20"/>
              </w:rPr>
              <w:t>27.pants. Komisijas tiesības un pienākumi</w:t>
            </w:r>
          </w:p>
          <w:p w14:paraId="2D129FFD" w14:textId="77777777" w:rsidR="007D6D6F" w:rsidRPr="00C56A30" w:rsidRDefault="007D6D6F" w:rsidP="007D6D6F">
            <w:pPr>
              <w:pStyle w:val="NoSpacing"/>
              <w:widowControl/>
              <w:rPr>
                <w:rFonts w:eastAsiaTheme="minorHAnsi"/>
                <w:bCs/>
                <w:sz w:val="20"/>
                <w:szCs w:val="20"/>
              </w:rPr>
            </w:pPr>
            <w:r w:rsidRPr="00C56A30">
              <w:rPr>
                <w:rFonts w:eastAsiaTheme="minorHAnsi"/>
                <w:bCs/>
                <w:sz w:val="20"/>
                <w:szCs w:val="20"/>
              </w:rPr>
              <w:t>(6) Komisija šā panta pirmajā daļā minētajā termiņā pieņem lēmumu, ar kuru aizliedz personai iegūt vai palielināt būtisku līdzdalību ieguldījumu brokeru sabiedrībā, ja:</w:t>
            </w:r>
          </w:p>
          <w:p w14:paraId="50AF1CC2" w14:textId="3E90882C"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C56A30">
              <w:rPr>
                <w:rFonts w:ascii="Times New Roman" w:hAnsi="Times New Roman" w:cs="Times New Roman"/>
                <w:bCs/>
                <w:sz w:val="20"/>
                <w:szCs w:val="20"/>
              </w:rPr>
              <w:t xml:space="preserve">3) no </w:t>
            </w:r>
            <w:r w:rsidRPr="00C56A30">
              <w:rPr>
                <w:rFonts w:ascii="Times New Roman" w:hAnsi="Times New Roman" w:cs="Times New Roman"/>
                <w:bCs/>
                <w:sz w:val="20"/>
                <w:szCs w:val="20"/>
                <w:u w:val="single"/>
              </w:rPr>
              <w:t>personas neatkarīgu apstākļu dēļ</w:t>
            </w:r>
            <w:r w:rsidRPr="00C56A30">
              <w:rPr>
                <w:rFonts w:ascii="Times New Roman" w:hAnsi="Times New Roman" w:cs="Times New Roman"/>
                <w:bCs/>
                <w:sz w:val="20"/>
                <w:szCs w:val="20"/>
              </w:rPr>
              <w:t xml:space="preserve"> tai nav iespējams sniegt šajā likumā noteikto informāciju vai Komisijas pieprasīto papildu informāciju.</w:t>
            </w:r>
          </w:p>
        </w:tc>
        <w:tc>
          <w:tcPr>
            <w:tcW w:w="1309" w:type="pct"/>
            <w:tcBorders>
              <w:top w:val="single" w:sz="6" w:space="0" w:color="000000"/>
              <w:left w:val="single" w:sz="6" w:space="0" w:color="000000"/>
              <w:bottom w:val="single" w:sz="6" w:space="0" w:color="000000"/>
              <w:right w:val="single" w:sz="6" w:space="0" w:color="000000"/>
            </w:tcBorders>
          </w:tcPr>
          <w:p w14:paraId="68EF1F82" w14:textId="1BDD6901" w:rsidR="007D6D6F" w:rsidRPr="00C56A3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Likumprojekta 27. panta sestās daļas 3. punkts paredz, ka Komisija pieņem lēmumu aizliegt personai iegūt vai palielināt būtisku līdzdalību ieguldījumu brokeru sabiedrībā, ja tai no sevis neatkarīgu apstākļu dēļ nav iespējams sniegt likumā noteikto vai Komisijas papildu pieprasīto informāciju. Norādām, ka nav saprotams, kāpēc šāds aizliegums paredzēts arī tad, kad persona no sevis neatkarīgu iemeslu dēļ nevar sniegt informāciju Komisijai, un lūdzam skaidrot, vai šajā normā piemērotāk nebūtu lietot jēdzienu “</w:t>
            </w:r>
            <w:r w:rsidRPr="00C56A30">
              <w:rPr>
                <w:rFonts w:ascii="Times New Roman" w:hAnsi="Times New Roman" w:cs="Times New Roman"/>
                <w:i/>
                <w:iCs/>
                <w:sz w:val="20"/>
                <w:szCs w:val="20"/>
              </w:rPr>
              <w:t>personas darbības vai bezdarbības dēļ</w:t>
            </w:r>
            <w:r w:rsidRPr="00C56A30">
              <w:rPr>
                <w:rFonts w:ascii="Times New Roman" w:hAnsi="Times New Roman" w:cs="Times New Roman"/>
                <w:sz w:val="20"/>
                <w:szCs w:val="20"/>
              </w:rPr>
              <w:t>”.</w:t>
            </w:r>
          </w:p>
        </w:tc>
        <w:tc>
          <w:tcPr>
            <w:tcW w:w="848" w:type="pct"/>
            <w:gridSpan w:val="2"/>
            <w:tcBorders>
              <w:top w:val="single" w:sz="6" w:space="0" w:color="000000"/>
              <w:left w:val="single" w:sz="6" w:space="0" w:color="000000"/>
              <w:bottom w:val="single" w:sz="6" w:space="0" w:color="000000"/>
              <w:right w:val="single" w:sz="6" w:space="0" w:color="000000"/>
            </w:tcBorders>
          </w:tcPr>
          <w:p w14:paraId="3898A0AF" w14:textId="7518C136" w:rsidR="007D6D6F" w:rsidRPr="001C619F" w:rsidRDefault="007D6D6F" w:rsidP="007D6D6F">
            <w:pPr>
              <w:spacing w:after="0" w:line="240" w:lineRule="auto"/>
              <w:jc w:val="both"/>
              <w:rPr>
                <w:rFonts w:ascii="Times New Roman" w:eastAsia="Times New Roman" w:hAnsi="Times New Roman" w:cs="Times New Roman"/>
                <w:sz w:val="20"/>
                <w:szCs w:val="20"/>
                <w:lang w:eastAsia="lv-LV"/>
              </w:rPr>
            </w:pPr>
            <w:r w:rsidRPr="001C619F">
              <w:rPr>
                <w:rFonts w:ascii="Times New Roman" w:eastAsia="Times New Roman" w:hAnsi="Times New Roman" w:cs="Times New Roman"/>
                <w:b/>
                <w:bCs/>
                <w:sz w:val="20"/>
                <w:szCs w:val="20"/>
                <w:lang w:eastAsia="lv-LV"/>
              </w:rPr>
              <w:t xml:space="preserve">Sniedzam skaidrojumu. </w:t>
            </w:r>
            <w:r>
              <w:rPr>
                <w:rFonts w:ascii="Times New Roman" w:eastAsia="Times New Roman" w:hAnsi="Times New Roman" w:cs="Times New Roman"/>
                <w:sz w:val="20"/>
                <w:szCs w:val="20"/>
                <w:lang w:eastAsia="lv-LV"/>
              </w:rPr>
              <w:t xml:space="preserve">Vēršam uzmanību, ka mūsu ieskatā jēdziena “personas darbības vai bezdarbības dēļ” būtība jau atbilst likumprojekta 27.panta sestās daļas 2.punktā noteiktajam, proti, “persona nesniedz vai atsakās sniegt [….]”. Papildus vēršam uzmanību, ka ja no personas neatkarīgu apstākļu dēļ tai nav iespējams sniegt šajā likumā noteikto informāciju vai Komisijas pieprasīto papildu informāciju nevar būt par pamatu, lai ļautu personai iegūt vai palielināt būtisku līdzdalību ieguldījumu brokeru sabiedrībā. Regulējuma būtība paredz, ka Komisija pieņem lēmumu balstoties uz saņemto šajā likumā noteikto </w:t>
            </w:r>
            <w:proofErr w:type="spellStart"/>
            <w:r>
              <w:rPr>
                <w:rFonts w:ascii="Times New Roman" w:eastAsia="Times New Roman" w:hAnsi="Times New Roman" w:cs="Times New Roman"/>
                <w:sz w:val="20"/>
                <w:szCs w:val="20"/>
                <w:lang w:eastAsia="lv-LV"/>
              </w:rPr>
              <w:t>infromāciju</w:t>
            </w:r>
            <w:proofErr w:type="spellEnd"/>
            <w:r>
              <w:rPr>
                <w:rFonts w:ascii="Times New Roman" w:eastAsia="Times New Roman" w:hAnsi="Times New Roman" w:cs="Times New Roman"/>
                <w:sz w:val="20"/>
                <w:szCs w:val="20"/>
                <w:lang w:eastAsia="lv-LV"/>
              </w:rPr>
              <w:t xml:space="preserve"> vai papildu pieprasīto informāciju. Komisija nevar pieņemt lēmumu ļaut personai iegūt vai palielināt būtisku līdzdalību ieguldījumu brokeru sabiedrībā, jā tās rīcība nav likumā noteiktās </w:t>
            </w:r>
            <w:proofErr w:type="spellStart"/>
            <w:r>
              <w:rPr>
                <w:rFonts w:ascii="Times New Roman" w:eastAsia="Times New Roman" w:hAnsi="Times New Roman" w:cs="Times New Roman"/>
                <w:sz w:val="20"/>
                <w:szCs w:val="20"/>
                <w:lang w:eastAsia="lv-LV"/>
              </w:rPr>
              <w:t>infromācijas</w:t>
            </w:r>
            <w:proofErr w:type="spellEnd"/>
            <w:r>
              <w:rPr>
                <w:rFonts w:ascii="Times New Roman" w:eastAsia="Times New Roman" w:hAnsi="Times New Roman" w:cs="Times New Roman"/>
                <w:sz w:val="20"/>
                <w:szCs w:val="20"/>
                <w:lang w:eastAsia="lv-LV"/>
              </w:rPr>
              <w:t xml:space="preserve"> vai papildu pieprasītās informācijas un “no personas </w:t>
            </w:r>
            <w:proofErr w:type="spellStart"/>
            <w:r>
              <w:rPr>
                <w:rFonts w:ascii="Times New Roman" w:eastAsia="Times New Roman" w:hAnsi="Times New Roman" w:cs="Times New Roman"/>
                <w:sz w:val="20"/>
                <w:szCs w:val="20"/>
                <w:lang w:eastAsia="lv-LV"/>
              </w:rPr>
              <w:t>neakarīgu</w:t>
            </w:r>
            <w:proofErr w:type="spellEnd"/>
            <w:r>
              <w:rPr>
                <w:rFonts w:ascii="Times New Roman" w:eastAsia="Times New Roman" w:hAnsi="Times New Roman" w:cs="Times New Roman"/>
                <w:sz w:val="20"/>
                <w:szCs w:val="20"/>
                <w:lang w:eastAsia="lv-LV"/>
              </w:rPr>
              <w:t xml:space="preserve"> apstākļu dēļ tai nav iespējams sniegt” nevar kļūt par apstākli, kad Komisija pieņem lēmumu atļaut iegūt vai palielināt </w:t>
            </w:r>
            <w:r>
              <w:rPr>
                <w:rFonts w:ascii="Times New Roman" w:eastAsia="Times New Roman" w:hAnsi="Times New Roman" w:cs="Times New Roman"/>
                <w:sz w:val="20"/>
                <w:szCs w:val="20"/>
                <w:lang w:eastAsia="lv-LV"/>
              </w:rPr>
              <w:lastRenderedPageBreak/>
              <w:t xml:space="preserve">līdzdalību, kurš nav balstīts uz likumā noteiktās </w:t>
            </w:r>
            <w:proofErr w:type="spellStart"/>
            <w:r>
              <w:rPr>
                <w:rFonts w:ascii="Times New Roman" w:eastAsia="Times New Roman" w:hAnsi="Times New Roman" w:cs="Times New Roman"/>
                <w:sz w:val="20"/>
                <w:szCs w:val="20"/>
                <w:lang w:eastAsia="lv-LV"/>
              </w:rPr>
              <w:t>infromācijas</w:t>
            </w:r>
            <w:proofErr w:type="spellEnd"/>
            <w:r>
              <w:rPr>
                <w:rFonts w:ascii="Times New Roman" w:eastAsia="Times New Roman" w:hAnsi="Times New Roman" w:cs="Times New Roman"/>
                <w:sz w:val="20"/>
                <w:szCs w:val="20"/>
                <w:lang w:eastAsia="lv-LV"/>
              </w:rPr>
              <w:t xml:space="preserve"> vai </w:t>
            </w:r>
            <w:proofErr w:type="spellStart"/>
            <w:r>
              <w:rPr>
                <w:rFonts w:ascii="Times New Roman" w:eastAsia="Times New Roman" w:hAnsi="Times New Roman" w:cs="Times New Roman"/>
                <w:sz w:val="20"/>
                <w:szCs w:val="20"/>
                <w:lang w:eastAsia="lv-LV"/>
              </w:rPr>
              <w:t>papildis</w:t>
            </w:r>
            <w:proofErr w:type="spellEnd"/>
            <w:r>
              <w:rPr>
                <w:rFonts w:ascii="Times New Roman" w:eastAsia="Times New Roman" w:hAnsi="Times New Roman" w:cs="Times New Roman"/>
                <w:sz w:val="20"/>
                <w:szCs w:val="20"/>
                <w:lang w:eastAsia="lv-LV"/>
              </w:rPr>
              <w:t xml:space="preserve"> pieprasītās informācijas izvērtēšanu. Pretējā gadījumā var veidoties situācija, kad Komisijai jāpieņem personai pozitīvs lēmums nevērtējot likumā noteikto informāciju.</w:t>
            </w:r>
          </w:p>
        </w:tc>
        <w:tc>
          <w:tcPr>
            <w:tcW w:w="936" w:type="pct"/>
            <w:tcBorders>
              <w:top w:val="single" w:sz="4" w:space="0" w:color="auto"/>
              <w:left w:val="single" w:sz="4" w:space="0" w:color="auto"/>
              <w:bottom w:val="single" w:sz="4" w:space="0" w:color="auto"/>
              <w:right w:val="single" w:sz="4" w:space="0" w:color="auto"/>
            </w:tcBorders>
          </w:tcPr>
          <w:p w14:paraId="525926F9" w14:textId="77777777" w:rsidR="007D6D6F" w:rsidRPr="00184920" w:rsidRDefault="007D6D6F" w:rsidP="007D6D6F">
            <w:pPr>
              <w:spacing w:after="0" w:line="240" w:lineRule="auto"/>
              <w:jc w:val="center"/>
              <w:rPr>
                <w:rFonts w:ascii="Times New Roman" w:eastAsia="Times New Roman" w:hAnsi="Times New Roman" w:cs="Times New Roman"/>
                <w:sz w:val="20"/>
                <w:szCs w:val="20"/>
                <w:lang w:eastAsia="lv-LV"/>
              </w:rPr>
            </w:pPr>
          </w:p>
        </w:tc>
      </w:tr>
      <w:tr w:rsidR="007D6D6F" w:rsidRPr="00184920" w14:paraId="69C3F651"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4F4F9DE" w14:textId="176764CE"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16.</w:t>
            </w:r>
          </w:p>
        </w:tc>
        <w:tc>
          <w:tcPr>
            <w:tcW w:w="692" w:type="pct"/>
            <w:tcBorders>
              <w:top w:val="single" w:sz="6" w:space="0" w:color="000000"/>
              <w:left w:val="single" w:sz="6" w:space="0" w:color="000000"/>
              <w:bottom w:val="single" w:sz="6" w:space="0" w:color="000000"/>
              <w:right w:val="single" w:sz="6" w:space="0" w:color="000000"/>
            </w:tcBorders>
          </w:tcPr>
          <w:p w14:paraId="60FC1CF3" w14:textId="77777777" w:rsidR="007D6D6F" w:rsidRPr="00D73217" w:rsidRDefault="007D6D6F" w:rsidP="007D6D6F">
            <w:pPr>
              <w:pStyle w:val="NoSpacing"/>
              <w:widowControl/>
              <w:rPr>
                <w:rFonts w:eastAsiaTheme="minorHAnsi"/>
                <w:b/>
                <w:bCs/>
                <w:sz w:val="20"/>
                <w:szCs w:val="20"/>
              </w:rPr>
            </w:pPr>
            <w:r w:rsidRPr="00D73217">
              <w:rPr>
                <w:rFonts w:eastAsiaTheme="minorHAnsi"/>
                <w:b/>
                <w:bCs/>
                <w:sz w:val="20"/>
                <w:szCs w:val="20"/>
              </w:rPr>
              <w:t>27.pants. Komisijas tiesības un pienākumi</w:t>
            </w:r>
          </w:p>
          <w:p w14:paraId="652287A6" w14:textId="42EF82B3"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D73217">
              <w:rPr>
                <w:rFonts w:ascii="Times New Roman" w:hAnsi="Times New Roman" w:cs="Times New Roman"/>
                <w:bCs/>
                <w:sz w:val="20"/>
                <w:szCs w:val="20"/>
              </w:rPr>
              <w:t xml:space="preserve">(7) Komisija divu darbdienu laikā, nepārsniedzot šā panta pirmajā daļā noteikto vērtēšanas periodu, pēc šā panta </w:t>
            </w:r>
            <w:r w:rsidRPr="00D73217">
              <w:rPr>
                <w:rFonts w:ascii="Times New Roman" w:hAnsi="Times New Roman" w:cs="Times New Roman"/>
                <w:bCs/>
                <w:sz w:val="20"/>
                <w:szCs w:val="20"/>
                <w:u w:val="single"/>
              </w:rPr>
              <w:t>piektajā daļā</w:t>
            </w:r>
            <w:r w:rsidRPr="00D73217">
              <w:rPr>
                <w:rFonts w:ascii="Times New Roman" w:hAnsi="Times New Roman" w:cs="Times New Roman"/>
                <w:bCs/>
                <w:sz w:val="20"/>
                <w:szCs w:val="20"/>
              </w:rPr>
              <w:t xml:space="preserve"> minētā lēmuma pieņemšanas </w:t>
            </w:r>
            <w:proofErr w:type="spellStart"/>
            <w:r w:rsidRPr="00D73217">
              <w:rPr>
                <w:rFonts w:ascii="Times New Roman" w:hAnsi="Times New Roman" w:cs="Times New Roman"/>
                <w:bCs/>
                <w:sz w:val="20"/>
                <w:szCs w:val="20"/>
              </w:rPr>
              <w:t>nosūta</w:t>
            </w:r>
            <w:proofErr w:type="spellEnd"/>
            <w:r w:rsidRPr="00D73217">
              <w:rPr>
                <w:rFonts w:ascii="Times New Roman" w:hAnsi="Times New Roman" w:cs="Times New Roman"/>
                <w:bCs/>
                <w:sz w:val="20"/>
                <w:szCs w:val="20"/>
              </w:rPr>
              <w:t xml:space="preserve"> to personai, kurai aizliedz iegūt vai palielināt būtisku līdzdalību ieguldījumu brokeru sabiedrībā.</w:t>
            </w:r>
          </w:p>
        </w:tc>
        <w:tc>
          <w:tcPr>
            <w:tcW w:w="1309" w:type="pct"/>
            <w:tcBorders>
              <w:top w:val="single" w:sz="6" w:space="0" w:color="000000"/>
              <w:left w:val="single" w:sz="6" w:space="0" w:color="000000"/>
              <w:bottom w:val="single" w:sz="6" w:space="0" w:color="000000"/>
              <w:right w:val="single" w:sz="6" w:space="0" w:color="000000"/>
            </w:tcBorders>
          </w:tcPr>
          <w:p w14:paraId="78BAC883" w14:textId="77DB5651" w:rsidR="007D6D6F" w:rsidRPr="00C56A30" w:rsidRDefault="007D6D6F" w:rsidP="007D6D6F">
            <w:pPr>
              <w:spacing w:after="0" w:line="240" w:lineRule="auto"/>
              <w:jc w:val="both"/>
              <w:rPr>
                <w:rFonts w:ascii="Times New Roman" w:eastAsia="Times New Roman" w:hAnsi="Times New Roman" w:cs="Times New Roman"/>
                <w:sz w:val="20"/>
                <w:szCs w:val="20"/>
                <w:lang w:eastAsia="lv-LV"/>
              </w:rPr>
            </w:pPr>
            <w:r w:rsidRPr="00C56A30">
              <w:rPr>
                <w:rFonts w:ascii="Times New Roman" w:hAnsi="Times New Roman" w:cs="Times New Roman"/>
                <w:b/>
                <w:bCs/>
                <w:sz w:val="20"/>
                <w:szCs w:val="20"/>
              </w:rPr>
              <w:t>Iebildums.</w:t>
            </w:r>
            <w:r w:rsidRPr="00C56A30">
              <w:rPr>
                <w:rFonts w:ascii="Times New Roman" w:hAnsi="Times New Roman" w:cs="Times New Roman"/>
                <w:sz w:val="20"/>
                <w:szCs w:val="20"/>
              </w:rPr>
              <w:t xml:space="preserve"> Tāpat likumprojekta 27. panta septītajā daļā iekļauta atsauce uz šī panta piektajā daļā minētā lēmuma pieņemšanu, taču norādām, ka šī panta piektā daļa nesatur normu par lēmuma pieņemšanu. Tādēļ lūdzam precizēt 27. panta septīto daļu, aizstājot vārdus “</w:t>
            </w:r>
            <w:r w:rsidRPr="00C56A30">
              <w:rPr>
                <w:rFonts w:ascii="Times New Roman" w:hAnsi="Times New Roman" w:cs="Times New Roman"/>
                <w:i/>
                <w:iCs/>
                <w:sz w:val="20"/>
                <w:szCs w:val="20"/>
              </w:rPr>
              <w:t>piektajā daļā</w:t>
            </w:r>
            <w:r w:rsidRPr="00C56A30">
              <w:rPr>
                <w:rFonts w:ascii="Times New Roman" w:hAnsi="Times New Roman" w:cs="Times New Roman"/>
                <w:sz w:val="20"/>
                <w:szCs w:val="20"/>
              </w:rPr>
              <w:t>” ar vārdiem “</w:t>
            </w:r>
            <w:r w:rsidRPr="00C56A30">
              <w:rPr>
                <w:rFonts w:ascii="Times New Roman" w:hAnsi="Times New Roman" w:cs="Times New Roman"/>
                <w:i/>
                <w:iCs/>
                <w:sz w:val="20"/>
                <w:szCs w:val="20"/>
              </w:rPr>
              <w:t>sestajā daļā</w:t>
            </w:r>
            <w:r w:rsidRPr="00C56A30">
              <w:rPr>
                <w:rFonts w:ascii="Times New Roman" w:hAnsi="Times New Roman" w:cs="Times New Roman"/>
                <w:sz w:val="20"/>
                <w:szCs w:val="20"/>
              </w:rPr>
              <w:t>”.</w:t>
            </w:r>
          </w:p>
        </w:tc>
        <w:tc>
          <w:tcPr>
            <w:tcW w:w="848" w:type="pct"/>
            <w:gridSpan w:val="2"/>
            <w:tcBorders>
              <w:top w:val="single" w:sz="6" w:space="0" w:color="000000"/>
              <w:left w:val="single" w:sz="6" w:space="0" w:color="000000"/>
              <w:bottom w:val="single" w:sz="6" w:space="0" w:color="000000"/>
              <w:right w:val="single" w:sz="6" w:space="0" w:color="000000"/>
            </w:tcBorders>
          </w:tcPr>
          <w:p w14:paraId="30AB484B" w14:textId="4EDC9DEE" w:rsidR="007D6D6F" w:rsidRPr="00051840" w:rsidRDefault="007D6D6F" w:rsidP="007D6D6F">
            <w:pPr>
              <w:spacing w:after="0" w:line="240" w:lineRule="auto"/>
              <w:jc w:val="both"/>
              <w:rPr>
                <w:rFonts w:ascii="Times New Roman" w:eastAsia="Times New Roman" w:hAnsi="Times New Roman" w:cs="Times New Roman"/>
                <w:sz w:val="20"/>
                <w:szCs w:val="20"/>
                <w:lang w:eastAsia="lv-LV"/>
              </w:rPr>
            </w:pPr>
            <w:r w:rsidRPr="00051840">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Likumprojekta 27.panta septītā daļa atbilstoši precizēta.</w:t>
            </w:r>
          </w:p>
        </w:tc>
        <w:tc>
          <w:tcPr>
            <w:tcW w:w="936" w:type="pct"/>
            <w:tcBorders>
              <w:top w:val="single" w:sz="4" w:space="0" w:color="auto"/>
              <w:left w:val="single" w:sz="4" w:space="0" w:color="auto"/>
              <w:bottom w:val="single" w:sz="4" w:space="0" w:color="auto"/>
              <w:right w:val="single" w:sz="4" w:space="0" w:color="auto"/>
            </w:tcBorders>
          </w:tcPr>
          <w:p w14:paraId="4B2013BA"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27.panta septītā daļa:</w:t>
            </w:r>
          </w:p>
          <w:p w14:paraId="64BFBAC1" w14:textId="77777777" w:rsidR="007D6D6F" w:rsidRPr="00D73217" w:rsidRDefault="007D6D6F" w:rsidP="007D6D6F">
            <w:pPr>
              <w:pStyle w:val="NoSpacing"/>
              <w:widowControl/>
              <w:rPr>
                <w:rFonts w:eastAsiaTheme="minorHAnsi"/>
                <w:b/>
                <w:bCs/>
                <w:sz w:val="20"/>
                <w:szCs w:val="20"/>
              </w:rPr>
            </w:pPr>
            <w:r w:rsidRPr="00D73217">
              <w:rPr>
                <w:rFonts w:eastAsiaTheme="minorHAnsi"/>
                <w:b/>
                <w:bCs/>
                <w:sz w:val="20"/>
                <w:szCs w:val="20"/>
              </w:rPr>
              <w:t>27.pants. Komisijas tiesības un pienākumi</w:t>
            </w:r>
          </w:p>
          <w:p w14:paraId="36014515" w14:textId="6B677231"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D73217">
              <w:rPr>
                <w:rFonts w:ascii="Times New Roman" w:hAnsi="Times New Roman" w:cs="Times New Roman"/>
                <w:bCs/>
                <w:sz w:val="20"/>
                <w:szCs w:val="20"/>
              </w:rPr>
              <w:t xml:space="preserve">(7) Komisija divu darbdienu laikā, nepārsniedzot šā panta pirmajā daļā noteikto vērtēšanas periodu, pēc šā panta </w:t>
            </w:r>
            <w:r w:rsidRPr="00051840">
              <w:rPr>
                <w:rFonts w:ascii="Times New Roman" w:hAnsi="Times New Roman" w:cs="Times New Roman"/>
                <w:bCs/>
                <w:sz w:val="20"/>
                <w:szCs w:val="20"/>
                <w:u w:val="single"/>
              </w:rPr>
              <w:t>sestajā</w:t>
            </w:r>
            <w:r>
              <w:rPr>
                <w:rFonts w:ascii="Times New Roman" w:hAnsi="Times New Roman" w:cs="Times New Roman"/>
                <w:bCs/>
                <w:sz w:val="20"/>
                <w:szCs w:val="20"/>
                <w:u w:val="single"/>
              </w:rPr>
              <w:t xml:space="preserve"> </w:t>
            </w:r>
            <w:r w:rsidRPr="00051840">
              <w:rPr>
                <w:rFonts w:ascii="Times New Roman" w:hAnsi="Times New Roman" w:cs="Times New Roman"/>
                <w:bCs/>
                <w:sz w:val="20"/>
                <w:szCs w:val="20"/>
                <w:u w:val="single"/>
              </w:rPr>
              <w:t>daļā</w:t>
            </w:r>
            <w:r w:rsidRPr="00D73217">
              <w:rPr>
                <w:rFonts w:ascii="Times New Roman" w:hAnsi="Times New Roman" w:cs="Times New Roman"/>
                <w:bCs/>
                <w:sz w:val="20"/>
                <w:szCs w:val="20"/>
              </w:rPr>
              <w:t xml:space="preserve"> minētā lēmuma pieņemšanas </w:t>
            </w:r>
            <w:proofErr w:type="spellStart"/>
            <w:r w:rsidRPr="00D73217">
              <w:rPr>
                <w:rFonts w:ascii="Times New Roman" w:hAnsi="Times New Roman" w:cs="Times New Roman"/>
                <w:bCs/>
                <w:sz w:val="20"/>
                <w:szCs w:val="20"/>
              </w:rPr>
              <w:t>nosūta</w:t>
            </w:r>
            <w:proofErr w:type="spellEnd"/>
            <w:r w:rsidRPr="00D73217">
              <w:rPr>
                <w:rFonts w:ascii="Times New Roman" w:hAnsi="Times New Roman" w:cs="Times New Roman"/>
                <w:bCs/>
                <w:sz w:val="20"/>
                <w:szCs w:val="20"/>
              </w:rPr>
              <w:t xml:space="preserve"> to personai, kurai aizliedz iegūt vai palielināt būtisku līdzdalību ieguldījumu brokeru sabiedrībā.</w:t>
            </w:r>
          </w:p>
        </w:tc>
      </w:tr>
      <w:tr w:rsidR="007D6D6F" w:rsidRPr="00184920" w14:paraId="1EAE97F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DCD6A67" w14:textId="566AB8BF"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17.</w:t>
            </w:r>
          </w:p>
        </w:tc>
        <w:tc>
          <w:tcPr>
            <w:tcW w:w="692" w:type="pct"/>
            <w:tcBorders>
              <w:top w:val="single" w:sz="6" w:space="0" w:color="000000"/>
              <w:left w:val="single" w:sz="6" w:space="0" w:color="000000"/>
              <w:bottom w:val="single" w:sz="6" w:space="0" w:color="000000"/>
              <w:right w:val="single" w:sz="6" w:space="0" w:color="000000"/>
            </w:tcBorders>
          </w:tcPr>
          <w:p w14:paraId="3487C01A" w14:textId="77777777" w:rsidR="007D6D6F" w:rsidRPr="004D6945" w:rsidRDefault="007D6D6F" w:rsidP="007D6D6F">
            <w:pPr>
              <w:pStyle w:val="NoSpacing"/>
              <w:widowControl/>
              <w:rPr>
                <w:rFonts w:eastAsiaTheme="minorHAnsi"/>
                <w:b/>
                <w:bCs/>
                <w:sz w:val="20"/>
                <w:szCs w:val="20"/>
              </w:rPr>
            </w:pPr>
            <w:r w:rsidRPr="004D6945">
              <w:rPr>
                <w:rFonts w:eastAsiaTheme="minorHAnsi"/>
                <w:b/>
                <w:bCs/>
                <w:sz w:val="20"/>
                <w:szCs w:val="20"/>
              </w:rPr>
              <w:t>27.pants. Komisijas tiesības un pienākumi</w:t>
            </w:r>
          </w:p>
          <w:p w14:paraId="6C77B740" w14:textId="22645623" w:rsidR="007D6D6F" w:rsidRPr="00D73217" w:rsidRDefault="007D6D6F" w:rsidP="007D6D6F">
            <w:pPr>
              <w:pStyle w:val="NoSpacing"/>
              <w:widowControl/>
              <w:rPr>
                <w:rFonts w:eastAsiaTheme="minorHAnsi"/>
                <w:bCs/>
                <w:sz w:val="20"/>
                <w:szCs w:val="20"/>
              </w:rPr>
            </w:pPr>
            <w:r w:rsidRPr="00613B32">
              <w:rPr>
                <w:rFonts w:eastAsiaTheme="minorHAnsi"/>
                <w:bCs/>
                <w:sz w:val="20"/>
                <w:szCs w:val="20"/>
              </w:rPr>
              <w:t xml:space="preserve">(8) Ja Komisija šā </w:t>
            </w:r>
            <w:r w:rsidRPr="008020F1">
              <w:rPr>
                <w:rFonts w:eastAsiaTheme="minorHAnsi"/>
                <w:bCs/>
                <w:sz w:val="20"/>
                <w:szCs w:val="20"/>
                <w:u w:val="single"/>
              </w:rPr>
              <w:t>panta pirmajā daļā minētajā termiņā</w:t>
            </w:r>
            <w:r w:rsidRPr="00613B32">
              <w:rPr>
                <w:rFonts w:eastAsiaTheme="minorHAnsi"/>
                <w:bCs/>
                <w:sz w:val="20"/>
                <w:szCs w:val="20"/>
              </w:rPr>
              <w:t xml:space="preserve"> </w:t>
            </w:r>
            <w:proofErr w:type="spellStart"/>
            <w:r w:rsidRPr="00613B32">
              <w:rPr>
                <w:rFonts w:eastAsiaTheme="minorHAnsi"/>
                <w:bCs/>
                <w:sz w:val="20"/>
                <w:szCs w:val="20"/>
              </w:rPr>
              <w:t>nenosūta</w:t>
            </w:r>
            <w:proofErr w:type="spellEnd"/>
            <w:r w:rsidRPr="00613B32">
              <w:rPr>
                <w:rFonts w:eastAsiaTheme="minorHAnsi"/>
                <w:bCs/>
                <w:sz w:val="20"/>
                <w:szCs w:val="20"/>
              </w:rPr>
              <w:t xml:space="preserve"> personai lēmumu, ar kuru aizliedz šai personai iegūt vai palielināt būtisku līdzdalību ieguldījumu brokeru sabiedrībā, uzskatāms, ka tā piekrīt personas būtiskas līdzdalības iegūšanai vai palielināšanai ieguldījumu brokeru sabiedrībā.</w:t>
            </w:r>
          </w:p>
        </w:tc>
        <w:tc>
          <w:tcPr>
            <w:tcW w:w="1309" w:type="pct"/>
            <w:tcBorders>
              <w:top w:val="single" w:sz="6" w:space="0" w:color="000000"/>
              <w:left w:val="single" w:sz="6" w:space="0" w:color="000000"/>
              <w:bottom w:val="single" w:sz="6" w:space="0" w:color="000000"/>
              <w:right w:val="single" w:sz="6" w:space="0" w:color="000000"/>
            </w:tcBorders>
          </w:tcPr>
          <w:p w14:paraId="47BDF72E" w14:textId="7E92D571" w:rsidR="007D6D6F" w:rsidRPr="00D73217" w:rsidRDefault="007D6D6F" w:rsidP="007D6D6F">
            <w:pPr>
              <w:spacing w:after="0" w:line="240" w:lineRule="auto"/>
              <w:jc w:val="both"/>
              <w:rPr>
                <w:rFonts w:ascii="Times New Roman" w:eastAsia="Times New Roman" w:hAnsi="Times New Roman" w:cs="Times New Roman"/>
                <w:sz w:val="20"/>
                <w:szCs w:val="20"/>
                <w:lang w:eastAsia="lv-LV"/>
              </w:rPr>
            </w:pPr>
            <w:r w:rsidRPr="00D73217">
              <w:rPr>
                <w:rFonts w:ascii="Times New Roman" w:hAnsi="Times New Roman" w:cs="Times New Roman"/>
                <w:b/>
                <w:bCs/>
                <w:sz w:val="20"/>
                <w:szCs w:val="20"/>
              </w:rPr>
              <w:t>Iebildums.</w:t>
            </w:r>
            <w:r w:rsidRPr="00D73217">
              <w:rPr>
                <w:rFonts w:ascii="Times New Roman" w:hAnsi="Times New Roman" w:cs="Times New Roman"/>
                <w:sz w:val="20"/>
                <w:szCs w:val="20"/>
              </w:rPr>
              <w:t xml:space="preserve"> Vēršam uzmanību uz nekonsekvenci likumprojektā noteiktajos termiņos, respektīvi, likumprojekta 27. panta astotajā daļā noteikts: “</w:t>
            </w:r>
            <w:r w:rsidRPr="00D73217">
              <w:rPr>
                <w:rFonts w:ascii="Times New Roman" w:hAnsi="Times New Roman" w:cs="Times New Roman"/>
                <w:i/>
                <w:iCs/>
                <w:sz w:val="20"/>
                <w:szCs w:val="20"/>
              </w:rPr>
              <w:t xml:space="preserve">Ja Komisija šā panta </w:t>
            </w:r>
            <w:r w:rsidRPr="00D73217">
              <w:rPr>
                <w:rFonts w:ascii="Times New Roman" w:hAnsi="Times New Roman" w:cs="Times New Roman"/>
                <w:i/>
                <w:iCs/>
                <w:sz w:val="20"/>
                <w:szCs w:val="20"/>
                <w:u w:val="single"/>
              </w:rPr>
              <w:t xml:space="preserve">pirmajā daļā minētajā termiņā </w:t>
            </w:r>
            <w:proofErr w:type="spellStart"/>
            <w:r w:rsidRPr="00D73217">
              <w:rPr>
                <w:rFonts w:ascii="Times New Roman" w:hAnsi="Times New Roman" w:cs="Times New Roman"/>
                <w:i/>
                <w:iCs/>
                <w:sz w:val="20"/>
                <w:szCs w:val="20"/>
                <w:u w:val="single"/>
              </w:rPr>
              <w:t>nenosūta</w:t>
            </w:r>
            <w:proofErr w:type="spellEnd"/>
            <w:r w:rsidRPr="00D73217">
              <w:rPr>
                <w:rFonts w:ascii="Times New Roman" w:hAnsi="Times New Roman" w:cs="Times New Roman"/>
                <w:i/>
                <w:iCs/>
                <w:sz w:val="20"/>
                <w:szCs w:val="20"/>
                <w:u w:val="single"/>
              </w:rPr>
              <w:t xml:space="preserve"> </w:t>
            </w:r>
            <w:r w:rsidRPr="00D73217">
              <w:rPr>
                <w:rFonts w:ascii="Times New Roman" w:hAnsi="Times New Roman" w:cs="Times New Roman"/>
                <w:i/>
                <w:iCs/>
                <w:sz w:val="20"/>
                <w:szCs w:val="20"/>
              </w:rPr>
              <w:t>personai lēmumu, ar kuru aizliedz šai personai iegūt vai palielināt būtisku līdzdalību ieguldījumu brokeru sabiedrībā, uzskatāms, ka tā piekrīt personas būtiskas līdzdalības iegūšanai vai palielināšanai ieguldījumu brokeru sabiedrībā.</w:t>
            </w:r>
            <w:r w:rsidRPr="00D73217">
              <w:rPr>
                <w:rFonts w:ascii="Times New Roman" w:hAnsi="Times New Roman" w:cs="Times New Roman"/>
                <w:sz w:val="20"/>
                <w:szCs w:val="20"/>
              </w:rPr>
              <w:t>” Taču norādām, ka šī panta pirmajā daļā, uz kuru izdarīta atsauce attiecīgajā normā, ir minēts lēmuma pieņemšanas termiņš (60 dienas), savukārt lēmuma nosūtīšanas termiņš (2 darba dienas) noteikts panta septītajā daļā. Ievērojot minēto, lūdzam precizēt likumprojekta 27. panta astoto daļu.</w:t>
            </w:r>
          </w:p>
        </w:tc>
        <w:tc>
          <w:tcPr>
            <w:tcW w:w="848" w:type="pct"/>
            <w:gridSpan w:val="2"/>
            <w:tcBorders>
              <w:top w:val="single" w:sz="6" w:space="0" w:color="000000"/>
              <w:left w:val="single" w:sz="6" w:space="0" w:color="000000"/>
              <w:bottom w:val="single" w:sz="6" w:space="0" w:color="000000"/>
              <w:right w:val="single" w:sz="6" w:space="0" w:color="000000"/>
            </w:tcBorders>
          </w:tcPr>
          <w:p w14:paraId="5DC06CF6" w14:textId="1262404B" w:rsidR="007D6D6F" w:rsidRPr="008020F1" w:rsidRDefault="007D6D6F" w:rsidP="007D6D6F">
            <w:pPr>
              <w:spacing w:after="0" w:line="240" w:lineRule="auto"/>
              <w:jc w:val="both"/>
              <w:rPr>
                <w:rFonts w:ascii="Times New Roman" w:eastAsia="Times New Roman" w:hAnsi="Times New Roman" w:cs="Times New Roman"/>
                <w:sz w:val="20"/>
                <w:szCs w:val="20"/>
                <w:lang w:eastAsia="lv-LV"/>
              </w:rPr>
            </w:pPr>
            <w:r w:rsidRPr="008020F1">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Pr>
                <w:rFonts w:ascii="Times New Roman" w:eastAsia="Times New Roman" w:hAnsi="Times New Roman" w:cs="Times New Roman"/>
                <w:sz w:val="20"/>
                <w:szCs w:val="20"/>
                <w:lang w:eastAsia="lv-LV"/>
              </w:rPr>
              <w:t>Likumprojekta 27.panta astotā daļa attiecīgi precizēta.</w:t>
            </w:r>
          </w:p>
        </w:tc>
        <w:tc>
          <w:tcPr>
            <w:tcW w:w="936" w:type="pct"/>
            <w:tcBorders>
              <w:top w:val="single" w:sz="4" w:space="0" w:color="auto"/>
              <w:left w:val="single" w:sz="4" w:space="0" w:color="auto"/>
              <w:bottom w:val="single" w:sz="4" w:space="0" w:color="auto"/>
              <w:right w:val="single" w:sz="4" w:space="0" w:color="auto"/>
            </w:tcBorders>
          </w:tcPr>
          <w:p w14:paraId="47F1DF02" w14:textId="77777777" w:rsidR="007D6D6F" w:rsidRPr="008020F1" w:rsidRDefault="007D6D6F" w:rsidP="007D6D6F">
            <w:pPr>
              <w:spacing w:after="0" w:line="240" w:lineRule="auto"/>
              <w:jc w:val="both"/>
              <w:rPr>
                <w:rFonts w:ascii="Times New Roman" w:eastAsia="Times New Roman" w:hAnsi="Times New Roman" w:cs="Times New Roman"/>
                <w:sz w:val="20"/>
                <w:szCs w:val="20"/>
                <w:lang w:eastAsia="lv-LV"/>
              </w:rPr>
            </w:pPr>
            <w:r w:rsidRPr="008020F1">
              <w:rPr>
                <w:rFonts w:ascii="Times New Roman" w:eastAsia="Times New Roman" w:hAnsi="Times New Roman" w:cs="Times New Roman"/>
                <w:sz w:val="20"/>
                <w:szCs w:val="20"/>
                <w:lang w:eastAsia="lv-LV"/>
              </w:rPr>
              <w:t>Likumprojekta 27.panta astotā daļa:</w:t>
            </w:r>
          </w:p>
          <w:p w14:paraId="35553BF8" w14:textId="77777777" w:rsidR="007D6D6F" w:rsidRPr="008020F1" w:rsidRDefault="007D6D6F" w:rsidP="007D6D6F">
            <w:pPr>
              <w:pStyle w:val="NoSpacing"/>
              <w:widowControl/>
              <w:rPr>
                <w:rFonts w:eastAsiaTheme="minorHAnsi"/>
                <w:b/>
                <w:bCs/>
                <w:sz w:val="20"/>
                <w:szCs w:val="20"/>
              </w:rPr>
            </w:pPr>
            <w:r w:rsidRPr="008020F1">
              <w:rPr>
                <w:rFonts w:eastAsiaTheme="minorHAnsi"/>
                <w:b/>
                <w:bCs/>
                <w:sz w:val="20"/>
                <w:szCs w:val="20"/>
              </w:rPr>
              <w:t>27.pants. Komisijas tiesības un pienākumi</w:t>
            </w:r>
          </w:p>
          <w:p w14:paraId="3A20FD9F" w14:textId="5E4063AF" w:rsidR="007D6D6F" w:rsidRPr="008020F1" w:rsidRDefault="007D6D6F" w:rsidP="007D6D6F">
            <w:pPr>
              <w:spacing w:after="0" w:line="240" w:lineRule="auto"/>
              <w:jc w:val="both"/>
              <w:rPr>
                <w:rFonts w:ascii="Times New Roman" w:eastAsia="Times New Roman" w:hAnsi="Times New Roman" w:cs="Times New Roman"/>
                <w:sz w:val="20"/>
                <w:szCs w:val="20"/>
                <w:lang w:eastAsia="lv-LV"/>
              </w:rPr>
            </w:pPr>
            <w:r w:rsidRPr="008020F1">
              <w:rPr>
                <w:rFonts w:ascii="Times New Roman" w:hAnsi="Times New Roman" w:cs="Times New Roman"/>
                <w:bCs/>
                <w:sz w:val="20"/>
                <w:szCs w:val="20"/>
              </w:rPr>
              <w:t xml:space="preserve">(8) Ja Komisija </w:t>
            </w:r>
            <w:r w:rsidRPr="008020F1">
              <w:rPr>
                <w:rFonts w:ascii="Times New Roman" w:hAnsi="Times New Roman" w:cs="Times New Roman"/>
                <w:bCs/>
                <w:sz w:val="20"/>
                <w:szCs w:val="20"/>
                <w:u w:val="single"/>
              </w:rPr>
              <w:t>šā panta septītajā daļā minētajā termiņā</w:t>
            </w:r>
            <w:r w:rsidRPr="008020F1">
              <w:rPr>
                <w:rFonts w:ascii="Times New Roman" w:hAnsi="Times New Roman" w:cs="Times New Roman"/>
                <w:bCs/>
                <w:sz w:val="20"/>
                <w:szCs w:val="20"/>
              </w:rPr>
              <w:t xml:space="preserve"> </w:t>
            </w:r>
            <w:proofErr w:type="spellStart"/>
            <w:r w:rsidRPr="008020F1">
              <w:rPr>
                <w:rFonts w:ascii="Times New Roman" w:hAnsi="Times New Roman" w:cs="Times New Roman"/>
                <w:bCs/>
                <w:sz w:val="20"/>
                <w:szCs w:val="20"/>
              </w:rPr>
              <w:t>nenosūta</w:t>
            </w:r>
            <w:proofErr w:type="spellEnd"/>
            <w:r w:rsidRPr="008020F1">
              <w:rPr>
                <w:rFonts w:ascii="Times New Roman" w:hAnsi="Times New Roman" w:cs="Times New Roman"/>
                <w:bCs/>
                <w:sz w:val="20"/>
                <w:szCs w:val="20"/>
              </w:rPr>
              <w:t xml:space="preserve"> personai lēmumu, ar kuru aizliedz šai personai iegūt vai palielināt būtisku līdzdalību ieguldījumu brokeru sabiedrībā, uzskatāms, ka tā piekrīt personas būtiskas līdzdalības iegūšanai vai palielināšanai ieguldījumu brokeru sabiedrībā.</w:t>
            </w:r>
          </w:p>
        </w:tc>
      </w:tr>
      <w:tr w:rsidR="007D6D6F" w:rsidRPr="00184920" w14:paraId="7F4133FE"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B08214A" w14:textId="7C91E31C"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18.</w:t>
            </w:r>
          </w:p>
        </w:tc>
        <w:tc>
          <w:tcPr>
            <w:tcW w:w="692" w:type="pct"/>
            <w:tcBorders>
              <w:top w:val="single" w:sz="6" w:space="0" w:color="000000"/>
              <w:left w:val="single" w:sz="6" w:space="0" w:color="000000"/>
              <w:bottom w:val="single" w:sz="6" w:space="0" w:color="000000"/>
              <w:right w:val="single" w:sz="6" w:space="0" w:color="000000"/>
            </w:tcBorders>
          </w:tcPr>
          <w:p w14:paraId="2FEE5DFB" w14:textId="77777777" w:rsidR="007D6D6F" w:rsidRPr="00D73217" w:rsidRDefault="007D6D6F" w:rsidP="007D6D6F">
            <w:pPr>
              <w:pStyle w:val="NoSpacing"/>
              <w:widowControl/>
              <w:rPr>
                <w:rFonts w:eastAsiaTheme="minorHAnsi"/>
                <w:b/>
                <w:bCs/>
                <w:sz w:val="20"/>
                <w:szCs w:val="20"/>
              </w:rPr>
            </w:pPr>
            <w:r w:rsidRPr="00D73217">
              <w:rPr>
                <w:rFonts w:eastAsiaTheme="minorHAnsi"/>
                <w:b/>
                <w:bCs/>
                <w:sz w:val="20"/>
                <w:szCs w:val="20"/>
              </w:rPr>
              <w:t>27.pants. Komisijas tiesības un pienākumi</w:t>
            </w:r>
          </w:p>
          <w:p w14:paraId="66982832" w14:textId="77777777" w:rsidR="007D6D6F" w:rsidRPr="00D73217" w:rsidRDefault="007D6D6F" w:rsidP="007D6D6F">
            <w:pPr>
              <w:pStyle w:val="NoSpacing"/>
              <w:widowControl/>
              <w:rPr>
                <w:rFonts w:eastAsiaTheme="minorHAnsi"/>
                <w:bCs/>
                <w:sz w:val="20"/>
                <w:szCs w:val="20"/>
              </w:rPr>
            </w:pPr>
            <w:r w:rsidRPr="00D73217">
              <w:rPr>
                <w:rFonts w:eastAsiaTheme="minorHAnsi"/>
                <w:bCs/>
                <w:sz w:val="20"/>
                <w:szCs w:val="20"/>
              </w:rPr>
              <w:t xml:space="preserve">(10) Ja Komisija ir piekritusi, ka persona iegūst vai palielina būtisku līdzdalību ieguldījumu brokeru sabiedrībā, šī persona savu </w:t>
            </w:r>
            <w:r w:rsidRPr="00D73217">
              <w:rPr>
                <w:rFonts w:eastAsiaTheme="minorHAnsi"/>
                <w:bCs/>
                <w:sz w:val="20"/>
                <w:szCs w:val="20"/>
              </w:rPr>
              <w:lastRenderedPageBreak/>
              <w:t xml:space="preserve">būtisko līdzdalību ieguldījumu brokeru sabiedrībā iegūst vai palielina sešu mēnešu laikā no dienas, kad </w:t>
            </w:r>
            <w:r w:rsidRPr="00A37E8A">
              <w:rPr>
                <w:rFonts w:eastAsiaTheme="minorHAnsi"/>
                <w:bCs/>
                <w:sz w:val="20"/>
                <w:szCs w:val="20"/>
              </w:rPr>
              <w:t>nosūtīta</w:t>
            </w:r>
            <w:r w:rsidRPr="00D73217">
              <w:rPr>
                <w:rFonts w:eastAsiaTheme="minorHAnsi"/>
                <w:bCs/>
                <w:sz w:val="20"/>
                <w:szCs w:val="20"/>
              </w:rPr>
              <w:t xml:space="preserve"> šā likuma 26. panta trešajā daļā minētā informācija par paziņojuma vai papildu informācijas saņemšanu. Ja līdz minētā termiņa beigām persona nav ieguvusi vai palielinājusi būtisku līdzdalību ieguldījumu brokeru sabiedrībā, Komisijas piekrišana tās būtiskas līdzdalības iegūšanai vai palielināšanai ieguldījumu brokeru sabiedrībā zaudē spēku. Pēc personas motivēta rakstveida lūguma Komisija var lemt par minētā termiņa pagarināšanu.</w:t>
            </w:r>
          </w:p>
          <w:p w14:paraId="764AE0F9" w14:textId="77777777" w:rsidR="007D6D6F" w:rsidRPr="00D73217" w:rsidRDefault="007D6D6F" w:rsidP="007D6D6F">
            <w:pPr>
              <w:pStyle w:val="NoSpacing"/>
              <w:widowControl/>
              <w:rPr>
                <w:rFonts w:eastAsiaTheme="minorHAnsi"/>
                <w:bCs/>
                <w:sz w:val="20"/>
                <w:szCs w:val="20"/>
              </w:rPr>
            </w:pPr>
          </w:p>
          <w:p w14:paraId="71F1EFD1" w14:textId="304A69B0" w:rsidR="007D6D6F" w:rsidRPr="00947100" w:rsidRDefault="007D6D6F" w:rsidP="007D6D6F">
            <w:pPr>
              <w:pStyle w:val="NoSpacing"/>
              <w:widowControl/>
              <w:rPr>
                <w:rFonts w:eastAsiaTheme="minorHAnsi"/>
                <w:bCs/>
                <w:sz w:val="20"/>
                <w:szCs w:val="20"/>
              </w:rPr>
            </w:pPr>
            <w:r w:rsidRPr="00D73217">
              <w:rPr>
                <w:rFonts w:eastAsiaTheme="minorHAnsi"/>
                <w:bCs/>
                <w:sz w:val="20"/>
                <w:szCs w:val="20"/>
              </w:rPr>
              <w:t xml:space="preserve">(14) Šā panta </w:t>
            </w:r>
            <w:r w:rsidRPr="008F5842">
              <w:rPr>
                <w:rFonts w:eastAsiaTheme="minorHAnsi"/>
                <w:bCs/>
                <w:sz w:val="20"/>
                <w:szCs w:val="20"/>
                <w:u w:val="single"/>
              </w:rPr>
              <w:t>trešajā</w:t>
            </w:r>
            <w:r w:rsidRPr="00D73217">
              <w:rPr>
                <w:rFonts w:eastAsiaTheme="minorHAnsi"/>
                <w:bCs/>
                <w:sz w:val="20"/>
                <w:szCs w:val="20"/>
              </w:rPr>
              <w:t xml:space="preserve"> un </w:t>
            </w:r>
            <w:r w:rsidRPr="00A344B5">
              <w:rPr>
                <w:rFonts w:eastAsiaTheme="minorHAnsi"/>
                <w:bCs/>
                <w:sz w:val="20"/>
                <w:szCs w:val="20"/>
                <w:u w:val="single"/>
              </w:rPr>
              <w:t>devītajā</w:t>
            </w:r>
            <w:r w:rsidRPr="00D73217">
              <w:rPr>
                <w:rFonts w:eastAsiaTheme="minorHAnsi"/>
                <w:bCs/>
                <w:sz w:val="20"/>
                <w:szCs w:val="20"/>
              </w:rPr>
              <w:t xml:space="preserve"> daļā minētā Komisijas izdotā administratīvā akta pārsūdzēšana neaptur tā izpildi.</w:t>
            </w:r>
          </w:p>
        </w:tc>
        <w:tc>
          <w:tcPr>
            <w:tcW w:w="1309" w:type="pct"/>
            <w:tcBorders>
              <w:top w:val="single" w:sz="6" w:space="0" w:color="000000"/>
              <w:left w:val="single" w:sz="6" w:space="0" w:color="000000"/>
              <w:bottom w:val="single" w:sz="6" w:space="0" w:color="000000"/>
              <w:right w:val="single" w:sz="6" w:space="0" w:color="000000"/>
            </w:tcBorders>
          </w:tcPr>
          <w:p w14:paraId="10C4E5E7" w14:textId="77777777" w:rsidR="007D6D6F" w:rsidRPr="00D73217" w:rsidRDefault="007D6D6F" w:rsidP="007D6D6F">
            <w:pPr>
              <w:pStyle w:val="NormalWeb"/>
              <w:spacing w:before="0" w:after="0"/>
              <w:ind w:right="13"/>
              <w:jc w:val="both"/>
              <w:rPr>
                <w:sz w:val="20"/>
                <w:szCs w:val="20"/>
              </w:rPr>
            </w:pPr>
            <w:r w:rsidRPr="00D73217">
              <w:rPr>
                <w:b/>
                <w:bCs/>
                <w:sz w:val="20"/>
                <w:szCs w:val="20"/>
              </w:rPr>
              <w:lastRenderedPageBreak/>
              <w:t>Iebildums.</w:t>
            </w:r>
            <w:r w:rsidRPr="00D73217">
              <w:rPr>
                <w:sz w:val="20"/>
                <w:szCs w:val="20"/>
              </w:rPr>
              <w:t xml:space="preserve"> Likumprojekta 27. panta desmitā daļa noteic, ka persona savu būtisko līdzdalību ieguldījumu brokeru sabiedrībā iegūst vai palielina sešu mēnešu laikā no dienas, kad nosūtīta šā likuma 26. panta trešajā daļā minētā informācija par paziņojuma vai papildu informācijas saņemšanu. Vienlaikus likumprojekta 27. panta pirmā daļa noteic tādu pašu termiņa atskaites </w:t>
            </w:r>
            <w:r w:rsidRPr="00D73217">
              <w:rPr>
                <w:sz w:val="20"/>
                <w:szCs w:val="20"/>
              </w:rPr>
              <w:lastRenderedPageBreak/>
              <w:t>punktu Komisijas lēmuma pieņemšanai. No minētā izriet, ka persona var iegūt būtisko līdzdalību ieguldījumu brokeru sabiedrībā pirms Komisijas lēmuma. Nav skaidrs, vai šāda kārtība ir pieļaujama, tāpēc lūdzam par to sniegt skaidrojumu. Vienlaikus lūdzam izvērtēt, vai, pieļaujot šādu kārtību, Komisijas lēmums vispār ir nepieciešams. Ievērojot minēto, lūdzam precizēt likumprojektu un papildināt anotāciju ar skaidrojumu.</w:t>
            </w:r>
          </w:p>
          <w:p w14:paraId="698A2041" w14:textId="6CB4805E" w:rsidR="007D6D6F" w:rsidRPr="00D73217" w:rsidRDefault="007D6D6F" w:rsidP="007D6D6F">
            <w:pPr>
              <w:spacing w:after="0" w:line="240" w:lineRule="auto"/>
              <w:jc w:val="both"/>
              <w:rPr>
                <w:rFonts w:ascii="Times New Roman" w:eastAsia="Times New Roman" w:hAnsi="Times New Roman" w:cs="Times New Roman"/>
                <w:sz w:val="20"/>
                <w:szCs w:val="20"/>
                <w:lang w:eastAsia="lv-LV"/>
              </w:rPr>
            </w:pPr>
            <w:r w:rsidRPr="00D73217">
              <w:rPr>
                <w:rFonts w:ascii="Times New Roman" w:hAnsi="Times New Roman" w:cs="Times New Roman"/>
                <w:sz w:val="20"/>
                <w:szCs w:val="20"/>
              </w:rPr>
              <w:t>Papildus vēršam uzmanību, ka likumprojekta 27. panta četrpadsmitā daļa noteic, ka šā panta trešajā un devītajā daļā minētā Komisijas izdotā administratīvā akta pārsūdzēšana neaptur tā izpildi. Ne no likumprojekta 27. panta trešās daļas, ne no likumprojekta 27. panta devītās daļas neizriet Komisijai tiesības izdot administratīvos aktus, tāpēc lūdzam atbilstoši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720E1C97" w14:textId="3E8728C4" w:rsidR="007D6D6F" w:rsidRPr="00A32451" w:rsidRDefault="007D6D6F" w:rsidP="007D6D6F">
            <w:pPr>
              <w:spacing w:after="0" w:line="240" w:lineRule="auto"/>
              <w:jc w:val="both"/>
              <w:rPr>
                <w:rFonts w:ascii="Times New Roman" w:eastAsia="Times New Roman" w:hAnsi="Times New Roman" w:cs="Times New Roman"/>
                <w:sz w:val="20"/>
                <w:szCs w:val="20"/>
                <w:lang w:eastAsia="lv-LV"/>
              </w:rPr>
            </w:pPr>
            <w:r w:rsidRPr="00A32451">
              <w:rPr>
                <w:rFonts w:ascii="Times New Roman" w:eastAsia="Times New Roman" w:hAnsi="Times New Roman" w:cs="Times New Roman"/>
                <w:b/>
                <w:bCs/>
                <w:sz w:val="20"/>
                <w:szCs w:val="20"/>
                <w:lang w:eastAsia="lv-LV"/>
              </w:rPr>
              <w:lastRenderedPageBreak/>
              <w:t xml:space="preserve">Iebildums daļēji ņemts vērā. Sniedzam skaidrojumu. </w:t>
            </w:r>
            <w:r w:rsidRPr="00A32451">
              <w:rPr>
                <w:rFonts w:ascii="Times New Roman" w:eastAsia="Times New Roman" w:hAnsi="Times New Roman" w:cs="Times New Roman"/>
                <w:sz w:val="20"/>
                <w:szCs w:val="20"/>
                <w:lang w:eastAsia="lv-LV"/>
              </w:rPr>
              <w:t xml:space="preserve">Vēršam uzmanību, ka </w:t>
            </w:r>
            <w:r w:rsidRPr="00A32451">
              <w:rPr>
                <w:rFonts w:ascii="Times New Roman" w:eastAsia="Times New Roman" w:hAnsi="Times New Roman" w:cs="Times New Roman"/>
                <w:b/>
                <w:bCs/>
                <w:sz w:val="20"/>
                <w:szCs w:val="20"/>
                <w:lang w:eastAsia="lv-LV"/>
              </w:rPr>
              <w:t xml:space="preserve"> </w:t>
            </w:r>
            <w:r w:rsidRPr="00A32451">
              <w:rPr>
                <w:rFonts w:ascii="Times New Roman" w:eastAsia="Times New Roman" w:hAnsi="Times New Roman" w:cs="Times New Roman"/>
                <w:sz w:val="20"/>
                <w:szCs w:val="20"/>
                <w:lang w:eastAsia="lv-LV"/>
              </w:rPr>
              <w:t xml:space="preserve">27.panta pirmajā daļā ir noteikts termiņa atskaites punkts Komisijas vērtējuma pabeigšanai attiecībā uz personas, kas iegūst būtisku līdzdalību, atbilstību likumā </w:t>
            </w:r>
            <w:r w:rsidRPr="00A32451">
              <w:rPr>
                <w:rFonts w:ascii="Times New Roman" w:eastAsia="Times New Roman" w:hAnsi="Times New Roman" w:cs="Times New Roman"/>
                <w:sz w:val="20"/>
                <w:szCs w:val="20"/>
                <w:lang w:eastAsia="lv-LV"/>
              </w:rPr>
              <w:lastRenderedPageBreak/>
              <w:t>noteiktajiem kritērijiem. Tāpat šā panta sestā daļa paredz situācijas kad Komisija pieņem lēmumu par aizliegumu iegūt vai palielināt būtisko līdzdalību.</w:t>
            </w:r>
            <w:r>
              <w:rPr>
                <w:rFonts w:ascii="Times New Roman" w:eastAsia="Times New Roman" w:hAnsi="Times New Roman" w:cs="Times New Roman"/>
                <w:sz w:val="20"/>
                <w:szCs w:val="20"/>
                <w:lang w:eastAsia="lv-LV"/>
              </w:rPr>
              <w:t xml:space="preserve"> </w:t>
            </w:r>
            <w:r w:rsidRPr="00A32451">
              <w:rPr>
                <w:rFonts w:ascii="Times New Roman" w:eastAsia="Times New Roman" w:hAnsi="Times New Roman" w:cs="Times New Roman"/>
                <w:sz w:val="20"/>
                <w:szCs w:val="20"/>
                <w:lang w:eastAsia="lv-LV"/>
              </w:rPr>
              <w:t xml:space="preserve">Savukārt 27.panta desmitā daļa jau pati paredz, ka būtisku līdzdalību var faktiski iegūt vai palielināt, ja ir saņemta Komisijas piekrišana, tātad šī faktiskā iegūšana nevar būt kamēr nav pabeigts izvērtēšanas process. </w:t>
            </w:r>
          </w:p>
          <w:p w14:paraId="226BC711" w14:textId="77777777" w:rsidR="007D6D6F" w:rsidRPr="00A32451" w:rsidRDefault="007D6D6F" w:rsidP="007D6D6F">
            <w:pPr>
              <w:spacing w:after="0" w:line="240" w:lineRule="auto"/>
              <w:jc w:val="both"/>
              <w:rPr>
                <w:rFonts w:ascii="Times New Roman" w:eastAsia="Times New Roman" w:hAnsi="Times New Roman" w:cs="Times New Roman"/>
                <w:sz w:val="20"/>
                <w:szCs w:val="20"/>
                <w:lang w:eastAsia="lv-LV"/>
              </w:rPr>
            </w:pPr>
          </w:p>
          <w:p w14:paraId="73045D37" w14:textId="1BC0948B" w:rsidR="007D6D6F" w:rsidRPr="00A32451" w:rsidRDefault="007D6D6F" w:rsidP="007D6D6F">
            <w:pPr>
              <w:spacing w:after="0" w:line="240" w:lineRule="auto"/>
              <w:jc w:val="both"/>
              <w:rPr>
                <w:rFonts w:ascii="Times New Roman" w:eastAsia="Times New Roman" w:hAnsi="Times New Roman" w:cs="Times New Roman"/>
                <w:b/>
                <w:bCs/>
                <w:sz w:val="20"/>
                <w:szCs w:val="20"/>
                <w:lang w:eastAsia="lv-LV"/>
              </w:rPr>
            </w:pPr>
            <w:r w:rsidRPr="00A32451">
              <w:rPr>
                <w:rFonts w:ascii="Times New Roman" w:eastAsia="Times New Roman" w:hAnsi="Times New Roman" w:cs="Times New Roman"/>
                <w:sz w:val="20"/>
                <w:szCs w:val="20"/>
                <w:lang w:eastAsia="lv-LV"/>
              </w:rPr>
              <w:t>Likumprojekta 27.panta desmitā un četrpadsmitā daļa attiecīgi precizēta.</w:t>
            </w:r>
          </w:p>
        </w:tc>
        <w:tc>
          <w:tcPr>
            <w:tcW w:w="936" w:type="pct"/>
            <w:tcBorders>
              <w:top w:val="single" w:sz="4" w:space="0" w:color="auto"/>
              <w:left w:val="single" w:sz="4" w:space="0" w:color="auto"/>
              <w:bottom w:val="single" w:sz="4" w:space="0" w:color="auto"/>
              <w:right w:val="single" w:sz="4" w:space="0" w:color="auto"/>
            </w:tcBorders>
          </w:tcPr>
          <w:p w14:paraId="2980E22E" w14:textId="189059F9"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lastRenderedPageBreak/>
              <w:t>Likumprojekta 27.panta četrpadsmitā daļa</w:t>
            </w:r>
          </w:p>
          <w:p w14:paraId="746AECB8" w14:textId="77777777" w:rsidR="007D6D6F" w:rsidRDefault="007D6D6F" w:rsidP="007D6D6F">
            <w:pPr>
              <w:pStyle w:val="NoSpacing"/>
              <w:widowControl/>
              <w:rPr>
                <w:rFonts w:eastAsiaTheme="minorHAnsi"/>
                <w:bCs/>
                <w:sz w:val="20"/>
                <w:szCs w:val="20"/>
              </w:rPr>
            </w:pPr>
          </w:p>
          <w:p w14:paraId="3EC7EB08" w14:textId="6233B31B" w:rsidR="007D6D6F" w:rsidRPr="00D73217" w:rsidRDefault="007D6D6F" w:rsidP="007D6D6F">
            <w:pPr>
              <w:pStyle w:val="NoSpacing"/>
              <w:widowControl/>
              <w:rPr>
                <w:rFonts w:eastAsiaTheme="minorHAnsi"/>
                <w:bCs/>
                <w:sz w:val="20"/>
                <w:szCs w:val="20"/>
              </w:rPr>
            </w:pPr>
            <w:r w:rsidRPr="00D73217">
              <w:rPr>
                <w:rFonts w:eastAsiaTheme="minorHAnsi"/>
                <w:bCs/>
                <w:sz w:val="20"/>
                <w:szCs w:val="20"/>
              </w:rPr>
              <w:t xml:space="preserve">(14) Šā panta </w:t>
            </w:r>
            <w:r w:rsidRPr="00A344B5">
              <w:rPr>
                <w:rFonts w:eastAsiaTheme="minorHAnsi"/>
                <w:bCs/>
                <w:sz w:val="20"/>
                <w:szCs w:val="20"/>
                <w:u w:val="single"/>
              </w:rPr>
              <w:t>sestajā</w:t>
            </w:r>
            <w:r w:rsidRPr="00D73217">
              <w:rPr>
                <w:rFonts w:eastAsiaTheme="minorHAnsi"/>
                <w:bCs/>
                <w:sz w:val="20"/>
                <w:szCs w:val="20"/>
              </w:rPr>
              <w:t xml:space="preserve"> un </w:t>
            </w:r>
            <w:r w:rsidRPr="00A344B5">
              <w:rPr>
                <w:rFonts w:eastAsiaTheme="minorHAnsi"/>
                <w:bCs/>
                <w:sz w:val="20"/>
                <w:szCs w:val="20"/>
                <w:u w:val="single"/>
              </w:rPr>
              <w:t>trīspadsmitajā</w:t>
            </w:r>
            <w:r w:rsidRPr="00D73217">
              <w:rPr>
                <w:rFonts w:eastAsiaTheme="minorHAnsi"/>
                <w:bCs/>
                <w:sz w:val="20"/>
                <w:szCs w:val="20"/>
              </w:rPr>
              <w:t xml:space="preserve"> daļā minētā Komisijas izdotā administratīvā akta pārsūdzēšana neaptur tā izpildi.</w:t>
            </w:r>
          </w:p>
          <w:p w14:paraId="6CACDDDA" w14:textId="77777777" w:rsidR="007D6D6F" w:rsidRPr="00A344B5" w:rsidRDefault="007D6D6F" w:rsidP="007D6D6F"/>
          <w:p w14:paraId="0978EDA3" w14:textId="1BE1337C"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r>
      <w:tr w:rsidR="007D6D6F" w:rsidRPr="00184920" w14:paraId="75BDD64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C8AEC82" w14:textId="5DB8A833" w:rsidR="007D6D6F"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19.</w:t>
            </w:r>
          </w:p>
        </w:tc>
        <w:tc>
          <w:tcPr>
            <w:tcW w:w="692" w:type="pct"/>
            <w:tcBorders>
              <w:top w:val="single" w:sz="6" w:space="0" w:color="000000"/>
              <w:left w:val="single" w:sz="6" w:space="0" w:color="000000"/>
              <w:bottom w:val="single" w:sz="6" w:space="0" w:color="000000"/>
              <w:right w:val="single" w:sz="6" w:space="0" w:color="000000"/>
            </w:tcBorders>
          </w:tcPr>
          <w:p w14:paraId="447AB387" w14:textId="77777777" w:rsidR="007D6D6F" w:rsidRDefault="007D6D6F" w:rsidP="007D6D6F">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26. un 28.pants.</w:t>
            </w:r>
          </w:p>
          <w:p w14:paraId="32461BCF" w14:textId="77777777" w:rsidR="007D6D6F" w:rsidRDefault="007D6D6F" w:rsidP="007D6D6F">
            <w:pPr>
              <w:spacing w:after="0" w:line="240" w:lineRule="auto"/>
              <w:jc w:val="both"/>
              <w:rPr>
                <w:rFonts w:ascii="Times New Roman" w:eastAsia="Times New Roman" w:hAnsi="Times New Roman" w:cs="Times New Roman"/>
                <w:sz w:val="20"/>
                <w:szCs w:val="20"/>
              </w:rPr>
            </w:pPr>
          </w:p>
          <w:p w14:paraId="189FF738" w14:textId="46A59EE7" w:rsidR="007D6D6F" w:rsidRPr="00D73217" w:rsidRDefault="007D6D6F" w:rsidP="007D6D6F">
            <w:pPr>
              <w:pStyle w:val="NoSpacing"/>
              <w:widowControl/>
              <w:rPr>
                <w:rFonts w:eastAsiaTheme="minorHAnsi"/>
                <w:b/>
                <w:bCs/>
                <w:sz w:val="20"/>
                <w:szCs w:val="20"/>
              </w:rPr>
            </w:pPr>
            <w:r>
              <w:rPr>
                <w:rFonts w:eastAsia="Times New Roman"/>
                <w:sz w:val="20"/>
                <w:szCs w:val="20"/>
              </w:rPr>
              <w:t>Kā piemēri minēti 17.panta trešā daļa un 18.panta desmitā daļa.</w:t>
            </w:r>
          </w:p>
        </w:tc>
        <w:tc>
          <w:tcPr>
            <w:tcW w:w="1309" w:type="pct"/>
            <w:tcBorders>
              <w:top w:val="single" w:sz="6" w:space="0" w:color="000000"/>
              <w:left w:val="single" w:sz="6" w:space="0" w:color="000000"/>
              <w:bottom w:val="single" w:sz="6" w:space="0" w:color="000000"/>
              <w:right w:val="single" w:sz="6" w:space="0" w:color="000000"/>
            </w:tcBorders>
          </w:tcPr>
          <w:p w14:paraId="6A1D6BD6" w14:textId="77777777" w:rsidR="007D6D6F" w:rsidRDefault="007D6D6F" w:rsidP="007D6D6F">
            <w:pPr>
              <w:pStyle w:val="NormalWeb"/>
              <w:spacing w:before="0" w:after="0"/>
              <w:ind w:right="13"/>
              <w:jc w:val="both"/>
              <w:rPr>
                <w:sz w:val="20"/>
                <w:szCs w:val="20"/>
              </w:rPr>
            </w:pPr>
            <w:r w:rsidRPr="00D73217">
              <w:rPr>
                <w:b/>
                <w:bCs/>
                <w:sz w:val="20"/>
                <w:szCs w:val="20"/>
              </w:rPr>
              <w:t>Iebildums.</w:t>
            </w:r>
            <w:r w:rsidRPr="00D73217">
              <w:rPr>
                <w:sz w:val="20"/>
                <w:szCs w:val="20"/>
              </w:rPr>
              <w:t xml:space="preserve"> Likumprojekta 26. un 28. pantā noteikts, ka personai par lēmumu iepriekš </w:t>
            </w:r>
            <w:proofErr w:type="spellStart"/>
            <w:r w:rsidRPr="00D73217">
              <w:rPr>
                <w:sz w:val="20"/>
                <w:szCs w:val="20"/>
              </w:rPr>
              <w:t>rakstveidā</w:t>
            </w:r>
            <w:proofErr w:type="spellEnd"/>
            <w:r w:rsidRPr="00D73217">
              <w:rPr>
                <w:sz w:val="20"/>
                <w:szCs w:val="20"/>
              </w:rPr>
              <w:t xml:space="preserve"> jāpaziņo Komisijai, taču nav noteikts laika periods, kādā šāds paziņojums jāveic. Norādām, ka likumprojektā līdzīgu paziņojumu sniegšanai paredzēts sevišķs termiņš, piemēram, 17. panta trešajā daļā un 18. panta desmitajā daļā. Ievērojot minēto, lūdzam papildināt likumprojektu, norādot termiņu, kādā personai jāsniedz Komisijai 26. un 28. pantā minētie paziņojumi.</w:t>
            </w:r>
          </w:p>
          <w:p w14:paraId="4E053DF4" w14:textId="77777777" w:rsidR="007D6D6F" w:rsidRPr="00605648" w:rsidRDefault="007D6D6F" w:rsidP="007D6D6F">
            <w:pPr>
              <w:pStyle w:val="naisc"/>
              <w:spacing w:before="0" w:after="0"/>
              <w:jc w:val="both"/>
              <w:rPr>
                <w:b/>
                <w:bCs/>
                <w:sz w:val="20"/>
                <w:szCs w:val="20"/>
              </w:rPr>
            </w:pPr>
            <w:r w:rsidRPr="00605648">
              <w:rPr>
                <w:b/>
                <w:bCs/>
                <w:sz w:val="20"/>
                <w:szCs w:val="20"/>
              </w:rPr>
              <w:t>Š.g. 11.maijā uzturētais iebildums.</w:t>
            </w:r>
          </w:p>
          <w:p w14:paraId="4BDBD777" w14:textId="24A343F0" w:rsidR="007D6D6F" w:rsidRPr="007D6D6F" w:rsidRDefault="007D6D6F" w:rsidP="007D6D6F">
            <w:pPr>
              <w:pStyle w:val="naisc"/>
              <w:spacing w:before="0" w:after="0"/>
              <w:jc w:val="both"/>
              <w:rPr>
                <w:sz w:val="20"/>
                <w:szCs w:val="20"/>
              </w:rPr>
            </w:pPr>
            <w:r w:rsidRPr="00605648">
              <w:rPr>
                <w:sz w:val="20"/>
                <w:szCs w:val="20"/>
              </w:rPr>
              <w:lastRenderedPageBreak/>
              <w:t xml:space="preserve">Likumprojekta 26. un 28. pantā noteikts, ka personai par lēmumu iepriekš </w:t>
            </w:r>
            <w:proofErr w:type="spellStart"/>
            <w:r w:rsidRPr="00605648">
              <w:rPr>
                <w:sz w:val="20"/>
                <w:szCs w:val="20"/>
              </w:rPr>
              <w:t>rakstveidā</w:t>
            </w:r>
            <w:proofErr w:type="spellEnd"/>
            <w:r w:rsidRPr="00605648">
              <w:rPr>
                <w:sz w:val="20"/>
                <w:szCs w:val="20"/>
              </w:rPr>
              <w:t xml:space="preserve"> jāpaziņo Komisijai, taču nav noteikts laika periods, kādā šāds paziņojums jāveic, atšķirībā no likumprojekta 17. un 18. panta, kuros termiņš ir norādīts. Finanšu ministrija ir skaidrojusi, no ka likumprojekta 17. un 18. panta normām izriet pienākums, tādēļ tajās noteikts termiņš, savukārt 26. un 28. panta normas saistītas ar brīvu izvēli. Ņemot vērā minēto, Tieslietu ministrijai nav skaidrs, kāpēc 26. un 28. panta nosaukumos ir iekļauts “Paziņošanas pienākums”, un kāpēc šīs normas nosaka, ka persona par savu lēmumu “iepriekš </w:t>
            </w:r>
            <w:proofErr w:type="spellStart"/>
            <w:r w:rsidRPr="00605648">
              <w:rPr>
                <w:sz w:val="20"/>
                <w:szCs w:val="20"/>
              </w:rPr>
              <w:t>rakstveidā</w:t>
            </w:r>
            <w:proofErr w:type="spellEnd"/>
            <w:r w:rsidRPr="00605648">
              <w:rPr>
                <w:sz w:val="20"/>
                <w:szCs w:val="20"/>
              </w:rPr>
              <w:t xml:space="preserve"> paziņo Komisijai”, nevis “var paziņot”, kas rada iespaidu par normu pienākuma raksturu. Ievērojot minēto, lūdzam precizēt likumprojektu atbilstoši Finanšu ministrijas skaidrojumam vai papildināt likumprojektu, norādot termiņu, kādā personai jāsniedz Komisijai 26. un 28. pantā minētie paziņojumi.</w:t>
            </w:r>
          </w:p>
        </w:tc>
        <w:tc>
          <w:tcPr>
            <w:tcW w:w="848" w:type="pct"/>
            <w:gridSpan w:val="2"/>
            <w:tcBorders>
              <w:top w:val="single" w:sz="6" w:space="0" w:color="000000"/>
              <w:left w:val="single" w:sz="6" w:space="0" w:color="000000"/>
              <w:bottom w:val="single" w:sz="6" w:space="0" w:color="000000"/>
              <w:right w:val="single" w:sz="6" w:space="0" w:color="000000"/>
            </w:tcBorders>
          </w:tcPr>
          <w:p w14:paraId="4BE5CBF1" w14:textId="592D6F62" w:rsidR="007D6D6F" w:rsidRPr="007D6D6F" w:rsidRDefault="007D6D6F" w:rsidP="007D6D6F">
            <w:pPr>
              <w:pStyle w:val="NormalWeb"/>
              <w:spacing w:before="0" w:after="0"/>
              <w:ind w:right="13"/>
              <w:jc w:val="both"/>
              <w:rPr>
                <w:sz w:val="20"/>
                <w:szCs w:val="20"/>
              </w:rPr>
            </w:pPr>
            <w:r w:rsidRPr="007D6D6F">
              <w:rPr>
                <w:b/>
                <w:bCs/>
                <w:sz w:val="20"/>
                <w:szCs w:val="20"/>
              </w:rPr>
              <w:lastRenderedPageBreak/>
              <w:t>Sniedzam skaidrojumu.</w:t>
            </w:r>
            <w:r w:rsidRPr="007D6D6F">
              <w:rPr>
                <w:sz w:val="20"/>
                <w:szCs w:val="20"/>
              </w:rPr>
              <w:t xml:space="preserve"> Likumprojekta 26. un 28. pants neparedz personai iespēju izvēlēties, vai Finanšu un kapitāla tirgus komisijai paziņot vai nē, ja tā vēlas iegūt būtisku līdzdalību, palielināt būtisku līdzdalību, izbeigt būtisku līdzdalību vai samazināt būtisku līdzdalību ieguldījumu brokeru sabiedrībā. Taču personai pašai ir jārēķinās, ka šis paziņojums jāsniedz Finanšu un kapitāla tirgus </w:t>
            </w:r>
            <w:r w:rsidRPr="007D6D6F">
              <w:rPr>
                <w:sz w:val="20"/>
                <w:szCs w:val="20"/>
              </w:rPr>
              <w:lastRenderedPageBreak/>
              <w:t xml:space="preserve">komisijai savlaicīgi, rēķinoties ar termiņu, kas Finanšu un kapitāla tirgus komisijai likumā ir paredzēts </w:t>
            </w:r>
            <w:proofErr w:type="spellStart"/>
            <w:r w:rsidRPr="007D6D6F">
              <w:rPr>
                <w:sz w:val="20"/>
                <w:szCs w:val="20"/>
              </w:rPr>
              <w:t>izvērtējumam</w:t>
            </w:r>
            <w:proofErr w:type="spellEnd"/>
            <w:r w:rsidRPr="007D6D6F">
              <w:rPr>
                <w:sz w:val="20"/>
                <w:szCs w:val="20"/>
              </w:rPr>
              <w:t xml:space="preserve">. Likumā nevar paredzēt katru individuālu gadījumu un situāciju, kas personai radīs pienākumu ziņot par būtiskas līdzdalības faktu, līdz ar to tajā noteikts  maksimālais termiņš, kurā Finanšu un kapitāla tirgus komisijai jāizvērtē attiecīgais iesniegums, bet to, cik iepriekš sniegt paziņojumu, izlemj pats iesniedzējs.  Paziņojums ir obligāts, jo bez Finanšu un kapitāla tirgus komisijas saskaņojuma persona nevar izmantot ar būtisku līdzdalību iegūtās tiesības, kā arī ir noteikts konkrēts termiņš kādā līdzdalības iegūšana jārealizē pēc atļaujas saņemšanas. Tāpat jāatzīmē, ka minētais regulējums ir harmonizēts visās Eiropas </w:t>
            </w:r>
            <w:proofErr w:type="spellStart"/>
            <w:r w:rsidRPr="007D6D6F">
              <w:rPr>
                <w:sz w:val="20"/>
                <w:szCs w:val="20"/>
              </w:rPr>
              <w:t>Ssavienības</w:t>
            </w:r>
            <w:proofErr w:type="spellEnd"/>
            <w:r w:rsidRPr="007D6D6F">
              <w:rPr>
                <w:sz w:val="20"/>
                <w:szCs w:val="20"/>
              </w:rPr>
              <w:t xml:space="preserve"> dalībvalstīs un precīza  ieviešana nodrošinās vienādus nosacījumus būtiskas līdzdalības ieguvējiem visā Eiropas Savienībā.</w:t>
            </w:r>
          </w:p>
        </w:tc>
        <w:tc>
          <w:tcPr>
            <w:tcW w:w="936" w:type="pct"/>
            <w:tcBorders>
              <w:top w:val="single" w:sz="4" w:space="0" w:color="auto"/>
              <w:left w:val="single" w:sz="4" w:space="0" w:color="auto"/>
              <w:bottom w:val="single" w:sz="4" w:space="0" w:color="auto"/>
              <w:right w:val="single" w:sz="4" w:space="0" w:color="auto"/>
            </w:tcBorders>
          </w:tcPr>
          <w:p w14:paraId="49CDC2FA"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p>
        </w:tc>
      </w:tr>
      <w:tr w:rsidR="00FF4803" w:rsidRPr="00184920" w14:paraId="664B6472"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1C965EB" w14:textId="199ED385" w:rsidR="00FF4803" w:rsidRDefault="00FF4803"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20.</w:t>
            </w:r>
          </w:p>
        </w:tc>
        <w:tc>
          <w:tcPr>
            <w:tcW w:w="692" w:type="pct"/>
            <w:tcBorders>
              <w:top w:val="single" w:sz="6" w:space="0" w:color="000000"/>
              <w:left w:val="single" w:sz="6" w:space="0" w:color="000000"/>
              <w:bottom w:val="single" w:sz="6" w:space="0" w:color="000000"/>
              <w:right w:val="single" w:sz="6" w:space="0" w:color="000000"/>
            </w:tcBorders>
          </w:tcPr>
          <w:p w14:paraId="0B2C5468" w14:textId="77777777" w:rsidR="00FF4803" w:rsidRPr="005E5900" w:rsidRDefault="00FF4803" w:rsidP="00FF4803">
            <w:pPr>
              <w:pStyle w:val="NoSpacing"/>
              <w:widowControl/>
              <w:rPr>
                <w:rFonts w:eastAsiaTheme="minorHAnsi"/>
                <w:b/>
                <w:bCs/>
                <w:sz w:val="20"/>
                <w:szCs w:val="20"/>
              </w:rPr>
            </w:pPr>
            <w:r w:rsidRPr="005E5900">
              <w:rPr>
                <w:rFonts w:eastAsiaTheme="minorHAnsi"/>
                <w:b/>
                <w:bCs/>
                <w:sz w:val="20"/>
                <w:szCs w:val="20"/>
              </w:rPr>
              <w:t>30.pants. Neziņošanas sekas</w:t>
            </w:r>
          </w:p>
          <w:p w14:paraId="4657A417" w14:textId="3EAED1E7" w:rsidR="00FF4803" w:rsidRDefault="00FF4803" w:rsidP="00FF4803">
            <w:pPr>
              <w:pStyle w:val="naisc"/>
              <w:spacing w:before="0" w:after="0"/>
              <w:jc w:val="both"/>
              <w:rPr>
                <w:sz w:val="20"/>
                <w:szCs w:val="20"/>
              </w:rPr>
            </w:pPr>
            <w:r w:rsidRPr="00FF4803">
              <w:rPr>
                <w:sz w:val="20"/>
                <w:szCs w:val="20"/>
              </w:rPr>
              <w:t xml:space="preserve">(2) Ja persona, neievērojot Komisijas aizliegumu, iegūst vai palielina būtisku līdzdalību, tai nav tiesību izmantot visu tai piederošo akciju (daļu) balsstiesības, bet akcionāru (dalībnieku) sapulces lēmumi, kas pieņemti, izmantojot šo akciju (daļu) balsstiesības, </w:t>
            </w:r>
            <w:r w:rsidRPr="00FF4803">
              <w:rPr>
                <w:sz w:val="20"/>
                <w:szCs w:val="20"/>
                <w:u w:val="single"/>
              </w:rPr>
              <w:t xml:space="preserve">nav spēkā no to pieņemšanas brīža un uz šo lēmumu pamata nedrīkst lūgt izdarīt </w:t>
            </w:r>
            <w:r w:rsidRPr="00FF4803">
              <w:rPr>
                <w:sz w:val="20"/>
                <w:szCs w:val="20"/>
                <w:u w:val="single"/>
              </w:rPr>
              <w:lastRenderedPageBreak/>
              <w:t>ierakstus komercreģistrā un citos publiskos reģistros.</w:t>
            </w:r>
          </w:p>
        </w:tc>
        <w:tc>
          <w:tcPr>
            <w:tcW w:w="1309" w:type="pct"/>
            <w:tcBorders>
              <w:top w:val="single" w:sz="6" w:space="0" w:color="000000"/>
              <w:left w:val="single" w:sz="6" w:space="0" w:color="000000"/>
              <w:bottom w:val="single" w:sz="6" w:space="0" w:color="000000"/>
              <w:right w:val="single" w:sz="6" w:space="0" w:color="000000"/>
            </w:tcBorders>
          </w:tcPr>
          <w:p w14:paraId="2DF31D0B" w14:textId="77777777" w:rsidR="00FF4803" w:rsidRDefault="00FF4803" w:rsidP="00FF4803">
            <w:pPr>
              <w:pStyle w:val="naisc"/>
              <w:spacing w:before="0" w:after="0"/>
              <w:jc w:val="both"/>
              <w:rPr>
                <w:sz w:val="20"/>
                <w:szCs w:val="20"/>
              </w:rPr>
            </w:pPr>
            <w:r w:rsidRPr="00147866">
              <w:rPr>
                <w:b/>
                <w:bCs/>
                <w:sz w:val="20"/>
                <w:szCs w:val="20"/>
              </w:rPr>
              <w:lastRenderedPageBreak/>
              <w:t>Iebildums.</w:t>
            </w:r>
            <w:r>
              <w:rPr>
                <w:sz w:val="20"/>
                <w:szCs w:val="20"/>
              </w:rPr>
              <w:t xml:space="preserve"> </w:t>
            </w:r>
            <w:r w:rsidRPr="005E5900">
              <w:rPr>
                <w:sz w:val="20"/>
                <w:szCs w:val="20"/>
              </w:rPr>
              <w:t xml:space="preserve">Attiecībā uz likumprojekta 30. panta otrajā daļā iekļauto regulējumu, kas paredz, ka akcionāru (dalībnieku) sapulces lēmumi nav spēkā no to pieņemšanas brīža, vēlamies norādīt sekojošo. </w:t>
            </w:r>
          </w:p>
          <w:p w14:paraId="62ADF26E" w14:textId="77777777" w:rsidR="00FF4803" w:rsidRPr="005E5900" w:rsidRDefault="00FF4803" w:rsidP="00FF4803">
            <w:pPr>
              <w:pStyle w:val="naisc"/>
              <w:spacing w:before="0" w:after="0"/>
              <w:jc w:val="both"/>
              <w:rPr>
                <w:sz w:val="20"/>
                <w:szCs w:val="20"/>
              </w:rPr>
            </w:pPr>
            <w:r w:rsidRPr="005E5900">
              <w:rPr>
                <w:sz w:val="20"/>
                <w:szCs w:val="20"/>
              </w:rPr>
              <w:t xml:space="preserve">Pirmkārt, saskaņā ar Komerclikuma 217. un 286. pantu gan dalībnieku, gan akcionāru lēmumus par spēkā neesošiem var atzīt tikai tiesa, turklāt ievērojot Komerclikuma noteikumus un civilprocesuālo kārtību, un nav iespējama situācija, ka lēmums varētu zaudēt spēku bez prasības celšanas un tiesas nolēmuma. </w:t>
            </w:r>
          </w:p>
          <w:p w14:paraId="463A5215" w14:textId="77777777" w:rsidR="00FF4803" w:rsidRPr="005E5900" w:rsidRDefault="00FF4803" w:rsidP="00FF4803">
            <w:pPr>
              <w:pStyle w:val="naisc"/>
              <w:spacing w:before="0" w:after="0"/>
              <w:jc w:val="both"/>
              <w:rPr>
                <w:sz w:val="20"/>
                <w:szCs w:val="20"/>
              </w:rPr>
            </w:pPr>
            <w:r w:rsidRPr="005E5900">
              <w:rPr>
                <w:sz w:val="20"/>
                <w:szCs w:val="20"/>
              </w:rPr>
              <w:t xml:space="preserve">Otrkārt, atbilstoši Augstākās tiesas judikatūrai dalībnieku sapulces lēmuma atzīšanas par spēkā neesošu tiesiskās </w:t>
            </w:r>
            <w:r w:rsidRPr="005E5900">
              <w:rPr>
                <w:sz w:val="20"/>
                <w:szCs w:val="20"/>
              </w:rPr>
              <w:lastRenderedPageBreak/>
              <w:t>sekas ir tādas, ka tas uzskatāms par nekad nepastāvējušu, proti, jau no pieņemšanas brīža.</w:t>
            </w:r>
            <w:r w:rsidRPr="00147866">
              <w:footnoteReference w:id="9"/>
            </w:r>
          </w:p>
          <w:p w14:paraId="466BCD97" w14:textId="77777777" w:rsidR="00FF4803" w:rsidRPr="005E5900" w:rsidRDefault="00FF4803" w:rsidP="00FF4803">
            <w:pPr>
              <w:pStyle w:val="naisc"/>
              <w:spacing w:before="0" w:after="0"/>
              <w:jc w:val="both"/>
              <w:rPr>
                <w:sz w:val="20"/>
                <w:szCs w:val="20"/>
              </w:rPr>
            </w:pPr>
            <w:r w:rsidRPr="005E5900">
              <w:rPr>
                <w:sz w:val="20"/>
                <w:szCs w:val="20"/>
              </w:rPr>
              <w:t>Treškārt, prasību par lēmuma atzīšanu par spēkā neesošu var celt tikai konkrēti subjekti – valdes un padomes locekļi, dalībnieki, kā arī akcionāri atbilstoši Komerclikuma 287. panta nosacījumiem. Līdz ar to, lai dalībnieku (akcionāru) sapulces lēmumu atzītu par spēkā neesošu ir nepieciešama šo personu aktīva rīcība un, ja neviena no minētajam personām nevēršas tiesā, tad dalībnieku (akcionāru) sapulcē pieņemtie lēmumi paliek spēkā.</w:t>
            </w:r>
          </w:p>
          <w:p w14:paraId="30BAEB27" w14:textId="77777777" w:rsidR="00FF4803" w:rsidRPr="005E5900" w:rsidRDefault="00FF4803" w:rsidP="00FF4803">
            <w:pPr>
              <w:pStyle w:val="naisc"/>
              <w:spacing w:before="0" w:after="0"/>
              <w:jc w:val="both"/>
              <w:rPr>
                <w:sz w:val="20"/>
                <w:szCs w:val="20"/>
              </w:rPr>
            </w:pPr>
            <w:r w:rsidRPr="005E5900">
              <w:rPr>
                <w:sz w:val="20"/>
                <w:szCs w:val="20"/>
              </w:rPr>
              <w:t xml:space="preserve">Ceturtkārt, vēršam uzmanību, ka dalībnieku (akcionāru) sapulces lēmums ir saistošs kapitālsabiedrības valdei, un, ja uz minētā lēmuma pamata ir izdarāmi ieraksti komercreģistrā, tad atbilstoši Komerclikuma 16. pantam šādas ziņas un likumā noteiktie dokumenti iesniedzami Uzņēmumu reģistram 14 dienu laikā no attiecīgā lēmuma pieņemšanas dienas, ja Komerclikumā nav noteikts citādi. Līdz ar to, ja vien tiesa to nav atzinusi dalībnieku (akcionāru) sapulces lēmumu par spēkā neesošu, valdei ir pienākums pildīt lēmumā noteikto, tai skaitā reģistrēt attiecīgās izmaiņas komercreģistrā. </w:t>
            </w:r>
          </w:p>
          <w:p w14:paraId="0DDC1415" w14:textId="77777777" w:rsidR="00FF4803" w:rsidRDefault="00FF4803" w:rsidP="00FF4803">
            <w:pPr>
              <w:pStyle w:val="naisc"/>
              <w:spacing w:before="0" w:after="0"/>
              <w:jc w:val="both"/>
              <w:rPr>
                <w:sz w:val="20"/>
                <w:szCs w:val="20"/>
              </w:rPr>
            </w:pPr>
            <w:r w:rsidRPr="005E5900">
              <w:rPr>
                <w:sz w:val="20"/>
                <w:szCs w:val="20"/>
              </w:rPr>
              <w:t xml:space="preserve">Ievērojot minēto, lūdzam precizēt likumprojekta 30. panta otro daļu. </w:t>
            </w:r>
          </w:p>
          <w:p w14:paraId="3FB3E7D2" w14:textId="77777777" w:rsidR="00FF4803" w:rsidRPr="00497CE2" w:rsidRDefault="00FF4803" w:rsidP="00FF4803">
            <w:pPr>
              <w:pStyle w:val="naisc"/>
              <w:spacing w:before="0" w:after="0"/>
              <w:jc w:val="both"/>
              <w:rPr>
                <w:b/>
                <w:bCs/>
                <w:sz w:val="20"/>
                <w:szCs w:val="20"/>
              </w:rPr>
            </w:pPr>
            <w:r w:rsidRPr="00693642">
              <w:rPr>
                <w:b/>
                <w:bCs/>
                <w:sz w:val="20"/>
                <w:szCs w:val="20"/>
              </w:rPr>
              <w:t>Š.g. 11.maija uzturētais iebildums.</w:t>
            </w:r>
          </w:p>
          <w:p w14:paraId="73D128BF" w14:textId="77777777" w:rsidR="00FF4803" w:rsidRPr="00693642" w:rsidRDefault="00FF4803" w:rsidP="00FF4803">
            <w:pPr>
              <w:pStyle w:val="naisc"/>
              <w:spacing w:before="0" w:after="0"/>
              <w:jc w:val="both"/>
              <w:rPr>
                <w:sz w:val="20"/>
                <w:szCs w:val="20"/>
              </w:rPr>
            </w:pPr>
            <w:r w:rsidRPr="00693642">
              <w:rPr>
                <w:sz w:val="20"/>
                <w:szCs w:val="20"/>
              </w:rPr>
              <w:t xml:space="preserve">Tieslietu ministrija uztur iepriekš izteikto iebildumu par likumprojekta 30. panta otro daļu. Kā jau norādījām, pirmkārt, saskaņā ar Komerclikuma 217. un 286. pantu gan dalībnieku, gan akcionāru lēmumus par spēkā neesošiem var atzīt tikai tiesa, turklāt ievērojot Komerclikuma noteikumus un civilprocesuālo kārtību, un nav iespējama situācija, ka lēmums varētu zaudēt spēku bez prasības celšanas un tiesas nolēmuma. </w:t>
            </w:r>
          </w:p>
          <w:p w14:paraId="3A150FD6" w14:textId="77777777" w:rsidR="00FF4803" w:rsidRPr="00693642" w:rsidRDefault="00FF4803" w:rsidP="00FF4803">
            <w:pPr>
              <w:pStyle w:val="naisc"/>
              <w:spacing w:before="0" w:after="0"/>
              <w:jc w:val="both"/>
              <w:rPr>
                <w:sz w:val="20"/>
                <w:szCs w:val="20"/>
              </w:rPr>
            </w:pPr>
            <w:r w:rsidRPr="00693642">
              <w:rPr>
                <w:sz w:val="20"/>
                <w:szCs w:val="20"/>
              </w:rPr>
              <w:t>Otrkārt, atbilstoši Augstākās tiesas judikatūrai dalībnieku sapulces lēmuma atzīšanas par spēkā neesošu tiesiskās sekas ir tādas, ka tas uzskatāms par nekad nepastāvējušu, proti, jau no pieņemšanas brīža.</w:t>
            </w:r>
            <w:r w:rsidRPr="00693642">
              <w:rPr>
                <w:sz w:val="20"/>
                <w:szCs w:val="20"/>
              </w:rPr>
              <w:footnoteReference w:customMarkFollows="1" w:id="10"/>
              <w:t>[5]</w:t>
            </w:r>
          </w:p>
          <w:p w14:paraId="550D66AC" w14:textId="77777777" w:rsidR="00FF4803" w:rsidRDefault="00FF4803" w:rsidP="00FF4803">
            <w:pPr>
              <w:pStyle w:val="naisc"/>
              <w:spacing w:before="0" w:after="0"/>
              <w:jc w:val="both"/>
              <w:rPr>
                <w:sz w:val="20"/>
                <w:szCs w:val="20"/>
              </w:rPr>
            </w:pPr>
            <w:r w:rsidRPr="00693642">
              <w:rPr>
                <w:sz w:val="20"/>
                <w:szCs w:val="20"/>
              </w:rPr>
              <w:lastRenderedPageBreak/>
              <w:t>Treškārt, prasību par lēmuma atzīšanu par spēkā neesošu var celt tikai konkrēti subjekti – valdes un padomes locekļi, dalībnieki, kā arī akcionāri atbilstoši Komerclikuma 287. panta nosacījumiem. Līdz ar to, lai dalībnieku (akcionāru) sapulces lēmumu atzītu par spēkā neesošu ir nepieciešama šo personu aktīva rīcība un, ja neviena no minētajam personām nevēršas tiesā, tad dalībnieku (akcionāru) sapulcē pieņemtie lēmumi paliek spēkā.</w:t>
            </w:r>
          </w:p>
          <w:p w14:paraId="7E28BDD5" w14:textId="77777777" w:rsidR="00FF4803" w:rsidRPr="00693642" w:rsidRDefault="00FF4803" w:rsidP="00FF4803">
            <w:pPr>
              <w:pStyle w:val="naisc"/>
              <w:spacing w:before="0" w:after="0"/>
              <w:jc w:val="both"/>
              <w:rPr>
                <w:sz w:val="20"/>
                <w:szCs w:val="20"/>
              </w:rPr>
            </w:pPr>
            <w:r w:rsidRPr="00693642">
              <w:rPr>
                <w:sz w:val="20"/>
                <w:szCs w:val="20"/>
              </w:rPr>
              <w:t xml:space="preserve">Ceturtkārt, vēršam uzmanību, ka dalībnieku (akcionāru) sapulces lēmums ir saistošs kapitālsabiedrības valdei, un, ja uz minētā lēmuma pamata ir izdarāmi ieraksti komercreģistrā, tad atbilstoši Komerclikuma 16. pantam šādas ziņas un likumā noteiktie dokumenti iesniedzami Uzņēmumu reģistram 14 dienu laikā no attiecīgā lēmuma pieņemšanas dienas, ja Komerclikumā nav noteikts citādi. Līdz ar to, ja vien tiesa to nav atzinusi dalībnieku (akcionāru) sapulces lēmumu par spēkā neesošu, valdei ir pienākums pildīt lēmumā noteikto, tai skaitā reģistrēt attiecīgās izmaiņas komercreģistrā. </w:t>
            </w:r>
          </w:p>
          <w:p w14:paraId="143BB37D" w14:textId="77777777" w:rsidR="00FF4803" w:rsidRDefault="00FF4803" w:rsidP="00FF4803">
            <w:pPr>
              <w:pStyle w:val="NormalWeb"/>
              <w:spacing w:before="0" w:after="0"/>
              <w:ind w:right="13"/>
              <w:jc w:val="both"/>
              <w:rPr>
                <w:sz w:val="20"/>
                <w:szCs w:val="20"/>
              </w:rPr>
            </w:pPr>
            <w:r w:rsidRPr="00693642">
              <w:rPr>
                <w:sz w:val="20"/>
                <w:szCs w:val="20"/>
              </w:rPr>
              <w:t>Ņemot vērā izklāstīto, var secināt, ka Finanšu ministrijas izstrādātā likumprojekta 30. panta otrās daļas norma neatbilst Latvijas tiesību sistēmai, kas nozīmē arī to, ka Direktīvu nevar uzskatīt par korekti ieviestu, jo izstrādātais regulējums praksē nav</w:t>
            </w:r>
            <w:r>
              <w:rPr>
                <w:sz w:val="20"/>
                <w:szCs w:val="20"/>
              </w:rPr>
              <w:t xml:space="preserve"> </w:t>
            </w:r>
            <w:r w:rsidRPr="00693642">
              <w:rPr>
                <w:sz w:val="20"/>
                <w:szCs w:val="20"/>
              </w:rPr>
              <w:t>pielietojams. Turklāt norādām, ka Eiropas Parlamenta un Padomes 2014. gada 15. maija Direktīva 2014/65/ES par finanšu instrumentu tirgiem ar ko groza Direktīvu 2002/92/ES un Direktīvu 2011/61/ES, uz kuru Finanšu ministrija atsaucas skaidrojumā, neparedz to, konkrēti kādā veidā jānodrošina balsojuma atzīšana par nederīgu vai tā anulēšana, gluži pretēji, tajā norādīts, ka atbilstošos pasākumus nosaka pašas dalībvalstis. Ievērojot minēto, lūdzam likumprojekta autoru precizēt likumprojekta 30. panta otro daļu tā, lai tā atbilstu Latvijas tiesību sistēmai.</w:t>
            </w:r>
          </w:p>
          <w:p w14:paraId="07E66887" w14:textId="77777777" w:rsidR="00FF4803" w:rsidRPr="00497CE2" w:rsidRDefault="00FF4803" w:rsidP="00FF4803">
            <w:pPr>
              <w:pStyle w:val="naisc"/>
              <w:spacing w:before="0" w:after="0"/>
              <w:jc w:val="both"/>
              <w:rPr>
                <w:b/>
                <w:bCs/>
                <w:sz w:val="20"/>
                <w:szCs w:val="20"/>
              </w:rPr>
            </w:pPr>
            <w:r w:rsidRPr="00497CE2">
              <w:rPr>
                <w:b/>
                <w:bCs/>
                <w:sz w:val="20"/>
                <w:szCs w:val="20"/>
              </w:rPr>
              <w:t>Š.g. 11.jūnijā uzturētais iebildums.</w:t>
            </w:r>
          </w:p>
          <w:p w14:paraId="2D44A5BC" w14:textId="77777777" w:rsidR="00FF4803" w:rsidRPr="00497CE2" w:rsidRDefault="00FF4803" w:rsidP="00FF4803">
            <w:pPr>
              <w:spacing w:after="0" w:line="23" w:lineRule="atLeast"/>
              <w:jc w:val="both"/>
              <w:rPr>
                <w:rFonts w:ascii="Times New Roman" w:eastAsia="Times New Roman" w:hAnsi="Times New Roman" w:cs="Times New Roman"/>
                <w:sz w:val="20"/>
                <w:szCs w:val="20"/>
                <w:lang w:eastAsia="lv-LV"/>
              </w:rPr>
            </w:pPr>
            <w:r w:rsidRPr="00497CE2">
              <w:rPr>
                <w:rFonts w:ascii="Times New Roman" w:eastAsia="Times New Roman" w:hAnsi="Times New Roman" w:cs="Times New Roman"/>
                <w:sz w:val="20"/>
                <w:szCs w:val="20"/>
                <w:lang w:eastAsia="lv-LV"/>
              </w:rPr>
              <w:lastRenderedPageBreak/>
              <w:t>Tieslietu ministrija uztur iepriekš izteikto iebildumu par likumprojekta 30. panta otro daļu un lūdz to precizēt tā, lai šī norma atbilstu Latvijas tiesību sistēmai.</w:t>
            </w:r>
          </w:p>
          <w:p w14:paraId="2B3ED748" w14:textId="61FE82C4" w:rsidR="00FF4803" w:rsidRPr="009B47EC" w:rsidRDefault="00FF4803" w:rsidP="009B47EC">
            <w:pPr>
              <w:spacing w:after="0" w:line="23" w:lineRule="atLeast"/>
              <w:ind w:firstLine="567"/>
              <w:jc w:val="both"/>
              <w:rPr>
                <w:rFonts w:ascii="Times New Roman" w:eastAsia="Times New Roman" w:hAnsi="Times New Roman" w:cs="Times New Roman"/>
                <w:sz w:val="20"/>
                <w:szCs w:val="20"/>
                <w:lang w:eastAsia="lv-LV"/>
              </w:rPr>
            </w:pPr>
            <w:r w:rsidRPr="00497CE2">
              <w:rPr>
                <w:rFonts w:ascii="Times New Roman" w:eastAsia="Times New Roman" w:hAnsi="Times New Roman" w:cs="Times New Roman"/>
                <w:sz w:val="20"/>
                <w:szCs w:val="20"/>
                <w:lang w:eastAsia="lv-LV"/>
              </w:rPr>
              <w:t>Finanšu ministrija skaidrojusi, ka likumprojekta 30. panta otrā daļa atbilst Finanšu instrumentu tirgus likuma 13. panta otrās daļas redakcijai, kuras pamatā ir Direktīvas Nr. 2014/65/ES 11. panta 4. punkta prasības, kurš cita starpā nosaka, ka “ Ja kapitāldaļa ir iegūta, neievērojot kompetento iestāžu iebildumu, dalībvalstis neatkarīgi no citām sankcijām, kas jāpieņem, paredz attiecīgo balsstiesību atcelšanu, balsojuma atzīšanu par nederīgu vai iespēju to anulēt”, un precizējot likumprojekta 30.panta otro daļu pastāv iespēja radīt normas neatbilstību minētās direktīvas prasībām.</w:t>
            </w:r>
            <w:r w:rsidRPr="00497CE2">
              <w:rPr>
                <w:sz w:val="20"/>
                <w:szCs w:val="20"/>
              </w:rPr>
              <w:t xml:space="preserve"> </w:t>
            </w:r>
            <w:r w:rsidRPr="00FF4803">
              <w:rPr>
                <w:rFonts w:ascii="Times New Roman" w:eastAsia="Times New Roman" w:hAnsi="Times New Roman" w:cs="Times New Roman"/>
                <w:sz w:val="20"/>
                <w:szCs w:val="20"/>
                <w:lang w:eastAsia="lv-LV"/>
              </w:rPr>
              <w:t>Norādām, ka attiecīgās direktīvas 11. panta 4. punktā Tieslietu ministrijas ieskatā paredzētas dalībvalstu izvēles tiesības ieviest nacionālajā regulējumā kādu no trim piedāvātajiem risinājumiem: 1) balsstiesību atcelšanu; 2) balsojuma atzīšanu par nederīgu; vai 3) iespēju to anulēt gadījumos, kad kapitāldaļa ir iegūta, neievērojot kompetento iestāžu iebildumu. Ņemot vērā Tieslietu ministrijas 2021. gada 25. marta un 11. maija atzinumos paustos argumentus par likumprojekta 30. panta otrās daļas nesaderību ar Latvijas tiesību sistēmu, atkārtoti norādām, ka iebilstam pret izvēlēto risinājumu, kas pieļauj iespēju akcionāru (dalībnieku)</w:t>
            </w:r>
            <w:r w:rsidRPr="00497CE2">
              <w:rPr>
                <w:sz w:val="20"/>
                <w:szCs w:val="20"/>
              </w:rPr>
              <w:t xml:space="preserve"> </w:t>
            </w:r>
            <w:r w:rsidRPr="00FF4803">
              <w:rPr>
                <w:rFonts w:ascii="Times New Roman" w:eastAsia="Times New Roman" w:hAnsi="Times New Roman" w:cs="Times New Roman"/>
                <w:sz w:val="20"/>
                <w:szCs w:val="20"/>
                <w:lang w:eastAsia="lv-LV"/>
              </w:rPr>
              <w:t>sapulces lēmumus atzīt par spēkā neesošiem no to pieņemšanas brīža bez tiesas nolēmuma.</w:t>
            </w:r>
          </w:p>
        </w:tc>
        <w:tc>
          <w:tcPr>
            <w:tcW w:w="848" w:type="pct"/>
            <w:gridSpan w:val="2"/>
            <w:tcBorders>
              <w:top w:val="single" w:sz="6" w:space="0" w:color="000000"/>
              <w:left w:val="single" w:sz="6" w:space="0" w:color="000000"/>
              <w:bottom w:val="single" w:sz="6" w:space="0" w:color="000000"/>
              <w:right w:val="single" w:sz="6" w:space="0" w:color="000000"/>
            </w:tcBorders>
          </w:tcPr>
          <w:p w14:paraId="24D59F3A" w14:textId="01E76E51" w:rsidR="00FF4803" w:rsidRPr="007D6D6F" w:rsidRDefault="009B47EC" w:rsidP="007D6D6F">
            <w:pPr>
              <w:pStyle w:val="NormalWeb"/>
              <w:spacing w:before="0" w:after="0"/>
              <w:ind w:right="13"/>
              <w:jc w:val="both"/>
              <w:rPr>
                <w:b/>
                <w:bCs/>
                <w:sz w:val="20"/>
                <w:szCs w:val="20"/>
              </w:rPr>
            </w:pPr>
            <w:r>
              <w:rPr>
                <w:b/>
                <w:bCs/>
                <w:sz w:val="20"/>
                <w:szCs w:val="20"/>
              </w:rPr>
              <w:lastRenderedPageBreak/>
              <w:t xml:space="preserve">Panākta vienošanās elektroniskajā saskaņošanā. </w:t>
            </w:r>
            <w:r w:rsidRPr="00F47371">
              <w:rPr>
                <w:sz w:val="20"/>
                <w:szCs w:val="20"/>
              </w:rPr>
              <w:t>Likumprojekta 30.panta otrā daļa atbilstoši precizēta paredzot, ka</w:t>
            </w:r>
            <w:r>
              <w:rPr>
                <w:b/>
                <w:bCs/>
                <w:sz w:val="20"/>
                <w:szCs w:val="20"/>
              </w:rPr>
              <w:t xml:space="preserve"> </w:t>
            </w:r>
            <w:r w:rsidRPr="00F47371">
              <w:rPr>
                <w:sz w:val="20"/>
                <w:szCs w:val="20"/>
              </w:rPr>
              <w:t>lēmumi, kas pieņemti, izmantojot  akciju (daļu) balsstiesības</w:t>
            </w:r>
            <w:r>
              <w:rPr>
                <w:sz w:val="20"/>
                <w:szCs w:val="20"/>
              </w:rPr>
              <w:t xml:space="preserve">(kuras iegūtas </w:t>
            </w:r>
            <w:r w:rsidRPr="00F47371">
              <w:rPr>
                <w:sz w:val="20"/>
                <w:szCs w:val="20"/>
              </w:rPr>
              <w:t xml:space="preserve">neievērojot </w:t>
            </w:r>
            <w:r>
              <w:rPr>
                <w:sz w:val="20"/>
                <w:szCs w:val="20"/>
              </w:rPr>
              <w:t xml:space="preserve">Finanšu un kapitāla komisijas </w:t>
            </w:r>
            <w:r w:rsidRPr="00F47371">
              <w:rPr>
                <w:sz w:val="20"/>
                <w:szCs w:val="20"/>
              </w:rPr>
              <w:t>aizliegumu</w:t>
            </w:r>
            <w:r>
              <w:rPr>
                <w:sz w:val="20"/>
                <w:szCs w:val="20"/>
              </w:rPr>
              <w:t>)</w:t>
            </w:r>
            <w:r w:rsidRPr="00F47371">
              <w:rPr>
                <w:sz w:val="20"/>
                <w:szCs w:val="20"/>
              </w:rPr>
              <w:t>, atdzīstami par spēkā neesošiem atbilstoši Komerclikumā noteiktajam.</w:t>
            </w:r>
          </w:p>
        </w:tc>
        <w:tc>
          <w:tcPr>
            <w:tcW w:w="936" w:type="pct"/>
            <w:tcBorders>
              <w:top w:val="single" w:sz="4" w:space="0" w:color="auto"/>
              <w:left w:val="single" w:sz="4" w:space="0" w:color="auto"/>
              <w:bottom w:val="single" w:sz="4" w:space="0" w:color="auto"/>
              <w:right w:val="single" w:sz="4" w:space="0" w:color="auto"/>
            </w:tcBorders>
          </w:tcPr>
          <w:p w14:paraId="6716E799" w14:textId="77777777" w:rsidR="009B47EC" w:rsidRPr="00F47371" w:rsidRDefault="009B47EC" w:rsidP="009B47EC">
            <w:pPr>
              <w:pStyle w:val="naisc"/>
              <w:spacing w:before="0" w:after="0"/>
              <w:jc w:val="both"/>
              <w:rPr>
                <w:b/>
                <w:bCs/>
                <w:sz w:val="20"/>
                <w:szCs w:val="20"/>
              </w:rPr>
            </w:pPr>
            <w:r w:rsidRPr="00F47371">
              <w:rPr>
                <w:b/>
                <w:bCs/>
                <w:sz w:val="20"/>
                <w:szCs w:val="20"/>
              </w:rPr>
              <w:t>30.pants. Neziņošanas sekas</w:t>
            </w:r>
          </w:p>
          <w:p w14:paraId="74BFB650" w14:textId="77777777" w:rsidR="009B47EC" w:rsidRPr="00F47371" w:rsidRDefault="009B47EC" w:rsidP="009B47EC">
            <w:pPr>
              <w:pStyle w:val="naisc"/>
              <w:spacing w:before="0" w:after="0"/>
              <w:jc w:val="both"/>
              <w:rPr>
                <w:sz w:val="20"/>
                <w:szCs w:val="20"/>
                <w:u w:val="single"/>
              </w:rPr>
            </w:pPr>
            <w:r w:rsidRPr="00F47371">
              <w:rPr>
                <w:sz w:val="20"/>
                <w:szCs w:val="20"/>
              </w:rPr>
              <w:t xml:space="preserve">(2) Ja persona, neievērojot Komisijas aizliegumu, iegūst vai palielina būtisku līdzdalību, tai nav tiesību izmantot visu tai piederošo akciju (daļu) balsstiesības, bet akcionāru (dalībnieku) sapulces lēmumi, kas pieņemti, izmantojot šo akciju (daļu) balsstiesības, </w:t>
            </w:r>
            <w:r w:rsidRPr="00F47371">
              <w:rPr>
                <w:sz w:val="20"/>
                <w:szCs w:val="20"/>
                <w:u w:val="single"/>
              </w:rPr>
              <w:t>atdzīstami par spēkā neesošiem</w:t>
            </w:r>
            <w:r>
              <w:rPr>
                <w:sz w:val="20"/>
                <w:szCs w:val="20"/>
                <w:u w:val="single"/>
              </w:rPr>
              <w:t xml:space="preserve"> </w:t>
            </w:r>
            <w:r w:rsidRPr="00F47371">
              <w:rPr>
                <w:sz w:val="20"/>
                <w:szCs w:val="20"/>
                <w:u w:val="single"/>
              </w:rPr>
              <w:t>Komerclikumā noteikt</w:t>
            </w:r>
            <w:r>
              <w:rPr>
                <w:sz w:val="20"/>
                <w:szCs w:val="20"/>
                <w:u w:val="single"/>
              </w:rPr>
              <w:t>ajā kārtībā</w:t>
            </w:r>
            <w:r w:rsidRPr="00F47371">
              <w:rPr>
                <w:sz w:val="20"/>
                <w:szCs w:val="20"/>
                <w:u w:val="single"/>
              </w:rPr>
              <w:t>.</w:t>
            </w:r>
          </w:p>
          <w:p w14:paraId="324A4525" w14:textId="77777777" w:rsidR="00FF4803" w:rsidRDefault="00FF4803" w:rsidP="007D6D6F">
            <w:pPr>
              <w:spacing w:after="0" w:line="240" w:lineRule="auto"/>
              <w:jc w:val="both"/>
              <w:rPr>
                <w:rFonts w:ascii="Times New Roman" w:eastAsia="Times New Roman" w:hAnsi="Times New Roman" w:cs="Times New Roman"/>
                <w:sz w:val="20"/>
                <w:szCs w:val="20"/>
                <w:lang w:eastAsia="lv-LV"/>
              </w:rPr>
            </w:pPr>
          </w:p>
        </w:tc>
      </w:tr>
      <w:tr w:rsidR="00FF4803" w:rsidRPr="00184920" w14:paraId="148E86BB"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0FC2A9C" w14:textId="76C8EF3A" w:rsidR="00FF4803" w:rsidRDefault="00FF4803"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21.</w:t>
            </w:r>
          </w:p>
        </w:tc>
        <w:tc>
          <w:tcPr>
            <w:tcW w:w="692" w:type="pct"/>
            <w:tcBorders>
              <w:top w:val="single" w:sz="6" w:space="0" w:color="000000"/>
              <w:left w:val="single" w:sz="6" w:space="0" w:color="000000"/>
              <w:bottom w:val="single" w:sz="6" w:space="0" w:color="000000"/>
              <w:right w:val="single" w:sz="6" w:space="0" w:color="000000"/>
            </w:tcBorders>
          </w:tcPr>
          <w:p w14:paraId="15005BCA" w14:textId="77777777" w:rsidR="00D53F6A" w:rsidRDefault="00D53F6A" w:rsidP="00D53F6A">
            <w:pPr>
              <w:pStyle w:val="NoSpacing"/>
              <w:widowControl/>
              <w:rPr>
                <w:rFonts w:eastAsiaTheme="minorHAnsi"/>
                <w:b/>
                <w:bCs/>
                <w:sz w:val="20"/>
                <w:szCs w:val="20"/>
              </w:rPr>
            </w:pPr>
            <w:r w:rsidRPr="004F04FC">
              <w:rPr>
                <w:rFonts w:eastAsiaTheme="minorHAnsi"/>
                <w:b/>
                <w:bCs/>
                <w:sz w:val="20"/>
                <w:szCs w:val="20"/>
              </w:rPr>
              <w:t>31.pants. Vispārīgās prasības</w:t>
            </w:r>
          </w:p>
          <w:p w14:paraId="49CE0742" w14:textId="77777777" w:rsidR="00D53F6A" w:rsidRPr="004F04FC" w:rsidRDefault="00D53F6A" w:rsidP="00D53F6A">
            <w:pPr>
              <w:pStyle w:val="NoSpacing"/>
              <w:widowControl/>
              <w:rPr>
                <w:rFonts w:eastAsiaTheme="minorHAnsi"/>
                <w:b/>
                <w:bCs/>
                <w:sz w:val="20"/>
                <w:szCs w:val="20"/>
              </w:rPr>
            </w:pPr>
            <w:r w:rsidRPr="004F04FC">
              <w:rPr>
                <w:rFonts w:eastAsiaTheme="minorHAnsi"/>
                <w:bCs/>
                <w:sz w:val="20"/>
                <w:szCs w:val="20"/>
              </w:rPr>
              <w:t>(1) Ieguldījumu brokeru sabiedrība saskaņā ar tai izsniegto licenci tās darbības laikā izpilda un ievēro šādas prasības:</w:t>
            </w:r>
          </w:p>
          <w:p w14:paraId="74FB7D2F" w14:textId="7FF955A0" w:rsidR="00FF4803" w:rsidRDefault="00D53F6A" w:rsidP="00D53F6A">
            <w:pPr>
              <w:pStyle w:val="NoSpacing"/>
              <w:widowControl/>
              <w:rPr>
                <w:rFonts w:eastAsia="Times New Roman"/>
                <w:sz w:val="20"/>
                <w:szCs w:val="20"/>
              </w:rPr>
            </w:pPr>
            <w:r w:rsidRPr="004F04FC">
              <w:rPr>
                <w:rFonts w:eastAsiaTheme="minorHAnsi"/>
                <w:bCs/>
                <w:sz w:val="20"/>
                <w:szCs w:val="20"/>
              </w:rPr>
              <w:t xml:space="preserve">8) saskaņā ar šā likuma prasībām, Komisijas normatīvajiem noteikumiem </w:t>
            </w:r>
            <w:r w:rsidRPr="00D53F6A">
              <w:rPr>
                <w:rFonts w:eastAsiaTheme="minorHAnsi"/>
                <w:bCs/>
                <w:sz w:val="20"/>
                <w:szCs w:val="20"/>
                <w:u w:val="single"/>
              </w:rPr>
              <w:t>un iekšējās kārtības noteikumiem</w:t>
            </w:r>
            <w:r w:rsidRPr="004F04FC">
              <w:rPr>
                <w:rFonts w:eastAsiaTheme="minorHAnsi"/>
                <w:bCs/>
                <w:sz w:val="20"/>
                <w:szCs w:val="20"/>
              </w:rPr>
              <w:t xml:space="preserve"> veic datu apstrādes, glabāšanas un </w:t>
            </w:r>
            <w:r w:rsidRPr="004F04FC">
              <w:rPr>
                <w:rFonts w:eastAsiaTheme="minorHAnsi"/>
                <w:bCs/>
                <w:sz w:val="20"/>
                <w:szCs w:val="20"/>
              </w:rPr>
              <w:lastRenderedPageBreak/>
              <w:t>pārraides drošības pasākumus;</w:t>
            </w:r>
          </w:p>
        </w:tc>
        <w:tc>
          <w:tcPr>
            <w:tcW w:w="1309" w:type="pct"/>
            <w:tcBorders>
              <w:top w:val="single" w:sz="6" w:space="0" w:color="000000"/>
              <w:left w:val="single" w:sz="6" w:space="0" w:color="000000"/>
              <w:bottom w:val="single" w:sz="6" w:space="0" w:color="000000"/>
              <w:right w:val="single" w:sz="6" w:space="0" w:color="000000"/>
            </w:tcBorders>
          </w:tcPr>
          <w:p w14:paraId="54E728D8" w14:textId="77777777" w:rsidR="00D53F6A" w:rsidRDefault="00D53F6A" w:rsidP="00D53F6A">
            <w:pPr>
              <w:spacing w:after="0" w:line="240" w:lineRule="auto"/>
              <w:jc w:val="both"/>
              <w:rPr>
                <w:rFonts w:ascii="Times New Roman" w:hAnsi="Times New Roman" w:cs="Times New Roman"/>
                <w:sz w:val="20"/>
                <w:szCs w:val="20"/>
              </w:rPr>
            </w:pPr>
            <w:r w:rsidRPr="00EE70D4">
              <w:rPr>
                <w:rFonts w:ascii="Times New Roman" w:hAnsi="Times New Roman" w:cs="Times New Roman"/>
                <w:b/>
                <w:bCs/>
                <w:sz w:val="20"/>
                <w:szCs w:val="20"/>
              </w:rPr>
              <w:lastRenderedPageBreak/>
              <w:t>Iebildums.</w:t>
            </w:r>
            <w:r w:rsidRPr="00EE70D4">
              <w:rPr>
                <w:rFonts w:ascii="Times New Roman" w:hAnsi="Times New Roman" w:cs="Times New Roman"/>
                <w:sz w:val="20"/>
                <w:szCs w:val="20"/>
              </w:rPr>
              <w:t xml:space="preserve"> Likumprojekta 31. panta pirmās daļas 8. punkts noteic, ka ieguldījumu brokeru sabiedrība saskaņā ar tai izsniegto licenci ieguldījumu pakalpojumu sniegšanai šīs licences darbības laikā saskaņā ar šā likuma prasībām, Komisijas normatīvajiem noteikumiem un iekšējās kārtības noteikumiem veic datu apstrādes, glabāšanas un pārraides drošības pasākumus. Šāds regulējums ir pretrunā Valsts pārvaldes iekārtas likuma 72. panta ceturtajai daļai, kas noteic, ka iekšējais normatīvais akts ir saistošs iestādei (tās struktūrvienībai, darbiniekiem) vai amatpersonām, attiecībā uz kurām tas izdots. Ievērojot minēto, lūdzam precizēt likumprojektu.</w:t>
            </w:r>
          </w:p>
          <w:p w14:paraId="0CE8BC3B" w14:textId="77777777" w:rsidR="00D53F6A" w:rsidRPr="0052765D" w:rsidRDefault="00D53F6A" w:rsidP="00D53F6A">
            <w:pPr>
              <w:spacing w:after="0" w:line="240" w:lineRule="auto"/>
              <w:jc w:val="both"/>
              <w:rPr>
                <w:rFonts w:ascii="Times New Roman" w:hAnsi="Times New Roman" w:cs="Times New Roman"/>
                <w:b/>
                <w:bCs/>
                <w:sz w:val="20"/>
                <w:szCs w:val="20"/>
                <w:lang w:eastAsia="lv-LV"/>
              </w:rPr>
            </w:pPr>
            <w:r w:rsidRPr="0052765D">
              <w:rPr>
                <w:rFonts w:ascii="Times New Roman" w:hAnsi="Times New Roman" w:cs="Times New Roman"/>
                <w:b/>
                <w:bCs/>
                <w:sz w:val="20"/>
                <w:szCs w:val="20"/>
                <w:lang w:eastAsia="lv-LV"/>
              </w:rPr>
              <w:t>Š.g. 11.maijā uzturētais iebildums.</w:t>
            </w:r>
          </w:p>
          <w:p w14:paraId="36A7AB8A" w14:textId="77777777" w:rsidR="00FF4803" w:rsidRDefault="00D53F6A" w:rsidP="00D53F6A">
            <w:pPr>
              <w:pStyle w:val="NormalWeb"/>
              <w:spacing w:before="0" w:after="0"/>
              <w:ind w:right="13"/>
              <w:jc w:val="both"/>
              <w:rPr>
                <w:sz w:val="20"/>
                <w:szCs w:val="20"/>
              </w:rPr>
            </w:pPr>
            <w:r w:rsidRPr="0052765D">
              <w:rPr>
                <w:sz w:val="20"/>
                <w:szCs w:val="20"/>
              </w:rPr>
              <w:lastRenderedPageBreak/>
              <w:t>Saskaņā Tieslietu ministrijas iebildumu par likumprojekta 31. pantu, tiesiskās skaidrības nodrošināšanai lūdzam redakcionāli precizēt likumprojekta 31. panta pirmās daļas 8. punktu, papildinot to ar norādi, ka iekšējās kārtības noteikumi ir noteikumi, kurus izdevušas pašas ieguldījumu brokeru sabiedrības, pretējā gadījumā normā ietverto regulējumu var interpretēt kā Komisijas iekšējās kārtības noteikumus, kas būtu pretrunā Valsts pārvaldes iekārtas likuma 72. panta ceturtajai daļai.</w:t>
            </w:r>
          </w:p>
          <w:p w14:paraId="384B17ED" w14:textId="77777777" w:rsidR="00D53F6A" w:rsidRPr="0060775B" w:rsidRDefault="00D53F6A" w:rsidP="00D53F6A">
            <w:pPr>
              <w:pStyle w:val="NormalWeb"/>
              <w:jc w:val="both"/>
              <w:rPr>
                <w:b/>
                <w:bCs/>
                <w:sz w:val="20"/>
                <w:szCs w:val="20"/>
              </w:rPr>
            </w:pPr>
            <w:r w:rsidRPr="0060775B">
              <w:rPr>
                <w:b/>
                <w:bCs/>
                <w:sz w:val="20"/>
                <w:szCs w:val="20"/>
              </w:rPr>
              <w:t>Š.g. 7.jūnijā uzturētais iebildums.</w:t>
            </w:r>
          </w:p>
          <w:p w14:paraId="33E19FB0" w14:textId="77777777" w:rsidR="00D53F6A" w:rsidRPr="0060775B" w:rsidRDefault="00D53F6A" w:rsidP="00D53F6A">
            <w:pPr>
              <w:pStyle w:val="NormalWeb"/>
              <w:jc w:val="both"/>
              <w:rPr>
                <w:sz w:val="20"/>
                <w:szCs w:val="20"/>
              </w:rPr>
            </w:pPr>
            <w:r w:rsidRPr="0060775B">
              <w:rPr>
                <w:sz w:val="20"/>
                <w:szCs w:val="20"/>
              </w:rPr>
              <w:t>Uzturam izziņas II sadaļas 22. punktā ietverto Tieslietu ministrijas iebildumu.</w:t>
            </w:r>
          </w:p>
          <w:p w14:paraId="6EFE5E18" w14:textId="18ED669D" w:rsidR="00D53F6A" w:rsidRPr="00D53F6A" w:rsidRDefault="00D53F6A" w:rsidP="00D53F6A">
            <w:pPr>
              <w:pStyle w:val="NormalWeb"/>
              <w:jc w:val="both"/>
              <w:rPr>
                <w:sz w:val="20"/>
                <w:szCs w:val="20"/>
              </w:rPr>
            </w:pPr>
            <w:r w:rsidRPr="0060775B">
              <w:rPr>
                <w:sz w:val="20"/>
                <w:szCs w:val="20"/>
              </w:rPr>
              <w:t>Likumprojekta 31. panta pirmās daļas 8. punkts joprojām paredz, ka "saskaņā ar šā likuma prasībām, Komisijas normatīvajiem noteikumiem un ieguldījumu brokeru sabiedrības iekšējās kārtības noteikumiem veic datu apstrādes, glabāšanas un pārraides drošības pasākumus". Finanšu ministrija norāda, ka minētais regulējums ir analoģisks Finanšu instrumentu tirgus likuma 124. panta pirmās daļas 6. punktam un atbilst Direktīvas Nr. 2014/65/ES 16. panta 5. punkta 2. rindkopai. Vēršam uzmanību, ka attiecīgā direktīvas norma noteic: "Ieguldījumu brokeru sabiedrībai ir atbilstīgas administratīvās un grāmatvedības procedūras, iekšējās kontroles mehānisms, efektīvas riska novērtēšanas procedūras un efektīvi informācijas apstrādes sistēmu kontroles un drošības pasākumi.". Ar minēto direktīvas prasību nevar pamatot atsauci uz iekšējiem normatīvajiem aktiem likumprojektā. Ierosinām izslēgt teksta daļu "saskaņā ar šā likuma prasībām, Komisijas normatīvajiem noteikumiem un ieguldījumu brokeru sabiedrības iekšējās kārtības noteikumiem", likumprojektā atstājot tikai brokeru sabiedrības pienākumu nodrošināt datu apstrādi(kas per se paredz pienākumu ievērot saistošos normatīvos aktus).</w:t>
            </w:r>
          </w:p>
        </w:tc>
        <w:tc>
          <w:tcPr>
            <w:tcW w:w="848" w:type="pct"/>
            <w:gridSpan w:val="2"/>
            <w:tcBorders>
              <w:top w:val="single" w:sz="6" w:space="0" w:color="000000"/>
              <w:left w:val="single" w:sz="6" w:space="0" w:color="000000"/>
              <w:bottom w:val="single" w:sz="6" w:space="0" w:color="000000"/>
              <w:right w:val="single" w:sz="6" w:space="0" w:color="000000"/>
            </w:tcBorders>
          </w:tcPr>
          <w:p w14:paraId="2F6CBFD2" w14:textId="70591623" w:rsidR="00FF4803" w:rsidRPr="007D6D6F" w:rsidRDefault="00D53F6A" w:rsidP="007D6D6F">
            <w:pPr>
              <w:pStyle w:val="NormalWeb"/>
              <w:spacing w:before="0" w:after="0"/>
              <w:ind w:right="13"/>
              <w:jc w:val="both"/>
              <w:rPr>
                <w:b/>
                <w:bCs/>
                <w:sz w:val="20"/>
                <w:szCs w:val="20"/>
              </w:rPr>
            </w:pPr>
            <w:r>
              <w:rPr>
                <w:b/>
                <w:bCs/>
                <w:sz w:val="20"/>
                <w:szCs w:val="20"/>
              </w:rPr>
              <w:lastRenderedPageBreak/>
              <w:t xml:space="preserve">Panākta vienošanās elektroniskajā saskaņošanā. </w:t>
            </w:r>
            <w:r w:rsidRPr="00EE70D4">
              <w:rPr>
                <w:b/>
                <w:bCs/>
                <w:sz w:val="20"/>
                <w:szCs w:val="20"/>
              </w:rPr>
              <w:t>Sniedzam skaidrojumu.</w:t>
            </w:r>
            <w:r w:rsidRPr="00EE70D4">
              <w:rPr>
                <w:sz w:val="20"/>
                <w:szCs w:val="20"/>
              </w:rPr>
              <w:t xml:space="preserve"> Mūsu ieskatā Valsts pārvaldes iekārtas likums nekādā gadījumā nevarētu tikt attiecināts uz ieguldījumu brokeru sabiedrību un to, kas ieguldījumu brokeru sabiedrībai būtu jāpilda un jāievēro saskaņā ar tai izsniegto licenci. Ieguldījumu brokeru sabiedrība ir kapitālsabiedrība, kas regulāri un </w:t>
            </w:r>
            <w:proofErr w:type="spellStart"/>
            <w:r w:rsidRPr="00EE70D4">
              <w:rPr>
                <w:sz w:val="20"/>
                <w:szCs w:val="20"/>
              </w:rPr>
              <w:t>proefesionāli</w:t>
            </w:r>
            <w:proofErr w:type="spellEnd"/>
            <w:r w:rsidRPr="00EE70D4">
              <w:rPr>
                <w:sz w:val="20"/>
                <w:szCs w:val="20"/>
              </w:rPr>
              <w:t xml:space="preserve"> sniedz ieguldījumu pakalpojumus, proti, tā nav valsts </w:t>
            </w:r>
            <w:r w:rsidRPr="00EE70D4">
              <w:rPr>
                <w:sz w:val="20"/>
                <w:szCs w:val="20"/>
              </w:rPr>
              <w:lastRenderedPageBreak/>
              <w:t>pārvaldes institūcija.</w:t>
            </w:r>
            <w:r>
              <w:rPr>
                <w:sz w:val="20"/>
                <w:szCs w:val="20"/>
              </w:rPr>
              <w:t xml:space="preserve"> </w:t>
            </w:r>
            <w:r w:rsidRPr="00EE70D4">
              <w:rPr>
                <w:sz w:val="20"/>
                <w:szCs w:val="20"/>
              </w:rPr>
              <w:t>Papildus norādām, ka Finanšu instrumentu tirgus likuma 124.panta pirmās daļas 6.punkts atbilst Direktīvas Nr. 2014/65/ES 16.panta 5.punkta 2.rindkopai.</w:t>
            </w:r>
            <w:r>
              <w:rPr>
                <w:sz w:val="20"/>
                <w:szCs w:val="20"/>
              </w:rPr>
              <w:t xml:space="preserve"> </w:t>
            </w:r>
            <w:r w:rsidRPr="00ED350F">
              <w:rPr>
                <w:sz w:val="20"/>
                <w:szCs w:val="20"/>
              </w:rPr>
              <w:t>Direktīvas 16.panta 5.punkta 2.rinkopas pra</w:t>
            </w:r>
            <w:r>
              <w:rPr>
                <w:sz w:val="20"/>
                <w:szCs w:val="20"/>
              </w:rPr>
              <w:t>s</w:t>
            </w:r>
            <w:r w:rsidRPr="00ED350F">
              <w:rPr>
                <w:sz w:val="20"/>
                <w:szCs w:val="20"/>
              </w:rPr>
              <w:t>ības ir pārņemtas Finanšu instrumentu tirgus likuma 107.panta otrās daļas 3.punktā, 124.panta pirmās daļas 6. un 11.punktā un 1.</w:t>
            </w:r>
            <w:r w:rsidRPr="00ED350F">
              <w:rPr>
                <w:sz w:val="20"/>
                <w:szCs w:val="20"/>
                <w:vertAlign w:val="superscript"/>
              </w:rPr>
              <w:t>1</w:t>
            </w:r>
            <w:r w:rsidRPr="00ED350F">
              <w:rPr>
                <w:sz w:val="20"/>
                <w:szCs w:val="20"/>
              </w:rPr>
              <w:t xml:space="preserve"> daļā, kā arī Finanšu un kapitāla tirgus komisijas normatīvajos noteikumos, piemēram, Finanšu un kapitāla tirgus komisijas normatīvie noteikumi Nr. 227 “Iekšējās kontroles sistēmas izveides normatīvie noteikumi”.</w:t>
            </w:r>
          </w:p>
        </w:tc>
        <w:tc>
          <w:tcPr>
            <w:tcW w:w="936" w:type="pct"/>
            <w:tcBorders>
              <w:top w:val="single" w:sz="4" w:space="0" w:color="auto"/>
              <w:left w:val="single" w:sz="4" w:space="0" w:color="auto"/>
              <w:bottom w:val="single" w:sz="4" w:space="0" w:color="auto"/>
              <w:right w:val="single" w:sz="4" w:space="0" w:color="auto"/>
            </w:tcBorders>
          </w:tcPr>
          <w:p w14:paraId="7AE4758F" w14:textId="77777777" w:rsidR="00D53F6A" w:rsidRDefault="00D53F6A" w:rsidP="00D53F6A">
            <w:pPr>
              <w:pStyle w:val="NoSpacing"/>
              <w:widowControl/>
              <w:rPr>
                <w:rFonts w:eastAsiaTheme="minorHAnsi"/>
                <w:b/>
                <w:bCs/>
                <w:sz w:val="20"/>
                <w:szCs w:val="20"/>
              </w:rPr>
            </w:pPr>
            <w:r w:rsidRPr="004F04FC">
              <w:rPr>
                <w:rFonts w:eastAsiaTheme="minorHAnsi"/>
                <w:b/>
                <w:bCs/>
                <w:sz w:val="20"/>
                <w:szCs w:val="20"/>
              </w:rPr>
              <w:lastRenderedPageBreak/>
              <w:t>31.pants. Vispārīgās prasības</w:t>
            </w:r>
          </w:p>
          <w:p w14:paraId="297ED8E6" w14:textId="77777777" w:rsidR="00D53F6A" w:rsidRPr="00A62EA9" w:rsidRDefault="00D53F6A" w:rsidP="00D53F6A">
            <w:pPr>
              <w:spacing w:after="0" w:line="240" w:lineRule="auto"/>
              <w:jc w:val="both"/>
              <w:rPr>
                <w:rFonts w:ascii="Times New Roman" w:hAnsi="Times New Roman" w:cs="Times New Roman"/>
                <w:sz w:val="20"/>
                <w:szCs w:val="20"/>
              </w:rPr>
            </w:pPr>
            <w:r w:rsidRPr="00A62EA9">
              <w:rPr>
                <w:rFonts w:ascii="Times New Roman" w:hAnsi="Times New Roman" w:cs="Times New Roman"/>
                <w:sz w:val="20"/>
                <w:szCs w:val="20"/>
              </w:rPr>
              <w:t>(1) Ieguldījumu brokeru sabiedrība saskaņā ar tai izsniegto licenci tās darbības laikā izpilda un ievēro šādas prasības:</w:t>
            </w:r>
          </w:p>
          <w:p w14:paraId="7A07B3ED" w14:textId="0253C367" w:rsidR="00FF4803" w:rsidRDefault="00D53F6A" w:rsidP="00D53F6A">
            <w:pPr>
              <w:spacing w:after="0" w:line="240" w:lineRule="auto"/>
              <w:jc w:val="both"/>
              <w:rPr>
                <w:rFonts w:ascii="Times New Roman" w:eastAsia="Times New Roman" w:hAnsi="Times New Roman" w:cs="Times New Roman"/>
                <w:sz w:val="20"/>
                <w:szCs w:val="20"/>
                <w:lang w:eastAsia="lv-LV"/>
              </w:rPr>
            </w:pPr>
            <w:r w:rsidRPr="00A62EA9">
              <w:rPr>
                <w:rFonts w:ascii="Times New Roman" w:hAnsi="Times New Roman" w:cs="Times New Roman"/>
                <w:sz w:val="20"/>
                <w:szCs w:val="20"/>
              </w:rPr>
              <w:t>8) saskaņā ar šā likuma prasībām, Komisijas normatīvajiem noteikumiem veic datu apstrādes, glabāšanas un pārraides drošības pasākumus;</w:t>
            </w:r>
          </w:p>
        </w:tc>
      </w:tr>
      <w:tr w:rsidR="00FF4803" w:rsidRPr="00184920" w14:paraId="362B45E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AA20EE7" w14:textId="1321C46B" w:rsidR="00FF4803" w:rsidRDefault="00FF4803"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22.</w:t>
            </w:r>
          </w:p>
        </w:tc>
        <w:tc>
          <w:tcPr>
            <w:tcW w:w="692" w:type="pct"/>
            <w:tcBorders>
              <w:top w:val="single" w:sz="6" w:space="0" w:color="000000"/>
              <w:left w:val="single" w:sz="6" w:space="0" w:color="000000"/>
              <w:bottom w:val="single" w:sz="6" w:space="0" w:color="000000"/>
              <w:right w:val="single" w:sz="6" w:space="0" w:color="000000"/>
            </w:tcBorders>
          </w:tcPr>
          <w:p w14:paraId="63D1C870" w14:textId="77777777" w:rsidR="00A01770" w:rsidRPr="00EE70D4" w:rsidRDefault="00A01770" w:rsidP="00A01770">
            <w:pPr>
              <w:pStyle w:val="NoSpacing"/>
              <w:widowControl/>
              <w:rPr>
                <w:rFonts w:eastAsiaTheme="minorHAnsi"/>
                <w:b/>
                <w:bCs/>
                <w:sz w:val="20"/>
                <w:szCs w:val="20"/>
              </w:rPr>
            </w:pPr>
            <w:r w:rsidRPr="00EE70D4">
              <w:rPr>
                <w:rFonts w:eastAsiaTheme="minorHAnsi"/>
                <w:b/>
                <w:bCs/>
                <w:sz w:val="20"/>
                <w:szCs w:val="20"/>
              </w:rPr>
              <w:t>35. pants. Ieguldījumu pakalpojumu sniegšanas ierobežošana</w:t>
            </w:r>
          </w:p>
          <w:p w14:paraId="02034E6D"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Komisija ir tiesīga ierobežot ieguldījumu brokeru sabiedrības tiesības sniegt vienu vai vairākus ieguldījumu pakalpojumus un veikt finanšu instrumentu turēšanu, ja:</w:t>
            </w:r>
          </w:p>
          <w:p w14:paraId="53E467FD"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1) ieguldījumu brokeru sabiedrība nav pildījusi šajā likumā, Finanšu instrumentu tirgus likumā un citos normatīvajos aktos izvirzītās prasības;</w:t>
            </w:r>
          </w:p>
          <w:p w14:paraId="7C763E2F"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2) ieguldījumu brokeru sabiedrība nav pildījusi administratīvos norādījumus, kas ietverti attiecībā uz to izdotajos Komisijas administratīvajos aktos vai citu tādu iestāžu izdotajos administratīvajos aktos, kuras nodrošina šā likuma un tam pakārtoto Komisijas normatīvo noteikumu izpildi;</w:t>
            </w:r>
          </w:p>
          <w:p w14:paraId="5F3C89C8"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3) tiesā ir iesniegts ieguldījumu brokeru sabiedrības maksātnespējas pieteikums vai ieguldījumu brokeru sabiedrība ir pasludināta par maksātnespējīgu;</w:t>
            </w:r>
          </w:p>
          <w:p w14:paraId="307EAF79" w14:textId="77777777" w:rsidR="00A01770" w:rsidRPr="00EE70D4" w:rsidRDefault="00A01770" w:rsidP="00A01770">
            <w:pPr>
              <w:pStyle w:val="NoSpacing"/>
              <w:widowControl/>
              <w:rPr>
                <w:rFonts w:eastAsiaTheme="minorHAnsi"/>
                <w:bCs/>
                <w:sz w:val="20"/>
                <w:szCs w:val="20"/>
              </w:rPr>
            </w:pPr>
            <w:r w:rsidRPr="00EE70D4">
              <w:rPr>
                <w:rFonts w:eastAsiaTheme="minorHAnsi"/>
                <w:bCs/>
                <w:sz w:val="20"/>
                <w:szCs w:val="20"/>
              </w:rPr>
              <w:t>4) ir uzsākts ieguldījumu brokeru sabiedrības likvidācijas process;</w:t>
            </w:r>
          </w:p>
          <w:p w14:paraId="4622A3DC" w14:textId="70F51BA3" w:rsidR="00FF4803" w:rsidRDefault="00A01770" w:rsidP="00A01770">
            <w:pPr>
              <w:pStyle w:val="NoSpacing"/>
              <w:widowControl/>
              <w:rPr>
                <w:rFonts w:eastAsia="Times New Roman"/>
                <w:sz w:val="20"/>
                <w:szCs w:val="20"/>
              </w:rPr>
            </w:pPr>
            <w:r w:rsidRPr="00A01770">
              <w:rPr>
                <w:rFonts w:eastAsiaTheme="minorHAnsi"/>
                <w:bCs/>
                <w:sz w:val="20"/>
                <w:szCs w:val="20"/>
              </w:rPr>
              <w:t xml:space="preserve">5) ieguldījumu brokeru sabiedrība veic darbību, kas apdraud vai varētu apdraudēt šīs ieguldījumu brokeru sabiedrības finansiālo </w:t>
            </w:r>
            <w:r w:rsidRPr="00A01770">
              <w:rPr>
                <w:rFonts w:eastAsiaTheme="minorHAnsi"/>
                <w:bCs/>
                <w:sz w:val="20"/>
                <w:szCs w:val="20"/>
              </w:rPr>
              <w:lastRenderedPageBreak/>
              <w:t>stabilitāti, maksātspēju vai reputāciju vai arī finanšu instrumentu tirgus stabilitāti.</w:t>
            </w:r>
          </w:p>
        </w:tc>
        <w:tc>
          <w:tcPr>
            <w:tcW w:w="1309" w:type="pct"/>
            <w:tcBorders>
              <w:top w:val="single" w:sz="6" w:space="0" w:color="000000"/>
              <w:left w:val="single" w:sz="6" w:space="0" w:color="000000"/>
              <w:bottom w:val="single" w:sz="6" w:space="0" w:color="000000"/>
              <w:right w:val="single" w:sz="6" w:space="0" w:color="000000"/>
            </w:tcBorders>
          </w:tcPr>
          <w:p w14:paraId="7C74A18C" w14:textId="77777777" w:rsidR="00FF4803" w:rsidRDefault="00A01770" w:rsidP="007D6D6F">
            <w:pPr>
              <w:pStyle w:val="NormalWeb"/>
              <w:spacing w:before="0" w:after="0"/>
              <w:ind w:right="13"/>
              <w:jc w:val="both"/>
              <w:rPr>
                <w:sz w:val="20"/>
                <w:szCs w:val="20"/>
              </w:rPr>
            </w:pPr>
            <w:r w:rsidRPr="00EE70D4">
              <w:rPr>
                <w:b/>
                <w:bCs/>
                <w:sz w:val="20"/>
                <w:szCs w:val="20"/>
              </w:rPr>
              <w:lastRenderedPageBreak/>
              <w:t>Iebildums.</w:t>
            </w:r>
            <w:r w:rsidRPr="00EE70D4">
              <w:rPr>
                <w:sz w:val="20"/>
                <w:szCs w:val="20"/>
              </w:rPr>
              <w:t xml:space="preserve"> Likumprojekta 35. pants noteic, ka </w:t>
            </w:r>
            <w:r w:rsidRPr="00EE70D4">
              <w:rPr>
                <w:bCs/>
                <w:sz w:val="20"/>
                <w:szCs w:val="20"/>
              </w:rPr>
              <w:t>Komisija ir tiesīga ierobežot ieguldījumu brokeru sabiedrības tiesības sniegt vienu vai vairākus ieguldījumu pakalpojumus un veikt finanšu instrumentu turēšanu</w:t>
            </w:r>
            <w:r w:rsidRPr="00EE70D4">
              <w:rPr>
                <w:sz w:val="20"/>
                <w:szCs w:val="20"/>
              </w:rPr>
              <w:t>. Vienlaikus likumprojekts neparedz šāda tiesību ierobežojuma termiņu. Vēršam uzmanību, ka liegums personai sniegt pakalpojumu ir būtisks privātpersonas tiesību ierobežojums, tāpēc nav pieļaujams, ka tas tiek paredzēts bez termiņa (salīdzinājumam Administratīvās atbildības likuma 18. panta otrā daļa). Ievērojot minēto, lūdzam precizēt likumprojektu.</w:t>
            </w:r>
          </w:p>
          <w:p w14:paraId="10D9C104" w14:textId="77777777" w:rsidR="00A01770" w:rsidRPr="00A62EA9" w:rsidRDefault="00A01770" w:rsidP="00A01770">
            <w:pPr>
              <w:pStyle w:val="naisc"/>
              <w:spacing w:before="0" w:after="0"/>
              <w:jc w:val="both"/>
              <w:rPr>
                <w:b/>
                <w:bCs/>
                <w:sz w:val="20"/>
                <w:szCs w:val="20"/>
              </w:rPr>
            </w:pPr>
            <w:r w:rsidRPr="00A62EA9">
              <w:rPr>
                <w:b/>
                <w:bCs/>
                <w:sz w:val="20"/>
                <w:szCs w:val="20"/>
              </w:rPr>
              <w:t>Š.g. 11.maijā uzturētais iebildums.</w:t>
            </w:r>
          </w:p>
          <w:p w14:paraId="0CCE7C37" w14:textId="77777777" w:rsidR="00A01770" w:rsidRPr="00A62EA9" w:rsidRDefault="00A01770" w:rsidP="00A01770">
            <w:pPr>
              <w:pStyle w:val="naisc"/>
              <w:spacing w:before="0" w:after="0"/>
              <w:jc w:val="both"/>
              <w:rPr>
                <w:sz w:val="20"/>
                <w:szCs w:val="20"/>
              </w:rPr>
            </w:pPr>
            <w:r w:rsidRPr="00A62EA9">
              <w:rPr>
                <w:sz w:val="20"/>
                <w:szCs w:val="20"/>
              </w:rPr>
              <w:t xml:space="preserve">Tieslietu ministrija uztur iebildumu par likumprojekta 35. pantu, jo pēc būtības iebildums nav ņemts vērā. Vēršam uzmanību, ka Finanšu ministrijas kompetencē ir finanšu politikas veidošana, tāpēc tai būtu jāspēj noteikt gadījumus, kuros Komisijai piešķirt tiesības ierobežot ieguldījumu brokeru sabiedrību tiesības, lai konkretizētu ierobežojumam pieļaujamo termiņu. Vienlaikus vēršam uzmanību, ka Tieslietu ministrijas izteiktā iebilduma mērķis bija norādīt uz to, ka jānosaka iespējamais maksimālais termiņš, uz kādu Komisijai būtu tiesības noteikt attiecīgos ierobežojumus, lai ieguldījumu brokeru sabiedrībām būtu skaidrs tiesiskais regulējums, un tās varētu rēķināties ar savu darbību tiesiskajām sekām. </w:t>
            </w:r>
          </w:p>
          <w:p w14:paraId="32F36976" w14:textId="77777777" w:rsidR="00A01770" w:rsidRDefault="00A01770" w:rsidP="00A01770">
            <w:pPr>
              <w:pStyle w:val="NormalWeb"/>
              <w:spacing w:before="0" w:after="0"/>
              <w:ind w:right="13"/>
              <w:jc w:val="both"/>
              <w:rPr>
                <w:sz w:val="20"/>
                <w:szCs w:val="20"/>
              </w:rPr>
            </w:pPr>
            <w:r w:rsidRPr="00A62EA9">
              <w:rPr>
                <w:sz w:val="20"/>
                <w:szCs w:val="20"/>
              </w:rPr>
              <w:t>Atkārtoti vēršam uzmanību, ka liegums personai sniegt pakalpojumu ir būtisks privātpersonas tiesību ierobežojums, tāpēc nav pieļaujams, ka tas tiek paredzēts bez termiņa. Vienlaikus, nosakot termiņu, lūdzam anotācijā ietver atbilstošu izvēlētā termiņa pamatojumu. Ievērojot minēto, lūdzam precizēt likumprojektu. </w:t>
            </w:r>
          </w:p>
          <w:p w14:paraId="3F21973A" w14:textId="77777777" w:rsidR="00A01770" w:rsidRPr="00F83F82" w:rsidRDefault="00A01770" w:rsidP="00A01770">
            <w:pPr>
              <w:pStyle w:val="naisc"/>
              <w:spacing w:before="0" w:after="0"/>
              <w:jc w:val="both"/>
              <w:rPr>
                <w:b/>
                <w:bCs/>
                <w:sz w:val="20"/>
                <w:szCs w:val="20"/>
              </w:rPr>
            </w:pPr>
            <w:r w:rsidRPr="00F83F82">
              <w:rPr>
                <w:b/>
                <w:bCs/>
                <w:sz w:val="20"/>
                <w:szCs w:val="20"/>
              </w:rPr>
              <w:t>Š.g. 7.jūnijā uzturētais iebildums.</w:t>
            </w:r>
          </w:p>
          <w:p w14:paraId="06B3713A" w14:textId="77777777" w:rsidR="00A01770" w:rsidRPr="00F83F82" w:rsidRDefault="00A01770" w:rsidP="00A01770">
            <w:pPr>
              <w:pStyle w:val="naisc"/>
              <w:spacing w:before="0" w:after="0"/>
              <w:jc w:val="both"/>
              <w:rPr>
                <w:sz w:val="20"/>
                <w:szCs w:val="20"/>
              </w:rPr>
            </w:pPr>
            <w:r w:rsidRPr="00F83F82">
              <w:rPr>
                <w:sz w:val="20"/>
                <w:szCs w:val="20"/>
              </w:rPr>
              <w:t>Uzturam izziņas I sadaļas 22. punktā ietverto iebildumu, jo pēc būtības iebildums nav ņemts vērā.</w:t>
            </w:r>
          </w:p>
          <w:p w14:paraId="39F516FF" w14:textId="2DFAE88D" w:rsidR="00A01770" w:rsidRPr="00A01770" w:rsidRDefault="00A01770" w:rsidP="00A01770">
            <w:pPr>
              <w:pStyle w:val="naisc"/>
              <w:spacing w:before="0" w:after="0"/>
              <w:jc w:val="both"/>
              <w:rPr>
                <w:sz w:val="20"/>
                <w:szCs w:val="20"/>
              </w:rPr>
            </w:pPr>
            <w:r w:rsidRPr="00F83F82">
              <w:rPr>
                <w:sz w:val="20"/>
                <w:szCs w:val="20"/>
              </w:rPr>
              <w:t xml:space="preserve">Vēršam uzmanību, ka precizētais likumprojekta 35. pants noteic, ka Komisija ir tiesīga līdz šajā pantā minēto apstākļu izbeigšanās brīdim ierobežot ieguldījumu brokeru sabiedrības tiesības sniegt vienu vai vairākus </w:t>
            </w:r>
            <w:r w:rsidRPr="00F83F82">
              <w:rPr>
                <w:sz w:val="20"/>
                <w:szCs w:val="20"/>
              </w:rPr>
              <w:lastRenderedPageBreak/>
              <w:t>ieguldījumu pakalpojumus un veikt finanšu instrumentu turēšanu. Noteiktu apstākļu izbeigšanās brīdis nav konkrēts termiņš, proti, tas joprojām nenoteic tiesību ierobežošanas maksimālo termiņu, jo likumprojekta 35. pantā ietvertie apstākļi var arī neizbeigties un turpināties nenosakāmi ilgi, tāpat arī tiesību ierobežojums.</w:t>
            </w:r>
            <w:r>
              <w:rPr>
                <w:sz w:val="20"/>
                <w:szCs w:val="20"/>
              </w:rPr>
              <w:t xml:space="preserve"> </w:t>
            </w:r>
            <w:r w:rsidRPr="00F83F82">
              <w:rPr>
                <w:sz w:val="20"/>
                <w:szCs w:val="20"/>
              </w:rPr>
              <w:t>Ievērojot minēto, atkārtoti vēršam uzmanību, ka liegums personai sniegt pakalpojumu ir būtisks privātpersonas tiesību ierobežojums, tāpēc nav pieļaujams, ka tas tiek paredzēts bez termiņa. Vienlaikus, nosakot termiņu, lūdzam anotācijā ietver atbilstošu izvēlētā termiņa pamatojumu. Ievērojot minēto, lūdzam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1782526D" w14:textId="05421778" w:rsidR="00DA5472" w:rsidRPr="009760B5" w:rsidRDefault="007952D3" w:rsidP="00DA5472">
            <w:pPr>
              <w:pStyle w:val="naisc"/>
              <w:spacing w:before="0" w:after="0"/>
              <w:jc w:val="both"/>
              <w:rPr>
                <w:rFonts w:eastAsiaTheme="minorHAnsi"/>
                <w:bCs/>
                <w:sz w:val="20"/>
                <w:szCs w:val="20"/>
              </w:rPr>
            </w:pPr>
            <w:r>
              <w:rPr>
                <w:b/>
                <w:bCs/>
                <w:sz w:val="20"/>
                <w:szCs w:val="20"/>
              </w:rPr>
              <w:lastRenderedPageBreak/>
              <w:t>Panākta vienošanās elektroniskajā saskaņošanā</w:t>
            </w:r>
            <w:r w:rsidR="00DA5472" w:rsidRPr="00962F1C">
              <w:rPr>
                <w:b/>
                <w:bCs/>
                <w:sz w:val="20"/>
                <w:szCs w:val="20"/>
              </w:rPr>
              <w:t>.</w:t>
            </w:r>
            <w:r>
              <w:rPr>
                <w:b/>
                <w:bCs/>
                <w:sz w:val="20"/>
                <w:szCs w:val="20"/>
              </w:rPr>
              <w:t xml:space="preserve"> Sniedzam skaidrojumu.</w:t>
            </w:r>
            <w:r w:rsidR="00DA5472">
              <w:rPr>
                <w:b/>
                <w:bCs/>
                <w:sz w:val="20"/>
                <w:szCs w:val="20"/>
              </w:rPr>
              <w:t xml:space="preserve"> </w:t>
            </w:r>
            <w:r w:rsidR="00DA5472" w:rsidRPr="00962F1C">
              <w:rPr>
                <w:sz w:val="20"/>
                <w:szCs w:val="20"/>
              </w:rPr>
              <w:t>Precizēta likumprojekta 35.panta ievaddaļa un izslēgts 3. un 4.punkts.</w:t>
            </w:r>
            <w:r w:rsidR="00DA5472">
              <w:rPr>
                <w:sz w:val="20"/>
                <w:szCs w:val="20"/>
              </w:rPr>
              <w:t xml:space="preserve"> Papildus norādām, ka jebkuras personas tiesības ir ierobežojamas, lai aizsargātu sabiedrības intereses, piemēram, Satversmes 116.panta kontekstā no kura izriet </w:t>
            </w:r>
            <w:r w:rsidR="00DA5472" w:rsidRPr="00A90A61">
              <w:rPr>
                <w:sz w:val="20"/>
                <w:szCs w:val="20"/>
              </w:rPr>
              <w:t>citu personu aizsardzība</w:t>
            </w:r>
            <w:r w:rsidR="00DA5472">
              <w:rPr>
                <w:sz w:val="20"/>
                <w:szCs w:val="20"/>
              </w:rPr>
              <w:t xml:space="preserve">, tai skaitā tiesības uz labklājību. </w:t>
            </w:r>
            <w:r w:rsidR="00DA5472" w:rsidRPr="009760B5">
              <w:rPr>
                <w:sz w:val="20"/>
                <w:szCs w:val="20"/>
              </w:rPr>
              <w:t xml:space="preserve">Šāds regulējums, proti, </w:t>
            </w:r>
            <w:r w:rsidR="00DA5472" w:rsidRPr="009760B5">
              <w:rPr>
                <w:rFonts w:eastAsiaTheme="minorHAnsi"/>
                <w:bCs/>
                <w:sz w:val="20"/>
                <w:szCs w:val="20"/>
              </w:rPr>
              <w:t>ierobežot ieguldījumu brokeru sabiedrības tiesības sniegt vienu vai vairākus ieguldījumu pakalpojumus un veikt finanšu instrumentu turēšanu ir vērsts uz to, lai Finanšu un kapitāla tirgus komisijai, izvērtējot pārkāpumu, nebūtu jāpiemēro, piemēram, naudas sods, licences apturēšana, licences anulēšana. Nosakot maksimālo termiņu būtu jāparedz arī sekas, kas mūsu ieskatā būtu licences anulēšana.</w:t>
            </w:r>
          </w:p>
          <w:p w14:paraId="0A8019F1" w14:textId="31A00D1E" w:rsidR="00FF4803" w:rsidRPr="007D6D6F" w:rsidRDefault="00DA5472" w:rsidP="00DA5472">
            <w:pPr>
              <w:pStyle w:val="NormalWeb"/>
              <w:spacing w:before="0" w:after="0"/>
              <w:ind w:right="13"/>
              <w:jc w:val="both"/>
              <w:rPr>
                <w:b/>
                <w:bCs/>
                <w:sz w:val="20"/>
                <w:szCs w:val="20"/>
              </w:rPr>
            </w:pPr>
            <w:r w:rsidRPr="009760B5">
              <w:rPr>
                <w:rFonts w:eastAsiaTheme="minorHAnsi"/>
                <w:bCs/>
                <w:sz w:val="20"/>
                <w:szCs w:val="20"/>
              </w:rPr>
              <w:t>Šāds regulējums ir tirgus dalībnieku saudzējošāks, jo ir iespēja novērts nepilnības un turpināt sniegt ieguldījumu pakalpojumus un finanšu instrumentu turēšanu, izvairoties no naudas soda, licences apturēšanas vai licences anulēšanas.</w:t>
            </w:r>
          </w:p>
        </w:tc>
        <w:tc>
          <w:tcPr>
            <w:tcW w:w="936" w:type="pct"/>
            <w:tcBorders>
              <w:top w:val="single" w:sz="4" w:space="0" w:color="auto"/>
              <w:left w:val="single" w:sz="4" w:space="0" w:color="auto"/>
              <w:bottom w:val="single" w:sz="4" w:space="0" w:color="auto"/>
              <w:right w:val="single" w:sz="4" w:space="0" w:color="auto"/>
            </w:tcBorders>
          </w:tcPr>
          <w:p w14:paraId="63A64FD4" w14:textId="77777777" w:rsidR="00DA5472" w:rsidRPr="00962F1C" w:rsidRDefault="00DA5472" w:rsidP="00DA5472">
            <w:pPr>
              <w:pStyle w:val="NoSpacing"/>
              <w:widowControl/>
              <w:rPr>
                <w:rFonts w:eastAsiaTheme="minorHAnsi"/>
                <w:b/>
                <w:sz w:val="20"/>
                <w:szCs w:val="20"/>
              </w:rPr>
            </w:pPr>
            <w:r w:rsidRPr="00962F1C">
              <w:rPr>
                <w:rFonts w:eastAsiaTheme="minorHAnsi"/>
                <w:b/>
                <w:sz w:val="20"/>
                <w:szCs w:val="20"/>
              </w:rPr>
              <w:t>35. pants. Ieguldījumu pakalpojumu sniegšanas ierobežošana</w:t>
            </w:r>
          </w:p>
          <w:p w14:paraId="7E515D9D" w14:textId="77777777" w:rsidR="00DA5472" w:rsidRPr="00962F1C" w:rsidRDefault="00DA5472" w:rsidP="00DA5472">
            <w:pPr>
              <w:pStyle w:val="NoSpacing"/>
              <w:widowControl/>
              <w:rPr>
                <w:rFonts w:eastAsiaTheme="minorHAnsi"/>
                <w:bCs/>
                <w:sz w:val="20"/>
                <w:szCs w:val="20"/>
              </w:rPr>
            </w:pPr>
            <w:r w:rsidRPr="00962F1C">
              <w:rPr>
                <w:rFonts w:eastAsiaTheme="minorHAnsi"/>
                <w:bCs/>
                <w:sz w:val="20"/>
                <w:szCs w:val="20"/>
              </w:rPr>
              <w:t xml:space="preserve">Komisija ir tiesīga </w:t>
            </w:r>
            <w:r w:rsidRPr="00962F1C">
              <w:rPr>
                <w:rFonts w:eastAsiaTheme="minorHAnsi"/>
                <w:bCs/>
                <w:sz w:val="20"/>
                <w:szCs w:val="20"/>
                <w:u w:val="single"/>
              </w:rPr>
              <w:t>līdz šajā pantā minēto apstākļu izbeigšanās brīdim</w:t>
            </w:r>
            <w:r w:rsidRPr="00962F1C">
              <w:rPr>
                <w:rFonts w:eastAsiaTheme="minorHAnsi"/>
                <w:bCs/>
                <w:sz w:val="20"/>
                <w:szCs w:val="20"/>
              </w:rPr>
              <w:t xml:space="preserve"> ierobežot ieguldījumu brokeru sabiedrības tiesības sniegt vienu vai vairākus ieguldījumu pakalpojumus un veikt finanšu instrumentu turēšanu, ja:</w:t>
            </w:r>
          </w:p>
          <w:p w14:paraId="2E9EE944" w14:textId="77777777" w:rsidR="00DA5472" w:rsidRPr="00962F1C" w:rsidRDefault="00DA5472" w:rsidP="00DA5472">
            <w:pPr>
              <w:pStyle w:val="NoSpacing"/>
              <w:widowControl/>
              <w:rPr>
                <w:rFonts w:eastAsiaTheme="minorHAnsi"/>
                <w:bCs/>
                <w:sz w:val="20"/>
                <w:szCs w:val="20"/>
                <w:u w:val="single"/>
              </w:rPr>
            </w:pPr>
            <w:r w:rsidRPr="00962F1C">
              <w:rPr>
                <w:rFonts w:eastAsiaTheme="minorHAnsi"/>
                <w:bCs/>
                <w:sz w:val="20"/>
                <w:szCs w:val="20"/>
                <w:u w:val="single"/>
              </w:rPr>
              <w:t>1) ieguldījumu brokeru sabiedrība nav pildījusi šajā likumā, Finanšu instrumentu tirgus likumā un citos normatīvajos aktos izvirzītās prasības;</w:t>
            </w:r>
          </w:p>
          <w:p w14:paraId="2167A641" w14:textId="77777777" w:rsidR="00DA5472" w:rsidRPr="00962F1C" w:rsidRDefault="00DA5472" w:rsidP="00DA5472">
            <w:pPr>
              <w:pStyle w:val="NoSpacing"/>
              <w:widowControl/>
              <w:rPr>
                <w:rFonts w:eastAsiaTheme="minorHAnsi"/>
                <w:bCs/>
                <w:sz w:val="20"/>
                <w:szCs w:val="20"/>
                <w:u w:val="single"/>
              </w:rPr>
            </w:pPr>
            <w:r w:rsidRPr="00962F1C">
              <w:rPr>
                <w:rFonts w:eastAsiaTheme="minorHAnsi"/>
                <w:bCs/>
                <w:sz w:val="20"/>
                <w:szCs w:val="20"/>
                <w:u w:val="single"/>
              </w:rPr>
              <w:t>2) ieguldījumu brokeru sabiedrība nav pildījusi administratīvos norādījumus, kas ietverti attiecībā uz to izdotajos Komisijas administratīvajos aktos vai citu tādu iestāžu izdotajos administratīvajos aktos, kuras nodrošina šā likuma un tam pakārtoto Komisijas normatīvo noteikumu izpildi;</w:t>
            </w:r>
          </w:p>
          <w:p w14:paraId="6F6FFC34" w14:textId="79352449" w:rsidR="00FF4803" w:rsidRDefault="00DA5472" w:rsidP="007D6D6F">
            <w:pPr>
              <w:spacing w:after="0" w:line="240" w:lineRule="auto"/>
              <w:jc w:val="both"/>
              <w:rPr>
                <w:rFonts w:ascii="Times New Roman" w:eastAsia="Times New Roman" w:hAnsi="Times New Roman" w:cs="Times New Roman"/>
                <w:sz w:val="20"/>
                <w:szCs w:val="20"/>
                <w:lang w:eastAsia="lv-LV"/>
              </w:rPr>
            </w:pPr>
            <w:r w:rsidRPr="00962F1C">
              <w:rPr>
                <w:rFonts w:ascii="Times New Roman" w:hAnsi="Times New Roman" w:cs="Times New Roman"/>
                <w:bCs/>
                <w:sz w:val="20"/>
                <w:szCs w:val="20"/>
                <w:u w:val="single"/>
              </w:rPr>
              <w:t>3) ieguldījumu brokeru sabiedrība veic darbību, kas apdraud vai varētu apdraudēt šīs ieguldījumu brokeru sabiedrības finansiālo stabilitāti, maksātspēju vai reputāciju vai arī finanšu instrumentu tirgus stabilitāti.</w:t>
            </w:r>
          </w:p>
        </w:tc>
      </w:tr>
      <w:tr w:rsidR="007D6D6F" w:rsidRPr="00184920" w14:paraId="06D1A68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1B76B26" w14:textId="2A8723D3"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23.</w:t>
            </w:r>
          </w:p>
        </w:tc>
        <w:tc>
          <w:tcPr>
            <w:tcW w:w="692" w:type="pct"/>
            <w:tcBorders>
              <w:top w:val="single" w:sz="6" w:space="0" w:color="000000"/>
              <w:left w:val="single" w:sz="6" w:space="0" w:color="000000"/>
              <w:bottom w:val="single" w:sz="6" w:space="0" w:color="000000"/>
              <w:right w:val="single" w:sz="6" w:space="0" w:color="000000"/>
            </w:tcBorders>
          </w:tcPr>
          <w:p w14:paraId="7EE5FC77" w14:textId="77777777" w:rsidR="007D6D6F" w:rsidRPr="00795F0E" w:rsidRDefault="007D6D6F" w:rsidP="007D6D6F">
            <w:pPr>
              <w:pStyle w:val="NoSpacing"/>
              <w:widowControl/>
              <w:rPr>
                <w:rFonts w:eastAsiaTheme="minorHAnsi"/>
                <w:b/>
                <w:bCs/>
                <w:sz w:val="20"/>
                <w:szCs w:val="20"/>
              </w:rPr>
            </w:pPr>
            <w:r w:rsidRPr="00795F0E">
              <w:rPr>
                <w:rFonts w:eastAsiaTheme="minorHAnsi"/>
                <w:b/>
                <w:bCs/>
                <w:sz w:val="20"/>
                <w:szCs w:val="20"/>
              </w:rPr>
              <w:t>39. pants. Personu aizsardzība</w:t>
            </w:r>
          </w:p>
          <w:p w14:paraId="58135538" w14:textId="77777777" w:rsidR="007D6D6F" w:rsidRPr="00795F0E" w:rsidRDefault="007D6D6F" w:rsidP="007D6D6F">
            <w:pPr>
              <w:pStyle w:val="NoSpacing"/>
              <w:widowControl/>
              <w:rPr>
                <w:rFonts w:eastAsiaTheme="minorHAnsi"/>
                <w:bCs/>
                <w:sz w:val="20"/>
                <w:szCs w:val="20"/>
              </w:rPr>
            </w:pPr>
            <w:r w:rsidRPr="00795F0E">
              <w:rPr>
                <w:rFonts w:eastAsiaTheme="minorHAnsi"/>
                <w:bCs/>
                <w:sz w:val="20"/>
                <w:szCs w:val="20"/>
              </w:rPr>
              <w:t>(1) Saskaņā ar normatīvajiem aktiem par fizisko personu datu aizsardzību Komisijas izveidotā ziņošanas sistēma par pārkāpumiem nodrošina tādas personas datu aizsardzību, kura ziņo par pārkāpumu, kā arī tādas fiziskās personas datu aizsardzību, par kuru ir aizdomas, ka tā izdarījusi pārkāpumu.</w:t>
            </w:r>
          </w:p>
          <w:p w14:paraId="78B92613" w14:textId="77777777" w:rsidR="007D6D6F" w:rsidRPr="00795F0E" w:rsidRDefault="007D6D6F" w:rsidP="007D6D6F">
            <w:pPr>
              <w:pStyle w:val="NoSpacing"/>
              <w:widowControl/>
              <w:rPr>
                <w:rFonts w:eastAsiaTheme="minorHAnsi"/>
                <w:bCs/>
                <w:sz w:val="20"/>
                <w:szCs w:val="20"/>
              </w:rPr>
            </w:pPr>
            <w:r w:rsidRPr="00795F0E">
              <w:rPr>
                <w:rFonts w:eastAsiaTheme="minorHAnsi"/>
                <w:bCs/>
                <w:sz w:val="20"/>
                <w:szCs w:val="20"/>
              </w:rPr>
              <w:t>(2) Komisija nodrošina konfidencialitāti personai, kura ziņo par pārkāpumu, kā arī personai, par kuru ir aizdomas, ka tā izdarījusi pārkāpumu, izņemot gadījumu, kad šādu ziņu izpaušanu paredz Latvijas Republikas normatīvie akti.</w:t>
            </w:r>
          </w:p>
          <w:p w14:paraId="71F693D8" w14:textId="77777777" w:rsidR="007D6D6F" w:rsidRPr="00795F0E" w:rsidRDefault="007D6D6F" w:rsidP="007D6D6F">
            <w:pPr>
              <w:pStyle w:val="NoSpacing"/>
              <w:widowControl/>
              <w:rPr>
                <w:rFonts w:eastAsiaTheme="minorHAnsi"/>
                <w:bCs/>
                <w:sz w:val="20"/>
                <w:szCs w:val="20"/>
              </w:rPr>
            </w:pPr>
            <w:r w:rsidRPr="00795F0E">
              <w:rPr>
                <w:rFonts w:eastAsiaTheme="minorHAnsi"/>
                <w:bCs/>
                <w:sz w:val="20"/>
                <w:szCs w:val="20"/>
              </w:rPr>
              <w:t>(3) Ziņošana, kuru saskaņā ar šā likuma </w:t>
            </w:r>
            <w:hyperlink r:id="rId11" w:anchor="p147.6" w:history="1">
              <w:r w:rsidRPr="00795F0E">
                <w:rPr>
                  <w:rFonts w:eastAsiaTheme="minorHAnsi"/>
                  <w:bCs/>
                  <w:sz w:val="20"/>
                  <w:szCs w:val="20"/>
                </w:rPr>
                <w:t xml:space="preserve"> 38. panta pirmo, otro un trešo daļu </w:t>
              </w:r>
            </w:hyperlink>
            <w:r w:rsidRPr="00795F0E">
              <w:rPr>
                <w:rFonts w:eastAsiaTheme="minorHAnsi"/>
                <w:bCs/>
                <w:sz w:val="20"/>
                <w:szCs w:val="20"/>
              </w:rPr>
              <w:t xml:space="preserve">veic ieguldījumu brokeru sabiedrības un ārvalsts ieguldījumu brokeru </w:t>
            </w:r>
            <w:r w:rsidRPr="00795F0E">
              <w:rPr>
                <w:rFonts w:eastAsiaTheme="minorHAnsi"/>
                <w:bCs/>
                <w:sz w:val="20"/>
                <w:szCs w:val="20"/>
              </w:rPr>
              <w:lastRenderedPageBreak/>
              <w:t>sabiedrības filiāles darbinieki, nav uzskatāma par darba līgumā vai citā tam pielīdzināmā līgumā, vai jebkurā normatīvajā aktā noteiktā informācijas izpaušanas aizlieguma pārkāpumu, un personu nevar saukt pie atbildības par šādu ziņošanu.</w:t>
            </w:r>
          </w:p>
          <w:p w14:paraId="64966DF0" w14:textId="1B92C9DF" w:rsidR="007D6D6F" w:rsidRPr="00795F0E" w:rsidRDefault="007D6D6F" w:rsidP="007D6D6F">
            <w:pPr>
              <w:spacing w:after="0" w:line="240" w:lineRule="auto"/>
              <w:jc w:val="both"/>
              <w:rPr>
                <w:rFonts w:ascii="Times New Roman" w:eastAsia="Times New Roman" w:hAnsi="Times New Roman" w:cs="Times New Roman"/>
                <w:sz w:val="20"/>
                <w:szCs w:val="20"/>
                <w:lang w:eastAsia="lv-LV"/>
              </w:rPr>
            </w:pPr>
            <w:r w:rsidRPr="00795F0E">
              <w:rPr>
                <w:rFonts w:ascii="Times New Roman" w:hAnsi="Times New Roman" w:cs="Times New Roman"/>
                <w:bCs/>
                <w:sz w:val="20"/>
                <w:szCs w:val="20"/>
              </w:rPr>
              <w:t>(4) Pret ieguldījumu brokeru sabiedrības un ārvalsts ieguldījumu brokeru sabiedrības filiāles darbinieku, kurš ziņo par šā likuma  38. panta pirmajā daļā minētajiem pārkāpumiem tā darba devēja darbībā, sniegtā ziņojuma dēļ nedrīkst vērst diskriminējošas vai citas netaisnīgas darbības.</w:t>
            </w:r>
          </w:p>
        </w:tc>
        <w:tc>
          <w:tcPr>
            <w:tcW w:w="1309" w:type="pct"/>
            <w:tcBorders>
              <w:top w:val="single" w:sz="6" w:space="0" w:color="000000"/>
              <w:left w:val="single" w:sz="6" w:space="0" w:color="000000"/>
              <w:bottom w:val="single" w:sz="6" w:space="0" w:color="000000"/>
              <w:right w:val="single" w:sz="6" w:space="0" w:color="000000"/>
            </w:tcBorders>
          </w:tcPr>
          <w:p w14:paraId="7A0487EB" w14:textId="25458BFC" w:rsidR="007D6D6F" w:rsidRPr="00795F0E" w:rsidRDefault="007D6D6F" w:rsidP="007D6D6F">
            <w:pPr>
              <w:spacing w:after="0" w:line="240" w:lineRule="auto"/>
              <w:jc w:val="both"/>
              <w:rPr>
                <w:rFonts w:ascii="Times New Roman" w:eastAsia="Times New Roman" w:hAnsi="Times New Roman" w:cs="Times New Roman"/>
                <w:sz w:val="20"/>
                <w:szCs w:val="20"/>
                <w:lang w:eastAsia="lv-LV"/>
              </w:rPr>
            </w:pPr>
            <w:r w:rsidRPr="00795F0E">
              <w:rPr>
                <w:rFonts w:ascii="Times New Roman" w:hAnsi="Times New Roman" w:cs="Times New Roman"/>
                <w:b/>
                <w:bCs/>
                <w:sz w:val="20"/>
                <w:szCs w:val="20"/>
              </w:rPr>
              <w:lastRenderedPageBreak/>
              <w:t>Iebildums.</w:t>
            </w:r>
            <w:r w:rsidRPr="00795F0E">
              <w:rPr>
                <w:rFonts w:ascii="Times New Roman" w:hAnsi="Times New Roman" w:cs="Times New Roman"/>
                <w:sz w:val="20"/>
                <w:szCs w:val="20"/>
              </w:rPr>
              <w:t xml:space="preserve"> Lūdzam izvērtēt likumprojekta 38. pantā ietvertā regulējuma atbilstību Trauksmes celšanas likumam, tostarp atbilstoši noteikumu Nr. 108 3.2. apakšpunktam novēršot likumprojektā ietverto tiesību normu dublēšanos ar Trauksmes celšanas likuma 11. pantu par trauksmes cēlēja identitātes aizsardzību, Trauksmes celšanas likuma 12. pantu par trauksmes cēlēja ziņojumā minētās personas identitātes aizsardzību, kā arī Trauksmes celšanas likuma 13. pantu par aizsardzību pret trauksmes celšanas dēļ radītām nelabvēlīgām sekām.</w:t>
            </w:r>
          </w:p>
        </w:tc>
        <w:tc>
          <w:tcPr>
            <w:tcW w:w="848" w:type="pct"/>
            <w:gridSpan w:val="2"/>
            <w:tcBorders>
              <w:top w:val="single" w:sz="6" w:space="0" w:color="000000"/>
              <w:left w:val="single" w:sz="6" w:space="0" w:color="000000"/>
              <w:bottom w:val="single" w:sz="6" w:space="0" w:color="000000"/>
              <w:right w:val="single" w:sz="6" w:space="0" w:color="000000"/>
            </w:tcBorders>
          </w:tcPr>
          <w:p w14:paraId="39ECF287" w14:textId="7777777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Sniedzam skaidrojumu. </w:t>
            </w:r>
            <w:r w:rsidRPr="00C81A95">
              <w:rPr>
                <w:rFonts w:ascii="Times New Roman" w:hAnsi="Times New Roman" w:cs="Times New Roman"/>
                <w:sz w:val="20"/>
                <w:szCs w:val="20"/>
              </w:rPr>
              <w:t>Vēršam uzmanību, ka ziņošanas par iespējamiem un faktiskajiem pārkāpumiem regulējums Finanšu instrumentu tirgus likumā ir pārņemts un ieviests ar virkni Eiropas Savienības tiesību aktiem, piemēram, Direktīvas Nr. 2013/36/ES 71.pants. Arī Direktīvas Nr. 2019/2034 22.pants paredz prasības attiecībā uz ziņošanu par iespējamiem un faktiskiem pārkāpumiem.</w:t>
            </w:r>
            <w:r>
              <w:rPr>
                <w:rFonts w:ascii="Times New Roman" w:hAnsi="Times New Roman" w:cs="Times New Roman"/>
                <w:sz w:val="20"/>
                <w:szCs w:val="20"/>
              </w:rPr>
              <w:t xml:space="preserve"> Pēdējie grozījumi Finanšu instrumentu tirgus likumā attiecībā uz z</w:t>
            </w:r>
            <w:r w:rsidRPr="00E7298F">
              <w:rPr>
                <w:rFonts w:ascii="Times New Roman" w:hAnsi="Times New Roman" w:cs="Times New Roman"/>
                <w:sz w:val="20"/>
                <w:szCs w:val="20"/>
              </w:rPr>
              <w:t>iņošan</w:t>
            </w:r>
            <w:r>
              <w:rPr>
                <w:rFonts w:ascii="Times New Roman" w:hAnsi="Times New Roman" w:cs="Times New Roman"/>
                <w:sz w:val="20"/>
                <w:szCs w:val="20"/>
              </w:rPr>
              <w:t>u</w:t>
            </w:r>
            <w:r w:rsidRPr="00E7298F">
              <w:rPr>
                <w:rFonts w:ascii="Times New Roman" w:hAnsi="Times New Roman" w:cs="Times New Roman"/>
                <w:sz w:val="20"/>
                <w:szCs w:val="20"/>
              </w:rPr>
              <w:t xml:space="preserve"> par iespējamiem un faktiskiem pārkāpumiem</w:t>
            </w:r>
            <w:r>
              <w:rPr>
                <w:rFonts w:ascii="Times New Roman" w:hAnsi="Times New Roman" w:cs="Times New Roman"/>
                <w:sz w:val="20"/>
                <w:szCs w:val="20"/>
              </w:rPr>
              <w:t>:</w:t>
            </w:r>
          </w:p>
          <w:p w14:paraId="5220E9FA" w14:textId="77777777" w:rsidR="007D6D6F" w:rsidRDefault="00F443CE" w:rsidP="007D6D6F">
            <w:pPr>
              <w:spacing w:after="0" w:line="240" w:lineRule="auto"/>
              <w:jc w:val="both"/>
              <w:rPr>
                <w:rFonts w:ascii="Times New Roman" w:hAnsi="Times New Roman" w:cs="Times New Roman"/>
                <w:sz w:val="20"/>
                <w:szCs w:val="20"/>
              </w:rPr>
            </w:pPr>
            <w:hyperlink r:id="rId12" w:history="1">
              <w:r w:rsidR="007D6D6F" w:rsidRPr="003B63EA">
                <w:rPr>
                  <w:rStyle w:val="Hyperlink"/>
                  <w:rFonts w:ascii="Times New Roman" w:hAnsi="Times New Roman" w:cs="Times New Roman"/>
                  <w:sz w:val="20"/>
                  <w:szCs w:val="20"/>
                </w:rPr>
                <w:t>http://titania.saeima.lv/LIVS13/saeimalivs13.nsf/0/055C19386B32A6C9C225840700273BDE?OpenDocument</w:t>
              </w:r>
            </w:hyperlink>
          </w:p>
          <w:p w14:paraId="1ADF4C9E" w14:textId="77777777"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038B01D3" w14:textId="77777777" w:rsidR="007D6D6F" w:rsidRPr="00184920" w:rsidRDefault="007D6D6F" w:rsidP="007D6D6F">
            <w:pPr>
              <w:spacing w:after="0" w:line="240" w:lineRule="auto"/>
              <w:jc w:val="center"/>
              <w:rPr>
                <w:rFonts w:ascii="Times New Roman" w:eastAsia="Times New Roman" w:hAnsi="Times New Roman" w:cs="Times New Roman"/>
                <w:sz w:val="20"/>
                <w:szCs w:val="20"/>
                <w:lang w:eastAsia="lv-LV"/>
              </w:rPr>
            </w:pPr>
          </w:p>
        </w:tc>
      </w:tr>
      <w:tr w:rsidR="007D6D6F" w:rsidRPr="00184920" w14:paraId="326AA0B5"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3EDC589" w14:textId="17FD309D"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24.</w:t>
            </w:r>
          </w:p>
        </w:tc>
        <w:tc>
          <w:tcPr>
            <w:tcW w:w="692" w:type="pct"/>
            <w:tcBorders>
              <w:top w:val="single" w:sz="6" w:space="0" w:color="000000"/>
              <w:left w:val="single" w:sz="6" w:space="0" w:color="000000"/>
              <w:bottom w:val="single" w:sz="6" w:space="0" w:color="000000"/>
              <w:right w:val="single" w:sz="6" w:space="0" w:color="000000"/>
            </w:tcBorders>
          </w:tcPr>
          <w:p w14:paraId="0DDE62E4" w14:textId="77777777" w:rsidR="007D6D6F" w:rsidRPr="00E82E1D" w:rsidRDefault="007D6D6F" w:rsidP="007D6D6F">
            <w:pPr>
              <w:pStyle w:val="NoSpacing"/>
              <w:widowControl/>
              <w:rPr>
                <w:rFonts w:eastAsia="Times New Roman"/>
                <w:color w:val="414142"/>
                <w:sz w:val="20"/>
                <w:szCs w:val="20"/>
                <w:lang w:eastAsia="lv-LV"/>
              </w:rPr>
            </w:pPr>
            <w:r w:rsidRPr="00E82E1D">
              <w:rPr>
                <w:rFonts w:eastAsiaTheme="minorHAnsi"/>
                <w:b/>
                <w:bCs/>
                <w:sz w:val="20"/>
                <w:szCs w:val="20"/>
              </w:rPr>
              <w:t>40. pants. Aizlieguma radīt nelabvēlīgas sekas pārkāpuma novēršana</w:t>
            </w:r>
          </w:p>
          <w:p w14:paraId="43BFD95C" w14:textId="278479F4"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E82E1D">
              <w:rPr>
                <w:rFonts w:ascii="Times New Roman" w:hAnsi="Times New Roman" w:cs="Times New Roman"/>
                <w:bCs/>
                <w:sz w:val="20"/>
                <w:szCs w:val="20"/>
              </w:rPr>
              <w:t>Ja netiek ievērots šā likuma </w:t>
            </w:r>
            <w:r w:rsidRPr="00E82E1D" w:rsidDel="006A42AB">
              <w:rPr>
                <w:rFonts w:ascii="Times New Roman" w:hAnsi="Times New Roman" w:cs="Times New Roman"/>
                <w:bCs/>
                <w:sz w:val="20"/>
                <w:szCs w:val="20"/>
              </w:rPr>
              <w:t xml:space="preserve"> </w:t>
            </w:r>
            <w:r w:rsidRPr="00E82E1D">
              <w:rPr>
                <w:rFonts w:ascii="Times New Roman" w:hAnsi="Times New Roman" w:cs="Times New Roman"/>
                <w:bCs/>
                <w:sz w:val="20"/>
                <w:szCs w:val="20"/>
              </w:rPr>
              <w:t>39. panta ceturtajā daļā noteiktais aizliegums un personai tiek radītas nelabvēlīgas sekas sakarā ar tās sniegtajām ziņām par šā likuma 36. panta pirmajā daļā minētajiem  pārkāpumiem, šīs nelabvēlīgās sekas novērš atbilstoši attiecīgajos normatīvajos aktos noteiktajam.</w:t>
            </w:r>
          </w:p>
        </w:tc>
        <w:tc>
          <w:tcPr>
            <w:tcW w:w="1309" w:type="pct"/>
            <w:tcBorders>
              <w:top w:val="single" w:sz="6" w:space="0" w:color="000000"/>
              <w:left w:val="single" w:sz="6" w:space="0" w:color="000000"/>
              <w:bottom w:val="single" w:sz="6" w:space="0" w:color="000000"/>
              <w:right w:val="single" w:sz="6" w:space="0" w:color="000000"/>
            </w:tcBorders>
          </w:tcPr>
          <w:p w14:paraId="320267ED" w14:textId="7837ABC4" w:rsidR="007D6D6F" w:rsidRPr="00E82E1D" w:rsidRDefault="007D6D6F" w:rsidP="007D6D6F">
            <w:pPr>
              <w:spacing w:after="0" w:line="240" w:lineRule="auto"/>
              <w:jc w:val="both"/>
              <w:rPr>
                <w:rFonts w:ascii="Times New Roman" w:eastAsia="Times New Roman" w:hAnsi="Times New Roman" w:cs="Times New Roman"/>
                <w:sz w:val="20"/>
                <w:szCs w:val="20"/>
                <w:lang w:eastAsia="lv-LV"/>
              </w:rPr>
            </w:pPr>
            <w:r w:rsidRPr="00E82E1D">
              <w:rPr>
                <w:rFonts w:ascii="Times New Roman" w:hAnsi="Times New Roman" w:cs="Times New Roman"/>
                <w:b/>
                <w:bCs/>
                <w:sz w:val="20"/>
                <w:szCs w:val="20"/>
              </w:rPr>
              <w:t>Iebildums.</w:t>
            </w:r>
            <w:r w:rsidRPr="00E82E1D">
              <w:rPr>
                <w:rFonts w:ascii="Times New Roman" w:hAnsi="Times New Roman" w:cs="Times New Roman"/>
                <w:sz w:val="20"/>
                <w:szCs w:val="20"/>
              </w:rPr>
              <w:t xml:space="preserve"> Likumprojekta 39. pantā ietvertajam tiesiskajam regulējumam nav juridiskās slodzes, tāpēc lūdzam to izslēgt.</w:t>
            </w:r>
          </w:p>
        </w:tc>
        <w:tc>
          <w:tcPr>
            <w:tcW w:w="848" w:type="pct"/>
            <w:gridSpan w:val="2"/>
            <w:tcBorders>
              <w:top w:val="single" w:sz="6" w:space="0" w:color="000000"/>
              <w:left w:val="single" w:sz="6" w:space="0" w:color="000000"/>
              <w:bottom w:val="single" w:sz="6" w:space="0" w:color="000000"/>
              <w:right w:val="single" w:sz="6" w:space="0" w:color="000000"/>
            </w:tcBorders>
          </w:tcPr>
          <w:p w14:paraId="7E75F7DC" w14:textId="7777777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b/>
                <w:bCs/>
                <w:sz w:val="20"/>
                <w:szCs w:val="20"/>
              </w:rPr>
              <w:t xml:space="preserve">Sniedzam skaidrojumu. </w:t>
            </w:r>
            <w:r w:rsidRPr="008D1376">
              <w:rPr>
                <w:rFonts w:ascii="Times New Roman" w:hAnsi="Times New Roman" w:cs="Times New Roman"/>
                <w:sz w:val="20"/>
                <w:szCs w:val="20"/>
              </w:rPr>
              <w:t>Vēršam uzmanību, ka likumprojekta 40.pants pārņem Direktīvas Nr. 2019/2034 22.panta prasības, proti, aizliegums un personai tiek radītas nelabvēlīgas sekas attiecībā uz ziņošanu par iespējamiem un faktiskiem pārkāpumiem. Identisks regulējumu paredz Finanšu instrumentu tirgus likuma 147.</w:t>
            </w:r>
            <w:r w:rsidRPr="008D1376">
              <w:rPr>
                <w:rFonts w:ascii="Times New Roman" w:hAnsi="Times New Roman" w:cs="Times New Roman"/>
                <w:sz w:val="20"/>
                <w:szCs w:val="20"/>
                <w:vertAlign w:val="superscript"/>
              </w:rPr>
              <w:t>9</w:t>
            </w:r>
            <w:r w:rsidRPr="008D1376">
              <w:rPr>
                <w:rFonts w:ascii="Times New Roman" w:hAnsi="Times New Roman" w:cs="Times New Roman"/>
                <w:sz w:val="20"/>
                <w:szCs w:val="20"/>
              </w:rPr>
              <w:t xml:space="preserve"> pants. Šāds regulējums Finanšu instrumentu tirgus likumā tika iestrādāts, jo Finanšu instrumentu tirgus likums nerisina strīdu risināšanas kārtību, pretēji, piemēram, Civilprocesa likumam. Līdz ar to regulējums par strīdu risināšanas kārtību tika aizstāts ar regulējumu, kas noteic kārtību, kādā tiek novērts aizlieguma radīt </w:t>
            </w:r>
            <w:r w:rsidRPr="008D1376">
              <w:rPr>
                <w:rFonts w:ascii="Times New Roman" w:hAnsi="Times New Roman" w:cs="Times New Roman"/>
                <w:sz w:val="20"/>
                <w:szCs w:val="20"/>
              </w:rPr>
              <w:lastRenderedPageBreak/>
              <w:t>nelabvēlīgas sekas sakarā ar personas ziņošanu pārkāpums. Ar grozījumiem tika noteikts, ka atkarībā no nelabvēlīgo seku veida tās novērš atbilstoši tiesību aktiem, kas regulē konkrētās civiltiesiskās attiecības (piemēram, darba līguma gadījumā tiesiskās attiecības regulē Darba likuma normas).</w:t>
            </w:r>
          </w:p>
          <w:p w14:paraId="0EB2A68A" w14:textId="7777777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Pēdējie grozījumi Finanšu instrumentu tirgus likumā attiecībā uz z</w:t>
            </w:r>
            <w:r w:rsidRPr="00E7298F">
              <w:rPr>
                <w:rFonts w:ascii="Times New Roman" w:hAnsi="Times New Roman" w:cs="Times New Roman"/>
                <w:sz w:val="20"/>
                <w:szCs w:val="20"/>
              </w:rPr>
              <w:t>iņošan</w:t>
            </w:r>
            <w:r>
              <w:rPr>
                <w:rFonts w:ascii="Times New Roman" w:hAnsi="Times New Roman" w:cs="Times New Roman"/>
                <w:sz w:val="20"/>
                <w:szCs w:val="20"/>
              </w:rPr>
              <w:t>u</w:t>
            </w:r>
            <w:r w:rsidRPr="00E7298F">
              <w:rPr>
                <w:rFonts w:ascii="Times New Roman" w:hAnsi="Times New Roman" w:cs="Times New Roman"/>
                <w:sz w:val="20"/>
                <w:szCs w:val="20"/>
              </w:rPr>
              <w:t xml:space="preserve"> par iespējamiem un faktiskiem pārkāpumiem</w:t>
            </w:r>
            <w:r>
              <w:rPr>
                <w:rFonts w:ascii="Times New Roman" w:hAnsi="Times New Roman" w:cs="Times New Roman"/>
                <w:sz w:val="20"/>
                <w:szCs w:val="20"/>
              </w:rPr>
              <w:t>:</w:t>
            </w:r>
          </w:p>
          <w:p w14:paraId="2159D035" w14:textId="76ABBA18" w:rsidR="007D6D6F" w:rsidRPr="00184920" w:rsidRDefault="00F443CE" w:rsidP="007D6D6F">
            <w:pPr>
              <w:spacing w:after="0" w:line="240" w:lineRule="auto"/>
              <w:jc w:val="both"/>
              <w:rPr>
                <w:rFonts w:ascii="Times New Roman" w:eastAsia="Times New Roman" w:hAnsi="Times New Roman" w:cs="Times New Roman"/>
                <w:sz w:val="20"/>
                <w:szCs w:val="20"/>
                <w:lang w:eastAsia="lv-LV"/>
              </w:rPr>
            </w:pPr>
            <w:hyperlink r:id="rId13" w:history="1">
              <w:r w:rsidR="007D6D6F" w:rsidRPr="003B63EA">
                <w:rPr>
                  <w:rStyle w:val="Hyperlink"/>
                  <w:rFonts w:ascii="Times New Roman" w:hAnsi="Times New Roman" w:cs="Times New Roman"/>
                  <w:sz w:val="20"/>
                  <w:szCs w:val="20"/>
                </w:rPr>
                <w:t>http://titania.saeima.lv/LIVS13/saeimalivs13.nsf/0/055C19386B32A6C9C225840700273BDE?OpenDocument</w:t>
              </w:r>
            </w:hyperlink>
          </w:p>
        </w:tc>
        <w:tc>
          <w:tcPr>
            <w:tcW w:w="936" w:type="pct"/>
            <w:tcBorders>
              <w:top w:val="single" w:sz="4" w:space="0" w:color="auto"/>
              <w:left w:val="single" w:sz="4" w:space="0" w:color="auto"/>
              <w:bottom w:val="single" w:sz="4" w:space="0" w:color="auto"/>
              <w:right w:val="single" w:sz="4" w:space="0" w:color="auto"/>
            </w:tcBorders>
          </w:tcPr>
          <w:p w14:paraId="0D954451" w14:textId="77777777" w:rsidR="007D6D6F" w:rsidRPr="00184920" w:rsidRDefault="007D6D6F" w:rsidP="007D6D6F">
            <w:pPr>
              <w:spacing w:after="0" w:line="240" w:lineRule="auto"/>
              <w:jc w:val="center"/>
              <w:rPr>
                <w:rFonts w:ascii="Times New Roman" w:eastAsia="Times New Roman" w:hAnsi="Times New Roman" w:cs="Times New Roman"/>
                <w:sz w:val="20"/>
                <w:szCs w:val="20"/>
                <w:lang w:eastAsia="lv-LV"/>
              </w:rPr>
            </w:pPr>
          </w:p>
        </w:tc>
      </w:tr>
      <w:tr w:rsidR="007D6D6F" w:rsidRPr="00184920" w14:paraId="4FAFB5C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FA40BF5" w14:textId="29263AC2"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25.</w:t>
            </w:r>
          </w:p>
        </w:tc>
        <w:tc>
          <w:tcPr>
            <w:tcW w:w="692" w:type="pct"/>
            <w:tcBorders>
              <w:top w:val="single" w:sz="6" w:space="0" w:color="000000"/>
              <w:left w:val="single" w:sz="6" w:space="0" w:color="000000"/>
              <w:bottom w:val="single" w:sz="6" w:space="0" w:color="000000"/>
              <w:right w:val="single" w:sz="6" w:space="0" w:color="000000"/>
            </w:tcBorders>
          </w:tcPr>
          <w:p w14:paraId="2AB5E902" w14:textId="77777777" w:rsidR="007D6D6F" w:rsidRPr="009F72C4" w:rsidRDefault="007D6D6F" w:rsidP="007D6D6F">
            <w:pPr>
              <w:pStyle w:val="NoSpacing"/>
              <w:widowControl/>
              <w:rPr>
                <w:rFonts w:eastAsiaTheme="minorHAnsi"/>
                <w:sz w:val="20"/>
                <w:szCs w:val="20"/>
              </w:rPr>
            </w:pPr>
            <w:r w:rsidRPr="009F72C4">
              <w:rPr>
                <w:rFonts w:eastAsiaTheme="minorHAnsi"/>
                <w:sz w:val="20"/>
                <w:szCs w:val="20"/>
              </w:rPr>
              <w:t>Viss 42.pants, jo īpaši:</w:t>
            </w:r>
          </w:p>
          <w:p w14:paraId="1FB8CA5E" w14:textId="77777777" w:rsidR="007D6D6F" w:rsidRPr="009F72C4" w:rsidRDefault="007D6D6F" w:rsidP="007D6D6F">
            <w:pPr>
              <w:pStyle w:val="NoSpacing"/>
              <w:widowControl/>
              <w:rPr>
                <w:rFonts w:eastAsiaTheme="minorHAnsi"/>
                <w:b/>
                <w:bCs/>
                <w:sz w:val="20"/>
                <w:szCs w:val="20"/>
              </w:rPr>
            </w:pPr>
          </w:p>
          <w:p w14:paraId="0F384D6C" w14:textId="77777777" w:rsidR="007D6D6F" w:rsidRPr="009F72C4" w:rsidRDefault="007D6D6F" w:rsidP="007D6D6F">
            <w:pPr>
              <w:pStyle w:val="NoSpacing"/>
              <w:widowControl/>
              <w:rPr>
                <w:rFonts w:eastAsiaTheme="minorHAnsi"/>
                <w:b/>
                <w:bCs/>
                <w:sz w:val="20"/>
                <w:szCs w:val="20"/>
              </w:rPr>
            </w:pPr>
            <w:r w:rsidRPr="009F72C4">
              <w:rPr>
                <w:rFonts w:eastAsiaTheme="minorHAnsi"/>
                <w:b/>
                <w:bCs/>
                <w:sz w:val="20"/>
                <w:szCs w:val="20"/>
              </w:rPr>
              <w:t>42. pants. Ieguldījumu brokeru sabiedrību gada pārskata iesniegšana un publiskošana</w:t>
            </w:r>
          </w:p>
          <w:p w14:paraId="7DFED078" w14:textId="77777777" w:rsidR="007D6D6F" w:rsidRPr="009F72C4" w:rsidRDefault="007D6D6F" w:rsidP="007D6D6F">
            <w:pPr>
              <w:pStyle w:val="NoSpacing"/>
              <w:widowControl/>
              <w:rPr>
                <w:rFonts w:eastAsiaTheme="minorHAnsi"/>
                <w:bCs/>
                <w:sz w:val="20"/>
                <w:szCs w:val="20"/>
              </w:rPr>
            </w:pPr>
            <w:r w:rsidRPr="009F72C4">
              <w:rPr>
                <w:rFonts w:eastAsiaTheme="minorHAnsi"/>
                <w:bCs/>
                <w:sz w:val="20"/>
                <w:szCs w:val="20"/>
              </w:rPr>
              <w:t>(2) Šā panta pirmajā daļā minētos dokumentus Valsts ieņēmumu dienests ne vēlāk kā piecu darbdienu laikā elektroniski nodod Uzņēmumu reģistram. Uzņēmumu reģistrs nodrošina saņemto dokumentu publisku pieejamību. Dokumentus Uzņēmumu reģistram nodod tiešsaistes datu pārraides režīmā.</w:t>
            </w:r>
          </w:p>
          <w:p w14:paraId="136B856E" w14:textId="33907A30" w:rsidR="007D6D6F" w:rsidRPr="009F72C4" w:rsidRDefault="007D6D6F" w:rsidP="007D6D6F">
            <w:pPr>
              <w:spacing w:after="0" w:line="240" w:lineRule="auto"/>
              <w:jc w:val="both"/>
              <w:rPr>
                <w:rFonts w:ascii="Times New Roman" w:eastAsia="Times New Roman" w:hAnsi="Times New Roman" w:cs="Times New Roman"/>
                <w:sz w:val="20"/>
                <w:lang w:eastAsia="lv-LV"/>
              </w:rPr>
            </w:pPr>
            <w:r w:rsidRPr="009F72C4">
              <w:rPr>
                <w:rFonts w:ascii="Times New Roman" w:hAnsi="Times New Roman" w:cs="Times New Roman"/>
                <w:bCs/>
                <w:sz w:val="20"/>
                <w:szCs w:val="20"/>
              </w:rPr>
              <w:t xml:space="preserve">(3) Uzņēmumu reģistrs pēc šā panta otrajā daļā minēto dokumentu saņemšanas ne vēlāk kā piecu darbdienu laikā publicē oficiālajā izdevumā "Latvijas </w:t>
            </w:r>
            <w:r w:rsidRPr="009F72C4">
              <w:rPr>
                <w:rFonts w:ascii="Times New Roman" w:hAnsi="Times New Roman" w:cs="Times New Roman"/>
                <w:bCs/>
                <w:sz w:val="20"/>
                <w:szCs w:val="20"/>
              </w:rPr>
              <w:lastRenderedPageBreak/>
              <w:t>Vēstnesis" paziņojumu, ka šā panta pirmajā daļā minētā informācija pieejama Uzņēmumu reģistrā.</w:t>
            </w:r>
          </w:p>
        </w:tc>
        <w:tc>
          <w:tcPr>
            <w:tcW w:w="1309" w:type="pct"/>
            <w:tcBorders>
              <w:top w:val="single" w:sz="6" w:space="0" w:color="000000"/>
              <w:left w:val="single" w:sz="6" w:space="0" w:color="000000"/>
              <w:bottom w:val="single" w:sz="6" w:space="0" w:color="000000"/>
              <w:right w:val="single" w:sz="6" w:space="0" w:color="000000"/>
            </w:tcBorders>
          </w:tcPr>
          <w:p w14:paraId="0D39EB1C" w14:textId="77777777" w:rsidR="007D6D6F" w:rsidRDefault="007D6D6F" w:rsidP="007D6D6F">
            <w:pPr>
              <w:spacing w:after="0" w:line="240" w:lineRule="auto"/>
              <w:jc w:val="both"/>
              <w:rPr>
                <w:rFonts w:ascii="Times New Roman" w:hAnsi="Times New Roman" w:cs="Times New Roman"/>
                <w:sz w:val="20"/>
                <w:szCs w:val="20"/>
              </w:rPr>
            </w:pPr>
            <w:r w:rsidRPr="00AD52A2">
              <w:rPr>
                <w:rFonts w:ascii="Times New Roman" w:hAnsi="Times New Roman" w:cs="Times New Roman"/>
                <w:b/>
                <w:bCs/>
                <w:sz w:val="20"/>
                <w:szCs w:val="20"/>
              </w:rPr>
              <w:lastRenderedPageBreak/>
              <w:t>Iebildums.</w:t>
            </w:r>
            <w:r w:rsidRPr="00AD52A2">
              <w:rPr>
                <w:rFonts w:ascii="Times New Roman" w:hAnsi="Times New Roman" w:cs="Times New Roman"/>
                <w:sz w:val="20"/>
                <w:szCs w:val="20"/>
              </w:rPr>
              <w:t xml:space="preserve"> Norādām, ka vispārīgais regulējums par gada pārskatiem ir noteikts Gada pārskatu un konsolidēto gada pārskatu likumā, taču citos normatīvajos aktos ir iespējams noteikt speciālās normas, ja plānots paredzēt no vispārīgā regulējuma atšķirīgu kārtība. Tā kā likumprojekta 41. pants satur normas, kas dublē Gada pārskatu un konsolidēto gada pārskatu likuma regulējumu, aicinām precizēt likumprojekta 41. pantu, izslēdzot vispārīgo regulējumu dublējošās normas, jo sevišķi 41. panta otro un trešo daļu.</w:t>
            </w:r>
          </w:p>
          <w:p w14:paraId="6EDA47F8" w14:textId="77777777" w:rsidR="007D6D6F" w:rsidRDefault="007D6D6F" w:rsidP="007D6D6F">
            <w:pPr>
              <w:spacing w:after="0" w:line="240" w:lineRule="auto"/>
              <w:jc w:val="both"/>
              <w:rPr>
                <w:rFonts w:ascii="Times New Roman" w:hAnsi="Times New Roman" w:cs="Times New Roman"/>
                <w:sz w:val="20"/>
                <w:szCs w:val="20"/>
                <w:lang w:eastAsia="lv-LV"/>
              </w:rPr>
            </w:pPr>
          </w:p>
          <w:p w14:paraId="62338970" w14:textId="77777777" w:rsidR="007D6D6F" w:rsidRPr="00193E7D" w:rsidRDefault="007D6D6F" w:rsidP="007D6D6F">
            <w:pPr>
              <w:spacing w:after="0" w:line="240" w:lineRule="auto"/>
              <w:jc w:val="both"/>
              <w:rPr>
                <w:rFonts w:ascii="Times New Roman" w:hAnsi="Times New Roman" w:cs="Times New Roman"/>
                <w:b/>
                <w:bCs/>
                <w:sz w:val="20"/>
                <w:szCs w:val="20"/>
                <w:lang w:eastAsia="lv-LV"/>
              </w:rPr>
            </w:pPr>
            <w:r w:rsidRPr="00193E7D">
              <w:rPr>
                <w:rFonts w:ascii="Times New Roman" w:hAnsi="Times New Roman" w:cs="Times New Roman"/>
                <w:b/>
                <w:bCs/>
                <w:sz w:val="20"/>
                <w:szCs w:val="20"/>
                <w:lang w:eastAsia="lv-LV"/>
              </w:rPr>
              <w:t>Š.g. 11.maijā uzturētais iebildums.</w:t>
            </w:r>
          </w:p>
          <w:p w14:paraId="31654805" w14:textId="77777777" w:rsidR="007D6D6F" w:rsidRPr="00193E7D" w:rsidRDefault="007D6D6F" w:rsidP="007D6D6F">
            <w:pPr>
              <w:spacing w:after="0" w:line="240" w:lineRule="auto"/>
              <w:jc w:val="both"/>
              <w:rPr>
                <w:rFonts w:ascii="Times New Roman" w:hAnsi="Times New Roman" w:cs="Times New Roman"/>
                <w:bCs/>
                <w:sz w:val="20"/>
                <w:szCs w:val="20"/>
              </w:rPr>
            </w:pPr>
            <w:r w:rsidRPr="00193E7D">
              <w:rPr>
                <w:rFonts w:ascii="Times New Roman" w:hAnsi="Times New Roman" w:cs="Times New Roman"/>
                <w:bCs/>
                <w:sz w:val="20"/>
                <w:szCs w:val="20"/>
              </w:rPr>
              <w:t xml:space="preserve">Likumprojekta 42. panta trešajā daļā minēts, ka Uzņēmumu reģistrs pēc šā panta otrajā daļā minēto dokumentu saņemšanas ne vēlāk kā piecu darbdienu laikā publicē oficiālajā izdevumā "Latvijas Vēstnesis" paziņojumu, ka šā panta pirmajā daļā minētā informācija pieejama Uzņēmumu reģistrā. Informējam, ka šī gada 11. maijā Ministru kabinets skatīs likumprojektus “Grozījumi Komerclikumā” (TA-759) un “Grozījumi likumā “Par Latvijas Republikas Uzņēmumu reģistru”” (TA-762) ar kuriem tiek mainīta komercreģistra dokumentu izsludināšanas kārtība, paredzot, ka sabiedrības dokumenti, kas atrodas komersanta reģistrācijas lietas publiskajā daļā ar 2021. gada 1. augustu tiks publicēti </w:t>
            </w:r>
            <w:r w:rsidRPr="00193E7D">
              <w:rPr>
                <w:rFonts w:ascii="Times New Roman" w:hAnsi="Times New Roman" w:cs="Times New Roman"/>
                <w:bCs/>
                <w:sz w:val="20"/>
                <w:szCs w:val="20"/>
              </w:rPr>
              <w:lastRenderedPageBreak/>
              <w:t>Uzņēmumu reģistra tīmekļvietnē (</w:t>
            </w:r>
            <w:hyperlink r:id="rId14" w:tooltip="https://info.ur.gov.lv" w:history="1">
              <w:r w:rsidRPr="00193E7D">
                <w:rPr>
                  <w:bCs/>
                  <w:sz w:val="20"/>
                  <w:szCs w:val="20"/>
                </w:rPr>
                <w:t>https://info.ur.gov.lv</w:t>
              </w:r>
            </w:hyperlink>
            <w:r w:rsidRPr="00193E7D">
              <w:rPr>
                <w:rFonts w:ascii="Times New Roman" w:hAnsi="Times New Roman" w:cs="Times New Roman"/>
                <w:bCs/>
                <w:sz w:val="20"/>
                <w:szCs w:val="20"/>
              </w:rPr>
              <w:t xml:space="preserve">). Proti, sākot ar 2021. gada 1. augustu komercreģistrā pieejamo dokumentu publicēšana tiks nodrošināta Uzņēmumu reģistra tīmekļvietnē (nevis oficiālajā izdevumā "Latvijas Vēstnesis", kā tas ir bijis līdz šim). </w:t>
            </w:r>
          </w:p>
          <w:p w14:paraId="1EEA951F" w14:textId="1588C4CE" w:rsidR="007D6D6F" w:rsidRPr="009F72C4" w:rsidRDefault="007D6D6F" w:rsidP="007D6D6F">
            <w:pPr>
              <w:spacing w:after="0" w:line="240" w:lineRule="auto"/>
              <w:jc w:val="both"/>
              <w:rPr>
                <w:rFonts w:ascii="Times New Roman" w:eastAsia="Times New Roman" w:hAnsi="Times New Roman" w:cs="Times New Roman"/>
                <w:sz w:val="20"/>
                <w:szCs w:val="20"/>
                <w:lang w:eastAsia="lv-LV"/>
              </w:rPr>
            </w:pPr>
            <w:r w:rsidRPr="00193E7D">
              <w:rPr>
                <w:rFonts w:ascii="Times New Roman" w:hAnsi="Times New Roman" w:cs="Times New Roman"/>
                <w:bCs/>
                <w:sz w:val="20"/>
                <w:szCs w:val="20"/>
              </w:rPr>
              <w:t>Līdz ar to lūdzam precizēt likumprojekta 42. panta trešo daļu, izsakot to šādā redakcijā: “(3) Uzņēmumu reģistrs pēc šā panta otrajā daļā minēto dokumentu saņemšanas publicē tos Uzņēmumu reģistra tīmekļvietnē.”</w:t>
            </w:r>
          </w:p>
        </w:tc>
        <w:tc>
          <w:tcPr>
            <w:tcW w:w="848" w:type="pct"/>
            <w:gridSpan w:val="2"/>
            <w:tcBorders>
              <w:top w:val="single" w:sz="6" w:space="0" w:color="000000"/>
              <w:left w:val="single" w:sz="6" w:space="0" w:color="000000"/>
              <w:bottom w:val="single" w:sz="6" w:space="0" w:color="000000"/>
              <w:right w:val="single" w:sz="6" w:space="0" w:color="000000"/>
            </w:tcBorders>
          </w:tcPr>
          <w:p w14:paraId="286776AB" w14:textId="6703A656" w:rsidR="007D6D6F" w:rsidRPr="00AD52A2" w:rsidRDefault="00CF7AEF" w:rsidP="007D6D6F">
            <w:pPr>
              <w:spacing w:after="0" w:line="240" w:lineRule="auto"/>
              <w:jc w:val="both"/>
              <w:rPr>
                <w:rFonts w:ascii="Times New Roman" w:eastAsia="Times New Roman" w:hAnsi="Times New Roman" w:cs="Times New Roman"/>
                <w:sz w:val="20"/>
                <w:szCs w:val="20"/>
                <w:lang w:eastAsia="lv-LV"/>
              </w:rPr>
            </w:pPr>
            <w:r w:rsidRPr="00CF7AEF">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Pr>
                <w:rFonts w:ascii="Times New Roman" w:eastAsia="Times New Roman" w:hAnsi="Times New Roman" w:cs="Times New Roman"/>
                <w:sz w:val="20"/>
                <w:szCs w:val="20"/>
                <w:lang w:eastAsia="lv-LV"/>
              </w:rPr>
              <w:t>Vēršam uzmanību, ka Gada pārskata un konsolidēto gada pārskatu likums neattiecas uz ieguldījumu brokeru sabiedrībām, kā tas ir noteikt 3.panta ceturtajā daļā, proti, “</w:t>
            </w:r>
            <w:r w:rsidR="007D6D6F" w:rsidRPr="002A1B3B">
              <w:rPr>
                <w:rFonts w:ascii="Times New Roman" w:eastAsia="Times New Roman" w:hAnsi="Times New Roman" w:cs="Times New Roman"/>
                <w:i/>
                <w:iCs/>
                <w:sz w:val="20"/>
                <w:szCs w:val="20"/>
                <w:lang w:eastAsia="lv-LV"/>
              </w:rPr>
              <w:t>Šis likums neattiecas uz</w:t>
            </w:r>
            <w:r w:rsidR="007D6D6F" w:rsidRPr="00001C45">
              <w:rPr>
                <w:rFonts w:ascii="Times New Roman" w:eastAsia="Times New Roman" w:hAnsi="Times New Roman" w:cs="Times New Roman"/>
                <w:i/>
                <w:iCs/>
                <w:sz w:val="20"/>
                <w:szCs w:val="20"/>
                <w:lang w:eastAsia="lv-LV"/>
              </w:rPr>
              <w:t xml:space="preserve"> kredītiestādēm, </w:t>
            </w:r>
            <w:proofErr w:type="spellStart"/>
            <w:r w:rsidR="007D6D6F" w:rsidRPr="00001C45">
              <w:rPr>
                <w:rFonts w:ascii="Times New Roman" w:eastAsia="Times New Roman" w:hAnsi="Times New Roman" w:cs="Times New Roman"/>
                <w:i/>
                <w:iCs/>
                <w:sz w:val="20"/>
                <w:szCs w:val="20"/>
                <w:lang w:eastAsia="lv-LV"/>
              </w:rPr>
              <w:t>krājaizdevu</w:t>
            </w:r>
            <w:proofErr w:type="spellEnd"/>
            <w:r w:rsidR="007D6D6F" w:rsidRPr="00001C45">
              <w:rPr>
                <w:rFonts w:ascii="Times New Roman" w:eastAsia="Times New Roman" w:hAnsi="Times New Roman" w:cs="Times New Roman"/>
                <w:i/>
                <w:iCs/>
                <w:sz w:val="20"/>
                <w:szCs w:val="20"/>
                <w:lang w:eastAsia="lv-LV"/>
              </w:rPr>
              <w:t xml:space="preserve"> sabiedrībām, apdrošināšanas sabiedrībām, pārapdrošināšanas sabiedrībām, privātajiem pensiju fondiem, </w:t>
            </w:r>
            <w:r w:rsidR="007D6D6F" w:rsidRPr="002A1B3B">
              <w:rPr>
                <w:rFonts w:ascii="Times New Roman" w:eastAsia="Times New Roman" w:hAnsi="Times New Roman" w:cs="Times New Roman"/>
                <w:i/>
                <w:iCs/>
                <w:sz w:val="20"/>
                <w:szCs w:val="20"/>
                <w:lang w:eastAsia="lv-LV"/>
              </w:rPr>
              <w:t>ieguldījumu brokeru sabiedrībām</w:t>
            </w:r>
            <w:r w:rsidR="007D6D6F" w:rsidRPr="00001C45">
              <w:rPr>
                <w:rFonts w:ascii="Times New Roman" w:eastAsia="Times New Roman" w:hAnsi="Times New Roman" w:cs="Times New Roman"/>
                <w:i/>
                <w:iCs/>
                <w:sz w:val="20"/>
                <w:szCs w:val="20"/>
                <w:lang w:eastAsia="lv-LV"/>
              </w:rPr>
              <w:t>, ieguldījumu pārvaldes sabiedrībām, kā arī alternatīvo ieguldījumu fondiem, kuri dibināti kā komercsabiedrības</w:t>
            </w:r>
            <w:r w:rsidR="007D6D6F">
              <w:rPr>
                <w:rFonts w:ascii="Times New Roman" w:eastAsia="Times New Roman" w:hAnsi="Times New Roman" w:cs="Times New Roman"/>
                <w:sz w:val="20"/>
                <w:szCs w:val="20"/>
                <w:lang w:eastAsia="lv-LV"/>
              </w:rPr>
              <w:t>.”. Līdz ar to likumprojekta 42.pants nedublē Gada pārskatu un konsolidēto gada pārskatu likuma normas.</w:t>
            </w:r>
          </w:p>
        </w:tc>
        <w:tc>
          <w:tcPr>
            <w:tcW w:w="936" w:type="pct"/>
            <w:tcBorders>
              <w:top w:val="single" w:sz="4" w:space="0" w:color="auto"/>
              <w:left w:val="single" w:sz="4" w:space="0" w:color="auto"/>
              <w:bottom w:val="single" w:sz="4" w:space="0" w:color="auto"/>
              <w:right w:val="single" w:sz="4" w:space="0" w:color="auto"/>
            </w:tcBorders>
          </w:tcPr>
          <w:p w14:paraId="05AF2D17" w14:textId="77777777" w:rsidR="007D6D6F" w:rsidRPr="00484E46" w:rsidRDefault="007D6D6F" w:rsidP="007D6D6F">
            <w:pPr>
              <w:spacing w:after="0" w:line="240" w:lineRule="auto"/>
              <w:jc w:val="both"/>
              <w:rPr>
                <w:rFonts w:ascii="Times New Roman" w:hAnsi="Times New Roman" w:cs="Times New Roman"/>
                <w:b/>
                <w:bCs/>
                <w:sz w:val="20"/>
                <w:szCs w:val="20"/>
              </w:rPr>
            </w:pPr>
            <w:r w:rsidRPr="00484E46">
              <w:rPr>
                <w:rFonts w:ascii="Times New Roman" w:hAnsi="Times New Roman" w:cs="Times New Roman"/>
                <w:b/>
                <w:bCs/>
                <w:sz w:val="20"/>
                <w:szCs w:val="20"/>
              </w:rPr>
              <w:t>42. pants. Ieguldījumu brokeru sabiedrību gada pārskata iesniegšana un publiskošana</w:t>
            </w:r>
          </w:p>
          <w:p w14:paraId="24403EA3" w14:textId="41781506" w:rsidR="007D6D6F" w:rsidRPr="00484E46" w:rsidRDefault="007D6D6F" w:rsidP="007D6D6F">
            <w:pPr>
              <w:spacing w:after="0" w:line="240" w:lineRule="auto"/>
              <w:jc w:val="both"/>
            </w:pPr>
            <w:r w:rsidRPr="00484E46">
              <w:rPr>
                <w:rFonts w:ascii="Times New Roman" w:hAnsi="Times New Roman" w:cs="Times New Roman"/>
                <w:sz w:val="20"/>
                <w:szCs w:val="20"/>
                <w:u w:val="single"/>
              </w:rPr>
              <w:t xml:space="preserve">(3) </w:t>
            </w:r>
            <w:r w:rsidRPr="00193E7D">
              <w:rPr>
                <w:rFonts w:ascii="Times New Roman" w:hAnsi="Times New Roman" w:cs="Times New Roman"/>
                <w:sz w:val="20"/>
                <w:szCs w:val="20"/>
                <w:u w:val="single"/>
              </w:rPr>
              <w:t>Uzņēmumu reģistrs pēc šā panta otrajā daļā minēto dokumentu saņemšanas publicē tos Uzņēmumu reģistra tīmekļvietnē.</w:t>
            </w:r>
          </w:p>
        </w:tc>
      </w:tr>
      <w:tr w:rsidR="00C528FE" w:rsidRPr="00184920" w14:paraId="05FC594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2C5CC79E" w14:textId="25F726A0" w:rsidR="00C528FE" w:rsidRDefault="00C528FE"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26.</w:t>
            </w:r>
          </w:p>
        </w:tc>
        <w:tc>
          <w:tcPr>
            <w:tcW w:w="692" w:type="pct"/>
            <w:tcBorders>
              <w:top w:val="single" w:sz="6" w:space="0" w:color="000000"/>
              <w:left w:val="single" w:sz="6" w:space="0" w:color="000000"/>
              <w:bottom w:val="single" w:sz="6" w:space="0" w:color="000000"/>
              <w:right w:val="single" w:sz="6" w:space="0" w:color="000000"/>
            </w:tcBorders>
          </w:tcPr>
          <w:p w14:paraId="23033013" w14:textId="77777777" w:rsidR="009C2E75" w:rsidRPr="009F72C4" w:rsidRDefault="009C2E75" w:rsidP="009C2E75">
            <w:pPr>
              <w:pStyle w:val="NoSpacing"/>
              <w:widowControl/>
              <w:rPr>
                <w:rFonts w:eastAsiaTheme="minorHAnsi"/>
                <w:b/>
                <w:bCs/>
                <w:sz w:val="20"/>
                <w:szCs w:val="20"/>
              </w:rPr>
            </w:pPr>
            <w:r w:rsidRPr="009F72C4">
              <w:rPr>
                <w:rFonts w:eastAsiaTheme="minorHAnsi"/>
                <w:b/>
                <w:bCs/>
                <w:sz w:val="20"/>
                <w:szCs w:val="20"/>
              </w:rPr>
              <w:t>44. pants. Izmeklēšanas pilnvaras</w:t>
            </w:r>
          </w:p>
          <w:p w14:paraId="4C581780" w14:textId="77777777" w:rsidR="009C2E75" w:rsidRPr="009F72C4" w:rsidRDefault="009C2E75" w:rsidP="009C2E75">
            <w:pPr>
              <w:pStyle w:val="NoSpacing"/>
              <w:widowControl/>
              <w:rPr>
                <w:rFonts w:eastAsiaTheme="minorHAnsi"/>
                <w:bCs/>
                <w:sz w:val="20"/>
                <w:szCs w:val="20"/>
              </w:rPr>
            </w:pPr>
            <w:r w:rsidRPr="009F72C4">
              <w:rPr>
                <w:rFonts w:eastAsiaTheme="minorHAnsi"/>
                <w:bCs/>
                <w:sz w:val="20"/>
                <w:szCs w:val="20"/>
              </w:rPr>
              <w:t xml:space="preserve">(1) Komisijai, pārraugot šā likuma un Regulas Nr. 2019/2033 prasību izpildi, ir visas informācijas vākšanas un izmeklēšanas pilnvaras attiecībā uz ieguldījumu brokeru sabiedrībām, ārvalstu ieguldījumu brokeru sabiedrību filiālēm, ieguldījumu </w:t>
            </w:r>
            <w:proofErr w:type="spellStart"/>
            <w:r w:rsidRPr="009F72C4">
              <w:rPr>
                <w:rFonts w:eastAsiaTheme="minorHAnsi"/>
                <w:bCs/>
                <w:sz w:val="20"/>
                <w:szCs w:val="20"/>
              </w:rPr>
              <w:t>pārvaldītājsabiedrībām</w:t>
            </w:r>
            <w:proofErr w:type="spellEnd"/>
            <w:r w:rsidRPr="009F72C4">
              <w:rPr>
                <w:rFonts w:eastAsiaTheme="minorHAnsi"/>
                <w:bCs/>
                <w:sz w:val="20"/>
                <w:szCs w:val="20"/>
              </w:rPr>
              <w:t xml:space="preserve">, jauktām finanšu </w:t>
            </w:r>
            <w:proofErr w:type="spellStart"/>
            <w:r w:rsidRPr="009F72C4">
              <w:rPr>
                <w:rFonts w:eastAsiaTheme="minorHAnsi"/>
                <w:bCs/>
                <w:sz w:val="20"/>
                <w:szCs w:val="20"/>
              </w:rPr>
              <w:t>pārvaldītājsabiedrībām</w:t>
            </w:r>
            <w:proofErr w:type="spellEnd"/>
            <w:r w:rsidRPr="009F72C4">
              <w:rPr>
                <w:rFonts w:eastAsiaTheme="minorHAnsi"/>
                <w:bCs/>
                <w:sz w:val="20"/>
                <w:szCs w:val="20"/>
              </w:rPr>
              <w:t xml:space="preserve">, jauktām </w:t>
            </w:r>
            <w:proofErr w:type="spellStart"/>
            <w:r w:rsidRPr="009F72C4">
              <w:rPr>
                <w:rFonts w:eastAsiaTheme="minorHAnsi"/>
                <w:bCs/>
                <w:sz w:val="20"/>
                <w:szCs w:val="20"/>
              </w:rPr>
              <w:t>pārvaldītājsabiedrībām</w:t>
            </w:r>
            <w:proofErr w:type="spellEnd"/>
            <w:r w:rsidRPr="009F72C4">
              <w:rPr>
                <w:rFonts w:eastAsiaTheme="minorHAnsi"/>
                <w:bCs/>
                <w:sz w:val="20"/>
                <w:szCs w:val="20"/>
              </w:rPr>
              <w:t>, personām, kas pieder pie minētajām sabiedrībām, trešajām personām, ar ko minētās sabiedrības ir noslēgušas ārpakalpojumu līgumus par operacionālajām funkcijām vai darbībām.</w:t>
            </w:r>
          </w:p>
          <w:p w14:paraId="6A8A7818" w14:textId="77777777" w:rsidR="009C2E75" w:rsidRPr="009F72C4" w:rsidRDefault="009C2E75" w:rsidP="009C2E75">
            <w:pPr>
              <w:pStyle w:val="NoSpacing"/>
              <w:widowControl/>
              <w:rPr>
                <w:rFonts w:eastAsiaTheme="minorHAnsi"/>
                <w:bCs/>
                <w:sz w:val="20"/>
                <w:szCs w:val="20"/>
              </w:rPr>
            </w:pPr>
            <w:r w:rsidRPr="009F72C4">
              <w:rPr>
                <w:rFonts w:eastAsiaTheme="minorHAnsi"/>
                <w:bCs/>
                <w:sz w:val="20"/>
                <w:szCs w:val="20"/>
              </w:rPr>
              <w:t xml:space="preserve">(2) Komisijai vai tās pilnvarotai personai ir tiesības pieprasīt no šā panta pirmajā daļā minētajām personām Komisijas funkciju veikšanai nepieciešamo informāciju, iepazīties ar šā panta pirmajā daļā minēto </w:t>
            </w:r>
            <w:r w:rsidRPr="009F72C4">
              <w:rPr>
                <w:rFonts w:eastAsiaTheme="minorHAnsi"/>
                <w:bCs/>
                <w:sz w:val="20"/>
                <w:szCs w:val="20"/>
              </w:rPr>
              <w:lastRenderedPageBreak/>
              <w:t>personu dokumentāciju, pārbaudīt grāmatvedības datus un reģistrus un saņemt to izrakstus vai kopijas, saņemt no šā panta pirmajā daļā minētajām personām vai to pārstāvjiem vai darbiniekiem paskaidrojumus, informāciju par komercsabiedrībām, kurās konsolidācijas grupai ir ieguldījumi, vai iztaujāt ikvienu citu personu, kas tam piekritusi, lai iegūtu informāciju par pārbaudāmo subjektu.</w:t>
            </w:r>
          </w:p>
          <w:p w14:paraId="5D2E0E74" w14:textId="77777777" w:rsidR="009C2E75" w:rsidRPr="009F72C4" w:rsidRDefault="009C2E75" w:rsidP="009C2E75">
            <w:pPr>
              <w:pStyle w:val="NoSpacing"/>
              <w:widowControl/>
              <w:rPr>
                <w:rFonts w:eastAsiaTheme="minorHAnsi"/>
                <w:bCs/>
                <w:sz w:val="20"/>
                <w:szCs w:val="20"/>
                <w:u w:val="single"/>
              </w:rPr>
            </w:pPr>
            <w:r w:rsidRPr="009F72C4">
              <w:rPr>
                <w:rFonts w:eastAsiaTheme="minorHAnsi"/>
                <w:bCs/>
                <w:sz w:val="20"/>
                <w:szCs w:val="20"/>
              </w:rPr>
              <w:t xml:space="preserve">(3) </w:t>
            </w:r>
            <w:r w:rsidRPr="009F72C4">
              <w:rPr>
                <w:rFonts w:eastAsiaTheme="minorHAnsi"/>
                <w:bCs/>
                <w:sz w:val="20"/>
                <w:szCs w:val="20"/>
                <w:u w:val="single"/>
              </w:rPr>
              <w:t>Papildus šā panta otrajā daļā minētajām tiesībām Komisijai ir pilnvaras veikt visas nepieciešamās inspekcijas šā panta pirmajā daļā minēto personu un citu uzņēmumu, kuriem tiek uzraudzīta atbilstība grupas kapitāla kritērijam, ja Komisija ir grupas uzraudzības iestāde, iepriekš informējot citas attiecīgās kompetentās iestādes, telpās.</w:t>
            </w:r>
          </w:p>
          <w:p w14:paraId="7E62D4DB" w14:textId="4AED5AE5" w:rsidR="00C528FE" w:rsidRPr="009F72C4" w:rsidRDefault="009C2E75" w:rsidP="009C2E75">
            <w:pPr>
              <w:pStyle w:val="NoSpacing"/>
              <w:widowControl/>
              <w:rPr>
                <w:rFonts w:eastAsiaTheme="minorHAnsi"/>
                <w:sz w:val="20"/>
                <w:szCs w:val="20"/>
              </w:rPr>
            </w:pPr>
            <w:r w:rsidRPr="009F72C4">
              <w:rPr>
                <w:bCs/>
                <w:sz w:val="20"/>
                <w:szCs w:val="20"/>
              </w:rPr>
              <w:t>(4)  Šajā pantā minēto informāciju un dokumentus iesniedz Komisijas noteiktajos termiņos. Minēto prasību izpildi nedrīkst atteikt, tai skaitā aizbildinoties ar komercnoslēpumu.</w:t>
            </w:r>
          </w:p>
        </w:tc>
        <w:tc>
          <w:tcPr>
            <w:tcW w:w="1309" w:type="pct"/>
            <w:tcBorders>
              <w:top w:val="single" w:sz="6" w:space="0" w:color="000000"/>
              <w:left w:val="single" w:sz="6" w:space="0" w:color="000000"/>
              <w:bottom w:val="single" w:sz="6" w:space="0" w:color="000000"/>
              <w:right w:val="single" w:sz="6" w:space="0" w:color="000000"/>
            </w:tcBorders>
          </w:tcPr>
          <w:p w14:paraId="21A84C24" w14:textId="77777777" w:rsidR="009C2E75" w:rsidRPr="009F72C4" w:rsidRDefault="009C2E75" w:rsidP="009C2E75">
            <w:pPr>
              <w:pStyle w:val="NoSpacing"/>
              <w:rPr>
                <w:sz w:val="20"/>
                <w:szCs w:val="20"/>
              </w:rPr>
            </w:pPr>
            <w:r w:rsidRPr="009F72C4">
              <w:rPr>
                <w:b/>
                <w:bCs/>
                <w:sz w:val="20"/>
                <w:szCs w:val="20"/>
              </w:rPr>
              <w:lastRenderedPageBreak/>
              <w:t>Iebildums.</w:t>
            </w:r>
            <w:r w:rsidRPr="009F72C4">
              <w:rPr>
                <w:sz w:val="20"/>
                <w:szCs w:val="20"/>
              </w:rPr>
              <w:t xml:space="preserve"> Likumprojekta 43. pantā tiek regulētas izmeklēšanas pilnvaras. Vēršam uzmanību, ka administratīvajā procesā nepastāv izmeklēšanas pilnvaras, kādas ir noteiktas administratīvās atbildības procesā vai kriminālprocesā. Nav skaidrs, kas likumprojektā ir domāts ar "</w:t>
            </w:r>
            <w:r w:rsidRPr="009F72C4">
              <w:rPr>
                <w:i/>
                <w:iCs/>
                <w:sz w:val="20"/>
                <w:szCs w:val="20"/>
              </w:rPr>
              <w:t>izmeklēšanas pilnvarām</w:t>
            </w:r>
            <w:r w:rsidRPr="009F72C4">
              <w:rPr>
                <w:sz w:val="20"/>
                <w:szCs w:val="20"/>
              </w:rPr>
              <w:t xml:space="preserve">". Šādas procesuālās darbības regulējošai likuma vienībai jābūt pieejamai, pietiekami precīzai un paredzamai tās piemērošanā, lai izvairītos no jebkāda patvaļības riska </w:t>
            </w:r>
            <w:r w:rsidRPr="009F72C4">
              <w:rPr>
                <w:i/>
                <w:iCs/>
                <w:sz w:val="20"/>
                <w:szCs w:val="20"/>
              </w:rPr>
              <w:t>(sk. Eiropas Cilvēktiesību tiesas 2017. gada 18. maija spriedumu lietā Bože pret Latviju (pieteikuma Nr. 40927/05), 74. §)</w:t>
            </w:r>
            <w:r w:rsidRPr="009F72C4">
              <w:rPr>
                <w:sz w:val="20"/>
                <w:szCs w:val="20"/>
              </w:rPr>
              <w:t>. Latvijas tiesību sistēmā šiem jēdzieniem nav vienotas un precīzi norobežotas izpratnes. Ievērojot minēto, lūdzam precizēt likumprojektu vai ietvert skaidrojumu likumprojekta anotācijā.</w:t>
            </w:r>
          </w:p>
          <w:p w14:paraId="3BEAA8D0" w14:textId="0A71CF3B" w:rsidR="009C2E75" w:rsidRPr="009C2E75" w:rsidRDefault="009C2E75" w:rsidP="009C2E75">
            <w:pPr>
              <w:spacing w:after="0" w:line="240" w:lineRule="auto"/>
              <w:jc w:val="both"/>
              <w:rPr>
                <w:rFonts w:ascii="Times New Roman" w:hAnsi="Times New Roman" w:cs="Times New Roman"/>
                <w:sz w:val="20"/>
                <w:szCs w:val="20"/>
              </w:rPr>
            </w:pPr>
            <w:r w:rsidRPr="009F72C4">
              <w:rPr>
                <w:rFonts w:ascii="Times New Roman" w:hAnsi="Times New Roman" w:cs="Times New Roman"/>
                <w:sz w:val="20"/>
                <w:szCs w:val="20"/>
              </w:rPr>
              <w:t xml:space="preserve">Papildus vēršam uzmanību, ka likumprojekta 43. panta trešajā daļā ietvertās Komisijas tiesības iekļūt privātīpašumā ir būtisks tiesību ierobežojums, kas pieļaujams tikai atsevišķos, īpaši pamatotos un ar likumu noteiktos gadījumos </w:t>
            </w:r>
            <w:r w:rsidRPr="009F72C4">
              <w:rPr>
                <w:rFonts w:ascii="Times New Roman" w:hAnsi="Times New Roman" w:cs="Times New Roman"/>
                <w:i/>
                <w:iCs/>
                <w:sz w:val="20"/>
                <w:szCs w:val="20"/>
              </w:rPr>
              <w:t>(sk., piemēram, Administratīvās atbildības likuma 110. panta otro daļu)</w:t>
            </w:r>
            <w:r w:rsidRPr="009F72C4">
              <w:rPr>
                <w:rFonts w:ascii="Times New Roman" w:hAnsi="Times New Roman" w:cs="Times New Roman"/>
                <w:sz w:val="20"/>
                <w:szCs w:val="20"/>
              </w:rPr>
              <w:t>. Ievērojot minēto, lūdzam izvērtēt likumprojektā ietverto regulējumu, precizēt to un nepieciešamības</w:t>
            </w:r>
            <w:r>
              <w:rPr>
                <w:rFonts w:ascii="Times New Roman" w:hAnsi="Times New Roman" w:cs="Times New Roman"/>
                <w:sz w:val="20"/>
                <w:szCs w:val="20"/>
              </w:rPr>
              <w:t xml:space="preserve"> </w:t>
            </w:r>
            <w:r w:rsidRPr="009F72C4">
              <w:rPr>
                <w:rFonts w:ascii="Times New Roman" w:hAnsi="Times New Roman" w:cs="Times New Roman"/>
                <w:sz w:val="20"/>
                <w:szCs w:val="20"/>
              </w:rPr>
              <w:t>gadījumā papildināt anotāciju ar atbilstošu pamatojumu.</w:t>
            </w:r>
          </w:p>
          <w:p w14:paraId="345AFD85" w14:textId="77777777" w:rsidR="009C2E75" w:rsidRDefault="009C2E75" w:rsidP="009C2E75">
            <w:pPr>
              <w:spacing w:after="0" w:line="240" w:lineRule="auto"/>
              <w:jc w:val="both"/>
              <w:rPr>
                <w:rFonts w:ascii="Times New Roman" w:eastAsia="Times New Roman" w:hAnsi="Times New Roman" w:cs="Times New Roman"/>
                <w:b/>
                <w:bCs/>
                <w:sz w:val="20"/>
              </w:rPr>
            </w:pPr>
            <w:r>
              <w:rPr>
                <w:rFonts w:ascii="Times New Roman" w:eastAsia="Times New Roman" w:hAnsi="Times New Roman" w:cs="Times New Roman"/>
                <w:b/>
                <w:bCs/>
                <w:sz w:val="20"/>
              </w:rPr>
              <w:t>Š.g. 11.maijā uzturētais iebildums.</w:t>
            </w:r>
          </w:p>
          <w:p w14:paraId="21BC9582" w14:textId="77777777" w:rsidR="009C2E75" w:rsidRPr="004E2290" w:rsidRDefault="009C2E75" w:rsidP="009C2E75">
            <w:pPr>
              <w:jc w:val="both"/>
              <w:rPr>
                <w:rFonts w:ascii="Times New Roman" w:hAnsi="Times New Roman" w:cs="Times New Roman"/>
                <w:sz w:val="20"/>
                <w:szCs w:val="20"/>
              </w:rPr>
            </w:pPr>
            <w:r w:rsidRPr="004E2290">
              <w:rPr>
                <w:rFonts w:ascii="Times New Roman" w:hAnsi="Times New Roman" w:cs="Times New Roman"/>
                <w:sz w:val="20"/>
                <w:szCs w:val="20"/>
              </w:rPr>
              <w:t xml:space="preserve">Tieslietu ministrija uztur iebildumu par likumprojekta 44. pantu, jo iebildums pēc būtības nav ņemts vērā. Atkārtoti vēršam uzmanību, ka administratīvajā procesā nepastāv izmeklēšanas pilnvaras, kādas ir noteiktas administratīvās atbildības procesā vai kriminālprocesā. Lai neradītu maldinošu un Latvijas tiesību sistēmai neatbilstošu </w:t>
            </w:r>
            <w:r w:rsidRPr="004E2290">
              <w:rPr>
                <w:rFonts w:ascii="Times New Roman" w:hAnsi="Times New Roman" w:cs="Times New Roman"/>
                <w:sz w:val="20"/>
                <w:szCs w:val="20"/>
              </w:rPr>
              <w:lastRenderedPageBreak/>
              <w:t>regulējumu, lūdzam precizēt likumprojekta 44. panta nosaukumu. Proti, no normā ietvertā regulējuma var secināt, ka tajā ietvertās "izmeklēšanas pilnvaras" pēc būtības atbilst valsts pārvaldes iestādes vispārējām funkcijām, tostarp informācijas vākšanai un uzraudzībai, tāpēc lūdzam neizmantot panta nosaukumā terminu "izmeklēšanas", kas neatbilst nacionālajam administratīvā procesa regulējumam.</w:t>
            </w:r>
          </w:p>
          <w:p w14:paraId="004154AD" w14:textId="77777777" w:rsidR="009C2E75" w:rsidRPr="004E2290" w:rsidRDefault="009C2E75" w:rsidP="009C2E75">
            <w:pPr>
              <w:jc w:val="both"/>
              <w:rPr>
                <w:rFonts w:ascii="Times New Roman" w:hAnsi="Times New Roman" w:cs="Times New Roman"/>
                <w:sz w:val="20"/>
                <w:szCs w:val="20"/>
              </w:rPr>
            </w:pPr>
            <w:r w:rsidRPr="004E2290">
              <w:rPr>
                <w:rFonts w:ascii="Times New Roman" w:hAnsi="Times New Roman" w:cs="Times New Roman"/>
                <w:sz w:val="20"/>
                <w:szCs w:val="20"/>
              </w:rPr>
              <w:t>Vienlaikus atkārtoti vēršam uzmanību, ka likumprojekta</w:t>
            </w:r>
            <w:r>
              <w:rPr>
                <w:rFonts w:ascii="Times New Roman" w:hAnsi="Times New Roman" w:cs="Times New Roman"/>
                <w:sz w:val="20"/>
                <w:szCs w:val="20"/>
              </w:rPr>
              <w:t xml:space="preserve"> </w:t>
            </w:r>
            <w:r w:rsidRPr="004E2290">
              <w:rPr>
                <w:rFonts w:ascii="Times New Roman" w:hAnsi="Times New Roman" w:cs="Times New Roman"/>
                <w:sz w:val="20"/>
                <w:szCs w:val="20"/>
              </w:rPr>
              <w:t xml:space="preserve">43. panta trešajā daļā ietvertās Komisijas tiesības iekļūt privātīpašumā ir būtisks tiesību ierobežojums, kas pieļaujams tikai atsevišķos, īpaši pamatotos un ar likumu noteiktos gadījumos (sk., piemēram, Administratīvās atbildības likuma 110. panta otro daļu). Ievērojot minēto, lūdzam izvērtēt likumprojektā ietverto regulējumu, precizēt to un nepieciešamības gadījumā papildināt anotāciju ar atbilstošu pamatojumu. Vēršam uzmanību, ka regulējums nav precizēts, kā arī anotācija nav papildināta ar pamatojumu. Ievērojot minēto, atkārtoti lūdzam izvērtēt likumprojektā ietverto regulējumu, un, ja tajā ietvertais </w:t>
            </w:r>
            <w:proofErr w:type="spellStart"/>
            <w:r w:rsidRPr="004E2290">
              <w:rPr>
                <w:rFonts w:ascii="Times New Roman" w:hAnsi="Times New Roman" w:cs="Times New Roman"/>
                <w:sz w:val="20"/>
                <w:szCs w:val="20"/>
              </w:rPr>
              <w:t>pamattiesību</w:t>
            </w:r>
            <w:proofErr w:type="spellEnd"/>
            <w:r w:rsidRPr="004E2290">
              <w:rPr>
                <w:rFonts w:ascii="Times New Roman" w:hAnsi="Times New Roman" w:cs="Times New Roman"/>
                <w:sz w:val="20"/>
                <w:szCs w:val="20"/>
              </w:rPr>
              <w:t xml:space="preserve"> ierobežojums tiek saglabāts, lūdzam papildināt anotāciju ar atbilstošu pamatojumu.</w:t>
            </w:r>
          </w:p>
          <w:p w14:paraId="308CDB4F" w14:textId="655A20BA" w:rsidR="009C2E75" w:rsidRPr="00AD52A2" w:rsidRDefault="009C2E75" w:rsidP="009C2E75">
            <w:pPr>
              <w:spacing w:after="0" w:line="240" w:lineRule="auto"/>
              <w:jc w:val="both"/>
              <w:rPr>
                <w:rFonts w:ascii="Times New Roman" w:hAnsi="Times New Roman" w:cs="Times New Roman"/>
                <w:b/>
                <w:bCs/>
                <w:sz w:val="20"/>
                <w:szCs w:val="20"/>
              </w:rPr>
            </w:pPr>
          </w:p>
        </w:tc>
        <w:tc>
          <w:tcPr>
            <w:tcW w:w="848" w:type="pct"/>
            <w:gridSpan w:val="2"/>
            <w:tcBorders>
              <w:top w:val="single" w:sz="6" w:space="0" w:color="000000"/>
              <w:left w:val="single" w:sz="6" w:space="0" w:color="000000"/>
              <w:bottom w:val="single" w:sz="6" w:space="0" w:color="000000"/>
              <w:right w:val="single" w:sz="6" w:space="0" w:color="000000"/>
            </w:tcBorders>
          </w:tcPr>
          <w:p w14:paraId="3A72FC15" w14:textId="77255076" w:rsidR="009C2E75" w:rsidRPr="00C66B75" w:rsidRDefault="0043049F" w:rsidP="009C2E75">
            <w:pPr>
              <w:spacing w:after="0" w:line="240" w:lineRule="auto"/>
              <w:jc w:val="both"/>
              <w:rPr>
                <w:sz w:val="20"/>
                <w:szCs w:val="20"/>
              </w:rPr>
            </w:pPr>
            <w:r w:rsidRPr="0043049F">
              <w:rPr>
                <w:rFonts w:ascii="Times New Roman" w:hAnsi="Times New Roman" w:cs="Times New Roman"/>
                <w:b/>
                <w:bCs/>
                <w:sz w:val="20"/>
                <w:szCs w:val="20"/>
              </w:rPr>
              <w:lastRenderedPageBreak/>
              <w:t>Panākta vienošanās elektroniskajā saskaņošanā.</w:t>
            </w:r>
            <w:r w:rsidRPr="0085739E">
              <w:rPr>
                <w:sz w:val="20"/>
                <w:szCs w:val="20"/>
              </w:rPr>
              <w:t xml:space="preserve"> </w:t>
            </w:r>
            <w:r w:rsidR="009C2E75" w:rsidRPr="00C66B75">
              <w:rPr>
                <w:rFonts w:ascii="Times New Roman" w:hAnsi="Times New Roman" w:cs="Times New Roman"/>
                <w:sz w:val="20"/>
                <w:szCs w:val="20"/>
              </w:rPr>
              <w:t>Likumprojekta 44.panta nosaukums un pirmā daļa attiecīgi precizēta.</w:t>
            </w:r>
          </w:p>
          <w:p w14:paraId="26C62205" w14:textId="77777777" w:rsidR="00C528FE" w:rsidRDefault="00C528FE" w:rsidP="007D6D6F">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03BE1649" w14:textId="77777777" w:rsidR="009C2E75" w:rsidRPr="00A92C3C" w:rsidRDefault="009C2E75" w:rsidP="009C2E75">
            <w:pPr>
              <w:jc w:val="both"/>
              <w:rPr>
                <w:rFonts w:ascii="Times New Roman" w:hAnsi="Times New Roman" w:cs="Times New Roman"/>
                <w:b/>
                <w:bCs/>
                <w:sz w:val="20"/>
                <w:szCs w:val="20"/>
                <w:u w:val="single"/>
              </w:rPr>
            </w:pPr>
            <w:r w:rsidRPr="00A92C3C">
              <w:rPr>
                <w:rFonts w:ascii="Times New Roman" w:hAnsi="Times New Roman" w:cs="Times New Roman"/>
                <w:b/>
                <w:bCs/>
                <w:sz w:val="20"/>
                <w:szCs w:val="20"/>
                <w:u w:val="single"/>
              </w:rPr>
              <w:t>44. pants. Komisijas pilnvaras informācijas iegūšanai un izpētei</w:t>
            </w:r>
          </w:p>
          <w:p w14:paraId="2E69B28E" w14:textId="77777777" w:rsidR="009C2E75" w:rsidRPr="00A92C3C" w:rsidRDefault="009C2E75" w:rsidP="009C2E75">
            <w:pPr>
              <w:jc w:val="both"/>
              <w:rPr>
                <w:rFonts w:ascii="Times New Roman" w:hAnsi="Times New Roman" w:cs="Times New Roman"/>
                <w:sz w:val="20"/>
                <w:szCs w:val="20"/>
              </w:rPr>
            </w:pPr>
            <w:r w:rsidRPr="00A92C3C">
              <w:rPr>
                <w:rFonts w:ascii="Times New Roman" w:hAnsi="Times New Roman" w:cs="Times New Roman"/>
                <w:sz w:val="20"/>
                <w:szCs w:val="20"/>
              </w:rPr>
              <w:t xml:space="preserve">(1) Komisijai, pārraugot šā likuma un Regulas Nr. 2019/2033 prasību izpildi, ir visas informācijas </w:t>
            </w:r>
            <w:r w:rsidRPr="00A92C3C">
              <w:rPr>
                <w:rFonts w:ascii="Times New Roman" w:hAnsi="Times New Roman" w:cs="Times New Roman"/>
                <w:sz w:val="20"/>
                <w:szCs w:val="20"/>
                <w:u w:val="single"/>
              </w:rPr>
              <w:t>iegūšanas un izpētes</w:t>
            </w:r>
            <w:r w:rsidRPr="00A92C3C">
              <w:rPr>
                <w:rFonts w:ascii="Times New Roman" w:hAnsi="Times New Roman" w:cs="Times New Roman"/>
                <w:sz w:val="20"/>
                <w:szCs w:val="20"/>
              </w:rPr>
              <w:t xml:space="preserve"> pilnvaras attiecībā uz ieguldījumu brokeru sabiedrībām, ārvalstu ieguldījumu brokeru sabiedrību filiālēm, ieguldījumu </w:t>
            </w:r>
            <w:proofErr w:type="spellStart"/>
            <w:r w:rsidRPr="00A92C3C">
              <w:rPr>
                <w:rFonts w:ascii="Times New Roman" w:hAnsi="Times New Roman" w:cs="Times New Roman"/>
                <w:sz w:val="20"/>
                <w:szCs w:val="20"/>
              </w:rPr>
              <w:t>pārvaldītājsabiedrībām</w:t>
            </w:r>
            <w:proofErr w:type="spellEnd"/>
            <w:r w:rsidRPr="00A92C3C">
              <w:rPr>
                <w:rFonts w:ascii="Times New Roman" w:hAnsi="Times New Roman" w:cs="Times New Roman"/>
                <w:sz w:val="20"/>
                <w:szCs w:val="20"/>
              </w:rPr>
              <w:t xml:space="preserve">, jauktām finanšu </w:t>
            </w:r>
            <w:proofErr w:type="spellStart"/>
            <w:r w:rsidRPr="00A92C3C">
              <w:rPr>
                <w:rFonts w:ascii="Times New Roman" w:hAnsi="Times New Roman" w:cs="Times New Roman"/>
                <w:sz w:val="20"/>
                <w:szCs w:val="20"/>
              </w:rPr>
              <w:t>pārvaldītājsabiedrībām</w:t>
            </w:r>
            <w:proofErr w:type="spellEnd"/>
            <w:r w:rsidRPr="00A92C3C">
              <w:rPr>
                <w:rFonts w:ascii="Times New Roman" w:hAnsi="Times New Roman" w:cs="Times New Roman"/>
                <w:sz w:val="20"/>
                <w:szCs w:val="20"/>
              </w:rPr>
              <w:t xml:space="preserve">, jauktām </w:t>
            </w:r>
            <w:proofErr w:type="spellStart"/>
            <w:r w:rsidRPr="00A92C3C">
              <w:rPr>
                <w:rFonts w:ascii="Times New Roman" w:hAnsi="Times New Roman" w:cs="Times New Roman"/>
                <w:sz w:val="20"/>
                <w:szCs w:val="20"/>
              </w:rPr>
              <w:t>pārvaldītājsabiedrībām</w:t>
            </w:r>
            <w:proofErr w:type="spellEnd"/>
            <w:r w:rsidRPr="00A92C3C">
              <w:rPr>
                <w:rFonts w:ascii="Times New Roman" w:hAnsi="Times New Roman" w:cs="Times New Roman"/>
                <w:sz w:val="20"/>
                <w:szCs w:val="20"/>
              </w:rPr>
              <w:t>, personām, kas pieder pie minētajām sabiedrībām, trešajām personām, ar ko minētās sabiedrības ir noslēgušas ārpakalpojumu līgumus par operacionālajām funkcijām vai darbībām.</w:t>
            </w:r>
          </w:p>
          <w:p w14:paraId="7A022F1D" w14:textId="77777777" w:rsidR="009C2E75" w:rsidRPr="00A92C3C" w:rsidRDefault="009C2E75" w:rsidP="009C2E75">
            <w:pPr>
              <w:jc w:val="both"/>
              <w:rPr>
                <w:rFonts w:ascii="Times New Roman" w:hAnsi="Times New Roman" w:cs="Times New Roman"/>
                <w:sz w:val="20"/>
                <w:szCs w:val="20"/>
              </w:rPr>
            </w:pPr>
            <w:r w:rsidRPr="00A92C3C">
              <w:rPr>
                <w:rFonts w:ascii="Times New Roman" w:hAnsi="Times New Roman" w:cs="Times New Roman"/>
                <w:sz w:val="20"/>
                <w:szCs w:val="20"/>
              </w:rPr>
              <w:t xml:space="preserve">(2) Komisijai vai tās pilnvarotai personai ir tiesības pieprasīt no šā panta pirmajā daļā minētajām personām Komisijas funkciju veikšanai nepieciešamo informāciju, iepazīties ar šā panta pirmajā daļā minēto personu dokumentāciju, pārbaudīt grāmatvedības datus un reģistrus un saņemt to izrakstus vai kopijas, saņemt no šā panta pirmajā daļā minētajām </w:t>
            </w:r>
            <w:r w:rsidRPr="00A92C3C">
              <w:rPr>
                <w:rFonts w:ascii="Times New Roman" w:hAnsi="Times New Roman" w:cs="Times New Roman"/>
                <w:sz w:val="20"/>
                <w:szCs w:val="20"/>
              </w:rPr>
              <w:lastRenderedPageBreak/>
              <w:t>personām vai to pārstāvjiem vai darbiniekiem paskaidrojumus, informāciju par komercsabiedrībām, kurās konsolidācijas grupai ir ieguldījumi, vai iztaujāt ikvienu citu personu, kas tam piekritusi, lai iegūtu</w:t>
            </w:r>
            <w:r>
              <w:rPr>
                <w:rFonts w:ascii="Times New Roman" w:hAnsi="Times New Roman" w:cs="Times New Roman"/>
                <w:sz w:val="20"/>
                <w:szCs w:val="20"/>
              </w:rPr>
              <w:t xml:space="preserve"> </w:t>
            </w:r>
            <w:r w:rsidRPr="00A92C3C">
              <w:rPr>
                <w:rFonts w:ascii="Times New Roman" w:hAnsi="Times New Roman" w:cs="Times New Roman"/>
                <w:sz w:val="20"/>
                <w:szCs w:val="20"/>
              </w:rPr>
              <w:t>informāciju par pārbaudāmo subjektu.</w:t>
            </w:r>
          </w:p>
          <w:p w14:paraId="40D65B41" w14:textId="77777777" w:rsidR="009C2E75" w:rsidRPr="00A92C3C" w:rsidRDefault="009C2E75" w:rsidP="009C2E75">
            <w:pPr>
              <w:jc w:val="both"/>
              <w:rPr>
                <w:rFonts w:ascii="Times New Roman" w:hAnsi="Times New Roman" w:cs="Times New Roman"/>
                <w:sz w:val="20"/>
                <w:szCs w:val="20"/>
              </w:rPr>
            </w:pPr>
            <w:r w:rsidRPr="00A92C3C">
              <w:rPr>
                <w:rFonts w:ascii="Times New Roman" w:hAnsi="Times New Roman" w:cs="Times New Roman"/>
                <w:sz w:val="20"/>
                <w:szCs w:val="20"/>
              </w:rPr>
              <w:t>(3) Papildus šā panta otrajā daļā minētajām tiesībām Komisijai ir tiesības veikt visas nepieciešamās inspekcijas šā panta pirmajā daļā minēto personu un citu uzņēmumu, kuriem tiek uzraudzīta atbilstība grupas kapitāla kritērijam, ja Komisija ir grupas uzraudzības iestāde, iepriekš informējot citas attiecīgās kompetentās iestādes, telpās.</w:t>
            </w:r>
          </w:p>
          <w:p w14:paraId="1A13D5C3" w14:textId="56A7DF08" w:rsidR="00C528FE" w:rsidRPr="00484E46" w:rsidRDefault="009C2E75" w:rsidP="009C2E75">
            <w:pPr>
              <w:spacing w:after="0" w:line="240" w:lineRule="auto"/>
              <w:jc w:val="both"/>
              <w:rPr>
                <w:rFonts w:ascii="Times New Roman" w:hAnsi="Times New Roman" w:cs="Times New Roman"/>
                <w:b/>
                <w:bCs/>
                <w:sz w:val="20"/>
                <w:szCs w:val="20"/>
              </w:rPr>
            </w:pPr>
            <w:r w:rsidRPr="00A92C3C">
              <w:rPr>
                <w:rFonts w:ascii="Times New Roman" w:hAnsi="Times New Roman" w:cs="Times New Roman"/>
                <w:sz w:val="20"/>
                <w:szCs w:val="20"/>
              </w:rPr>
              <w:t>(4)  Šajā pantā minēto informāciju un dokumentus iesniedz Komisijas noteiktajos termiņos. Minēto prasību izpildi nedrīkst atteikt, tai skaitā aizbildinoties ar komercnoslēpumu.</w:t>
            </w:r>
          </w:p>
        </w:tc>
      </w:tr>
      <w:tr w:rsidR="007D6D6F" w:rsidRPr="00184920" w14:paraId="2D5FBC3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BE48EAC" w14:textId="2F53CC00"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27.</w:t>
            </w:r>
          </w:p>
        </w:tc>
        <w:tc>
          <w:tcPr>
            <w:tcW w:w="692" w:type="pct"/>
            <w:tcBorders>
              <w:top w:val="single" w:sz="6" w:space="0" w:color="000000"/>
              <w:left w:val="single" w:sz="6" w:space="0" w:color="000000"/>
              <w:bottom w:val="single" w:sz="6" w:space="0" w:color="000000"/>
              <w:right w:val="single" w:sz="6" w:space="0" w:color="000000"/>
            </w:tcBorders>
          </w:tcPr>
          <w:p w14:paraId="103E0464" w14:textId="77777777" w:rsidR="007D6D6F" w:rsidRPr="00BB1785" w:rsidRDefault="007D6D6F" w:rsidP="007D6D6F">
            <w:pPr>
              <w:pStyle w:val="NoSpacing"/>
              <w:widowControl/>
              <w:rPr>
                <w:rFonts w:eastAsiaTheme="minorHAnsi"/>
                <w:b/>
                <w:bCs/>
                <w:sz w:val="20"/>
                <w:szCs w:val="20"/>
              </w:rPr>
            </w:pPr>
            <w:r w:rsidRPr="00BB1785">
              <w:rPr>
                <w:rFonts w:eastAsiaTheme="minorHAnsi"/>
                <w:b/>
                <w:bCs/>
                <w:sz w:val="20"/>
                <w:szCs w:val="20"/>
              </w:rPr>
              <w:t>50. pants. Ieguldījumu brokeru sabiedrību nozīmīgas filiāles</w:t>
            </w:r>
          </w:p>
          <w:p w14:paraId="363B393C" w14:textId="77777777" w:rsidR="007D6D6F" w:rsidRPr="00BB1785" w:rsidRDefault="007D6D6F" w:rsidP="007D6D6F">
            <w:pPr>
              <w:pStyle w:val="NoSpacing"/>
              <w:widowControl/>
              <w:rPr>
                <w:rFonts w:eastAsiaTheme="minorHAnsi"/>
                <w:bCs/>
                <w:sz w:val="20"/>
                <w:szCs w:val="20"/>
              </w:rPr>
            </w:pPr>
            <w:r w:rsidRPr="00BB1785">
              <w:rPr>
                <w:rFonts w:eastAsiaTheme="minorHAnsi"/>
                <w:bCs/>
                <w:sz w:val="20"/>
                <w:szCs w:val="20"/>
              </w:rPr>
              <w:t xml:space="preserve">(7) Šā panta sestajā daļā </w:t>
            </w:r>
            <w:r w:rsidRPr="00BB1785">
              <w:rPr>
                <w:rFonts w:eastAsiaTheme="minorHAnsi"/>
                <w:bCs/>
                <w:sz w:val="20"/>
                <w:szCs w:val="20"/>
                <w:u w:val="single"/>
              </w:rPr>
              <w:t xml:space="preserve">minēto lēmumu var </w:t>
            </w:r>
            <w:r w:rsidRPr="00BB1785">
              <w:rPr>
                <w:rFonts w:eastAsiaTheme="minorHAnsi"/>
                <w:bCs/>
                <w:sz w:val="20"/>
                <w:szCs w:val="20"/>
                <w:u w:val="single"/>
              </w:rPr>
              <w:lastRenderedPageBreak/>
              <w:t>pārsūdzēt Administratīvajā apgabaltiesā</w:t>
            </w:r>
            <w:r w:rsidRPr="00BB1785">
              <w:rPr>
                <w:rFonts w:eastAsiaTheme="minorHAnsi"/>
                <w:bCs/>
                <w:sz w:val="20"/>
                <w:szCs w:val="20"/>
              </w:rPr>
              <w:t>.</w:t>
            </w:r>
          </w:p>
          <w:p w14:paraId="190F8286" w14:textId="77777777" w:rsidR="007D6D6F" w:rsidRPr="00BB1785" w:rsidRDefault="007D6D6F" w:rsidP="007D6D6F">
            <w:pPr>
              <w:spacing w:after="0" w:line="240" w:lineRule="auto"/>
              <w:jc w:val="both"/>
              <w:rPr>
                <w:rFonts w:ascii="Times New Roman" w:eastAsia="Times New Roman" w:hAnsi="Times New Roman" w:cs="Times New Roman"/>
                <w:sz w:val="20"/>
                <w:szCs w:val="20"/>
              </w:rPr>
            </w:pPr>
          </w:p>
          <w:p w14:paraId="030F0C5A" w14:textId="77777777" w:rsidR="007D6D6F" w:rsidRPr="00BB1785" w:rsidRDefault="007D6D6F" w:rsidP="007D6D6F">
            <w:pPr>
              <w:pStyle w:val="NoSpacing"/>
              <w:widowControl/>
              <w:rPr>
                <w:rFonts w:eastAsiaTheme="minorHAnsi"/>
                <w:b/>
                <w:bCs/>
                <w:sz w:val="20"/>
                <w:szCs w:val="20"/>
              </w:rPr>
            </w:pPr>
            <w:r w:rsidRPr="00BB1785">
              <w:rPr>
                <w:rFonts w:eastAsiaTheme="minorHAnsi"/>
                <w:b/>
                <w:bCs/>
                <w:sz w:val="20"/>
                <w:szCs w:val="20"/>
              </w:rPr>
              <w:t>68.pants. Administratīvo aktu izdošana un apstrīdēšana</w:t>
            </w:r>
            <w:r w:rsidRPr="00BB1785" w:rsidDel="00A11426">
              <w:rPr>
                <w:rFonts w:eastAsiaTheme="minorHAnsi"/>
                <w:b/>
                <w:bCs/>
                <w:sz w:val="20"/>
                <w:szCs w:val="20"/>
              </w:rPr>
              <w:t xml:space="preserve"> </w:t>
            </w:r>
          </w:p>
          <w:p w14:paraId="7359789D" w14:textId="77777777" w:rsidR="007D6D6F" w:rsidRPr="00BB1785" w:rsidRDefault="007D6D6F" w:rsidP="007D6D6F">
            <w:pPr>
              <w:pStyle w:val="NoSpacing"/>
              <w:widowControl/>
              <w:rPr>
                <w:rFonts w:eastAsiaTheme="minorHAnsi"/>
                <w:bCs/>
                <w:sz w:val="20"/>
                <w:szCs w:val="20"/>
              </w:rPr>
            </w:pPr>
            <w:r w:rsidRPr="00BB1785">
              <w:rPr>
                <w:rFonts w:eastAsiaTheme="minorHAnsi"/>
                <w:bCs/>
                <w:sz w:val="20"/>
                <w:szCs w:val="20"/>
              </w:rPr>
              <w:t xml:space="preserve">(1) Šajā likumā un tieši piemērojamajos Eiropas Savienības tiesību aktos noteiktajos gadījumos Komisija izdod administratīvos aktus. Komisijas administratīvo aktu, kas izdots saskaņā ar šo likumu, </w:t>
            </w:r>
            <w:r w:rsidRPr="00BB1785">
              <w:rPr>
                <w:rFonts w:eastAsiaTheme="minorHAnsi"/>
                <w:bCs/>
                <w:sz w:val="20"/>
                <w:szCs w:val="20"/>
                <w:u w:val="single"/>
              </w:rPr>
              <w:t>var pārsūdzēt Administratīvā procesa likumā noteiktajā kārtībā</w:t>
            </w:r>
            <w:r w:rsidRPr="00BB1785">
              <w:rPr>
                <w:rFonts w:eastAsiaTheme="minorHAnsi"/>
                <w:bCs/>
                <w:sz w:val="20"/>
                <w:szCs w:val="20"/>
              </w:rPr>
              <w:t>.</w:t>
            </w:r>
          </w:p>
          <w:p w14:paraId="4A423679" w14:textId="77777777" w:rsidR="007D6D6F" w:rsidRPr="00184920" w:rsidRDefault="007D6D6F" w:rsidP="007D6D6F">
            <w:pPr>
              <w:spacing w:after="0" w:line="240" w:lineRule="auto"/>
              <w:rPr>
                <w:rFonts w:ascii="Times New Roman" w:eastAsia="Times New Roman" w:hAnsi="Times New Roman" w:cs="Times New Roman"/>
                <w:sz w:val="20"/>
                <w:lang w:eastAsia="lv-LV"/>
              </w:rPr>
            </w:pPr>
          </w:p>
        </w:tc>
        <w:tc>
          <w:tcPr>
            <w:tcW w:w="1309" w:type="pct"/>
            <w:tcBorders>
              <w:top w:val="single" w:sz="6" w:space="0" w:color="000000"/>
              <w:left w:val="single" w:sz="6" w:space="0" w:color="000000"/>
              <w:bottom w:val="single" w:sz="6" w:space="0" w:color="000000"/>
              <w:right w:val="single" w:sz="6" w:space="0" w:color="000000"/>
            </w:tcBorders>
          </w:tcPr>
          <w:p w14:paraId="69309F90" w14:textId="4B580BD6" w:rsidR="007D6D6F" w:rsidRPr="002223F5" w:rsidRDefault="007D6D6F" w:rsidP="007D6D6F">
            <w:pPr>
              <w:spacing w:after="0" w:line="240" w:lineRule="auto"/>
              <w:jc w:val="both"/>
              <w:rPr>
                <w:rFonts w:ascii="Times New Roman" w:eastAsia="Times New Roman" w:hAnsi="Times New Roman" w:cs="Times New Roman"/>
                <w:sz w:val="20"/>
                <w:szCs w:val="20"/>
                <w:lang w:eastAsia="lv-LV"/>
              </w:rPr>
            </w:pPr>
            <w:r w:rsidRPr="002223F5">
              <w:rPr>
                <w:rFonts w:ascii="Times New Roman" w:hAnsi="Times New Roman" w:cs="Times New Roman"/>
                <w:b/>
                <w:bCs/>
                <w:sz w:val="20"/>
                <w:szCs w:val="20"/>
              </w:rPr>
              <w:lastRenderedPageBreak/>
              <w:t>Iebildums.</w:t>
            </w:r>
            <w:r w:rsidRPr="002223F5">
              <w:rPr>
                <w:rFonts w:ascii="Times New Roman" w:hAnsi="Times New Roman" w:cs="Times New Roman"/>
                <w:sz w:val="20"/>
                <w:szCs w:val="20"/>
              </w:rPr>
              <w:t xml:space="preserve"> Nav saprotams, kāpēc likumprojekta 49. panta septītajā daļā noteikts, ka šā panta sestajā daļā minēto lēmumu var pārsūdzēt Administratīvajā apgabaltiesā, ievērojot to, ka likumprojekta 66. panta pirmā daļa paredz, ka Komisijas lēmumus pārsūdz </w:t>
            </w:r>
            <w:r w:rsidRPr="002223F5">
              <w:rPr>
                <w:rFonts w:ascii="Times New Roman" w:hAnsi="Times New Roman" w:cs="Times New Roman"/>
                <w:sz w:val="20"/>
                <w:szCs w:val="20"/>
              </w:rPr>
              <w:lastRenderedPageBreak/>
              <w:t>vispārējā kārtībā. Ja konkrētajam lēmuma veidam paredzama īpaša pārsūdzības kārtība, tas ir jāpamato anotācijā. Ievērojot minēto, lūdzam precizēt likumprojektu vai tā anotāciju.</w:t>
            </w:r>
          </w:p>
        </w:tc>
        <w:tc>
          <w:tcPr>
            <w:tcW w:w="848" w:type="pct"/>
            <w:gridSpan w:val="2"/>
            <w:tcBorders>
              <w:top w:val="single" w:sz="6" w:space="0" w:color="000000"/>
              <w:left w:val="single" w:sz="6" w:space="0" w:color="000000"/>
              <w:bottom w:val="single" w:sz="6" w:space="0" w:color="000000"/>
              <w:right w:val="single" w:sz="6" w:space="0" w:color="000000"/>
            </w:tcBorders>
          </w:tcPr>
          <w:p w14:paraId="09664ED4" w14:textId="0A82E40C" w:rsidR="007D6D6F" w:rsidRPr="009617C0" w:rsidRDefault="007D6D6F" w:rsidP="007D6D6F">
            <w:pPr>
              <w:spacing w:after="0" w:line="240" w:lineRule="auto"/>
              <w:jc w:val="both"/>
              <w:rPr>
                <w:rFonts w:ascii="Times New Roman" w:eastAsia="Times New Roman" w:hAnsi="Times New Roman" w:cs="Times New Roman"/>
                <w:sz w:val="20"/>
                <w:szCs w:val="20"/>
                <w:highlight w:val="yellow"/>
                <w:lang w:eastAsia="lv-LV"/>
              </w:rPr>
            </w:pPr>
            <w:r w:rsidRPr="008059C5">
              <w:rPr>
                <w:rFonts w:ascii="Times New Roman" w:hAnsi="Times New Roman" w:cs="Times New Roman"/>
                <w:b/>
                <w:bCs/>
                <w:sz w:val="20"/>
                <w:szCs w:val="20"/>
              </w:rPr>
              <w:lastRenderedPageBreak/>
              <w:t xml:space="preserve">Iebildums ņemts vērā. </w:t>
            </w:r>
            <w:r w:rsidRPr="008059C5">
              <w:rPr>
                <w:rFonts w:ascii="Times New Roman" w:hAnsi="Times New Roman" w:cs="Times New Roman"/>
                <w:sz w:val="20"/>
                <w:szCs w:val="20"/>
              </w:rPr>
              <w:t xml:space="preserve">Likumprojekta </w:t>
            </w:r>
            <w:r w:rsidR="008059C5">
              <w:rPr>
                <w:rFonts w:ascii="Times New Roman" w:hAnsi="Times New Roman" w:cs="Times New Roman"/>
                <w:sz w:val="20"/>
                <w:szCs w:val="20"/>
              </w:rPr>
              <w:t>76</w:t>
            </w:r>
            <w:r w:rsidRPr="008059C5">
              <w:rPr>
                <w:rFonts w:ascii="Times New Roman" w:hAnsi="Times New Roman" w:cs="Times New Roman"/>
                <w:sz w:val="20"/>
                <w:szCs w:val="20"/>
              </w:rPr>
              <w:t>.panta pirmā daļa izteikta jaunā redakcijā. Papildināt</w:t>
            </w:r>
            <w:r w:rsidR="008059C5">
              <w:rPr>
                <w:rFonts w:ascii="Times New Roman" w:hAnsi="Times New Roman" w:cs="Times New Roman"/>
                <w:sz w:val="20"/>
                <w:szCs w:val="20"/>
              </w:rPr>
              <w:t>s Anotācijas I sadaļas 2.punkts(XII nodaļa).</w:t>
            </w:r>
          </w:p>
        </w:tc>
        <w:tc>
          <w:tcPr>
            <w:tcW w:w="936" w:type="pct"/>
            <w:tcBorders>
              <w:top w:val="single" w:sz="4" w:space="0" w:color="auto"/>
              <w:left w:val="single" w:sz="4" w:space="0" w:color="auto"/>
              <w:bottom w:val="single" w:sz="4" w:space="0" w:color="auto"/>
              <w:right w:val="single" w:sz="4" w:space="0" w:color="auto"/>
            </w:tcBorders>
          </w:tcPr>
          <w:p w14:paraId="075D35DC" w14:textId="77777777" w:rsidR="008059C5" w:rsidRPr="00940BE6" w:rsidRDefault="008059C5" w:rsidP="008059C5">
            <w:pPr>
              <w:spacing w:after="0" w:line="240" w:lineRule="auto"/>
              <w:jc w:val="both"/>
              <w:rPr>
                <w:rFonts w:ascii="Times New Roman" w:hAnsi="Times New Roman" w:cs="Times New Roman"/>
                <w:b/>
                <w:bCs/>
                <w:sz w:val="20"/>
                <w:szCs w:val="20"/>
              </w:rPr>
            </w:pPr>
            <w:r w:rsidRPr="00940BE6">
              <w:rPr>
                <w:rFonts w:ascii="Times New Roman" w:hAnsi="Times New Roman" w:cs="Times New Roman"/>
                <w:b/>
                <w:bCs/>
                <w:sz w:val="20"/>
                <w:szCs w:val="20"/>
              </w:rPr>
              <w:t>76. pants. Komisijas izdotā administratīvā akta pārsūdzēšana</w:t>
            </w:r>
          </w:p>
          <w:p w14:paraId="1DE7E89E" w14:textId="77777777" w:rsidR="008059C5" w:rsidRPr="008059C5" w:rsidRDefault="008059C5" w:rsidP="008059C5">
            <w:pPr>
              <w:spacing w:after="0" w:line="240" w:lineRule="auto"/>
              <w:jc w:val="both"/>
              <w:rPr>
                <w:rFonts w:ascii="Times New Roman" w:hAnsi="Times New Roman" w:cs="Times New Roman"/>
                <w:sz w:val="20"/>
                <w:szCs w:val="20"/>
                <w:u w:val="single"/>
              </w:rPr>
            </w:pPr>
            <w:r w:rsidRPr="008059C5">
              <w:rPr>
                <w:rFonts w:ascii="Times New Roman" w:hAnsi="Times New Roman" w:cs="Times New Roman"/>
                <w:sz w:val="20"/>
                <w:szCs w:val="20"/>
                <w:u w:val="single"/>
              </w:rPr>
              <w:t xml:space="preserve">(1) Pārsūdzot Komisijas izdoto administratīvo aktu, pieteikumu iesniedz Administratīvajā apgabaltiesā. Tiesa </w:t>
            </w:r>
            <w:r w:rsidRPr="008059C5">
              <w:rPr>
                <w:rFonts w:ascii="Times New Roman" w:hAnsi="Times New Roman" w:cs="Times New Roman"/>
                <w:sz w:val="20"/>
                <w:szCs w:val="20"/>
                <w:u w:val="single"/>
              </w:rPr>
              <w:lastRenderedPageBreak/>
              <w:t>lietu izskata kā pirmās instances tiesa. Lieta tiek izskatīta triju tiesnešu sastāvā. Administratīvās apgabaltiesas spriedumu var pārsūdzēt, iesniedzot kasācijas sūdzību.</w:t>
            </w:r>
          </w:p>
          <w:p w14:paraId="34EAC3A1" w14:textId="274B1B26" w:rsidR="007D6D6F" w:rsidRPr="009617C0" w:rsidRDefault="007D6D6F" w:rsidP="007D6D6F">
            <w:pPr>
              <w:spacing w:after="0" w:line="240" w:lineRule="auto"/>
              <w:jc w:val="both"/>
              <w:rPr>
                <w:rFonts w:ascii="Times New Roman" w:eastAsia="Times New Roman" w:hAnsi="Times New Roman" w:cs="Times New Roman"/>
                <w:sz w:val="20"/>
                <w:szCs w:val="20"/>
                <w:highlight w:val="yellow"/>
                <w:lang w:eastAsia="lv-LV"/>
              </w:rPr>
            </w:pPr>
          </w:p>
        </w:tc>
      </w:tr>
      <w:tr w:rsidR="00657498" w:rsidRPr="00184920" w14:paraId="6171E4BE"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9DBD2EB" w14:textId="2FD43F24" w:rsidR="00657498" w:rsidRDefault="00657498"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28.</w:t>
            </w:r>
          </w:p>
        </w:tc>
        <w:tc>
          <w:tcPr>
            <w:tcW w:w="692" w:type="pct"/>
            <w:tcBorders>
              <w:top w:val="single" w:sz="6" w:space="0" w:color="000000"/>
              <w:left w:val="single" w:sz="6" w:space="0" w:color="000000"/>
              <w:bottom w:val="single" w:sz="6" w:space="0" w:color="000000"/>
              <w:right w:val="single" w:sz="6" w:space="0" w:color="000000"/>
            </w:tcBorders>
          </w:tcPr>
          <w:p w14:paraId="2903A8A2" w14:textId="77777777" w:rsidR="00657498" w:rsidRPr="002E15CC" w:rsidRDefault="00657498" w:rsidP="00657498">
            <w:pPr>
              <w:pStyle w:val="NoSpacing"/>
              <w:widowControl/>
              <w:rPr>
                <w:rFonts w:eastAsiaTheme="minorHAnsi"/>
                <w:b/>
                <w:bCs/>
                <w:sz w:val="20"/>
                <w:szCs w:val="20"/>
              </w:rPr>
            </w:pPr>
            <w:r w:rsidRPr="002E15CC">
              <w:rPr>
                <w:rFonts w:eastAsiaTheme="minorHAnsi"/>
                <w:b/>
                <w:bCs/>
                <w:sz w:val="20"/>
                <w:szCs w:val="20"/>
              </w:rPr>
              <w:t>62. pants. Informācijas pārbaude par sabiedrībām, kas atrodas citās dalībvalstīs</w:t>
            </w:r>
          </w:p>
          <w:p w14:paraId="11374F3A" w14:textId="0C691C2E" w:rsidR="00657498" w:rsidRPr="00BB1785" w:rsidRDefault="00657498" w:rsidP="00657498">
            <w:pPr>
              <w:pStyle w:val="NoSpacing"/>
              <w:widowControl/>
              <w:rPr>
                <w:rFonts w:eastAsiaTheme="minorHAnsi"/>
                <w:b/>
                <w:bCs/>
                <w:sz w:val="20"/>
                <w:szCs w:val="20"/>
              </w:rPr>
            </w:pPr>
            <w:r w:rsidRPr="002E15CC">
              <w:rPr>
                <w:bCs/>
                <w:sz w:val="20"/>
                <w:szCs w:val="20"/>
              </w:rPr>
              <w:t xml:space="preserve">(3) Ja Komisija saņēmusi citas dalībvalsts </w:t>
            </w:r>
            <w:r w:rsidRPr="002E15CC">
              <w:rPr>
                <w:sz w:val="20"/>
                <w:szCs w:val="20"/>
              </w:rPr>
              <w:t>uzraudzības institūcijas</w:t>
            </w:r>
            <w:r w:rsidRPr="002E15CC">
              <w:rPr>
                <w:bCs/>
                <w:sz w:val="20"/>
                <w:szCs w:val="20"/>
              </w:rPr>
              <w:t xml:space="preserve"> lūgumu pārbaudīt informācijas patiesumu par šā panta pirmajā daļā minētajām Latvijas Republikā reģistrētām sabiedrībām, tā ir tiesīga veikt iekšējo pārbaudi vai atļaut minēto pārbaudi veikt attiecīgās dalībvalsts </w:t>
            </w:r>
            <w:r w:rsidRPr="002E15CC">
              <w:rPr>
                <w:sz w:val="20"/>
                <w:szCs w:val="20"/>
              </w:rPr>
              <w:t>uzraudzības institūcijai</w:t>
            </w:r>
            <w:r w:rsidRPr="002E15CC">
              <w:rPr>
                <w:bCs/>
                <w:sz w:val="20"/>
                <w:szCs w:val="20"/>
              </w:rPr>
              <w:t xml:space="preserve">, zvērinātam revidentam vai zvērinātu revidentu komercsabiedrībai, nekavējoties informējot par minētās pārbaudes rezultātiem. Ja attiecīgās dalībvalsts </w:t>
            </w:r>
            <w:r w:rsidRPr="002E15CC">
              <w:rPr>
                <w:sz w:val="20"/>
                <w:szCs w:val="20"/>
              </w:rPr>
              <w:t>uzraudzības institūcija</w:t>
            </w:r>
            <w:r w:rsidRPr="002E15CC">
              <w:rPr>
                <w:bCs/>
                <w:sz w:val="20"/>
                <w:szCs w:val="20"/>
              </w:rPr>
              <w:t xml:space="preserve"> neveic pārbaudi, tā </w:t>
            </w:r>
            <w:r w:rsidRPr="002E15CC">
              <w:rPr>
                <w:bCs/>
                <w:sz w:val="20"/>
                <w:szCs w:val="20"/>
              </w:rPr>
              <w:lastRenderedPageBreak/>
              <w:t>ir tiesīga piedalīties Komisijas veiktajā pārbaudē.</w:t>
            </w:r>
          </w:p>
        </w:tc>
        <w:tc>
          <w:tcPr>
            <w:tcW w:w="1309" w:type="pct"/>
            <w:tcBorders>
              <w:top w:val="single" w:sz="6" w:space="0" w:color="000000"/>
              <w:left w:val="single" w:sz="6" w:space="0" w:color="000000"/>
              <w:bottom w:val="single" w:sz="6" w:space="0" w:color="000000"/>
              <w:right w:val="single" w:sz="6" w:space="0" w:color="000000"/>
            </w:tcBorders>
          </w:tcPr>
          <w:p w14:paraId="7330F77D" w14:textId="77777777" w:rsidR="00657498" w:rsidRDefault="00657498" w:rsidP="00657498">
            <w:pPr>
              <w:jc w:val="both"/>
              <w:rPr>
                <w:rFonts w:ascii="Times New Roman" w:hAnsi="Times New Roman" w:cs="Times New Roman"/>
                <w:sz w:val="20"/>
                <w:szCs w:val="20"/>
              </w:rPr>
            </w:pPr>
            <w:r w:rsidRPr="00FA0CF7">
              <w:rPr>
                <w:rFonts w:ascii="Times New Roman" w:hAnsi="Times New Roman" w:cs="Times New Roman"/>
                <w:b/>
                <w:bCs/>
                <w:sz w:val="20"/>
                <w:szCs w:val="20"/>
              </w:rPr>
              <w:lastRenderedPageBreak/>
              <w:t>Iebildums.</w:t>
            </w:r>
            <w:r w:rsidRPr="00FA0CF7">
              <w:rPr>
                <w:rFonts w:ascii="Times New Roman" w:hAnsi="Times New Roman" w:cs="Times New Roman"/>
                <w:sz w:val="20"/>
                <w:szCs w:val="20"/>
              </w:rPr>
              <w:t xml:space="preserve"> Likumprojekta 60.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Papildus norādām, ka Komisijas tiesības pilnvarot citu personu veikt noteiktas darbības ietvertas arī likumprojekta 62. panta trešajā daļā. Ievērojot minēto, lūdzam atbilstoši precizēt likumprojektu.</w:t>
            </w:r>
          </w:p>
          <w:p w14:paraId="69968ED0" w14:textId="77777777" w:rsidR="00657498" w:rsidRPr="005D25C0" w:rsidRDefault="00657498" w:rsidP="00657498">
            <w:pPr>
              <w:spacing w:after="0" w:line="240" w:lineRule="auto"/>
              <w:jc w:val="both"/>
              <w:rPr>
                <w:rFonts w:ascii="Times New Roman" w:hAnsi="Times New Roman" w:cs="Times New Roman"/>
                <w:b/>
                <w:bCs/>
                <w:sz w:val="20"/>
                <w:szCs w:val="20"/>
              </w:rPr>
            </w:pPr>
            <w:r w:rsidRPr="005D25C0">
              <w:rPr>
                <w:rFonts w:ascii="Times New Roman" w:hAnsi="Times New Roman" w:cs="Times New Roman"/>
                <w:b/>
                <w:bCs/>
                <w:sz w:val="20"/>
                <w:szCs w:val="20"/>
              </w:rPr>
              <w:t>Š.g. 11.maijā uzturētais iebildums.</w:t>
            </w:r>
          </w:p>
          <w:p w14:paraId="2AA63E10" w14:textId="2DBB04D1" w:rsidR="00657498" w:rsidRPr="005D25C0" w:rsidRDefault="00657498" w:rsidP="00657498">
            <w:pPr>
              <w:jc w:val="both"/>
              <w:rPr>
                <w:rFonts w:ascii="Times New Roman" w:hAnsi="Times New Roman" w:cs="Times New Roman"/>
                <w:sz w:val="20"/>
                <w:szCs w:val="20"/>
              </w:rPr>
            </w:pPr>
            <w:r w:rsidRPr="005D25C0">
              <w:rPr>
                <w:rFonts w:ascii="Times New Roman" w:hAnsi="Times New Roman" w:cs="Times New Roman"/>
                <w:sz w:val="20"/>
                <w:szCs w:val="20"/>
              </w:rPr>
              <w:t xml:space="preserve">Tieslietu ministrijas iebildums par likumprojekta 62. pantu nav ņemts vērā, tāpēc to uzturam. Atkārtoti vēršam uzmanību, ka likumprojekta 62. panta trešā daļa paredz </w:t>
            </w:r>
            <w:r w:rsidRPr="005D25C0">
              <w:rPr>
                <w:rFonts w:ascii="Times New Roman" w:hAnsi="Times New Roman" w:cs="Times New Roman"/>
                <w:sz w:val="20"/>
                <w:szCs w:val="20"/>
              </w:rPr>
              <w:lastRenderedPageBreak/>
              <w:t>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turklāt privātpersonai. Papildus norādām, ka Komisijas tiesības pilnvarot citu personu veikt noteiktas darbības ietvertas arī likumprojekta 64. panta trešajā daļā. Direktīvas Nr. 2019/2034 50. panta 2. punkts noteic, ka kompetentās iestādes, kas ir saņēmušas pieprasījumu atbilstoši 1. punktam, rīkojas jebkurā no šiem veidiem: a) pārbaudi veic pašas, ievērojot savu kompetenci; b) ļauj pārbaudi veikt kompetentajām iestādēm, kuras iesniedza minēto pieprasījumu; c) pārbaudes veikšanu uztic revidentam vai ekspertam, kas dara to objektīvi un nekavējoties ziņo par rezultātiem. Vienlaikus vēršam uzmanību, ka Direktīvas Nr. 2019/2034 50. panta 2. punkts oriģinālvalodā noteic, ka "</w:t>
            </w:r>
            <w:proofErr w:type="spellStart"/>
            <w:r w:rsidRPr="005D25C0">
              <w:rPr>
                <w:rFonts w:ascii="Times New Roman" w:hAnsi="Times New Roman" w:cs="Times New Roman"/>
                <w:sz w:val="20"/>
                <w:szCs w:val="20"/>
              </w:rPr>
              <w:t>Competent</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authorities</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that</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have</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received</w:t>
            </w:r>
            <w:proofErr w:type="spellEnd"/>
            <w:r w:rsidRPr="005D25C0">
              <w:rPr>
                <w:rFonts w:ascii="Times New Roman" w:hAnsi="Times New Roman" w:cs="Times New Roman"/>
                <w:sz w:val="20"/>
                <w:szCs w:val="20"/>
              </w:rPr>
              <w:t xml:space="preserve"> a </w:t>
            </w:r>
            <w:proofErr w:type="spellStart"/>
            <w:r w:rsidRPr="005D25C0">
              <w:rPr>
                <w:rFonts w:ascii="Times New Roman" w:hAnsi="Times New Roman" w:cs="Times New Roman"/>
                <w:sz w:val="20"/>
                <w:szCs w:val="20"/>
              </w:rPr>
              <w:t>request</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pursuant</w:t>
            </w:r>
            <w:proofErr w:type="spellEnd"/>
            <w:r w:rsidRPr="005D25C0">
              <w:rPr>
                <w:rFonts w:ascii="Times New Roman" w:hAnsi="Times New Roman" w:cs="Times New Roman"/>
                <w:sz w:val="20"/>
                <w:szCs w:val="20"/>
              </w:rPr>
              <w:t xml:space="preserve"> to </w:t>
            </w:r>
            <w:proofErr w:type="spellStart"/>
            <w:r w:rsidRPr="005D25C0">
              <w:rPr>
                <w:rFonts w:ascii="Times New Roman" w:hAnsi="Times New Roman" w:cs="Times New Roman"/>
                <w:sz w:val="20"/>
                <w:szCs w:val="20"/>
              </w:rPr>
              <w:t>paragraph</w:t>
            </w:r>
            <w:proofErr w:type="spellEnd"/>
            <w:r w:rsidRPr="005D25C0">
              <w:rPr>
                <w:rFonts w:ascii="Times New Roman" w:hAnsi="Times New Roman" w:cs="Times New Roman"/>
                <w:sz w:val="20"/>
                <w:szCs w:val="20"/>
              </w:rPr>
              <w:t xml:space="preserve"> 1 </w:t>
            </w:r>
            <w:proofErr w:type="spellStart"/>
            <w:r w:rsidRPr="005D25C0">
              <w:rPr>
                <w:rFonts w:ascii="Times New Roman" w:hAnsi="Times New Roman" w:cs="Times New Roman"/>
                <w:sz w:val="20"/>
                <w:szCs w:val="20"/>
              </w:rPr>
              <w:t>shall</w:t>
            </w:r>
            <w:proofErr w:type="spellEnd"/>
            <w:r w:rsidRPr="005D25C0">
              <w:rPr>
                <w:rFonts w:ascii="Times New Roman" w:hAnsi="Times New Roman" w:cs="Times New Roman"/>
                <w:sz w:val="20"/>
                <w:szCs w:val="20"/>
              </w:rPr>
              <w:t xml:space="preserve"> do </w:t>
            </w:r>
            <w:proofErr w:type="spellStart"/>
            <w:r w:rsidRPr="005D25C0">
              <w:rPr>
                <w:rFonts w:ascii="Times New Roman" w:hAnsi="Times New Roman" w:cs="Times New Roman"/>
                <w:sz w:val="20"/>
                <w:szCs w:val="20"/>
              </w:rPr>
              <w:t>any</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of</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the</w:t>
            </w:r>
            <w:proofErr w:type="spellEnd"/>
            <w:r w:rsidRPr="005D25C0">
              <w:rPr>
                <w:rFonts w:ascii="Times New Roman" w:hAnsi="Times New Roman" w:cs="Times New Roman"/>
                <w:sz w:val="20"/>
                <w:szCs w:val="20"/>
              </w:rPr>
              <w:t xml:space="preserve"> </w:t>
            </w:r>
            <w:proofErr w:type="spellStart"/>
            <w:r w:rsidRPr="005D25C0">
              <w:rPr>
                <w:rFonts w:ascii="Times New Roman" w:hAnsi="Times New Roman" w:cs="Times New Roman"/>
                <w:sz w:val="20"/>
                <w:szCs w:val="20"/>
              </w:rPr>
              <w:t>following</w:t>
            </w:r>
            <w:proofErr w:type="spellEnd"/>
            <w:r w:rsidRPr="005D25C0">
              <w:rPr>
                <w:rFonts w:ascii="Times New Roman" w:hAnsi="Times New Roman" w:cs="Times New Roman"/>
                <w:sz w:val="20"/>
                <w:szCs w:val="20"/>
              </w:rPr>
              <w:t>:(..)".</w:t>
            </w:r>
          </w:p>
          <w:p w14:paraId="32E94B82" w14:textId="77777777" w:rsidR="00657498" w:rsidRDefault="00657498" w:rsidP="00657498">
            <w:pPr>
              <w:jc w:val="both"/>
              <w:rPr>
                <w:rFonts w:ascii="Times New Roman" w:hAnsi="Times New Roman" w:cs="Times New Roman"/>
                <w:sz w:val="20"/>
                <w:szCs w:val="20"/>
              </w:rPr>
            </w:pPr>
            <w:r w:rsidRPr="005D25C0">
              <w:rPr>
                <w:rFonts w:ascii="Times New Roman" w:hAnsi="Times New Roman" w:cs="Times New Roman"/>
                <w:sz w:val="20"/>
                <w:szCs w:val="20"/>
              </w:rPr>
              <w:t>Ievērojot minēto, jānorāda, ka Direktīvas Nr. 2019/2034 50. panta 2. punktā tiek uzskaitīti iespējamie/pieļaujamie rīcības varianti, bet no tā neizriet, ka nacionālajās tiesībās būtu jāpārņem visi uzskaitītie varianti. Visus variantus būtu racionāli pārņemt, bet, ja kāds no tiem ir pretrunā nacionālajām tiesībām, tad Direktīvas Nr. 2019/2034 korektai pārņemšanai pietiek ar vienas no uzskaitītajām iespējām transponēšanu.</w:t>
            </w:r>
          </w:p>
          <w:p w14:paraId="4FF1AAB0" w14:textId="7414650B" w:rsidR="00657498" w:rsidRDefault="00657498" w:rsidP="00657498">
            <w:pPr>
              <w:jc w:val="both"/>
              <w:rPr>
                <w:rFonts w:ascii="Times New Roman" w:hAnsi="Times New Roman" w:cs="Times New Roman"/>
                <w:sz w:val="20"/>
                <w:szCs w:val="20"/>
              </w:rPr>
            </w:pPr>
            <w:r w:rsidRPr="005D25C0">
              <w:rPr>
                <w:rFonts w:ascii="Times New Roman" w:hAnsi="Times New Roman" w:cs="Times New Roman"/>
                <w:sz w:val="20"/>
                <w:szCs w:val="20"/>
              </w:rPr>
              <w:lastRenderedPageBreak/>
              <w:t>Ņemot vērā minēto, lūdzam atbilstoši precizēt likumprojektu.</w:t>
            </w:r>
          </w:p>
          <w:p w14:paraId="28C49B1B" w14:textId="77777777" w:rsidR="00657498" w:rsidRDefault="00657498" w:rsidP="00657498">
            <w:pPr>
              <w:jc w:val="both"/>
              <w:rPr>
                <w:rFonts w:ascii="Times New Roman" w:hAnsi="Times New Roman" w:cs="Times New Roman"/>
                <w:b/>
                <w:bCs/>
                <w:sz w:val="20"/>
                <w:szCs w:val="20"/>
              </w:rPr>
            </w:pPr>
            <w:r w:rsidRPr="00F83F82">
              <w:rPr>
                <w:rFonts w:ascii="Times New Roman" w:hAnsi="Times New Roman" w:cs="Times New Roman"/>
                <w:b/>
                <w:bCs/>
                <w:sz w:val="20"/>
                <w:szCs w:val="20"/>
              </w:rPr>
              <w:t>Š.g. 7.jūnijā uzturētais iebildums.</w:t>
            </w:r>
          </w:p>
          <w:p w14:paraId="197F1B1A" w14:textId="77777777" w:rsidR="00657498" w:rsidRPr="00536C24" w:rsidRDefault="00657498" w:rsidP="00657498">
            <w:pPr>
              <w:jc w:val="both"/>
              <w:rPr>
                <w:rFonts w:ascii="Times New Roman" w:hAnsi="Times New Roman" w:cs="Times New Roman"/>
                <w:b/>
                <w:bCs/>
                <w:sz w:val="20"/>
                <w:szCs w:val="20"/>
              </w:rPr>
            </w:pPr>
            <w:r w:rsidRPr="00F83F82">
              <w:rPr>
                <w:rFonts w:ascii="Times New Roman" w:hAnsi="Times New Roman" w:cs="Times New Roman"/>
                <w:sz w:val="20"/>
                <w:szCs w:val="20"/>
              </w:rPr>
              <w:t>Uzturam izziņas I sadaļas 28. punktā ietverto Tieslietu ministrijas iebildumu.</w:t>
            </w:r>
          </w:p>
          <w:p w14:paraId="3C3F6214" w14:textId="77777777" w:rsidR="00657498" w:rsidRPr="00F83F82" w:rsidRDefault="00657498" w:rsidP="00657498">
            <w:pPr>
              <w:jc w:val="both"/>
              <w:rPr>
                <w:rFonts w:ascii="Times New Roman" w:hAnsi="Times New Roman" w:cs="Times New Roman"/>
                <w:sz w:val="20"/>
                <w:szCs w:val="20"/>
              </w:rPr>
            </w:pPr>
            <w:r w:rsidRPr="00F83F82">
              <w:rPr>
                <w:rFonts w:ascii="Times New Roman" w:hAnsi="Times New Roman" w:cs="Times New Roman"/>
                <w:sz w:val="20"/>
                <w:szCs w:val="20"/>
              </w:rPr>
              <w:t>Atkārtoti vēršam uzmanību, ka likumprojekta 62.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turklāt privātpersonai. Papildus norādām, ka Komisijas tiesības pilnvarot citu personu veikt noteiktas darbības ietvertas arī likumprojekta 64. panta trešajā daļā.</w:t>
            </w:r>
          </w:p>
          <w:p w14:paraId="33A5D787" w14:textId="77777777" w:rsidR="00657498" w:rsidRPr="00F83F82" w:rsidRDefault="00657498" w:rsidP="00657498">
            <w:pPr>
              <w:jc w:val="both"/>
              <w:rPr>
                <w:rFonts w:ascii="Times New Roman" w:hAnsi="Times New Roman" w:cs="Times New Roman"/>
                <w:sz w:val="20"/>
                <w:szCs w:val="20"/>
              </w:rPr>
            </w:pPr>
            <w:r w:rsidRPr="00F83F82">
              <w:rPr>
                <w:rFonts w:ascii="Times New Roman" w:hAnsi="Times New Roman" w:cs="Times New Roman"/>
                <w:sz w:val="20"/>
                <w:szCs w:val="20"/>
              </w:rPr>
              <w:t>Tieslietu ministrijas ieskatā Direktīvas Nr. 2019/2034 50. panta 2. punktā tiek uzskaitīti iespējamie/pieļaujamie rīcības varianti, bet no tā neizriet, ka nacionālajās tiesībās būtu jāpārņem visi uzskaitītie varianti. Ja kāds no tiem ir pretrunā nacionālajām tiesībām, tad Direktīvas Nr. 2019/2034 korektai pārņemšanai pietiek ar vienas no uzskaitītajām iespējām transponēšanu.</w:t>
            </w:r>
          </w:p>
          <w:p w14:paraId="11E70CFC" w14:textId="56C06BA4" w:rsidR="00657498" w:rsidRPr="00657498" w:rsidRDefault="00657498" w:rsidP="00657498">
            <w:pPr>
              <w:jc w:val="both"/>
              <w:rPr>
                <w:rFonts w:ascii="Times New Roman" w:hAnsi="Times New Roman" w:cs="Times New Roman"/>
                <w:sz w:val="20"/>
                <w:szCs w:val="20"/>
              </w:rPr>
            </w:pPr>
            <w:r w:rsidRPr="00F83F82">
              <w:rPr>
                <w:rFonts w:ascii="Times New Roman" w:hAnsi="Times New Roman" w:cs="Times New Roman"/>
                <w:sz w:val="20"/>
                <w:szCs w:val="20"/>
              </w:rPr>
              <w:t>Ņemot vērā minēto, lūdzam atbilstoši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316924C1" w14:textId="44D95A4C" w:rsidR="00657498" w:rsidRDefault="00AB4786" w:rsidP="00657498">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Panākta vienošanās elektroniskajā saskaņošanā</w:t>
            </w:r>
            <w:r w:rsidR="00657498">
              <w:rPr>
                <w:rFonts w:ascii="Times New Roman" w:hAnsi="Times New Roman" w:cs="Times New Roman"/>
                <w:b/>
                <w:bCs/>
                <w:sz w:val="20"/>
                <w:szCs w:val="20"/>
              </w:rPr>
              <w:t>. Sniedzam skaidrojumu.</w:t>
            </w:r>
          </w:p>
          <w:p w14:paraId="29B3CAD2" w14:textId="77777777" w:rsidR="00657498" w:rsidRDefault="00657498" w:rsidP="00657498">
            <w:pPr>
              <w:spacing w:after="0" w:line="240" w:lineRule="auto"/>
              <w:jc w:val="both"/>
              <w:rPr>
                <w:rFonts w:ascii="Times New Roman" w:hAnsi="Times New Roman" w:cs="Times New Roman"/>
                <w:sz w:val="20"/>
                <w:szCs w:val="20"/>
              </w:rPr>
            </w:pPr>
            <w:r w:rsidRPr="002042A4">
              <w:rPr>
                <w:rFonts w:ascii="Times New Roman" w:hAnsi="Times New Roman" w:cs="Times New Roman"/>
                <w:sz w:val="20"/>
                <w:szCs w:val="20"/>
              </w:rPr>
              <w:t>Papildināts anotācijas I sadaļas 2.punkts.</w:t>
            </w:r>
            <w:r>
              <w:rPr>
                <w:rFonts w:ascii="Times New Roman" w:hAnsi="Times New Roman" w:cs="Times New Roman"/>
                <w:b/>
                <w:bCs/>
                <w:sz w:val="20"/>
                <w:szCs w:val="20"/>
              </w:rPr>
              <w:t xml:space="preserve"> </w:t>
            </w:r>
            <w:r>
              <w:rPr>
                <w:rFonts w:ascii="Times New Roman" w:hAnsi="Times New Roman" w:cs="Times New Roman"/>
                <w:sz w:val="20"/>
                <w:szCs w:val="20"/>
              </w:rPr>
              <w:t>V</w:t>
            </w:r>
            <w:r w:rsidRPr="00D11762">
              <w:rPr>
                <w:rFonts w:ascii="Times New Roman" w:hAnsi="Times New Roman" w:cs="Times New Roman"/>
                <w:sz w:val="20"/>
                <w:szCs w:val="20"/>
              </w:rPr>
              <w:t>ēršam uzmanību, ka likumprojekta 62.panta trešā daļa atbilst Direktīvas Nr. 2019/2034 50.panta prasībām, proti, minētais direktīvas pants paredz informācijas pārbaudi par sabiedrībām, kas atrodas citās dalībvalstīs. Minētās direktīvas prasības nosaka, ka dalībvalstīm šāda kārtība ir jānodrošina, proti, Finanšu un kapitāla tirgus komisijai tiesības veikt šādu pieprasījumu citas dalībvalsts uzraudzības institūcijai, kā arī pašai pēc šāda pieprasījuma tiesības veikt iekšējo pārbaudi vai atļaut minēto pārbaudi veikt attiecīgās dalībvalsts uzraudzības institūcijai, revidentam vai citai pilnvarotai personai.</w:t>
            </w:r>
            <w:r>
              <w:rPr>
                <w:rFonts w:ascii="Times New Roman" w:hAnsi="Times New Roman" w:cs="Times New Roman"/>
                <w:sz w:val="20"/>
                <w:szCs w:val="20"/>
              </w:rPr>
              <w:t xml:space="preserve"> Likumprojekta 64.panta trešā daļa atbilst Direktīvas </w:t>
            </w:r>
            <w:r>
              <w:rPr>
                <w:rFonts w:ascii="Times New Roman" w:hAnsi="Times New Roman" w:cs="Times New Roman"/>
                <w:sz w:val="20"/>
                <w:szCs w:val="20"/>
              </w:rPr>
              <w:t xml:space="preserve">Nr. 2019/2034 53.pantam, proti, minētās prasības attiecas uz jauktām </w:t>
            </w:r>
            <w:proofErr w:type="spellStart"/>
            <w:r>
              <w:rPr>
                <w:rFonts w:ascii="Times New Roman" w:hAnsi="Times New Roman" w:cs="Times New Roman"/>
                <w:sz w:val="20"/>
                <w:szCs w:val="20"/>
              </w:rPr>
              <w:t>pārvaldītājsabiedrībām</w:t>
            </w:r>
            <w:proofErr w:type="spellEnd"/>
            <w:r>
              <w:rPr>
                <w:rFonts w:ascii="Times New Roman" w:hAnsi="Times New Roman" w:cs="Times New Roman"/>
                <w:sz w:val="20"/>
                <w:szCs w:val="20"/>
              </w:rPr>
              <w:t>.</w:t>
            </w:r>
          </w:p>
          <w:p w14:paraId="7178A870" w14:textId="77777777" w:rsidR="00657498" w:rsidRDefault="00657498" w:rsidP="0065749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Likumprojekta 62. un 64.panta regulējuma atbilstība Direktīvas Nr. 2019/2034 prasībām ir ietverta likumprojekta anotācijā.</w:t>
            </w:r>
          </w:p>
          <w:p w14:paraId="3CE2BBD6" w14:textId="77777777" w:rsidR="00657498" w:rsidRDefault="00657498" w:rsidP="00657498">
            <w:pPr>
              <w:pStyle w:val="naisc"/>
              <w:spacing w:before="0" w:after="0"/>
              <w:jc w:val="both"/>
              <w:rPr>
                <w:sz w:val="20"/>
                <w:szCs w:val="20"/>
              </w:rPr>
            </w:pPr>
            <w:proofErr w:type="spellStart"/>
            <w:r>
              <w:rPr>
                <w:sz w:val="20"/>
                <w:szCs w:val="20"/>
              </w:rPr>
              <w:t>Papaildus</w:t>
            </w:r>
            <w:proofErr w:type="spellEnd"/>
            <w:r>
              <w:rPr>
                <w:sz w:val="20"/>
                <w:szCs w:val="20"/>
              </w:rPr>
              <w:t xml:space="preserve"> uzsveram, ka Komisijas tiesības pilnvarot citu personu veikt noteiktas darbības ietvertas arī citos finanšu nozares likumos, piemēram, Kredītiestāžu likuma 112.</w:t>
            </w:r>
            <w:r w:rsidRPr="00B81D92">
              <w:rPr>
                <w:sz w:val="20"/>
                <w:szCs w:val="20"/>
                <w:vertAlign w:val="superscript"/>
              </w:rPr>
              <w:t>2</w:t>
            </w:r>
            <w:r>
              <w:rPr>
                <w:sz w:val="20"/>
                <w:szCs w:val="20"/>
              </w:rPr>
              <w:t xml:space="preserve"> pants un Apdrošināšanas un pārapdrošināšanas likuma 236.pants.</w:t>
            </w:r>
          </w:p>
          <w:p w14:paraId="40B9061C" w14:textId="77777777" w:rsidR="00657498" w:rsidRDefault="00657498" w:rsidP="00657498">
            <w:pPr>
              <w:pStyle w:val="naisc"/>
              <w:spacing w:before="0" w:after="0"/>
              <w:jc w:val="both"/>
              <w:rPr>
                <w:sz w:val="20"/>
                <w:szCs w:val="20"/>
              </w:rPr>
            </w:pPr>
            <w:r w:rsidRPr="00261B51">
              <w:rPr>
                <w:sz w:val="20"/>
                <w:szCs w:val="20"/>
              </w:rPr>
              <w:t xml:space="preserve">Papildus vēršam uzmanību, ka, transponējot attiecīgo direktīvas normu, jāievieš visi punkti, jo nav  dotas  izvēles iespējas.  Arī minētās Direktīvas Preambulas 16. punkts paredz, ka, lai nostiprinātu ieguldījumu brokeru sabiedrību </w:t>
            </w:r>
            <w:proofErr w:type="spellStart"/>
            <w:r w:rsidRPr="00261B51">
              <w:rPr>
                <w:sz w:val="20"/>
                <w:szCs w:val="20"/>
              </w:rPr>
              <w:t>prudenciālo</w:t>
            </w:r>
            <w:proofErr w:type="spellEnd"/>
            <w:r w:rsidRPr="00261B51">
              <w:rPr>
                <w:sz w:val="20"/>
                <w:szCs w:val="20"/>
              </w:rPr>
              <w:t xml:space="preserve"> uzraudzību un šo brokeru sabiedrību klientu aizsardzību, revidentiem būtu jāveic savas pārbaudes objektīvi un nekavējoties jāpaziņo kompetentajām iestādēm fakti, kas varētu nopietni ietekmēt ieguldījumu brokeru sabiedrības finansiālo stāvokli vai administratīvo un grāmatvedības organizāciju. Tādējādi tiek uzsvērta zvērinātu revidentu institūta uzticamība un nozīme ieguldījumu brokeru sabiedrību </w:t>
            </w:r>
            <w:proofErr w:type="spellStart"/>
            <w:r w:rsidRPr="00261B51">
              <w:rPr>
                <w:sz w:val="20"/>
                <w:szCs w:val="20"/>
              </w:rPr>
              <w:t>prudenciālās</w:t>
            </w:r>
            <w:proofErr w:type="spellEnd"/>
            <w:r w:rsidRPr="00261B51">
              <w:rPr>
                <w:sz w:val="20"/>
                <w:szCs w:val="20"/>
              </w:rPr>
              <w:t xml:space="preserve"> uzraudzības veiksmīgā īstenošanā. </w:t>
            </w:r>
          </w:p>
          <w:p w14:paraId="080F6A15" w14:textId="77777777" w:rsidR="00657498" w:rsidRPr="009760B5" w:rsidRDefault="00657498" w:rsidP="00657498">
            <w:pPr>
              <w:pStyle w:val="naisc"/>
              <w:spacing w:before="0" w:after="0"/>
              <w:jc w:val="both"/>
              <w:rPr>
                <w:i/>
                <w:iCs/>
                <w:sz w:val="20"/>
                <w:szCs w:val="20"/>
              </w:rPr>
            </w:pPr>
            <w:r w:rsidRPr="009760B5">
              <w:rPr>
                <w:sz w:val="20"/>
                <w:szCs w:val="20"/>
              </w:rPr>
              <w:t xml:space="preserve">Direktīvas Nr. 2019/2034 50.pants neparedz izvēles iespējas attiecībā uz transponēšanu dalībvalsts nacionālajā regulējuma, proti, 2.punkts paredz, ka </w:t>
            </w:r>
            <w:r w:rsidRPr="009760B5">
              <w:rPr>
                <w:i/>
                <w:iCs/>
                <w:sz w:val="20"/>
                <w:szCs w:val="20"/>
              </w:rPr>
              <w:t xml:space="preserve">Kompetentās </w:t>
            </w:r>
            <w:r w:rsidRPr="009760B5">
              <w:rPr>
                <w:i/>
                <w:iCs/>
                <w:sz w:val="20"/>
                <w:szCs w:val="20"/>
              </w:rPr>
              <w:lastRenderedPageBreak/>
              <w:t>iestādes, kas ir saņēmušas pieprasījumu atbilstoši 1. punktam, rīkojas jebkurā no šiem veidiem:</w:t>
            </w:r>
          </w:p>
          <w:p w14:paraId="526562BF" w14:textId="77777777" w:rsidR="00657498" w:rsidRPr="009760B5" w:rsidRDefault="00657498" w:rsidP="00657498">
            <w:pPr>
              <w:pStyle w:val="naisc"/>
              <w:spacing w:before="0" w:after="0"/>
              <w:jc w:val="both"/>
              <w:rPr>
                <w:i/>
                <w:iCs/>
                <w:sz w:val="20"/>
                <w:szCs w:val="20"/>
              </w:rPr>
            </w:pPr>
            <w:r w:rsidRPr="009760B5">
              <w:rPr>
                <w:sz w:val="20"/>
                <w:szCs w:val="20"/>
              </w:rPr>
              <w:t>a)</w:t>
            </w:r>
            <w:r w:rsidRPr="009760B5">
              <w:rPr>
                <w:color w:val="000000"/>
                <w:shd w:val="clear" w:color="auto" w:fill="FFFFFF"/>
              </w:rPr>
              <w:t xml:space="preserve"> </w:t>
            </w:r>
            <w:r w:rsidRPr="009760B5">
              <w:rPr>
                <w:i/>
                <w:iCs/>
                <w:sz w:val="20"/>
                <w:szCs w:val="20"/>
              </w:rPr>
              <w:t>pārbaudi veic pašas, ievērojot savu kompetenci;</w:t>
            </w:r>
          </w:p>
          <w:p w14:paraId="168A1F4B" w14:textId="77777777" w:rsidR="00657498" w:rsidRPr="009760B5" w:rsidRDefault="00657498" w:rsidP="00657498">
            <w:pPr>
              <w:pStyle w:val="naisc"/>
              <w:spacing w:before="0" w:after="0"/>
              <w:jc w:val="both"/>
              <w:rPr>
                <w:i/>
                <w:iCs/>
                <w:sz w:val="20"/>
                <w:szCs w:val="20"/>
              </w:rPr>
            </w:pPr>
            <w:r w:rsidRPr="009760B5">
              <w:rPr>
                <w:i/>
                <w:iCs/>
                <w:sz w:val="20"/>
                <w:szCs w:val="20"/>
              </w:rPr>
              <w:t>b)</w:t>
            </w:r>
            <w:r w:rsidRPr="009760B5">
              <w:rPr>
                <w:color w:val="000000"/>
                <w:shd w:val="clear" w:color="auto" w:fill="FFFFFF"/>
              </w:rPr>
              <w:t xml:space="preserve"> </w:t>
            </w:r>
            <w:r w:rsidRPr="009760B5">
              <w:rPr>
                <w:i/>
                <w:iCs/>
                <w:sz w:val="20"/>
                <w:szCs w:val="20"/>
              </w:rPr>
              <w:t>ļauj pārbaudi veikt kompetentajām iestādēm, kuras iesniedza minēto pieprasījumu;</w:t>
            </w:r>
          </w:p>
          <w:p w14:paraId="4BDF34EC" w14:textId="77777777" w:rsidR="00657498" w:rsidRPr="009760B5" w:rsidRDefault="00657498" w:rsidP="00657498">
            <w:pPr>
              <w:pStyle w:val="naisc"/>
              <w:spacing w:before="0" w:after="0"/>
              <w:jc w:val="both"/>
              <w:rPr>
                <w:i/>
                <w:iCs/>
                <w:sz w:val="20"/>
                <w:szCs w:val="20"/>
              </w:rPr>
            </w:pPr>
            <w:r w:rsidRPr="009760B5">
              <w:rPr>
                <w:i/>
                <w:iCs/>
                <w:sz w:val="20"/>
                <w:szCs w:val="20"/>
              </w:rPr>
              <w:t>c) pārbaudes veikšanu uztic revidentam vai ekspertam, kas dara to objektīvi un nekavējoties ziņo par rezultātiem.</w:t>
            </w:r>
          </w:p>
          <w:p w14:paraId="4CFE0FCF" w14:textId="77777777" w:rsidR="00657498" w:rsidRPr="009760B5" w:rsidRDefault="00657498" w:rsidP="00657498">
            <w:pPr>
              <w:pStyle w:val="naisc"/>
              <w:spacing w:before="0" w:after="0"/>
              <w:jc w:val="both"/>
              <w:rPr>
                <w:i/>
                <w:iCs/>
                <w:sz w:val="20"/>
                <w:szCs w:val="20"/>
              </w:rPr>
            </w:pPr>
            <w:r w:rsidRPr="009760B5">
              <w:rPr>
                <w:i/>
                <w:iCs/>
                <w:sz w:val="20"/>
                <w:szCs w:val="20"/>
              </w:rPr>
              <w:t>Šā punkta a) un c) apakšpunkta piemērošanas vajadzībām kompetentajām iestādēm, kas iesniedza pieprasījumu, ļauj piedalīties pārbaudē.</w:t>
            </w:r>
          </w:p>
          <w:p w14:paraId="614CD0FD" w14:textId="6B0E67EE" w:rsidR="00657498" w:rsidRPr="00261B51" w:rsidRDefault="00657498" w:rsidP="00657498">
            <w:pPr>
              <w:pStyle w:val="naisc"/>
              <w:spacing w:before="0" w:after="0"/>
              <w:jc w:val="both"/>
              <w:rPr>
                <w:sz w:val="20"/>
                <w:szCs w:val="20"/>
              </w:rPr>
            </w:pPr>
            <w:r w:rsidRPr="009760B5">
              <w:rPr>
                <w:sz w:val="20"/>
                <w:szCs w:val="20"/>
              </w:rPr>
              <w:t>Direktīvas Nr. 2019/2034 50.pants paredz izvēles iespēju kompetentajai iestādei izvēlēties veidu, kā rīkoties attiecīgajā situācija un šiem veidiem ir jābūt transponētiem nacionālajā regulējumā.</w:t>
            </w:r>
          </w:p>
          <w:p w14:paraId="67E9D9C4" w14:textId="77777777" w:rsidR="00657498" w:rsidRPr="008059C5" w:rsidRDefault="00657498" w:rsidP="007D6D6F">
            <w:pPr>
              <w:spacing w:after="0" w:line="240" w:lineRule="auto"/>
              <w:jc w:val="both"/>
              <w:rPr>
                <w:rFonts w:ascii="Times New Roman" w:hAnsi="Times New Roman" w:cs="Times New Roman"/>
                <w:b/>
                <w:bCs/>
                <w:sz w:val="20"/>
                <w:szCs w:val="20"/>
              </w:rPr>
            </w:pPr>
          </w:p>
        </w:tc>
        <w:tc>
          <w:tcPr>
            <w:tcW w:w="936" w:type="pct"/>
            <w:tcBorders>
              <w:top w:val="single" w:sz="4" w:space="0" w:color="auto"/>
              <w:left w:val="single" w:sz="4" w:space="0" w:color="auto"/>
              <w:bottom w:val="single" w:sz="4" w:space="0" w:color="auto"/>
              <w:right w:val="single" w:sz="4" w:space="0" w:color="auto"/>
            </w:tcBorders>
          </w:tcPr>
          <w:p w14:paraId="7762023C" w14:textId="77777777" w:rsidR="00657498" w:rsidRPr="006E4EC9" w:rsidRDefault="00657498" w:rsidP="00657498">
            <w:pPr>
              <w:jc w:val="both"/>
              <w:rPr>
                <w:rFonts w:ascii="Times New Roman" w:hAnsi="Times New Roman" w:cs="Times New Roman"/>
                <w:sz w:val="20"/>
                <w:szCs w:val="20"/>
              </w:rPr>
            </w:pPr>
            <w:r w:rsidRPr="006E4EC9">
              <w:rPr>
                <w:rFonts w:ascii="Times New Roman" w:hAnsi="Times New Roman" w:cs="Times New Roman"/>
                <w:sz w:val="20"/>
                <w:szCs w:val="20"/>
              </w:rPr>
              <w:lastRenderedPageBreak/>
              <w:t>Anotācijas I sadaļas 2.punkts:</w:t>
            </w:r>
          </w:p>
          <w:p w14:paraId="11541337" w14:textId="7CF1C1A5" w:rsidR="00657498" w:rsidRPr="00940BE6" w:rsidRDefault="00657498" w:rsidP="00657498">
            <w:pPr>
              <w:spacing w:after="0" w:line="240" w:lineRule="auto"/>
              <w:jc w:val="both"/>
              <w:rPr>
                <w:rFonts w:ascii="Times New Roman" w:hAnsi="Times New Roman" w:cs="Times New Roman"/>
                <w:b/>
                <w:bCs/>
                <w:sz w:val="20"/>
                <w:szCs w:val="20"/>
              </w:rPr>
            </w:pPr>
            <w:r w:rsidRPr="006E4EC9">
              <w:rPr>
                <w:rFonts w:ascii="Times New Roman" w:hAnsi="Times New Roman" w:cs="Times New Roman"/>
                <w:sz w:val="20"/>
                <w:szCs w:val="20"/>
              </w:rPr>
              <w:t>Tāpat likumprojekta 62.pants paredz, ka Finanšu un kapitāla tirgus komisija, saņemot citas dalībvalsts uzraudzības institūcijas lūgumu pārbaudīt informācijas patiesumu, var veikt iekšējo pārbaudi pati, atļaut minēto pārbaudi veikt attiecīgās dalībvalsts uzraudzības institūcijai, zvērinātam revidentam vai zvērinātu revidentu komercsabiedrībai, ietverot pienākumu nekavējoties informēt par minētās pārbaudes rezultātiem. Attiecībā uz atļauju veikt pārbaudi zvērinātam revidentam vai zvērinātu revidentu komercsabiedrībai jānorāda, ka šāda prakse nav neierasta un ir pietiekami izplatīta finanšu sektora uzraudzībā, piemēram, Kredītiestāžu likuma 112.</w:t>
            </w:r>
            <w:r w:rsidRPr="00657498">
              <w:rPr>
                <w:rFonts w:ascii="Times New Roman" w:hAnsi="Times New Roman" w:cs="Times New Roman"/>
                <w:sz w:val="20"/>
                <w:szCs w:val="20"/>
                <w:vertAlign w:val="superscript"/>
              </w:rPr>
              <w:t>8</w:t>
            </w:r>
            <w:r w:rsidRPr="006E4EC9">
              <w:rPr>
                <w:rFonts w:ascii="Times New Roman" w:hAnsi="Times New Roman" w:cs="Times New Roman"/>
                <w:sz w:val="20"/>
                <w:szCs w:val="20"/>
              </w:rPr>
              <w:t xml:space="preserve"> panta otrā daļa. Tāpat virkne finanšu sektora normatīvo aktu ietver noteikumu attiecībā uz zvērināta revidenta atzinumu, proti, ja atzinums ir ar </w:t>
            </w:r>
            <w:r w:rsidRPr="006E4EC9">
              <w:rPr>
                <w:rFonts w:ascii="Times New Roman" w:hAnsi="Times New Roman" w:cs="Times New Roman"/>
                <w:sz w:val="20"/>
                <w:szCs w:val="20"/>
              </w:rPr>
              <w:t>piezīmēm (</w:t>
            </w:r>
            <w:proofErr w:type="spellStart"/>
            <w:r w:rsidRPr="006E4EC9">
              <w:rPr>
                <w:rFonts w:ascii="Times New Roman" w:hAnsi="Times New Roman" w:cs="Times New Roman"/>
                <w:sz w:val="20"/>
                <w:szCs w:val="20"/>
              </w:rPr>
              <w:t>iebildēm</w:t>
            </w:r>
            <w:proofErr w:type="spellEnd"/>
            <w:r w:rsidRPr="006E4EC9">
              <w:rPr>
                <w:rFonts w:ascii="Times New Roman" w:hAnsi="Times New Roman" w:cs="Times New Roman"/>
                <w:sz w:val="20"/>
                <w:szCs w:val="20"/>
              </w:rPr>
              <w:t>), dividendes var izmaksāt tikai ar Finanšu un kapitāla tirgus komisijas piekrišanu,</w:t>
            </w:r>
            <w:r w:rsidR="00DD22B3" w:rsidRPr="006E4EC9">
              <w:rPr>
                <w:rFonts w:ascii="Times New Roman" w:hAnsi="Times New Roman" w:cs="Times New Roman"/>
                <w:sz w:val="20"/>
                <w:szCs w:val="20"/>
              </w:rPr>
              <w:t xml:space="preserve"> piemēram, Finanšu instrumentu tirgus likuma 118.panta trešā daļa. Zvērinātu revidentu un zvērinātu revidentu komercsabiedrību atzinums būtībā nodrošina neatkarīgu un objektīvu viedokli par konkrētas finanšu institūcijas stāvokli, kas uzlabo finanšu sektora uzraudzības kvalitāti. Likumprojekta 62.panta trešā daļa ir vērsta uz to, lai zvērināts revidents vai zvērinātu revidentu komercsabiedrība veiktu pārbaudi un sniegtu atzinumu tiem normatīvajos aktos noteiktās kompetences ietvaros, tādejādi </w:t>
            </w:r>
            <w:proofErr w:type="spellStart"/>
            <w:r w:rsidR="00DD22B3" w:rsidRPr="006E4EC9">
              <w:rPr>
                <w:rFonts w:ascii="Times New Roman" w:hAnsi="Times New Roman" w:cs="Times New Roman"/>
                <w:sz w:val="20"/>
                <w:szCs w:val="20"/>
              </w:rPr>
              <w:t>nofrošinot</w:t>
            </w:r>
            <w:proofErr w:type="spellEnd"/>
            <w:r w:rsidR="00DD22B3" w:rsidRPr="006E4EC9">
              <w:rPr>
                <w:rFonts w:ascii="Times New Roman" w:hAnsi="Times New Roman" w:cs="Times New Roman"/>
                <w:sz w:val="20"/>
                <w:szCs w:val="20"/>
              </w:rPr>
              <w:t xml:space="preserve"> neatkarīgu un objektīvu viedokli.</w:t>
            </w:r>
          </w:p>
        </w:tc>
      </w:tr>
      <w:tr w:rsidR="007D6D6F" w:rsidRPr="00184920" w14:paraId="2783770F"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320C8FC" w14:textId="317C73E6"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29.</w:t>
            </w:r>
          </w:p>
        </w:tc>
        <w:tc>
          <w:tcPr>
            <w:tcW w:w="692" w:type="pct"/>
            <w:tcBorders>
              <w:top w:val="single" w:sz="6" w:space="0" w:color="000000"/>
              <w:left w:val="single" w:sz="6" w:space="0" w:color="000000"/>
              <w:bottom w:val="single" w:sz="6" w:space="0" w:color="000000"/>
              <w:right w:val="single" w:sz="6" w:space="0" w:color="000000"/>
            </w:tcBorders>
          </w:tcPr>
          <w:p w14:paraId="7D827B8E" w14:textId="77777777" w:rsidR="007D6D6F" w:rsidRPr="004063C1" w:rsidRDefault="007D6D6F" w:rsidP="007D6D6F">
            <w:pPr>
              <w:pStyle w:val="NoSpacing"/>
              <w:widowControl/>
              <w:rPr>
                <w:rFonts w:eastAsiaTheme="minorHAnsi"/>
                <w:b/>
                <w:bCs/>
                <w:sz w:val="20"/>
                <w:szCs w:val="20"/>
              </w:rPr>
            </w:pPr>
            <w:r w:rsidRPr="004063C1">
              <w:rPr>
                <w:rFonts w:eastAsiaTheme="minorHAnsi"/>
                <w:b/>
                <w:bCs/>
                <w:sz w:val="20"/>
                <w:szCs w:val="20"/>
              </w:rPr>
              <w:t>XII nodaļa</w:t>
            </w:r>
          </w:p>
          <w:p w14:paraId="11CAE183" w14:textId="77777777" w:rsidR="007D6D6F" w:rsidRPr="004063C1" w:rsidRDefault="007D6D6F" w:rsidP="007D6D6F">
            <w:pPr>
              <w:pStyle w:val="NoSpacing"/>
              <w:widowControl/>
              <w:rPr>
                <w:rFonts w:eastAsiaTheme="minorHAnsi"/>
                <w:b/>
                <w:bCs/>
                <w:sz w:val="20"/>
                <w:szCs w:val="20"/>
              </w:rPr>
            </w:pPr>
            <w:r w:rsidRPr="004063C1">
              <w:rPr>
                <w:rFonts w:eastAsiaTheme="minorHAnsi"/>
                <w:b/>
                <w:bCs/>
                <w:sz w:val="20"/>
                <w:szCs w:val="20"/>
              </w:rPr>
              <w:lastRenderedPageBreak/>
              <w:t>Administratīvie akti un atbildība par normatīvo aktu pārkāpumiem</w:t>
            </w:r>
          </w:p>
          <w:p w14:paraId="2F3A19DC" w14:textId="77777777" w:rsidR="007D6D6F" w:rsidRDefault="007D6D6F" w:rsidP="007D6D6F">
            <w:pPr>
              <w:spacing w:after="0" w:line="240" w:lineRule="auto"/>
              <w:jc w:val="both"/>
              <w:rPr>
                <w:rFonts w:ascii="Times New Roman" w:eastAsia="Times New Roman" w:hAnsi="Times New Roman" w:cs="Times New Roman"/>
                <w:sz w:val="20"/>
                <w:szCs w:val="20"/>
              </w:rPr>
            </w:pPr>
          </w:p>
          <w:p w14:paraId="526979EC" w14:textId="33772708" w:rsidR="007D6D6F" w:rsidRPr="00720F1D" w:rsidRDefault="007D6D6F" w:rsidP="007D6D6F">
            <w:pPr>
              <w:pStyle w:val="NoSpacing"/>
              <w:widowControl/>
              <w:rPr>
                <w:rFonts w:eastAsiaTheme="minorHAnsi"/>
                <w:b/>
                <w:bCs/>
                <w:sz w:val="20"/>
                <w:szCs w:val="20"/>
              </w:rPr>
            </w:pPr>
            <w:r w:rsidRPr="00720F1D">
              <w:rPr>
                <w:rFonts w:eastAsiaTheme="minorHAnsi"/>
                <w:b/>
                <w:bCs/>
                <w:sz w:val="20"/>
                <w:szCs w:val="20"/>
              </w:rPr>
              <w:t>68.pants. Administratīvo aktu izdošana un pārsūdzēšana</w:t>
            </w:r>
          </w:p>
          <w:p w14:paraId="6BCB2743" w14:textId="420845C5"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4063C1">
              <w:rPr>
                <w:rFonts w:ascii="Times New Roman" w:hAnsi="Times New Roman"/>
                <w:bCs/>
                <w:sz w:val="20"/>
                <w:szCs w:val="20"/>
              </w:rPr>
              <w:t xml:space="preserve">(1) Šajā likumā un tieši piemērojamajos Eiropas Savienības tiesību aktos noteiktajos gadījumos Komisija izdod administratīvos aktus. Komisijas administratīvo aktu, kas izdots saskaņā ar šo likumu, </w:t>
            </w:r>
            <w:r w:rsidRPr="004063C1">
              <w:rPr>
                <w:rFonts w:ascii="Times New Roman" w:hAnsi="Times New Roman"/>
                <w:bCs/>
                <w:sz w:val="20"/>
                <w:szCs w:val="20"/>
                <w:u w:val="single"/>
              </w:rPr>
              <w:t>var pārsūdzēt Administratīvā procesa likumā noteiktajā kārtībā</w:t>
            </w:r>
            <w:r w:rsidRPr="004063C1">
              <w:rPr>
                <w:rFonts w:ascii="Times New Roman" w:hAnsi="Times New Roman"/>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6BAE2CA0" w14:textId="60580461" w:rsidR="007D6D6F" w:rsidRPr="002E15CC" w:rsidRDefault="007D6D6F" w:rsidP="007D6D6F">
            <w:pPr>
              <w:spacing w:after="0" w:line="240" w:lineRule="auto"/>
              <w:jc w:val="both"/>
              <w:rPr>
                <w:rFonts w:ascii="Times New Roman" w:eastAsia="Times New Roman" w:hAnsi="Times New Roman" w:cs="Times New Roman"/>
                <w:sz w:val="20"/>
                <w:szCs w:val="20"/>
                <w:lang w:eastAsia="lv-LV"/>
              </w:rPr>
            </w:pPr>
            <w:r w:rsidRPr="002E15CC">
              <w:rPr>
                <w:rFonts w:ascii="Times New Roman" w:hAnsi="Times New Roman" w:cs="Times New Roman"/>
                <w:b/>
                <w:bCs/>
                <w:sz w:val="20"/>
                <w:szCs w:val="20"/>
              </w:rPr>
              <w:lastRenderedPageBreak/>
              <w:t>Iebildums.</w:t>
            </w:r>
            <w:r w:rsidRPr="002E15CC">
              <w:rPr>
                <w:rFonts w:ascii="Times New Roman" w:hAnsi="Times New Roman" w:cs="Times New Roman"/>
                <w:sz w:val="20"/>
                <w:szCs w:val="20"/>
              </w:rPr>
              <w:t xml:space="preserve"> Lūdzam izvērtēt likumprojekta XII nodaļas nosaukumu, jo no tā nav saprotams, kas tajā tiks ietverts. To, kas ir administratīvie akti un kā tos apstrīd un pārsūdz, </w:t>
            </w:r>
            <w:r w:rsidRPr="002E15CC">
              <w:rPr>
                <w:rFonts w:ascii="Times New Roman" w:hAnsi="Times New Roman" w:cs="Times New Roman"/>
                <w:sz w:val="20"/>
                <w:szCs w:val="20"/>
              </w:rPr>
              <w:lastRenderedPageBreak/>
              <w:t>regulē Administratīvā procesa likums, tāpēc šāds regulējums likumprojektā nav jāiekļauj, jo tam nav juridiskās slodzes. Piemēram, likumprojekta 66. pants noteic, ka Komisijas izdotos administratīvos aktus var pārsūdzēt Administratīvā procesa likumā noteiktajā kārtībā. Šāda norāde ir lieka, jo tas vispārīgi jau izriet no Administratīvā procesa likumā ietvertā regulējuma. Ievērojot minēto, lūdzam izvērtēt likumprojekta XII nodaļu un tajā ietverto regulējumu un precizēt likumprojektu.</w:t>
            </w:r>
          </w:p>
        </w:tc>
        <w:tc>
          <w:tcPr>
            <w:tcW w:w="848" w:type="pct"/>
            <w:gridSpan w:val="2"/>
            <w:tcBorders>
              <w:top w:val="single" w:sz="6" w:space="0" w:color="000000"/>
              <w:left w:val="single" w:sz="6" w:space="0" w:color="000000"/>
              <w:bottom w:val="single" w:sz="6" w:space="0" w:color="000000"/>
              <w:right w:val="single" w:sz="6" w:space="0" w:color="000000"/>
            </w:tcBorders>
          </w:tcPr>
          <w:p w14:paraId="13F2D690" w14:textId="29877BEE" w:rsidR="007D6D6F" w:rsidRPr="0036005B" w:rsidRDefault="007D6D6F" w:rsidP="007D6D6F">
            <w:pPr>
              <w:spacing w:after="0" w:line="240" w:lineRule="auto"/>
              <w:jc w:val="both"/>
              <w:rPr>
                <w:rFonts w:ascii="Times New Roman" w:eastAsia="Times New Roman" w:hAnsi="Times New Roman" w:cs="Times New Roman"/>
                <w:sz w:val="20"/>
                <w:szCs w:val="20"/>
                <w:highlight w:val="yellow"/>
                <w:lang w:eastAsia="lv-LV"/>
              </w:rPr>
            </w:pPr>
            <w:r w:rsidRPr="00940BE6">
              <w:rPr>
                <w:rFonts w:ascii="Times New Roman" w:eastAsia="Times New Roman" w:hAnsi="Times New Roman" w:cs="Times New Roman"/>
                <w:b/>
                <w:bCs/>
                <w:sz w:val="20"/>
                <w:szCs w:val="20"/>
                <w:lang w:eastAsia="lv-LV"/>
              </w:rPr>
              <w:lastRenderedPageBreak/>
              <w:t xml:space="preserve">Iebildums ņemts vērā. </w:t>
            </w:r>
            <w:r w:rsidR="00940BE6">
              <w:rPr>
                <w:rFonts w:ascii="Times New Roman" w:eastAsia="Times New Roman" w:hAnsi="Times New Roman" w:cs="Times New Roman"/>
                <w:sz w:val="20"/>
                <w:szCs w:val="20"/>
                <w:lang w:eastAsia="lv-LV"/>
              </w:rPr>
              <w:t>Pilnībā pārskatīta XII nodaļa</w:t>
            </w:r>
            <w:r w:rsidRPr="00940BE6">
              <w:rPr>
                <w:rFonts w:ascii="Times New Roman" w:eastAsia="Times New Roman" w:hAnsi="Times New Roman" w:cs="Times New Roman"/>
                <w:sz w:val="20"/>
                <w:szCs w:val="20"/>
                <w:lang w:eastAsia="lv-LV"/>
              </w:rPr>
              <w:t>, lūdzam skatīt</w:t>
            </w:r>
            <w:r w:rsidR="00940BE6">
              <w:rPr>
                <w:rFonts w:ascii="Times New Roman" w:eastAsia="Times New Roman" w:hAnsi="Times New Roman" w:cs="Times New Roman"/>
                <w:sz w:val="20"/>
                <w:szCs w:val="20"/>
                <w:lang w:eastAsia="lv-LV"/>
              </w:rPr>
              <w:t xml:space="preserve"> arī </w:t>
            </w:r>
            <w:r w:rsidRPr="00940BE6">
              <w:rPr>
                <w:rFonts w:ascii="Times New Roman" w:eastAsia="Times New Roman" w:hAnsi="Times New Roman" w:cs="Times New Roman"/>
                <w:sz w:val="20"/>
                <w:szCs w:val="20"/>
                <w:lang w:eastAsia="lv-LV"/>
              </w:rPr>
              <w:t xml:space="preserve"> 27.iebildumā precizēto.</w:t>
            </w:r>
          </w:p>
        </w:tc>
        <w:tc>
          <w:tcPr>
            <w:tcW w:w="936" w:type="pct"/>
            <w:tcBorders>
              <w:top w:val="single" w:sz="4" w:space="0" w:color="auto"/>
              <w:left w:val="single" w:sz="4" w:space="0" w:color="auto"/>
              <w:bottom w:val="single" w:sz="4" w:space="0" w:color="auto"/>
              <w:right w:val="single" w:sz="4" w:space="0" w:color="auto"/>
            </w:tcBorders>
          </w:tcPr>
          <w:p w14:paraId="36062E88"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r w:rsidRPr="00940BE6">
              <w:rPr>
                <w:rFonts w:ascii="Times New Roman" w:eastAsia="Times New Roman" w:hAnsi="Times New Roman" w:cs="Times New Roman"/>
                <w:sz w:val="20"/>
                <w:szCs w:val="20"/>
                <w:lang w:eastAsia="lv-LV"/>
              </w:rPr>
              <w:t>Likumprojekta XII nodaļas nosaukums:</w:t>
            </w:r>
          </w:p>
          <w:p w14:paraId="30A3FC1B"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p>
          <w:p w14:paraId="69AF3667" w14:textId="77777777" w:rsidR="007D6D6F" w:rsidRPr="00940BE6" w:rsidRDefault="007D6D6F" w:rsidP="007D6D6F">
            <w:pPr>
              <w:spacing w:after="0" w:line="240" w:lineRule="auto"/>
              <w:jc w:val="center"/>
              <w:rPr>
                <w:rFonts w:ascii="Times New Roman" w:eastAsia="Times New Roman" w:hAnsi="Times New Roman" w:cs="Times New Roman"/>
                <w:b/>
                <w:bCs/>
                <w:sz w:val="20"/>
                <w:szCs w:val="20"/>
                <w:lang w:eastAsia="lv-LV"/>
              </w:rPr>
            </w:pPr>
            <w:r w:rsidRPr="00940BE6">
              <w:rPr>
                <w:rFonts w:ascii="Times New Roman" w:eastAsia="Times New Roman" w:hAnsi="Times New Roman" w:cs="Times New Roman"/>
                <w:b/>
                <w:bCs/>
                <w:sz w:val="20"/>
                <w:szCs w:val="20"/>
                <w:lang w:eastAsia="lv-LV"/>
              </w:rPr>
              <w:t>XII nodaļa</w:t>
            </w:r>
          </w:p>
          <w:p w14:paraId="01C6F86B" w14:textId="00E0C189" w:rsidR="007D6D6F" w:rsidRPr="00940BE6" w:rsidRDefault="007D6D6F" w:rsidP="007D6D6F">
            <w:pPr>
              <w:spacing w:after="0" w:line="240" w:lineRule="auto"/>
              <w:jc w:val="center"/>
              <w:rPr>
                <w:rFonts w:ascii="Times New Roman" w:eastAsia="Times New Roman" w:hAnsi="Times New Roman" w:cs="Times New Roman"/>
                <w:b/>
                <w:bCs/>
                <w:sz w:val="20"/>
                <w:szCs w:val="20"/>
                <w:lang w:eastAsia="lv-LV"/>
              </w:rPr>
            </w:pPr>
            <w:r w:rsidRPr="00940BE6">
              <w:rPr>
                <w:rFonts w:ascii="Times New Roman" w:eastAsia="Times New Roman" w:hAnsi="Times New Roman" w:cs="Times New Roman"/>
                <w:b/>
                <w:bCs/>
                <w:sz w:val="20"/>
                <w:szCs w:val="20"/>
                <w:lang w:eastAsia="lv-LV"/>
              </w:rPr>
              <w:lastRenderedPageBreak/>
              <w:t xml:space="preserve">Atbildība </w:t>
            </w:r>
          </w:p>
          <w:p w14:paraId="7B0D9E65"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p>
          <w:p w14:paraId="07B206CB" w14:textId="54E56E9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r w:rsidRPr="00940BE6">
              <w:rPr>
                <w:rFonts w:ascii="Times New Roman" w:eastAsia="Times New Roman" w:hAnsi="Times New Roman" w:cs="Times New Roman"/>
                <w:sz w:val="20"/>
                <w:szCs w:val="20"/>
                <w:lang w:eastAsia="lv-LV"/>
              </w:rPr>
              <w:t xml:space="preserve">Likumprojekta </w:t>
            </w:r>
            <w:r w:rsidR="00940BE6">
              <w:rPr>
                <w:rFonts w:ascii="Times New Roman" w:eastAsia="Times New Roman" w:hAnsi="Times New Roman" w:cs="Times New Roman"/>
                <w:sz w:val="20"/>
                <w:szCs w:val="20"/>
                <w:lang w:eastAsia="lv-LV"/>
              </w:rPr>
              <w:t>76</w:t>
            </w:r>
            <w:r w:rsidRPr="00940BE6">
              <w:rPr>
                <w:rFonts w:ascii="Times New Roman" w:eastAsia="Times New Roman" w:hAnsi="Times New Roman" w:cs="Times New Roman"/>
                <w:sz w:val="20"/>
                <w:szCs w:val="20"/>
                <w:lang w:eastAsia="lv-LV"/>
              </w:rPr>
              <w:t>.panta pirmā daļa:</w:t>
            </w:r>
          </w:p>
          <w:p w14:paraId="5662B4CA" w14:textId="77777777" w:rsidR="007D6D6F" w:rsidRPr="00940BE6" w:rsidRDefault="007D6D6F" w:rsidP="007D6D6F">
            <w:pPr>
              <w:spacing w:after="0" w:line="240" w:lineRule="auto"/>
              <w:jc w:val="both"/>
              <w:rPr>
                <w:rFonts w:ascii="Times New Roman" w:eastAsia="Times New Roman" w:hAnsi="Times New Roman" w:cs="Times New Roman"/>
                <w:sz w:val="20"/>
                <w:szCs w:val="20"/>
                <w:lang w:eastAsia="lv-LV"/>
              </w:rPr>
            </w:pPr>
          </w:p>
          <w:p w14:paraId="7BE73A69" w14:textId="77777777" w:rsidR="00940BE6" w:rsidRPr="00940BE6" w:rsidRDefault="00940BE6" w:rsidP="00940BE6">
            <w:pPr>
              <w:spacing w:after="0" w:line="240" w:lineRule="auto"/>
              <w:jc w:val="both"/>
              <w:rPr>
                <w:rFonts w:ascii="Times New Roman" w:hAnsi="Times New Roman" w:cs="Times New Roman"/>
                <w:b/>
                <w:bCs/>
                <w:sz w:val="20"/>
                <w:szCs w:val="20"/>
              </w:rPr>
            </w:pPr>
            <w:r w:rsidRPr="00940BE6">
              <w:rPr>
                <w:rFonts w:ascii="Times New Roman" w:hAnsi="Times New Roman" w:cs="Times New Roman"/>
                <w:b/>
                <w:bCs/>
                <w:sz w:val="20"/>
                <w:szCs w:val="20"/>
              </w:rPr>
              <w:t>76. pants. Komisijas izdotā administratīvā akta pārsūdzēšana</w:t>
            </w:r>
          </w:p>
          <w:p w14:paraId="70B8BB76" w14:textId="77777777" w:rsidR="00940BE6" w:rsidRPr="008059C5" w:rsidRDefault="00940BE6" w:rsidP="00940BE6">
            <w:pPr>
              <w:spacing w:after="0" w:line="240" w:lineRule="auto"/>
              <w:jc w:val="both"/>
              <w:rPr>
                <w:rFonts w:ascii="Times New Roman" w:hAnsi="Times New Roman" w:cs="Times New Roman"/>
                <w:sz w:val="20"/>
                <w:szCs w:val="20"/>
                <w:u w:val="single"/>
              </w:rPr>
            </w:pPr>
            <w:r w:rsidRPr="008059C5">
              <w:rPr>
                <w:rFonts w:ascii="Times New Roman" w:hAnsi="Times New Roman" w:cs="Times New Roman"/>
                <w:sz w:val="20"/>
                <w:szCs w:val="20"/>
                <w:u w:val="single"/>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661DFD18" w14:textId="1C22BE32" w:rsidR="007D6D6F" w:rsidRPr="0036005B" w:rsidRDefault="007D6D6F" w:rsidP="007D6D6F">
            <w:pPr>
              <w:spacing w:after="0" w:line="240" w:lineRule="auto"/>
              <w:jc w:val="both"/>
              <w:rPr>
                <w:rFonts w:ascii="Times New Roman" w:eastAsia="Times New Roman" w:hAnsi="Times New Roman" w:cs="Times New Roman"/>
                <w:sz w:val="20"/>
                <w:szCs w:val="20"/>
                <w:highlight w:val="yellow"/>
                <w:lang w:eastAsia="lv-LV"/>
              </w:rPr>
            </w:pPr>
          </w:p>
        </w:tc>
      </w:tr>
      <w:tr w:rsidR="004E33B7" w:rsidRPr="00184920" w14:paraId="35C54252"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7D4F2E6" w14:textId="2C17E55D" w:rsidR="004E33B7" w:rsidRDefault="004E33B7"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30.</w:t>
            </w:r>
          </w:p>
        </w:tc>
        <w:tc>
          <w:tcPr>
            <w:tcW w:w="692" w:type="pct"/>
            <w:tcBorders>
              <w:top w:val="single" w:sz="6" w:space="0" w:color="000000"/>
              <w:left w:val="single" w:sz="6" w:space="0" w:color="000000"/>
              <w:bottom w:val="single" w:sz="6" w:space="0" w:color="000000"/>
              <w:right w:val="single" w:sz="6" w:space="0" w:color="000000"/>
            </w:tcBorders>
          </w:tcPr>
          <w:p w14:paraId="7397A22B" w14:textId="77777777" w:rsidR="004E33B7" w:rsidRPr="004B227D" w:rsidRDefault="004E33B7" w:rsidP="004E33B7">
            <w:pPr>
              <w:pStyle w:val="NoSpacing"/>
              <w:widowControl/>
              <w:rPr>
                <w:rFonts w:eastAsiaTheme="minorHAnsi"/>
                <w:b/>
                <w:bCs/>
                <w:sz w:val="20"/>
                <w:szCs w:val="20"/>
              </w:rPr>
            </w:pPr>
            <w:r w:rsidRPr="004B227D">
              <w:rPr>
                <w:rFonts w:eastAsiaTheme="minorHAnsi"/>
                <w:b/>
                <w:bCs/>
                <w:sz w:val="20"/>
                <w:szCs w:val="20"/>
              </w:rPr>
              <w:t>68.pants. Administratīvo aktu izdošana un apstrīdēšana</w:t>
            </w:r>
            <w:r w:rsidRPr="004B227D" w:rsidDel="00A11426">
              <w:rPr>
                <w:rFonts w:eastAsiaTheme="minorHAnsi"/>
                <w:b/>
                <w:bCs/>
                <w:sz w:val="20"/>
                <w:szCs w:val="20"/>
              </w:rPr>
              <w:t xml:space="preserve"> </w:t>
            </w:r>
          </w:p>
          <w:p w14:paraId="1B35430F" w14:textId="77777777" w:rsidR="004E33B7" w:rsidRDefault="004E33B7" w:rsidP="004E33B7">
            <w:pPr>
              <w:pStyle w:val="NoSpacing"/>
              <w:widowControl/>
              <w:rPr>
                <w:rFonts w:eastAsiaTheme="minorHAnsi"/>
                <w:bCs/>
                <w:sz w:val="20"/>
                <w:szCs w:val="20"/>
              </w:rPr>
            </w:pPr>
            <w:r w:rsidRPr="004B227D">
              <w:rPr>
                <w:rFonts w:eastAsiaTheme="minorHAnsi"/>
                <w:bCs/>
                <w:sz w:val="20"/>
                <w:szCs w:val="20"/>
              </w:rPr>
              <w:t>(3) Komisijas izdotu administratīvo aktu apstrīdēšana un pārsūdzēšana tiesā neaptur to izpildi, ja Komisijas izdotais administratīvais akts ir lēmums:</w:t>
            </w:r>
          </w:p>
          <w:p w14:paraId="5F773180" w14:textId="655A5E9A" w:rsidR="004E33B7" w:rsidRPr="004063C1" w:rsidRDefault="004E33B7" w:rsidP="004E33B7">
            <w:pPr>
              <w:pStyle w:val="NoSpacing"/>
              <w:widowControl/>
              <w:rPr>
                <w:rFonts w:eastAsiaTheme="minorHAnsi"/>
                <w:b/>
                <w:bCs/>
                <w:sz w:val="20"/>
                <w:szCs w:val="20"/>
              </w:rPr>
            </w:pPr>
            <w:r w:rsidRPr="004B227D">
              <w:rPr>
                <w:bCs/>
                <w:sz w:val="20"/>
                <w:szCs w:val="20"/>
              </w:rPr>
              <w:t xml:space="preserve">2) </w:t>
            </w:r>
            <w:r w:rsidRPr="004B227D">
              <w:rPr>
                <w:bCs/>
                <w:sz w:val="20"/>
                <w:szCs w:val="20"/>
                <w:u w:val="single"/>
              </w:rPr>
              <w:t>anulēt ieguldījumu brokeru sabiedrībai izsniegtās licences</w:t>
            </w:r>
            <w:r w:rsidRPr="004B227D">
              <w:rPr>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4DD539AA" w14:textId="77777777" w:rsidR="004E33B7" w:rsidRDefault="004E33B7" w:rsidP="004E33B7">
            <w:pPr>
              <w:jc w:val="both"/>
              <w:rPr>
                <w:rFonts w:ascii="Times New Roman" w:hAnsi="Times New Roman" w:cs="Times New Roman"/>
                <w:bCs/>
                <w:sz w:val="20"/>
                <w:szCs w:val="20"/>
              </w:rPr>
            </w:pPr>
            <w:r w:rsidRPr="004B227D">
              <w:rPr>
                <w:rFonts w:ascii="Times New Roman" w:hAnsi="Times New Roman" w:cs="Times New Roman"/>
                <w:b/>
                <w:bCs/>
                <w:sz w:val="20"/>
                <w:szCs w:val="20"/>
              </w:rPr>
              <w:t>Iebildums.</w:t>
            </w:r>
            <w:r>
              <w:rPr>
                <w:rFonts w:ascii="Times New Roman" w:hAnsi="Times New Roman" w:cs="Times New Roman"/>
                <w:sz w:val="20"/>
                <w:szCs w:val="20"/>
              </w:rPr>
              <w:t xml:space="preserve"> </w:t>
            </w:r>
            <w:r w:rsidRPr="00ED26EF">
              <w:rPr>
                <w:rFonts w:ascii="Times New Roman" w:hAnsi="Times New Roman" w:cs="Times New Roman"/>
                <w:bCs/>
                <w:sz w:val="20"/>
                <w:szCs w:val="20"/>
              </w:rPr>
              <w:t>Likumprojekta 66. panta trešās daļas 2. punkts dublē Administratīvā procesa likuma 185. panta ceturtās daļas 10. punktu, tāpēc atbilstoši noteikumu Nr. 108 3.2. apakšpunktam lūdzam to izslēgt.</w:t>
            </w:r>
          </w:p>
          <w:p w14:paraId="08120AA0" w14:textId="77777777" w:rsidR="004E33B7" w:rsidRPr="00ED26EF" w:rsidRDefault="004E33B7" w:rsidP="004E33B7">
            <w:pPr>
              <w:pStyle w:val="naisc"/>
              <w:spacing w:before="0" w:after="0"/>
              <w:jc w:val="both"/>
              <w:rPr>
                <w:b/>
                <w:bCs/>
                <w:sz w:val="20"/>
                <w:szCs w:val="20"/>
              </w:rPr>
            </w:pPr>
            <w:r w:rsidRPr="00ED26EF">
              <w:rPr>
                <w:b/>
                <w:bCs/>
                <w:sz w:val="20"/>
                <w:szCs w:val="20"/>
              </w:rPr>
              <w:t>Š.g. 11.maijā uzturētais iebildums.</w:t>
            </w:r>
          </w:p>
          <w:p w14:paraId="4C3955E1" w14:textId="77777777" w:rsidR="004E33B7" w:rsidRPr="00ED26EF" w:rsidRDefault="004E33B7" w:rsidP="004E33B7">
            <w:pPr>
              <w:pStyle w:val="naisc"/>
              <w:spacing w:before="0" w:after="0"/>
              <w:jc w:val="both"/>
              <w:rPr>
                <w:sz w:val="20"/>
                <w:szCs w:val="20"/>
              </w:rPr>
            </w:pPr>
            <w:r w:rsidRPr="00ED26EF">
              <w:rPr>
                <w:sz w:val="20"/>
                <w:szCs w:val="20"/>
              </w:rPr>
              <w:t xml:space="preserve">Tieslietu ministrijas iebildums par likumprojekta 68. panta trešās daļas 2. punktu nav ņemts vērā, tāpēc tiek uzturēts. Atkārtoti vēršam uzmanību, ka likumprojekta 68. panta trešās daļas 2. punkts dublē Administratīvā procesa likuma 185. panta ceturtās daļas 10. punktu, tāpēc atbilstoši noteikumu Nr. 108 3.2. apakšpunktam lūdzam to izslēgt. Papildus skaidrojam, ka saskaņā ar Administratīvā procesa likuma 185. panta ceturtās daļas 10. punktu, gadījumos, kad administratīvais akts atceļ, anulē vai aptur speciālo atļauju (licenci, sertifikātu, akreditāciju u.tml.), pieteikuma iesniegšana tiesā par administratīvā akta atcelšanu, atzīšanu par spēku zaudējušu vai spēkā neesošu neaptur administratīvā akta darbību no dienas, kad pieteikums saņemts tiesā. Ja likumprojektā ir nepieciešams noteikt, ka šāds regulējums attiecas arī uz administratīvo aktu apstrīdēšanu, to var </w:t>
            </w:r>
            <w:r w:rsidRPr="00ED26EF">
              <w:rPr>
                <w:sz w:val="20"/>
                <w:szCs w:val="20"/>
              </w:rPr>
              <w:lastRenderedPageBreak/>
              <w:t xml:space="preserve">iekļaut, bet attiecībā uz pārsūdzēšanu – tā ir Administratīvā procesa likuma dublēšana. </w:t>
            </w:r>
          </w:p>
          <w:p w14:paraId="372E43C3" w14:textId="4D195BB7" w:rsidR="004E33B7" w:rsidRDefault="004E33B7" w:rsidP="004E33B7">
            <w:pPr>
              <w:pStyle w:val="naisc"/>
              <w:spacing w:before="0" w:after="0"/>
              <w:jc w:val="both"/>
              <w:rPr>
                <w:sz w:val="20"/>
                <w:szCs w:val="20"/>
              </w:rPr>
            </w:pPr>
            <w:r w:rsidRPr="00ED26EF">
              <w:rPr>
                <w:sz w:val="20"/>
                <w:szCs w:val="20"/>
              </w:rPr>
              <w:t>Vienlaikus jānorāda, ka spēkā esošajā tiesiskajā regulējumā var būt nepilnības, tomēr tas nenozīmē, ka, izstrādājot jaunu normatīvo aktu, šādas nepilnības būtu jāpārņem – tostarp tiesību normu dublēšanos.</w:t>
            </w:r>
          </w:p>
          <w:p w14:paraId="18898439" w14:textId="77777777" w:rsidR="004E33B7" w:rsidRPr="00F83F82" w:rsidRDefault="004E33B7" w:rsidP="004E33B7">
            <w:pPr>
              <w:pStyle w:val="naisc"/>
              <w:spacing w:before="0" w:after="0"/>
              <w:jc w:val="both"/>
              <w:rPr>
                <w:b/>
                <w:bCs/>
                <w:sz w:val="20"/>
                <w:szCs w:val="20"/>
              </w:rPr>
            </w:pPr>
            <w:r w:rsidRPr="00F83F82">
              <w:rPr>
                <w:b/>
                <w:bCs/>
                <w:sz w:val="20"/>
                <w:szCs w:val="20"/>
              </w:rPr>
              <w:t>Š.g. 7.jūnijā uzturētais iebildums.</w:t>
            </w:r>
          </w:p>
          <w:p w14:paraId="6EA242D0" w14:textId="77777777" w:rsidR="004E33B7" w:rsidRPr="00F83F82" w:rsidRDefault="004E33B7" w:rsidP="004E33B7">
            <w:pPr>
              <w:pStyle w:val="naisc"/>
              <w:spacing w:before="0" w:after="0"/>
              <w:jc w:val="both"/>
              <w:rPr>
                <w:sz w:val="20"/>
                <w:szCs w:val="20"/>
              </w:rPr>
            </w:pPr>
            <w:r w:rsidRPr="00F83F82">
              <w:rPr>
                <w:sz w:val="20"/>
                <w:szCs w:val="20"/>
              </w:rPr>
              <w:t>Uzturam izziņas I sadaļas 30. punktā ietverto Tieslietu ministrijas iebildumu. Atkārtoti vēršam uzmanību, ka likumprojekta 68. panta trešās daļas 2. punkts dublē Administratīvā procesa likuma 185. panta ceturtās daļas 10. punktu, tāpēc atbilstoši noteikumu Nr. 108 3.2. apakšpunktam lūdzam to izslēgt.</w:t>
            </w:r>
          </w:p>
          <w:p w14:paraId="61EA2A09" w14:textId="77777777" w:rsidR="004E33B7" w:rsidRPr="00F83F82" w:rsidRDefault="004E33B7" w:rsidP="004E33B7">
            <w:pPr>
              <w:pStyle w:val="naisc"/>
              <w:spacing w:before="0" w:after="0"/>
              <w:jc w:val="both"/>
              <w:rPr>
                <w:sz w:val="20"/>
                <w:szCs w:val="20"/>
              </w:rPr>
            </w:pPr>
            <w:r w:rsidRPr="00F83F82">
              <w:rPr>
                <w:sz w:val="20"/>
                <w:szCs w:val="20"/>
              </w:rPr>
              <w:t>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 (sk. Valsts kanceleja: Normatīvo aktu projektu izstrādes rokasgrāmata, Rīga, 2016, 17.-18. lpp.).</w:t>
            </w:r>
          </w:p>
          <w:p w14:paraId="376B6199" w14:textId="77777777" w:rsidR="004E33B7" w:rsidRPr="00F83F82" w:rsidRDefault="004E33B7" w:rsidP="004E33B7">
            <w:pPr>
              <w:pStyle w:val="naisc"/>
              <w:spacing w:before="0" w:after="0"/>
              <w:jc w:val="both"/>
              <w:rPr>
                <w:sz w:val="20"/>
                <w:szCs w:val="20"/>
              </w:rPr>
            </w:pPr>
            <w:r w:rsidRPr="00F83F82">
              <w:rPr>
                <w:sz w:val="20"/>
                <w:szCs w:val="20"/>
              </w:rPr>
              <w:t xml:space="preserve">Vienlaikus jānorāda, ka ikvienam, kas vēlas saņemt licenci, lai darbotos Latvijas tirgū, būtu jāpārzina kā minimums galvenie procesuālie likumi, kas regulēs to darbību, tostarp Administratīvā procesa likums, tāpēc nevarētu piekrist, ka šāda tiesību normu dublēšana veicinās savlaicīgu informētību. </w:t>
            </w:r>
          </w:p>
          <w:p w14:paraId="7AB2F46E" w14:textId="2073FF80" w:rsidR="004E33B7" w:rsidRPr="004E33B7" w:rsidRDefault="004E33B7" w:rsidP="004E33B7">
            <w:pPr>
              <w:pStyle w:val="naisc"/>
              <w:spacing w:before="0" w:after="0"/>
              <w:jc w:val="both"/>
              <w:rPr>
                <w:sz w:val="20"/>
                <w:szCs w:val="20"/>
              </w:rPr>
            </w:pPr>
            <w:r w:rsidRPr="00F83F82">
              <w:rPr>
                <w:sz w:val="20"/>
                <w:szCs w:val="20"/>
              </w:rPr>
              <w:t>Turklāt jānorāda, ka atbilstoši noteikumu Nr. 108 4. punktam daļēja tiesību normu pārrakstīšana ir pieļaujama, ja citādi nebūtu iespējams saprotami un skaidri formulēt tiesību normu, tomēr uz likumprojektā ietverto regulējumu to nevar attiecināt, jo regulējums Administratīvā procesa likumā ir pietiekoši skaidrs un saprotams (sal. Valsts kanceleja: Normatīvo aktu projektu izstrādes rokasgrāmata, Rīga, 2016, 18. lpp.).</w:t>
            </w:r>
          </w:p>
        </w:tc>
        <w:tc>
          <w:tcPr>
            <w:tcW w:w="848" w:type="pct"/>
            <w:gridSpan w:val="2"/>
            <w:tcBorders>
              <w:top w:val="single" w:sz="6" w:space="0" w:color="000000"/>
              <w:left w:val="single" w:sz="6" w:space="0" w:color="000000"/>
              <w:bottom w:val="single" w:sz="6" w:space="0" w:color="000000"/>
              <w:right w:val="single" w:sz="6" w:space="0" w:color="000000"/>
            </w:tcBorders>
          </w:tcPr>
          <w:p w14:paraId="02C85165" w14:textId="2151AB18" w:rsidR="004E33B7" w:rsidRPr="00E66993" w:rsidRDefault="004E33B7" w:rsidP="004E33B7">
            <w:pPr>
              <w:pStyle w:val="naisc"/>
              <w:spacing w:before="0" w:after="0"/>
              <w:jc w:val="both"/>
              <w:rPr>
                <w:b/>
                <w:bCs/>
                <w:sz w:val="20"/>
                <w:szCs w:val="20"/>
              </w:rPr>
            </w:pPr>
            <w:r>
              <w:rPr>
                <w:b/>
                <w:bCs/>
                <w:sz w:val="20"/>
                <w:szCs w:val="20"/>
              </w:rPr>
              <w:lastRenderedPageBreak/>
              <w:t>Panākta vienošanās elektroniskajā saskaņošanā</w:t>
            </w:r>
            <w:r w:rsidRPr="00E66993">
              <w:rPr>
                <w:b/>
                <w:bCs/>
                <w:sz w:val="20"/>
                <w:szCs w:val="20"/>
              </w:rPr>
              <w:t>.</w:t>
            </w:r>
          </w:p>
          <w:p w14:paraId="3E58269C" w14:textId="59E747A9" w:rsidR="004E33B7" w:rsidRPr="00940BE6" w:rsidRDefault="004E33B7" w:rsidP="004E33B7">
            <w:pPr>
              <w:jc w:val="both"/>
              <w:rPr>
                <w:rFonts w:ascii="Times New Roman" w:eastAsia="Times New Roman" w:hAnsi="Times New Roman" w:cs="Times New Roman"/>
                <w:b/>
                <w:bCs/>
                <w:sz w:val="20"/>
                <w:szCs w:val="20"/>
                <w:lang w:eastAsia="lv-LV"/>
              </w:rPr>
            </w:pPr>
            <w:r w:rsidRPr="004E33B7">
              <w:rPr>
                <w:rFonts w:ascii="Times New Roman" w:hAnsi="Times New Roman" w:cs="Times New Roman"/>
                <w:bCs/>
                <w:sz w:val="20"/>
                <w:szCs w:val="20"/>
              </w:rPr>
              <w:t>XII nodaļa ir pilnībā pārskatīta. Regulējums par kuru tika uzturēts iebildums likumprojektā ir iestrādāts 76.pantā.</w:t>
            </w:r>
          </w:p>
        </w:tc>
        <w:tc>
          <w:tcPr>
            <w:tcW w:w="936" w:type="pct"/>
            <w:tcBorders>
              <w:top w:val="single" w:sz="4" w:space="0" w:color="auto"/>
              <w:left w:val="single" w:sz="4" w:space="0" w:color="auto"/>
              <w:bottom w:val="single" w:sz="4" w:space="0" w:color="auto"/>
              <w:right w:val="single" w:sz="4" w:space="0" w:color="auto"/>
            </w:tcBorders>
          </w:tcPr>
          <w:p w14:paraId="056E5E52" w14:textId="77777777" w:rsidR="004E33B7" w:rsidRPr="00E66993" w:rsidRDefault="004E33B7" w:rsidP="004E33B7">
            <w:pPr>
              <w:pStyle w:val="naisc"/>
              <w:spacing w:before="0" w:after="0"/>
              <w:jc w:val="both"/>
              <w:rPr>
                <w:b/>
                <w:bCs/>
                <w:sz w:val="20"/>
                <w:szCs w:val="20"/>
              </w:rPr>
            </w:pPr>
            <w:r w:rsidRPr="00E66993">
              <w:rPr>
                <w:b/>
                <w:bCs/>
                <w:sz w:val="20"/>
                <w:szCs w:val="20"/>
              </w:rPr>
              <w:t>76. pants. Komisijas izdotā administratīvā akta pārsūdzēšana</w:t>
            </w:r>
          </w:p>
          <w:p w14:paraId="7625340C" w14:textId="77777777" w:rsidR="004E33B7" w:rsidRPr="00E66993" w:rsidRDefault="004E33B7" w:rsidP="004E33B7">
            <w:pPr>
              <w:pStyle w:val="naisc"/>
              <w:spacing w:before="0" w:after="0"/>
              <w:jc w:val="both"/>
              <w:rPr>
                <w:sz w:val="20"/>
                <w:szCs w:val="20"/>
              </w:rPr>
            </w:pPr>
            <w:r w:rsidRPr="00E66993">
              <w:rPr>
                <w:sz w:val="20"/>
                <w:szCs w:val="20"/>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56CDF1E2" w14:textId="25B09418" w:rsidR="004E33B7" w:rsidRPr="00940BE6" w:rsidRDefault="004E33B7" w:rsidP="002C023B">
            <w:pPr>
              <w:pStyle w:val="naisc"/>
              <w:spacing w:before="0" w:after="0"/>
              <w:jc w:val="both"/>
              <w:rPr>
                <w:sz w:val="20"/>
                <w:szCs w:val="20"/>
              </w:rPr>
            </w:pPr>
            <w:r w:rsidRPr="002C023B">
              <w:rPr>
                <w:sz w:val="20"/>
                <w:szCs w:val="20"/>
              </w:rPr>
              <w:t xml:space="preserve">(2) </w:t>
            </w:r>
            <w:r w:rsidRPr="002C023B">
              <w:rPr>
                <w:sz w:val="20"/>
                <w:szCs w:val="20"/>
                <w:u w:val="single"/>
              </w:rPr>
              <w:t>Šā panta pirmajā daļā minētā administratīvā akta pārsūdzēšana, izņemot administratīvo aktu par naudas soda piemērošanu vai publisku paziņojumu, neaptur šā akta darbību.</w:t>
            </w:r>
          </w:p>
        </w:tc>
      </w:tr>
      <w:tr w:rsidR="001E530F" w:rsidRPr="00184920" w14:paraId="445AF64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D206AF9" w14:textId="1FFB46FF" w:rsidR="001E530F" w:rsidRDefault="001E530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31.</w:t>
            </w:r>
          </w:p>
        </w:tc>
        <w:tc>
          <w:tcPr>
            <w:tcW w:w="692" w:type="pct"/>
            <w:tcBorders>
              <w:top w:val="single" w:sz="6" w:space="0" w:color="000000"/>
              <w:left w:val="single" w:sz="6" w:space="0" w:color="000000"/>
              <w:bottom w:val="single" w:sz="6" w:space="0" w:color="000000"/>
              <w:right w:val="single" w:sz="6" w:space="0" w:color="000000"/>
            </w:tcBorders>
          </w:tcPr>
          <w:p w14:paraId="05DF642E" w14:textId="77777777" w:rsidR="001E530F" w:rsidRPr="00032700" w:rsidRDefault="001E530F" w:rsidP="001E530F">
            <w:pPr>
              <w:pStyle w:val="NoSpacing"/>
              <w:widowControl/>
              <w:rPr>
                <w:rFonts w:eastAsiaTheme="minorHAnsi"/>
                <w:b/>
                <w:bCs/>
                <w:sz w:val="20"/>
                <w:szCs w:val="20"/>
              </w:rPr>
            </w:pPr>
            <w:r w:rsidRPr="00032700">
              <w:rPr>
                <w:rFonts w:eastAsiaTheme="minorHAnsi"/>
                <w:b/>
                <w:bCs/>
                <w:sz w:val="20"/>
                <w:szCs w:val="20"/>
              </w:rPr>
              <w:t>69. pants. Sankcijas un citi administratīvie pasākumi</w:t>
            </w:r>
          </w:p>
          <w:p w14:paraId="6612ED62" w14:textId="77777777" w:rsidR="001E530F" w:rsidRPr="00032700" w:rsidRDefault="001E530F" w:rsidP="001E530F">
            <w:pPr>
              <w:pStyle w:val="NoSpacing"/>
              <w:widowControl/>
              <w:rPr>
                <w:rFonts w:eastAsiaTheme="minorHAnsi"/>
                <w:bCs/>
                <w:sz w:val="20"/>
                <w:szCs w:val="20"/>
              </w:rPr>
            </w:pPr>
            <w:r w:rsidRPr="00032700">
              <w:rPr>
                <w:rFonts w:eastAsiaTheme="minorHAnsi"/>
                <w:bCs/>
                <w:sz w:val="20"/>
                <w:szCs w:val="20"/>
              </w:rPr>
              <w:t xml:space="preserve">(1) Par šā likuma, Regulas Nr.  2019/2033, Regulas  Nr. 575/2013 28., 52. vai 63. panta pārkāpumiem, kā arī Komisijas izdoto normatīvo </w:t>
            </w:r>
            <w:r w:rsidRPr="00032700">
              <w:rPr>
                <w:rFonts w:eastAsiaTheme="minorHAnsi"/>
                <w:bCs/>
                <w:sz w:val="20"/>
                <w:szCs w:val="20"/>
              </w:rPr>
              <w:lastRenderedPageBreak/>
              <w:t>noteikumu vai pieņemto lēmumu pārkāpumiem, Komisijai ir tiesības:</w:t>
            </w:r>
          </w:p>
          <w:p w14:paraId="7F29BD09" w14:textId="77777777" w:rsidR="001E530F" w:rsidRPr="00032700" w:rsidRDefault="001E530F" w:rsidP="001E530F">
            <w:pPr>
              <w:pStyle w:val="NoSpacing"/>
              <w:widowControl/>
              <w:rPr>
                <w:rFonts w:eastAsiaTheme="minorHAnsi"/>
                <w:bCs/>
                <w:sz w:val="20"/>
                <w:szCs w:val="20"/>
              </w:rPr>
            </w:pPr>
            <w:r w:rsidRPr="00032700">
              <w:rPr>
                <w:rFonts w:eastAsiaTheme="minorHAnsi"/>
                <w:bCs/>
                <w:sz w:val="20"/>
                <w:szCs w:val="20"/>
              </w:rPr>
              <w:t>1) izteikt publisku paziņojumu, norādot par pārkāpumu atbildīgo fizisko vai juridisko personu un pārkāpuma būtību;</w:t>
            </w:r>
          </w:p>
          <w:p w14:paraId="7F460CCF" w14:textId="77777777" w:rsidR="001E530F" w:rsidRPr="00032700" w:rsidRDefault="001E530F" w:rsidP="001E530F">
            <w:pPr>
              <w:pStyle w:val="NoSpacing"/>
              <w:widowControl/>
              <w:rPr>
                <w:rFonts w:eastAsiaTheme="minorHAnsi"/>
                <w:bCs/>
                <w:sz w:val="20"/>
                <w:szCs w:val="20"/>
              </w:rPr>
            </w:pPr>
            <w:r w:rsidRPr="00032700">
              <w:rPr>
                <w:rFonts w:eastAsiaTheme="minorHAnsi"/>
                <w:bCs/>
                <w:sz w:val="20"/>
                <w:szCs w:val="20"/>
              </w:rPr>
              <w:t>2) pieprasīt, lai par pārkāpumu atbildīgā fiziskā vai juridiskā persona nekavējoties izbeidz attiecīgo darbību;</w:t>
            </w:r>
          </w:p>
          <w:p w14:paraId="3D665BDB" w14:textId="77777777" w:rsidR="001E530F" w:rsidRPr="00032700" w:rsidRDefault="001E530F" w:rsidP="001E530F">
            <w:pPr>
              <w:pStyle w:val="NoSpacing"/>
              <w:widowControl/>
              <w:rPr>
                <w:rFonts w:eastAsiaTheme="minorHAnsi"/>
                <w:noProof/>
                <w:sz w:val="20"/>
                <w:szCs w:val="20"/>
              </w:rPr>
            </w:pPr>
            <w:r w:rsidRPr="00032700">
              <w:rPr>
                <w:rFonts w:eastAsiaTheme="minorHAnsi"/>
                <w:bCs/>
                <w:sz w:val="20"/>
                <w:szCs w:val="20"/>
              </w:rPr>
              <w:t xml:space="preserve">3) noteikt pagaidu aizliegumu ieguldījumu brokeru sabiedrības </w:t>
            </w:r>
            <w:r w:rsidRPr="00032700">
              <w:rPr>
                <w:rFonts w:eastAsiaTheme="minorHAnsi"/>
                <w:noProof/>
                <w:sz w:val="20"/>
                <w:szCs w:val="20"/>
              </w:rPr>
              <w:t>valdes un padomes(ja tāda ir izveidota)</w:t>
            </w:r>
            <w:r w:rsidRPr="00032700">
              <w:rPr>
                <w:rFonts w:eastAsiaTheme="minorHAnsi"/>
                <w:bCs/>
                <w:sz w:val="20"/>
                <w:szCs w:val="20"/>
              </w:rPr>
              <w:t xml:space="preserve"> loceklim vai citai par pārkāpumu atbildīgai fiziskajai personai veikt tai noteiktos pienākumus;</w:t>
            </w:r>
          </w:p>
          <w:p w14:paraId="1ADEC7BD" w14:textId="77777777" w:rsidR="001E530F" w:rsidRPr="00032700" w:rsidRDefault="001E530F" w:rsidP="001E530F">
            <w:pPr>
              <w:pStyle w:val="NoSpacing"/>
              <w:widowControl/>
              <w:rPr>
                <w:rFonts w:eastAsiaTheme="minorHAnsi"/>
                <w:bCs/>
                <w:sz w:val="20"/>
                <w:szCs w:val="20"/>
              </w:rPr>
            </w:pPr>
            <w:r w:rsidRPr="00032700">
              <w:rPr>
                <w:rFonts w:eastAsiaTheme="minorHAnsi"/>
                <w:bCs/>
                <w:sz w:val="20"/>
                <w:szCs w:val="20"/>
              </w:rPr>
              <w:t xml:space="preserve">4)  uzlikt juridiskajai personai soda naudu līdz 10 procentiem no juridiskās personas kopējā gada apgrozījuma pamatojoties uz iepriekšējā finanšu gada apstiprināto gada pārskatu. Ja juridiskā persona ir meitas sabiedrība, kura sagatavo konsolidēto gada pārskatu saskaņā ar normatīvo aktu prasībām, kas attiecas uz tās gada pārskatu un konsolidēto gada pārskatu sagatavošanu, kopējo gada apgrozījumu veido iepriekšējā finanšu gada kopējais gada apgrozījums vai atbilstoša veida ienākumi, pamatojoties uz galējās mātes sabiedrības iepriekšējā finanšu gada </w:t>
            </w:r>
            <w:r w:rsidRPr="00032700">
              <w:rPr>
                <w:rFonts w:eastAsiaTheme="minorHAnsi"/>
                <w:bCs/>
                <w:sz w:val="20"/>
                <w:szCs w:val="20"/>
              </w:rPr>
              <w:lastRenderedPageBreak/>
              <w:t>apstiprināto konsolidēto gada pārskatu;</w:t>
            </w:r>
          </w:p>
          <w:p w14:paraId="6FA155B4" w14:textId="77777777" w:rsidR="001E530F" w:rsidRPr="00032700" w:rsidRDefault="001E530F" w:rsidP="001E530F">
            <w:pPr>
              <w:pStyle w:val="NoSpacing"/>
              <w:widowControl/>
              <w:rPr>
                <w:rFonts w:eastAsiaTheme="minorHAnsi"/>
                <w:bCs/>
                <w:sz w:val="20"/>
                <w:szCs w:val="20"/>
              </w:rPr>
            </w:pPr>
            <w:r w:rsidRPr="00032700">
              <w:rPr>
                <w:rFonts w:eastAsiaTheme="minorHAnsi"/>
                <w:bCs/>
                <w:sz w:val="20"/>
                <w:szCs w:val="20"/>
              </w:rPr>
              <w:t>5) uzlikt juridiskajai personai soda naudu līdz pārkāpuma rezultātā gūto ienākumu vai novērsto iespējamo zaudējumu divkāršam apmēram;</w:t>
            </w:r>
          </w:p>
          <w:p w14:paraId="3FB4A853" w14:textId="1B61D580" w:rsidR="001E530F" w:rsidRPr="004B227D" w:rsidRDefault="001E530F" w:rsidP="001E530F">
            <w:pPr>
              <w:pStyle w:val="NoSpacing"/>
              <w:widowControl/>
              <w:rPr>
                <w:rFonts w:eastAsiaTheme="minorHAnsi"/>
                <w:b/>
                <w:bCs/>
                <w:sz w:val="20"/>
                <w:szCs w:val="20"/>
              </w:rPr>
            </w:pPr>
            <w:r w:rsidRPr="00032700">
              <w:rPr>
                <w:bCs/>
                <w:sz w:val="20"/>
                <w:szCs w:val="20"/>
              </w:rPr>
              <w:t xml:space="preserve">6) uzlikt par pārkāpumu atbildīgajai fiziskajai personai, tai skaitā ieguldījumu brokeru sabiedrības amatpersonai, darbiniekam vai personai, kura pārkāpuma izdarīšanas laikā ir atbildīga par noteiktas darbības veikšanu, soda naudu līdz pieciem miljoniem </w:t>
            </w:r>
            <w:proofErr w:type="spellStart"/>
            <w:r w:rsidRPr="00032700">
              <w:rPr>
                <w:bCs/>
                <w:sz w:val="20"/>
                <w:szCs w:val="20"/>
              </w:rPr>
              <w:t>euro</w:t>
            </w:r>
            <w:proofErr w:type="spellEnd"/>
            <w:r w:rsidRPr="00032700">
              <w:rPr>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4FE25D51" w14:textId="77777777" w:rsidR="001E530F" w:rsidRDefault="001E530F" w:rsidP="001E530F">
            <w:pPr>
              <w:jc w:val="both"/>
              <w:rPr>
                <w:rFonts w:ascii="Times New Roman" w:hAnsi="Times New Roman" w:cs="Times New Roman"/>
                <w:sz w:val="20"/>
                <w:szCs w:val="20"/>
              </w:rPr>
            </w:pPr>
            <w:r w:rsidRPr="005F7149">
              <w:rPr>
                <w:rFonts w:ascii="Times New Roman" w:hAnsi="Times New Roman" w:cs="Times New Roman"/>
                <w:b/>
                <w:bCs/>
                <w:sz w:val="20"/>
                <w:szCs w:val="20"/>
              </w:rPr>
              <w:lastRenderedPageBreak/>
              <w:t>Iebildums.</w:t>
            </w:r>
            <w:r>
              <w:rPr>
                <w:rFonts w:ascii="Times New Roman" w:hAnsi="Times New Roman" w:cs="Times New Roman"/>
                <w:sz w:val="20"/>
                <w:szCs w:val="20"/>
              </w:rPr>
              <w:t xml:space="preserve"> </w:t>
            </w:r>
            <w:r w:rsidRPr="005F7149">
              <w:rPr>
                <w:rFonts w:ascii="Times New Roman" w:hAnsi="Times New Roman" w:cs="Times New Roman"/>
                <w:sz w:val="20"/>
                <w:szCs w:val="20"/>
              </w:rPr>
              <w:t>Likumprojekta 67. panta pirmajā daļā ietvertas Komisijas tiesības veikt noteiktas darbības, kurām lietots apzīmējums "</w:t>
            </w:r>
            <w:r w:rsidRPr="005F7149">
              <w:rPr>
                <w:rFonts w:ascii="Times New Roman" w:hAnsi="Times New Roman" w:cs="Times New Roman"/>
                <w:i/>
                <w:iCs/>
                <w:sz w:val="20"/>
                <w:szCs w:val="20"/>
              </w:rPr>
              <w:t>sankcijas</w:t>
            </w:r>
            <w:r w:rsidRPr="005F7149">
              <w:rPr>
                <w:rFonts w:ascii="Times New Roman" w:hAnsi="Times New Roman" w:cs="Times New Roman"/>
                <w:sz w:val="20"/>
                <w:szCs w:val="20"/>
              </w:rPr>
              <w:t xml:space="preserve">", par tās izdoto normatīvo noteikumu vai pieņemto lēmumu pārkāpumiem. Vēršam uzmanību, ka likumprojektā nav nošķirtas sodoša (krimināltiesiska) rakstura </w:t>
            </w:r>
            <w:r w:rsidRPr="005F7149">
              <w:rPr>
                <w:rFonts w:ascii="Times New Roman" w:hAnsi="Times New Roman" w:cs="Times New Roman"/>
                <w:sz w:val="20"/>
                <w:szCs w:val="20"/>
              </w:rPr>
              <w:t>administratīvās sankcijas no citiem pasākumiem (uzraudzības pasākumiem). Nav skaidrs, kāpēc konkrētais pasākums, piemēram, publisks paziņojums (likumprojekta 67. panta pirmās daļas 1. punkts) vai pieprasījums pārtraukt prettiesiskās darbības (likumprojekta 67. panta pirmās daļas 12 punkts) ir sankcija, tāpēc lūdzam papildināt anotāciju ar skaidriem klasifikācijas kritērijiem. Vienlaikus lūdzam skaidrot, vai izmantotais iedalījums atbilst citos nozares likumos esošajam iedalījumam.</w:t>
            </w:r>
          </w:p>
          <w:p w14:paraId="3A22C30B" w14:textId="77777777" w:rsidR="001E530F" w:rsidRPr="00F83F82" w:rsidRDefault="001E530F" w:rsidP="001E530F">
            <w:pPr>
              <w:spacing w:after="0" w:line="240" w:lineRule="auto"/>
              <w:jc w:val="both"/>
              <w:rPr>
                <w:rFonts w:ascii="Times New Roman" w:hAnsi="Times New Roman" w:cs="Times New Roman"/>
                <w:b/>
                <w:sz w:val="20"/>
                <w:szCs w:val="20"/>
              </w:rPr>
            </w:pPr>
            <w:r w:rsidRPr="007A7176">
              <w:rPr>
                <w:rFonts w:ascii="Times New Roman" w:hAnsi="Times New Roman" w:cs="Times New Roman"/>
                <w:b/>
                <w:sz w:val="20"/>
                <w:szCs w:val="20"/>
              </w:rPr>
              <w:t>Š.g. 11.maijā uzturētais iebildums.</w:t>
            </w:r>
          </w:p>
          <w:p w14:paraId="62A155EF" w14:textId="77777777" w:rsidR="001E530F" w:rsidRPr="00F83F82"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Kas attiecas uz likumprojekta 69. pantu, vēršam uzmanību, ka Tieslietu ministrija kopumā neatbalsta sodoša rakstura sankciju piemērošanu administratīvajā procesā. Administratīvā procesa regulējums nav veidots, balstoties uz sodu un sodoša rakstura administratīvo sankciju piemērošanas procesam raksturīgajiem principiem. Tā pamatā ir pavisam atšķirīga veida tiesiskās attiecības valsts pārvaldē. Līdz ar to sankciju piemērošanas process nav pienācīgi noregulēts. Šobrīd ir pieņemts daudz atbilstošāks regulējums – Administratīvās atbildības likums. Gan no personas tiesību nodrošināšanas viedokļa, gan sistēmiski labāks risinājums ir iekļaut ar likumprojektu vai ar grozāmo likumu saistīto sodoša rakstura administratīvo sankciju piemērošanu administratīvā pārkāpuma procesa regulējumā. Turklāt arī spēkā esošajā regulējumā nav skaidri nodalītas sodoša rakstura sankcijas un nav izveidots pienācīgs to piemērošanas process.</w:t>
            </w:r>
          </w:p>
          <w:p w14:paraId="626AA2F7"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Ministru kabineta 2021. gada 11. marta sēdes protokola Nr. 25 36. § 5. punktā noteikts uzdevums Finanšu ministrijai sadarbībā ar Tieslietu ministriju līdz 2023. gada 1. janvārim sagatavot priekšlikumus par sodoša rakstura administratīvajām sankcijām un procesuālajām garantijām privātpersonām finanšu tirgu </w:t>
            </w:r>
            <w:r w:rsidRPr="00ED31E9">
              <w:rPr>
                <w:rFonts w:ascii="Times New Roman" w:hAnsi="Times New Roman" w:cs="Times New Roman"/>
                <w:bCs/>
                <w:sz w:val="20"/>
                <w:szCs w:val="20"/>
              </w:rPr>
              <w:lastRenderedPageBreak/>
              <w:t>regulējošajos normatīvajos aktos, lai nošķirtu administratīvās atbildības un administratīvā procesa piemērošanu šajā jomā. Vēršam uzmanību, ka minētais uzdevums ir attiecināms arī uz visiem šajā gadījumā grozītajiem likumiem.</w:t>
            </w:r>
          </w:p>
          <w:p w14:paraId="2FFAC236"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Izziņas 31. punktā norādīts: "Atbilstoši grozījumi Finanšu instrumentu tirgus likumā tiek gatavoti un plānots tos iesniegt Saeimas atbildīgajā komisijā pirms 2. lasījuma likumprojektam "Grozījumi Finanšu instrumentu tirgus likumā". Ņemot vērā to, ka likumprojekta "Ieguldījumu brokeru sabiedrību likums" 69. pantā tiek pārcelts Finanšu instrumentu tirgus likuma 148. panta piektās un piecpadsmitās daļas regulējums, tad informējam, ka likumprojekta 69. pants tiks precizēts atbilstoši redakcijai, kura tiks pieņemta likumprojektā "Grozījumi finanšu instrumentu tirgus likumā", kurš ietilpst likumprojektu paketē "Latvijas Bankas likums"."</w:t>
            </w:r>
          </w:p>
          <w:p w14:paraId="41F95B59" w14:textId="77777777" w:rsidR="001E530F" w:rsidRPr="00F83F82" w:rsidRDefault="001E530F" w:rsidP="001E530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Ir apšaubāms, ka līdz minēto priekšlikumu likumprojektam "Grozījumi Finanšu instrumentu tirgus likumā" iesniegšanas laikam ir iespējams izveidot sistēmiskus un kvalitatīvus priekšlikumus sankciju regulējumam. Tomēr, pat ja šādi priekšlikumi tiktu virzīti, tas neliedz novērst konstatētās nepilnības projektā jau šobrīd (neskarot administratīvā pārkāpuma procesa un administratīvā procesa izvēles jautājumu). Jebkāds vairāk vai mazāk veiksmīgs mēģinājums izveidot sankciju </w:t>
            </w:r>
            <w:proofErr w:type="spellStart"/>
            <w:r w:rsidRPr="00ED31E9">
              <w:rPr>
                <w:rFonts w:ascii="Times New Roman" w:hAnsi="Times New Roman" w:cs="Times New Roman"/>
                <w:bCs/>
                <w:sz w:val="20"/>
                <w:szCs w:val="20"/>
              </w:rPr>
              <w:t>materiāltiesisko</w:t>
            </w:r>
            <w:proofErr w:type="spellEnd"/>
            <w:r w:rsidRPr="00ED31E9">
              <w:rPr>
                <w:rFonts w:ascii="Times New Roman" w:hAnsi="Times New Roman" w:cs="Times New Roman"/>
                <w:bCs/>
                <w:sz w:val="20"/>
                <w:szCs w:val="20"/>
              </w:rPr>
              <w:t xml:space="preserve"> jautājumu regulējumu būs kvalitatīvāks nekā pašreizējais projekts.</w:t>
            </w:r>
          </w:p>
          <w:p w14:paraId="163234FC"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Ievērojot minēto, pirmkārt, vēršam uzmanību, ka projekta XII nodaļas nosaukums "Atbildība par normatīvo aktu pārkāpumiem" neatbilst nodaļas saturam. Pirmkārt, projekta 69. panta pirmajā daļā ir minēti "lēmumu pārkāpumi", kas nav normatīvie akti. Otrkārt, projekta 69. panta nosaukumā ir minēti "citi administratīvie </w:t>
            </w:r>
            <w:r w:rsidRPr="00ED31E9">
              <w:rPr>
                <w:rFonts w:ascii="Times New Roman" w:hAnsi="Times New Roman" w:cs="Times New Roman"/>
                <w:bCs/>
                <w:sz w:val="20"/>
                <w:szCs w:val="20"/>
              </w:rPr>
              <w:lastRenderedPageBreak/>
              <w:t>pasākumi". Nav saprotams, kas ir domāts ar šiem "citiem administratīvajiem pasākumiem". Piemēram, ja tie ietver arī t. s. uzraudzības pasākumus, tad tie nav regulējami šajā nodaļā (uzraudzība un atbildība ir nošķirti, patstāvīgi jautājumi; sk. arī projekta VIII nodaļu).</w:t>
            </w:r>
          </w:p>
          <w:p w14:paraId="1F275E3F"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Tādējādi projekta XII nodaļas nosaukums varētu būt, piemēram, "Atbildība", ievērojot to, ka šajā nodaļā netiktu regulēti uzraudzības jautājumi.</w:t>
            </w:r>
          </w:p>
          <w:p w14:paraId="4457614A" w14:textId="77777777" w:rsidR="001E530F" w:rsidRPr="00ED31E9" w:rsidRDefault="001E530F" w:rsidP="001E530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Vienlaikus nepieciešams norobežot sankcijas un minētos "citus administratīvos pasākumus", ietverot atbilstošu skaidrojumu projekta anotācijā. </w:t>
            </w:r>
          </w:p>
          <w:p w14:paraId="673C3BE2"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Otrkārt, vēršam uzmanību, ka atbildības (sankciju) regulējums ir paredzēts arī ārpus projekta XII nodaļas. Piemēram, projekta 16. pantā paredzēti licences anulēšanas gadījumi (panta nosaukums gan šķietami vēsta, ka regulējums attiecas uz anulēšanas procesu jeb kārtību). Daļa no šiem gadījumiem varētu būt sodoša rakstura administratīvās sankcijas (sk. projekta 16. panta pirmās daļas 4. un 5. punktu). Līdzīgi apsvērumi attiecas arī uz projekta 23. pantu. Tāpat sankciju piemērošanas regulējums ir ietverts projekta 65. pantā</w:t>
            </w:r>
          </w:p>
          <w:p w14:paraId="0CD22B71" w14:textId="77777777" w:rsidR="001E530F" w:rsidRPr="00ED31E9" w:rsidRDefault="001E530F" w:rsidP="001E530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Līdz ar to projekta XII nodaļa nesatur visu atbildības regulējumu. Saskaņā ar Ministru kabineta 2009. gada 3. februāra noteikumu Nr. 108 "Normatīvo aktu projektu sagatavošanas noteikumi" 17. punktu nodaļā apvieno visus pantus, kas attiecas uz vienu regulējamo jautājumu.</w:t>
            </w:r>
          </w:p>
          <w:p w14:paraId="75D93576"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Treškārt, nav skaidri iespējamie sankciju veidi un to piemērošanas gadījumi. Sankcijas šķietami ir regulētas projekta 69. pantā. Tomēr skatoties kopsakarā, piemēram, ar projekta 68. panta trešo daļu, pastāv šaubas, vai </w:t>
            </w:r>
            <w:r w:rsidRPr="00ED31E9">
              <w:rPr>
                <w:rFonts w:ascii="Times New Roman" w:hAnsi="Times New Roman" w:cs="Times New Roman"/>
                <w:bCs/>
                <w:sz w:val="20"/>
                <w:szCs w:val="20"/>
              </w:rPr>
              <w:lastRenderedPageBreak/>
              <w:t xml:space="preserve">projektā 69. pantā minētais sankciju uzskaitījums ir izsmeļošs. </w:t>
            </w:r>
          </w:p>
          <w:p w14:paraId="28E4DE8A"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Turklāt arī projekta 70. pantā minētā sankciju un citu administratīvo pasākumu publicēšana var būt patstāvīga administratīvā sankcija. Tas, vai šādai sankcijai piemīt krimināltiesisks jeb sodošs raksturs, ir diskutabls jautājums (sal. </w:t>
            </w:r>
            <w:proofErr w:type="spellStart"/>
            <w:r w:rsidRPr="00ED31E9">
              <w:rPr>
                <w:rFonts w:ascii="Times New Roman" w:hAnsi="Times New Roman" w:cs="Times New Roman"/>
                <w:bCs/>
                <w:sz w:val="20"/>
                <w:szCs w:val="20"/>
              </w:rPr>
              <w:t>Jansen</w:t>
            </w:r>
            <w:proofErr w:type="spellEnd"/>
            <w:r w:rsidRPr="00ED31E9">
              <w:rPr>
                <w:rFonts w:ascii="Times New Roman" w:hAnsi="Times New Roman" w:cs="Times New Roman"/>
                <w:bCs/>
                <w:sz w:val="20"/>
                <w:szCs w:val="20"/>
              </w:rPr>
              <w:t xml:space="preserve"> O. </w:t>
            </w:r>
            <w:proofErr w:type="spellStart"/>
            <w:r w:rsidRPr="00ED31E9">
              <w:rPr>
                <w:rFonts w:ascii="Times New Roman" w:hAnsi="Times New Roman" w:cs="Times New Roman"/>
                <w:bCs/>
                <w:sz w:val="20"/>
                <w:szCs w:val="20"/>
              </w:rPr>
              <w:t>Country</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Analysis</w:t>
            </w:r>
            <w:proofErr w:type="spellEnd"/>
            <w:r w:rsidRPr="00ED31E9">
              <w:rPr>
                <w:rFonts w:ascii="Times New Roman" w:hAnsi="Times New Roman" w:cs="Times New Roman"/>
                <w:bCs/>
                <w:sz w:val="20"/>
                <w:szCs w:val="20"/>
              </w:rPr>
              <w:t xml:space="preserve"> – </w:t>
            </w:r>
            <w:proofErr w:type="spellStart"/>
            <w:r w:rsidRPr="00ED31E9">
              <w:rPr>
                <w:rFonts w:ascii="Times New Roman" w:hAnsi="Times New Roman" w:cs="Times New Roman"/>
                <w:bCs/>
                <w:sz w:val="20"/>
                <w:szCs w:val="20"/>
              </w:rPr>
              <w:t>The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Netherlands</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Administrative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Sanctions</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the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European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Union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Jansen</w:t>
            </w:r>
            <w:proofErr w:type="spellEnd"/>
            <w:r w:rsidRPr="00ED31E9">
              <w:rPr>
                <w:rFonts w:ascii="Times New Roman" w:hAnsi="Times New Roman" w:cs="Times New Roman"/>
                <w:bCs/>
                <w:sz w:val="20"/>
                <w:szCs w:val="20"/>
              </w:rPr>
              <w:t xml:space="preserve"> O. (Ed.). </w:t>
            </w:r>
            <w:proofErr w:type="spellStart"/>
            <w:r w:rsidRPr="00ED31E9">
              <w:rPr>
                <w:rFonts w:ascii="Times New Roman" w:hAnsi="Times New Roman" w:cs="Times New Roman"/>
                <w:bCs/>
                <w:sz w:val="20"/>
                <w:szCs w:val="20"/>
              </w:rPr>
              <w:t>Cambridge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Intersentia</w:t>
            </w:r>
            <w:proofErr w:type="spellEnd"/>
            <w:r w:rsidRPr="00ED31E9">
              <w:rPr>
                <w:rFonts w:ascii="Times New Roman" w:hAnsi="Times New Roman" w:cs="Times New Roman"/>
                <w:bCs/>
                <w:sz w:val="20"/>
                <w:szCs w:val="20"/>
              </w:rPr>
              <w:t xml:space="preserve">, 2013, p. 323-243), un tās raksturs būtu vērtējams atsevišķi. Tomēr, ievērojot publicēšanas iespējamo mērķi un ietekmi uz personas reputāciju, kā arī citu finanšu tirgus jomas regulējumu, </w:t>
            </w:r>
            <w:proofErr w:type="spellStart"/>
            <w:r w:rsidRPr="00ED31E9">
              <w:rPr>
                <w:rFonts w:ascii="Times New Roman" w:hAnsi="Times New Roman" w:cs="Times New Roman"/>
                <w:bCs/>
                <w:sz w:val="20"/>
                <w:szCs w:val="20"/>
              </w:rPr>
              <w:t>pirmšķietami</w:t>
            </w:r>
            <w:proofErr w:type="spellEnd"/>
            <w:r w:rsidRPr="00ED31E9">
              <w:rPr>
                <w:rFonts w:ascii="Times New Roman" w:hAnsi="Times New Roman" w:cs="Times New Roman"/>
                <w:bCs/>
                <w:sz w:val="20"/>
                <w:szCs w:val="20"/>
              </w:rPr>
              <w:t xml:space="preserve"> pastāv vairāki argumenti, kas liecina, ka informācijas publiskošana arī ir sodoša rakstura administratīva sankcija. Šobrīd publisks paziņojums ir minēts gan projekta 69. pantā, gan mazliet atšķirīgi regulēts vēl atsevišķi projekta 70. pantā.</w:t>
            </w:r>
          </w:p>
          <w:p w14:paraId="6F3A128C"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Līdz ar to nepieciešams projekta anotācijā izvērtēt un projektā skaidri un izsmeļoši norādīt, kuri pasākumi ir krimināltiesiska (sodoša) rakstura administratīvās sankcijas.</w:t>
            </w:r>
          </w:p>
          <w:p w14:paraId="21E66A77" w14:textId="77777777" w:rsidR="001E530F" w:rsidRPr="00ED31E9" w:rsidRDefault="001E530F" w:rsidP="001E530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Vienlaikus lūdzam projekta anotācijā iekļaut pamatojumu, ka informācijas saturs un ievietošanas mājaslapā (tīmekļa vietnē) kārtība atbilst nevainīguma prezumpcijai (sal. </w:t>
            </w:r>
            <w:proofErr w:type="spellStart"/>
            <w:r w:rsidRPr="00ED31E9">
              <w:rPr>
                <w:rFonts w:ascii="Times New Roman" w:hAnsi="Times New Roman" w:cs="Times New Roman"/>
                <w:bCs/>
                <w:sz w:val="20"/>
                <w:szCs w:val="20"/>
              </w:rPr>
              <w:t>Pfaeltzer</w:t>
            </w:r>
            <w:proofErr w:type="spellEnd"/>
            <w:r w:rsidRPr="00ED31E9">
              <w:rPr>
                <w:rFonts w:ascii="Times New Roman" w:hAnsi="Times New Roman" w:cs="Times New Roman"/>
                <w:bCs/>
                <w:sz w:val="20"/>
                <w:szCs w:val="20"/>
              </w:rPr>
              <w:t xml:space="preserve"> J. J. W. </w:t>
            </w:r>
            <w:proofErr w:type="spellStart"/>
            <w:r w:rsidRPr="00ED31E9">
              <w:rPr>
                <w:rFonts w:ascii="Times New Roman" w:hAnsi="Times New Roman" w:cs="Times New Roman"/>
                <w:bCs/>
                <w:sz w:val="20"/>
                <w:szCs w:val="20"/>
              </w:rPr>
              <w:t>Naming</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and</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Shaming</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Financial</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Market</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Regulations</w:t>
            </w:r>
            <w:proofErr w:type="spellEnd"/>
            <w:r w:rsidRPr="00ED31E9">
              <w:rPr>
                <w:rFonts w:ascii="Times New Roman" w:hAnsi="Times New Roman" w:cs="Times New Roman"/>
                <w:bCs/>
                <w:sz w:val="20"/>
                <w:szCs w:val="20"/>
              </w:rPr>
              <w:t xml:space="preserve">: A </w:t>
            </w:r>
            <w:proofErr w:type="spellStart"/>
            <w:r w:rsidRPr="00ED31E9">
              <w:rPr>
                <w:rFonts w:ascii="Times New Roman" w:hAnsi="Times New Roman" w:cs="Times New Roman"/>
                <w:bCs/>
                <w:sz w:val="20"/>
                <w:szCs w:val="20"/>
              </w:rPr>
              <w:t>Violation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of</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the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Presumption</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of</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Innocence</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Utrecht</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Law</w:t>
            </w:r>
            <w:proofErr w:type="spellEnd"/>
            <w:r w:rsidRPr="00ED31E9">
              <w:rPr>
                <w:rFonts w:ascii="Times New Roman" w:hAnsi="Times New Roman" w:cs="Times New Roman"/>
                <w:bCs/>
                <w:sz w:val="20"/>
                <w:szCs w:val="20"/>
              </w:rPr>
              <w:t xml:space="preserve"> </w:t>
            </w:r>
            <w:proofErr w:type="spellStart"/>
            <w:r w:rsidRPr="00ED31E9">
              <w:rPr>
                <w:rFonts w:ascii="Times New Roman" w:hAnsi="Times New Roman" w:cs="Times New Roman"/>
                <w:bCs/>
                <w:sz w:val="20"/>
                <w:szCs w:val="20"/>
              </w:rPr>
              <w:t>Review</w:t>
            </w:r>
            <w:proofErr w:type="spellEnd"/>
            <w:r w:rsidRPr="00ED31E9">
              <w:rPr>
                <w:rFonts w:ascii="Times New Roman" w:hAnsi="Times New Roman" w:cs="Times New Roman"/>
                <w:bCs/>
                <w:sz w:val="20"/>
                <w:szCs w:val="20"/>
              </w:rPr>
              <w:t xml:space="preserve">, 2014, </w:t>
            </w:r>
            <w:proofErr w:type="spellStart"/>
            <w:r w:rsidRPr="00ED31E9">
              <w:rPr>
                <w:rFonts w:ascii="Times New Roman" w:hAnsi="Times New Roman" w:cs="Times New Roman"/>
                <w:bCs/>
                <w:sz w:val="20"/>
                <w:szCs w:val="20"/>
              </w:rPr>
              <w:t>Vol</w:t>
            </w:r>
            <w:proofErr w:type="spellEnd"/>
            <w:r w:rsidRPr="00ED31E9">
              <w:rPr>
                <w:rFonts w:ascii="Times New Roman" w:hAnsi="Times New Roman" w:cs="Times New Roman"/>
                <w:bCs/>
                <w:sz w:val="20"/>
                <w:szCs w:val="20"/>
              </w:rPr>
              <w:t xml:space="preserve">. 10, </w:t>
            </w:r>
            <w:proofErr w:type="spellStart"/>
            <w:r w:rsidRPr="00ED31E9">
              <w:rPr>
                <w:rFonts w:ascii="Times New Roman" w:hAnsi="Times New Roman" w:cs="Times New Roman"/>
                <w:bCs/>
                <w:sz w:val="20"/>
                <w:szCs w:val="20"/>
              </w:rPr>
              <w:t>Iss</w:t>
            </w:r>
            <w:proofErr w:type="spellEnd"/>
            <w:r w:rsidRPr="00ED31E9">
              <w:rPr>
                <w:rFonts w:ascii="Times New Roman" w:hAnsi="Times New Roman" w:cs="Times New Roman"/>
                <w:bCs/>
                <w:sz w:val="20"/>
                <w:szCs w:val="20"/>
              </w:rPr>
              <w:t>. 1, p. 134-148).</w:t>
            </w:r>
          </w:p>
          <w:p w14:paraId="1F8F1666"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Ceturtkārt, projekta 69. pantā paredzēts, ka sankcijas un citus administratīvos pasākumus ir tiesības piemērot "par šā likuma, Regulas Nr. 2019/2033, Regulas  Nr. 575/2013 28., 52. vai 63. panta pārkāpumiem, kā arī Komisijas izdoto normatīvo </w:t>
            </w:r>
            <w:r w:rsidRPr="00ED31E9">
              <w:rPr>
                <w:rFonts w:ascii="Times New Roman" w:hAnsi="Times New Roman" w:cs="Times New Roman"/>
                <w:bCs/>
                <w:sz w:val="20"/>
                <w:szCs w:val="20"/>
              </w:rPr>
              <w:lastRenderedPageBreak/>
              <w:t>noteikumu vai pieņemto lēmumu pārkāpumiem". Sistēmiski skatoties, secināms, ka projekta 69. panta pirmā daļa nav tikai iespējamo sankciju uzskaitījums, bet ietver arī iespējamo pārkāpumu uzskaitījumu.</w:t>
            </w:r>
          </w:p>
          <w:p w14:paraId="4F5AFF40"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Tā kā šajā pantā daļā ir paredzētas krimināltiesiska (sodoša) rakstura sankcijas, tad pārkāpumi definējami, ievērojot sodu tiesībās valdošos principus un kritērijus.</w:t>
            </w:r>
          </w:p>
          <w:p w14:paraId="70FF1CEE"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Atbildību noteicošas normas nevar atzīt par neskaidrām tāpēc vien, ka to saturs noskaidrojams, pamatojoties uz citām tiesību normām vai normatīvajiem aktiem (sal. Satversmes tiesas 19.02.2021. sprieduma lietā Nr. 2020-23-01 15. punkts). Izmantojot </w:t>
            </w:r>
            <w:proofErr w:type="spellStart"/>
            <w:r w:rsidRPr="00ED31E9">
              <w:rPr>
                <w:rFonts w:ascii="Times New Roman" w:hAnsi="Times New Roman" w:cs="Times New Roman"/>
                <w:bCs/>
                <w:sz w:val="20"/>
                <w:szCs w:val="20"/>
              </w:rPr>
              <w:t>blanketo</w:t>
            </w:r>
            <w:proofErr w:type="spellEnd"/>
            <w:r w:rsidRPr="00ED31E9">
              <w:rPr>
                <w:rFonts w:ascii="Times New Roman" w:hAnsi="Times New Roman" w:cs="Times New Roman"/>
                <w:bCs/>
                <w:sz w:val="20"/>
                <w:szCs w:val="20"/>
              </w:rPr>
              <w:t xml:space="preserve"> normu, likumdevējs formulē vispārinātu pazīmi, kas kopā ar citās normās noteikto šīs pazīmes detalizāciju veido pārkāpumu. Tomēr jāievēro, ka arī </w:t>
            </w:r>
            <w:proofErr w:type="spellStart"/>
            <w:r w:rsidRPr="00ED31E9">
              <w:rPr>
                <w:rFonts w:ascii="Times New Roman" w:hAnsi="Times New Roman" w:cs="Times New Roman"/>
                <w:bCs/>
                <w:sz w:val="20"/>
                <w:szCs w:val="20"/>
              </w:rPr>
              <w:t>blanketā</w:t>
            </w:r>
            <w:proofErr w:type="spellEnd"/>
            <w:r w:rsidRPr="00ED31E9">
              <w:rPr>
                <w:rFonts w:ascii="Times New Roman" w:hAnsi="Times New Roman" w:cs="Times New Roman"/>
                <w:bCs/>
                <w:sz w:val="20"/>
                <w:szCs w:val="20"/>
              </w:rPr>
              <w:t xml:space="preserve"> norma definē visas pārkāpuma pazīmes, vienīgi daļu no šīm pazīmēm sīkāk konkretizē citas normas (sal. Leja M. Krimināltiesību aktuālie jautājumi un to risinājumi Latvijā, Austrijā, Šveicē, Vācijā. Noziedzīga nodarījuma uzbūve; cēloņsakarība; vaina; krimināltiesību normu interpretācija un spēks laikā. I daļa. Rīga: Tiesu namu aģentūra, 2019, 95.-96. lpp.).</w:t>
            </w:r>
          </w:p>
          <w:p w14:paraId="0605B8C5" w14:textId="77777777" w:rsidR="001E530F" w:rsidRPr="00ED31E9" w:rsidRDefault="001E530F" w:rsidP="001E530F">
            <w:pPr>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Ievērojot minēto, norāde uz likuma vai normatīvo noteikumu pārkāpumiem visticamāk neatbilst pārkāpumu definēšanas prasībām. Tā neļauj personai pietiekami noteikti paredzēt, kāda veida rīcība ir sodāma. Tā vietā projektā izmantojams precīzāks pārkāpumu raksturojums (sal. sk. projekta 69. panta otro daļu).</w:t>
            </w:r>
          </w:p>
          <w:p w14:paraId="248E1D08" w14:textId="77777777" w:rsidR="001E530F" w:rsidRPr="00ED31E9" w:rsidRDefault="001E530F" w:rsidP="001E530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 xml:space="preserve">Nebūtu paredzamas sodoša rakstura sankcijas par "pieņemto lēmumu pārkāpumiem". Tā vietā izmantojama administratīvā akta piespiedu izpilde. Turklāt, pat tajos izņēmuma gadījumos, kad sods par lēmumu nepildīšanu varētu būt paredzēts, pārkāpumam jābūt formulētam jau </w:t>
            </w:r>
            <w:r w:rsidRPr="00ED31E9">
              <w:rPr>
                <w:rFonts w:ascii="Times New Roman" w:hAnsi="Times New Roman" w:cs="Times New Roman"/>
                <w:bCs/>
                <w:sz w:val="20"/>
                <w:szCs w:val="20"/>
              </w:rPr>
              <w:lastRenderedPageBreak/>
              <w:t>likumā un ārkārtīgi precīzi. Pārkāpuma saturs nevar būt atkarīgs no iestādes lēmuma, pārkāpuma pazīmes jānosaka likumdevējam.</w:t>
            </w:r>
          </w:p>
          <w:p w14:paraId="7AFC8FF9" w14:textId="77777777" w:rsidR="001E530F" w:rsidRPr="00ED31E9" w:rsidRDefault="001E530F" w:rsidP="001E530F">
            <w:pPr>
              <w:spacing w:after="120"/>
              <w:ind w:firstLine="567"/>
              <w:jc w:val="both"/>
              <w:rPr>
                <w:rFonts w:ascii="Times New Roman" w:hAnsi="Times New Roman" w:cs="Times New Roman"/>
                <w:bCs/>
                <w:sz w:val="20"/>
                <w:szCs w:val="20"/>
              </w:rPr>
            </w:pPr>
            <w:r w:rsidRPr="00ED31E9">
              <w:rPr>
                <w:rFonts w:ascii="Times New Roman" w:hAnsi="Times New Roman" w:cs="Times New Roman"/>
                <w:bCs/>
                <w:sz w:val="20"/>
                <w:szCs w:val="20"/>
              </w:rPr>
              <w:t>Piektkārt, lūdzam 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projektā noteikt konkrētu noilguma termiņu (</w:t>
            </w:r>
            <w:proofErr w:type="spellStart"/>
            <w:r w:rsidRPr="00ED31E9">
              <w:rPr>
                <w:rFonts w:ascii="Times New Roman" w:hAnsi="Times New Roman" w:cs="Times New Roman"/>
                <w:bCs/>
                <w:sz w:val="20"/>
                <w:szCs w:val="20"/>
              </w:rPr>
              <w:t>Danovskis</w:t>
            </w:r>
            <w:proofErr w:type="spellEnd"/>
            <w:r w:rsidRPr="00ED31E9">
              <w:rPr>
                <w:rFonts w:ascii="Times New Roman" w:hAnsi="Times New Roman" w:cs="Times New Roman"/>
                <w:bCs/>
                <w:sz w:val="20"/>
                <w:szCs w:val="20"/>
              </w:rPr>
              <w:t xml:space="preserve"> E. Sodu tiesību principu nozīme administratīvajās tiesībās. </w:t>
            </w:r>
            <w:proofErr w:type="spellStart"/>
            <w:r w:rsidRPr="00ED31E9">
              <w:rPr>
                <w:rFonts w:ascii="Times New Roman" w:hAnsi="Times New Roman" w:cs="Times New Roman"/>
                <w:bCs/>
                <w:sz w:val="20"/>
                <w:szCs w:val="20"/>
              </w:rPr>
              <w:t>Grām</w:t>
            </w:r>
            <w:proofErr w:type="spellEnd"/>
            <w:r w:rsidRPr="00ED31E9">
              <w:rPr>
                <w:rFonts w:ascii="Times New Roman" w:hAnsi="Times New Roman" w:cs="Times New Roman"/>
                <w:bCs/>
                <w:sz w:val="20"/>
                <w:szCs w:val="20"/>
              </w:rPr>
              <w:t>.: Autoru kolektīvs. Juridisko personu publiski tiesiskā atbildība. Rīga: LU Akadēmiskais apgāds, 2018, 139. lpp.).</w:t>
            </w:r>
          </w:p>
          <w:p w14:paraId="462C3C04" w14:textId="77777777" w:rsidR="001E530F" w:rsidRDefault="001E530F" w:rsidP="001E530F">
            <w:pPr>
              <w:jc w:val="both"/>
              <w:rPr>
                <w:rFonts w:ascii="Times New Roman" w:hAnsi="Times New Roman" w:cs="Times New Roman"/>
                <w:bCs/>
                <w:sz w:val="20"/>
                <w:szCs w:val="20"/>
              </w:rPr>
            </w:pPr>
            <w:r w:rsidRPr="00ED31E9">
              <w:rPr>
                <w:rFonts w:ascii="Times New Roman" w:hAnsi="Times New Roman" w:cs="Times New Roman"/>
                <w:bCs/>
                <w:sz w:val="20"/>
                <w:szCs w:val="20"/>
              </w:rPr>
              <w:t>Vienlaikus izsakām priekšlikumu projektā lietoto terminu "soda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 (</w:t>
            </w:r>
            <w:proofErr w:type="spellStart"/>
            <w:r w:rsidRPr="00ED31E9">
              <w:rPr>
                <w:rFonts w:ascii="Times New Roman" w:hAnsi="Times New Roman" w:cs="Times New Roman"/>
                <w:bCs/>
                <w:sz w:val="20"/>
                <w:szCs w:val="20"/>
              </w:rPr>
              <w:t>Danovskis</w:t>
            </w:r>
            <w:proofErr w:type="spellEnd"/>
            <w:r w:rsidRPr="00ED31E9">
              <w:rPr>
                <w:rFonts w:ascii="Times New Roman" w:hAnsi="Times New Roman" w:cs="Times New Roman"/>
                <w:bCs/>
                <w:sz w:val="20"/>
                <w:szCs w:val="20"/>
              </w:rPr>
              <w:t xml:space="preserve"> E. Sodu tiesību principu nozīme administratīvajās tiesībās. </w:t>
            </w:r>
            <w:proofErr w:type="spellStart"/>
            <w:r w:rsidRPr="00ED31E9">
              <w:rPr>
                <w:rFonts w:ascii="Times New Roman" w:hAnsi="Times New Roman" w:cs="Times New Roman"/>
                <w:bCs/>
                <w:sz w:val="20"/>
                <w:szCs w:val="20"/>
              </w:rPr>
              <w:t>Grām</w:t>
            </w:r>
            <w:proofErr w:type="spellEnd"/>
            <w:r w:rsidRPr="00ED31E9">
              <w:rPr>
                <w:rFonts w:ascii="Times New Roman" w:hAnsi="Times New Roman" w:cs="Times New Roman"/>
                <w:bCs/>
                <w:sz w:val="20"/>
                <w:szCs w:val="20"/>
              </w:rPr>
              <w:t>.: Juridisko personu publiski tiesiskā atbildība. Rīga: LU Akadēmiskais apgāds, 2018, 134. lpp.). Līdzīgu apsvērumu dēļ ieteicams vārdus "uzlikt [sankciju]" vai "izteikt [brīdinājumu]" aizstāt ar vārdu "piemērot".</w:t>
            </w:r>
          </w:p>
          <w:p w14:paraId="2A074956" w14:textId="77777777" w:rsidR="001E530F" w:rsidRPr="004D3C94" w:rsidRDefault="001E530F" w:rsidP="001E530F">
            <w:pPr>
              <w:pStyle w:val="naisc"/>
              <w:spacing w:before="0" w:after="0"/>
              <w:jc w:val="both"/>
              <w:rPr>
                <w:b/>
                <w:sz w:val="20"/>
                <w:szCs w:val="20"/>
              </w:rPr>
            </w:pPr>
            <w:r w:rsidRPr="004D3C94">
              <w:rPr>
                <w:b/>
                <w:sz w:val="20"/>
                <w:szCs w:val="20"/>
              </w:rPr>
              <w:t>Š.g. 7.ūnijā uzturētais iebildums.</w:t>
            </w:r>
          </w:p>
          <w:p w14:paraId="74952096" w14:textId="77777777" w:rsidR="001E530F" w:rsidRPr="004D3C94" w:rsidRDefault="001E530F" w:rsidP="001E530F">
            <w:pPr>
              <w:pStyle w:val="naisc"/>
              <w:spacing w:before="0" w:after="0"/>
              <w:jc w:val="both"/>
              <w:rPr>
                <w:bCs/>
                <w:sz w:val="20"/>
                <w:szCs w:val="20"/>
              </w:rPr>
            </w:pPr>
            <w:r w:rsidRPr="004D3C94">
              <w:rPr>
                <w:bCs/>
                <w:sz w:val="20"/>
                <w:szCs w:val="20"/>
              </w:rPr>
              <w:t>Neskatoties uz to, ka izziņas I sadaļas 31. punktā norādīts, ka Tieslietu ministrijas iebildums ņemts vērā, Tieslietu ministrijas 2021. gada 11. maija atzinuma 17. punktā izteiktie iebildumi nav ņemti vērā. Likumprojekta pašreizējā redakcija saistībā ar administratīvo sankciju un citu pasākumu regulējumu neatšķiras no likumprojekta iepriekšējās redakcijas. Iespējamie grozījumi citos likumos vai tamlīdzīgi apsvērumi nav pamats, lai likumprojekta redakciju apzināti jau sākotnēji veidotu neatbilstošu Latvijas tiesību sistēmai.</w:t>
            </w:r>
          </w:p>
          <w:p w14:paraId="18100B1D" w14:textId="77777777" w:rsidR="001E530F" w:rsidRPr="004D3C94" w:rsidRDefault="001E530F" w:rsidP="001E530F">
            <w:pPr>
              <w:pStyle w:val="naisc"/>
              <w:spacing w:before="0" w:after="0"/>
              <w:jc w:val="both"/>
              <w:rPr>
                <w:bCs/>
                <w:sz w:val="20"/>
                <w:szCs w:val="20"/>
              </w:rPr>
            </w:pPr>
            <w:r w:rsidRPr="004D3C94">
              <w:rPr>
                <w:bCs/>
                <w:sz w:val="20"/>
                <w:szCs w:val="20"/>
              </w:rPr>
              <w:lastRenderedPageBreak/>
              <w:t>9.1. Likumprojekta XII nodaļas nosaukums "Atbildība par normatīvo aktu pārkāpumiem" neatbilst nodaļas saturam. Pirmkārt, likumprojekta 69. panta pirmajā daļā ir minēti "lēmumu pārkāpumi", kas nav normatīvie akti. Otrkārt, likumprojekta 69. panta nosaukumā ir minēti "citi administratīvie pasākumi". Nav saprotams, kas ir domāts ar šiem "citiem administratīvajiem pasākumiem". Piemēram, ja tie ietver arī t. s. uzraudzības pasākumus, tad tie nav regulējami šajā nodaļā (uzraudzība un atbildība ir nošķirti, patstāvīgi jautājumi; sk. arī likumprojekta VIII nodaļu).</w:t>
            </w:r>
          </w:p>
          <w:p w14:paraId="3A870B50" w14:textId="77777777" w:rsidR="001E530F" w:rsidRPr="004D3C94" w:rsidRDefault="001E530F" w:rsidP="001E530F">
            <w:pPr>
              <w:pStyle w:val="naisc"/>
              <w:spacing w:before="0" w:after="0"/>
              <w:jc w:val="both"/>
              <w:rPr>
                <w:bCs/>
                <w:sz w:val="20"/>
                <w:szCs w:val="20"/>
              </w:rPr>
            </w:pPr>
            <w:r w:rsidRPr="004D3C94">
              <w:rPr>
                <w:bCs/>
                <w:sz w:val="20"/>
                <w:szCs w:val="20"/>
              </w:rPr>
              <w:t>Tādējādi likumprojekta XII nodaļas nosaukums varētu būt, piemēram, "Atbildība", ievērojot to, ka šajā nodaļā netiktu regulēti uzraudzības jautājumi.</w:t>
            </w:r>
          </w:p>
          <w:p w14:paraId="69C9C33E" w14:textId="77777777" w:rsidR="001E530F" w:rsidRPr="004D3C94" w:rsidRDefault="001E530F" w:rsidP="001E530F">
            <w:pPr>
              <w:pStyle w:val="naisc"/>
              <w:spacing w:before="0" w:after="0"/>
              <w:jc w:val="both"/>
              <w:rPr>
                <w:bCs/>
                <w:sz w:val="20"/>
                <w:szCs w:val="20"/>
              </w:rPr>
            </w:pPr>
            <w:r w:rsidRPr="004D3C94">
              <w:rPr>
                <w:bCs/>
                <w:sz w:val="20"/>
                <w:szCs w:val="20"/>
              </w:rPr>
              <w:t>Vienlaikus nepieciešams norobežot sankcijas un minētos "citus administratīvos pasākumus", ietverot atbilstošu skaidrojumu anotācijā.</w:t>
            </w:r>
          </w:p>
          <w:p w14:paraId="7C5410CA" w14:textId="77777777" w:rsidR="001E530F" w:rsidRPr="004D3C94" w:rsidRDefault="001E530F" w:rsidP="001E530F">
            <w:pPr>
              <w:pStyle w:val="naisc"/>
              <w:spacing w:before="0" w:after="0"/>
              <w:jc w:val="both"/>
              <w:rPr>
                <w:bCs/>
                <w:sz w:val="20"/>
                <w:szCs w:val="20"/>
              </w:rPr>
            </w:pPr>
            <w:r w:rsidRPr="004D3C94">
              <w:rPr>
                <w:bCs/>
                <w:sz w:val="20"/>
                <w:szCs w:val="20"/>
              </w:rPr>
              <w:t>9.2. Atbildības (sankciju) regulējums ir paredzēts arī ārpus likumprojekta XII nodaļas. Piemēram, likumprojekta 16. pantā paredzēti licences anulēšanas gadījumi (panta nosaukums gan šķietami vēsta, ka regulējums attiecas uz anulēšanas procesu jeb kārtību). Daļa no šiem gadījumiem varētu būt sodoša rakstura administratīvās sankcijas (sk. likumprojekta 16. panta pirmās daļas 4. un 5. punktu). Līdzīgi apsvērumi attiecas arī uz likumprojekta 23. pantu. Tāpat sankciju piemērošanas regulējums ir ietverts likumprojekta 65. pantā</w:t>
            </w:r>
          </w:p>
          <w:p w14:paraId="40150B78" w14:textId="77777777" w:rsidR="001E530F" w:rsidRPr="004D3C94" w:rsidRDefault="001E530F" w:rsidP="001E530F">
            <w:pPr>
              <w:pStyle w:val="naisc"/>
              <w:spacing w:before="0" w:after="0"/>
              <w:jc w:val="both"/>
              <w:rPr>
                <w:bCs/>
                <w:sz w:val="20"/>
                <w:szCs w:val="20"/>
              </w:rPr>
            </w:pPr>
            <w:r w:rsidRPr="004D3C94">
              <w:rPr>
                <w:bCs/>
                <w:sz w:val="20"/>
                <w:szCs w:val="20"/>
              </w:rPr>
              <w:t>Līdz ar to likumprojekta XII nodaļa nesatur visu atbildības regulējumu. Saskaņā ar noteikumu Nr. 108 17. punktu nodaļā apvieno visus pantus, kas attiecas uz vienu regulējamo jautājumu.</w:t>
            </w:r>
          </w:p>
          <w:p w14:paraId="0265DEA1" w14:textId="77777777" w:rsidR="001E530F" w:rsidRPr="004D3C94" w:rsidRDefault="001E530F" w:rsidP="001E530F">
            <w:pPr>
              <w:pStyle w:val="naisc"/>
              <w:spacing w:before="0" w:after="0"/>
              <w:jc w:val="both"/>
              <w:rPr>
                <w:bCs/>
                <w:sz w:val="20"/>
                <w:szCs w:val="20"/>
              </w:rPr>
            </w:pPr>
            <w:r w:rsidRPr="004D3C94">
              <w:rPr>
                <w:bCs/>
                <w:sz w:val="20"/>
                <w:szCs w:val="20"/>
              </w:rPr>
              <w:t xml:space="preserve">9.3. Nav skaidri iespējamie sankciju veidi un to piemērošanas gadījumi. Sankcijas šķietami ir regulētas likumprojekta 69. pantā. Tomēr skatoties kopsakarā, piemēram, ar likumprojekta 68. panta trešo daļu, pastāv šaubas, vai likumprojektā 69. pantā minētais sankciju uzskaitījums ir izsmeļošs. </w:t>
            </w:r>
          </w:p>
          <w:p w14:paraId="191A6669" w14:textId="77777777" w:rsidR="001E530F" w:rsidRPr="004D3C94" w:rsidRDefault="001E530F" w:rsidP="001E530F">
            <w:pPr>
              <w:pStyle w:val="naisc"/>
              <w:spacing w:before="0" w:after="0"/>
              <w:jc w:val="both"/>
              <w:rPr>
                <w:bCs/>
                <w:sz w:val="20"/>
                <w:szCs w:val="20"/>
              </w:rPr>
            </w:pPr>
            <w:r w:rsidRPr="004D3C94">
              <w:rPr>
                <w:bCs/>
                <w:sz w:val="20"/>
                <w:szCs w:val="20"/>
              </w:rPr>
              <w:t xml:space="preserve">Turklāt arī likumprojekta 70. pantā minētā sankciju un citu administratīvo pasākumu publicēšana var būt patstāvīga administratīvā sankcija. Tas, vai šādai sankcijai piemīt krimināltiesisks jeb sodošs raksturs, ir diskutabls </w:t>
            </w:r>
            <w:r w:rsidRPr="004D3C94">
              <w:rPr>
                <w:bCs/>
                <w:sz w:val="20"/>
                <w:szCs w:val="20"/>
              </w:rPr>
              <w:lastRenderedPageBreak/>
              <w:t xml:space="preserve">jautājums (sal. </w:t>
            </w:r>
            <w:proofErr w:type="spellStart"/>
            <w:r w:rsidRPr="004D3C94">
              <w:rPr>
                <w:bCs/>
                <w:sz w:val="20"/>
                <w:szCs w:val="20"/>
              </w:rPr>
              <w:t>Jansen</w:t>
            </w:r>
            <w:proofErr w:type="spellEnd"/>
            <w:r w:rsidRPr="004D3C94">
              <w:rPr>
                <w:bCs/>
                <w:sz w:val="20"/>
                <w:szCs w:val="20"/>
              </w:rPr>
              <w:t xml:space="preserve"> O. </w:t>
            </w:r>
            <w:proofErr w:type="spellStart"/>
            <w:r w:rsidRPr="004D3C94">
              <w:rPr>
                <w:bCs/>
                <w:sz w:val="20"/>
                <w:szCs w:val="20"/>
              </w:rPr>
              <w:t>Country</w:t>
            </w:r>
            <w:proofErr w:type="spellEnd"/>
            <w:r w:rsidRPr="004D3C94">
              <w:rPr>
                <w:bCs/>
                <w:sz w:val="20"/>
                <w:szCs w:val="20"/>
              </w:rPr>
              <w:t xml:space="preserve"> </w:t>
            </w:r>
            <w:proofErr w:type="spellStart"/>
            <w:r w:rsidRPr="004D3C94">
              <w:rPr>
                <w:bCs/>
                <w:sz w:val="20"/>
                <w:szCs w:val="20"/>
              </w:rPr>
              <w:t>Analysis</w:t>
            </w:r>
            <w:proofErr w:type="spellEnd"/>
            <w:r w:rsidRPr="004D3C94">
              <w:rPr>
                <w:bCs/>
                <w:sz w:val="20"/>
                <w:szCs w:val="20"/>
              </w:rPr>
              <w:t xml:space="preserve"> – </w:t>
            </w:r>
            <w:proofErr w:type="spellStart"/>
            <w:r w:rsidRPr="004D3C94">
              <w:rPr>
                <w:bCs/>
                <w:sz w:val="20"/>
                <w:szCs w:val="20"/>
              </w:rPr>
              <w:t>The</w:t>
            </w:r>
            <w:proofErr w:type="spellEnd"/>
            <w:r w:rsidRPr="004D3C94">
              <w:rPr>
                <w:bCs/>
                <w:sz w:val="20"/>
                <w:szCs w:val="20"/>
              </w:rPr>
              <w:t xml:space="preserve"> </w:t>
            </w:r>
            <w:proofErr w:type="spellStart"/>
            <w:r w:rsidRPr="004D3C94">
              <w:rPr>
                <w:bCs/>
                <w:sz w:val="20"/>
                <w:szCs w:val="20"/>
              </w:rPr>
              <w:t>Netherlands</w:t>
            </w:r>
            <w:proofErr w:type="spellEnd"/>
            <w:r w:rsidRPr="004D3C94">
              <w:rPr>
                <w:bCs/>
                <w:sz w:val="20"/>
                <w:szCs w:val="20"/>
              </w:rPr>
              <w:t xml:space="preserve">. </w:t>
            </w:r>
            <w:proofErr w:type="spellStart"/>
            <w:r w:rsidRPr="004D3C94">
              <w:rPr>
                <w:bCs/>
                <w:sz w:val="20"/>
                <w:szCs w:val="20"/>
              </w:rPr>
              <w:t>In</w:t>
            </w:r>
            <w:proofErr w:type="spellEnd"/>
            <w:r w:rsidRPr="004D3C94">
              <w:rPr>
                <w:bCs/>
                <w:sz w:val="20"/>
                <w:szCs w:val="20"/>
              </w:rPr>
              <w:t xml:space="preserve">: </w:t>
            </w:r>
            <w:proofErr w:type="spellStart"/>
            <w:r w:rsidRPr="004D3C94">
              <w:rPr>
                <w:bCs/>
                <w:sz w:val="20"/>
                <w:szCs w:val="20"/>
              </w:rPr>
              <w:t>Administrative</w:t>
            </w:r>
            <w:proofErr w:type="spellEnd"/>
            <w:r w:rsidRPr="004D3C94">
              <w:rPr>
                <w:bCs/>
                <w:sz w:val="20"/>
                <w:szCs w:val="20"/>
              </w:rPr>
              <w:t xml:space="preserve"> </w:t>
            </w:r>
            <w:proofErr w:type="spellStart"/>
            <w:r w:rsidRPr="004D3C94">
              <w:rPr>
                <w:bCs/>
                <w:sz w:val="20"/>
                <w:szCs w:val="20"/>
              </w:rPr>
              <w:t>Sanctions</w:t>
            </w:r>
            <w:proofErr w:type="spellEnd"/>
            <w:r w:rsidRPr="004D3C94">
              <w:rPr>
                <w:bCs/>
                <w:sz w:val="20"/>
                <w:szCs w:val="20"/>
              </w:rPr>
              <w:t xml:space="preserve"> </w:t>
            </w:r>
            <w:proofErr w:type="spellStart"/>
            <w:r w:rsidRPr="004D3C94">
              <w:rPr>
                <w:bCs/>
                <w:sz w:val="20"/>
                <w:szCs w:val="20"/>
              </w:rPr>
              <w:t>in</w:t>
            </w:r>
            <w:proofErr w:type="spellEnd"/>
            <w:r w:rsidRPr="004D3C94">
              <w:rPr>
                <w:bCs/>
                <w:sz w:val="20"/>
                <w:szCs w:val="20"/>
              </w:rPr>
              <w:t xml:space="preserve"> </w:t>
            </w:r>
            <w:proofErr w:type="spellStart"/>
            <w:r w:rsidRPr="004D3C94">
              <w:rPr>
                <w:bCs/>
                <w:sz w:val="20"/>
                <w:szCs w:val="20"/>
              </w:rPr>
              <w:t>the</w:t>
            </w:r>
            <w:proofErr w:type="spellEnd"/>
            <w:r w:rsidRPr="004D3C94">
              <w:rPr>
                <w:bCs/>
                <w:sz w:val="20"/>
                <w:szCs w:val="20"/>
              </w:rPr>
              <w:t xml:space="preserve"> </w:t>
            </w:r>
            <w:proofErr w:type="spellStart"/>
            <w:r w:rsidRPr="004D3C94">
              <w:rPr>
                <w:bCs/>
                <w:sz w:val="20"/>
                <w:szCs w:val="20"/>
              </w:rPr>
              <w:t>European</w:t>
            </w:r>
            <w:proofErr w:type="spellEnd"/>
            <w:r w:rsidRPr="004D3C94">
              <w:rPr>
                <w:bCs/>
                <w:sz w:val="20"/>
                <w:szCs w:val="20"/>
              </w:rPr>
              <w:t xml:space="preserve"> </w:t>
            </w:r>
            <w:proofErr w:type="spellStart"/>
            <w:r w:rsidRPr="004D3C94">
              <w:rPr>
                <w:bCs/>
                <w:sz w:val="20"/>
                <w:szCs w:val="20"/>
              </w:rPr>
              <w:t>Union</w:t>
            </w:r>
            <w:proofErr w:type="spellEnd"/>
            <w:r w:rsidRPr="004D3C94">
              <w:rPr>
                <w:bCs/>
                <w:sz w:val="20"/>
                <w:szCs w:val="20"/>
              </w:rPr>
              <w:t xml:space="preserve">. </w:t>
            </w:r>
            <w:proofErr w:type="spellStart"/>
            <w:r w:rsidRPr="004D3C94">
              <w:rPr>
                <w:bCs/>
                <w:sz w:val="20"/>
                <w:szCs w:val="20"/>
              </w:rPr>
              <w:t>Jansen</w:t>
            </w:r>
            <w:proofErr w:type="spellEnd"/>
            <w:r w:rsidRPr="004D3C94">
              <w:rPr>
                <w:bCs/>
                <w:sz w:val="20"/>
                <w:szCs w:val="20"/>
              </w:rPr>
              <w:t xml:space="preserve"> O. (Ed.). </w:t>
            </w:r>
            <w:proofErr w:type="spellStart"/>
            <w:r w:rsidRPr="004D3C94">
              <w:rPr>
                <w:bCs/>
                <w:sz w:val="20"/>
                <w:szCs w:val="20"/>
              </w:rPr>
              <w:t>Cambridge</w:t>
            </w:r>
            <w:proofErr w:type="spellEnd"/>
            <w:r w:rsidRPr="004D3C94">
              <w:rPr>
                <w:bCs/>
                <w:sz w:val="20"/>
                <w:szCs w:val="20"/>
              </w:rPr>
              <w:t xml:space="preserve">: </w:t>
            </w:r>
            <w:proofErr w:type="spellStart"/>
            <w:r w:rsidRPr="004D3C94">
              <w:rPr>
                <w:bCs/>
                <w:sz w:val="20"/>
                <w:szCs w:val="20"/>
              </w:rPr>
              <w:t>Intersentia</w:t>
            </w:r>
            <w:proofErr w:type="spellEnd"/>
            <w:r w:rsidRPr="004D3C94">
              <w:rPr>
                <w:bCs/>
                <w:sz w:val="20"/>
                <w:szCs w:val="20"/>
              </w:rPr>
              <w:t xml:space="preserve">, 2013, p. 323-243), un tās raksturs būtu vērtējams atsevišķi. Tomēr, ievērojot publicēšanas iespējamo mērķi un ietekmi uz personas reputāciju, kā arī citu finanšu tirgus jomas regulējumu, </w:t>
            </w:r>
            <w:proofErr w:type="spellStart"/>
            <w:r w:rsidRPr="004D3C94">
              <w:rPr>
                <w:bCs/>
                <w:sz w:val="20"/>
                <w:szCs w:val="20"/>
              </w:rPr>
              <w:t>pirmšķietami</w:t>
            </w:r>
            <w:proofErr w:type="spellEnd"/>
            <w:r w:rsidRPr="004D3C94">
              <w:rPr>
                <w:bCs/>
                <w:sz w:val="20"/>
                <w:szCs w:val="20"/>
              </w:rPr>
              <w:t xml:space="preserve"> pastāv vairāki argumenti, kas liecina, ka informācijas publiskošana arī ir sodoša rakstura administratīva sankcija. Šobrīd publisks paziņojums ir minēts gan likumprojekta 69. pantā, gan mazliet atšķirīgi regulēts vēl atsevišķi likumprojekta 70. pantā.</w:t>
            </w:r>
          </w:p>
          <w:p w14:paraId="24D78C29" w14:textId="77777777" w:rsidR="001E530F" w:rsidRPr="004D3C94" w:rsidRDefault="001E530F" w:rsidP="001E530F">
            <w:pPr>
              <w:pStyle w:val="naisc"/>
              <w:spacing w:before="0" w:after="0"/>
              <w:jc w:val="both"/>
              <w:rPr>
                <w:bCs/>
                <w:sz w:val="20"/>
                <w:szCs w:val="20"/>
              </w:rPr>
            </w:pPr>
            <w:r w:rsidRPr="004D3C94">
              <w:rPr>
                <w:bCs/>
                <w:sz w:val="20"/>
                <w:szCs w:val="20"/>
              </w:rPr>
              <w:t>Līdz ar to nepieciešams anotācijā izvērtēt un likumprojektā skaidri un izsmeļoši norādīt, kuri pasākumi ir krimināltiesiska (sodoša) rakstura administratīvās sankcijas.</w:t>
            </w:r>
          </w:p>
          <w:p w14:paraId="7C28CC58" w14:textId="77777777" w:rsidR="001E530F" w:rsidRPr="004D3C94" w:rsidRDefault="001E530F" w:rsidP="001E530F">
            <w:pPr>
              <w:pStyle w:val="naisc"/>
              <w:spacing w:before="0" w:after="0"/>
              <w:jc w:val="both"/>
              <w:rPr>
                <w:bCs/>
                <w:sz w:val="20"/>
                <w:szCs w:val="20"/>
              </w:rPr>
            </w:pPr>
            <w:r w:rsidRPr="004D3C94">
              <w:rPr>
                <w:bCs/>
                <w:sz w:val="20"/>
                <w:szCs w:val="20"/>
              </w:rPr>
              <w:t xml:space="preserve">Vienlaikus lūdzam anotācijā iekļaut pamatojumu, ka informācijas saturs un ievietošanas mājaslapā (tīmekļa vietnē) kārtība atbilst nevainīguma prezumpcijai (sal. </w:t>
            </w:r>
            <w:proofErr w:type="spellStart"/>
            <w:r w:rsidRPr="004D3C94">
              <w:rPr>
                <w:bCs/>
                <w:sz w:val="20"/>
                <w:szCs w:val="20"/>
              </w:rPr>
              <w:t>Pfaeltzer</w:t>
            </w:r>
            <w:proofErr w:type="spellEnd"/>
            <w:r w:rsidRPr="004D3C94">
              <w:rPr>
                <w:bCs/>
                <w:sz w:val="20"/>
                <w:szCs w:val="20"/>
              </w:rPr>
              <w:t xml:space="preserve"> J. J. W. </w:t>
            </w:r>
            <w:proofErr w:type="spellStart"/>
            <w:r w:rsidRPr="004D3C94">
              <w:rPr>
                <w:bCs/>
                <w:sz w:val="20"/>
                <w:szCs w:val="20"/>
              </w:rPr>
              <w:t>Naming</w:t>
            </w:r>
            <w:proofErr w:type="spellEnd"/>
            <w:r w:rsidRPr="004D3C94">
              <w:rPr>
                <w:bCs/>
                <w:sz w:val="20"/>
                <w:szCs w:val="20"/>
              </w:rPr>
              <w:t xml:space="preserve"> </w:t>
            </w:r>
            <w:proofErr w:type="spellStart"/>
            <w:r w:rsidRPr="004D3C94">
              <w:rPr>
                <w:bCs/>
                <w:sz w:val="20"/>
                <w:szCs w:val="20"/>
              </w:rPr>
              <w:t>and</w:t>
            </w:r>
            <w:proofErr w:type="spellEnd"/>
            <w:r w:rsidRPr="004D3C94">
              <w:rPr>
                <w:bCs/>
                <w:sz w:val="20"/>
                <w:szCs w:val="20"/>
              </w:rPr>
              <w:t xml:space="preserve"> </w:t>
            </w:r>
            <w:proofErr w:type="spellStart"/>
            <w:r w:rsidRPr="004D3C94">
              <w:rPr>
                <w:bCs/>
                <w:sz w:val="20"/>
                <w:szCs w:val="20"/>
              </w:rPr>
              <w:t>Shaming</w:t>
            </w:r>
            <w:proofErr w:type="spellEnd"/>
            <w:r w:rsidRPr="004D3C94">
              <w:rPr>
                <w:bCs/>
                <w:sz w:val="20"/>
                <w:szCs w:val="20"/>
              </w:rPr>
              <w:t xml:space="preserve"> </w:t>
            </w:r>
            <w:proofErr w:type="spellStart"/>
            <w:r w:rsidRPr="004D3C94">
              <w:rPr>
                <w:bCs/>
                <w:sz w:val="20"/>
                <w:szCs w:val="20"/>
              </w:rPr>
              <w:t>in</w:t>
            </w:r>
            <w:proofErr w:type="spellEnd"/>
            <w:r w:rsidRPr="004D3C94">
              <w:rPr>
                <w:bCs/>
                <w:sz w:val="20"/>
                <w:szCs w:val="20"/>
              </w:rPr>
              <w:t xml:space="preserve"> </w:t>
            </w:r>
            <w:proofErr w:type="spellStart"/>
            <w:r w:rsidRPr="004D3C94">
              <w:rPr>
                <w:bCs/>
                <w:sz w:val="20"/>
                <w:szCs w:val="20"/>
              </w:rPr>
              <w:t>Financial</w:t>
            </w:r>
            <w:proofErr w:type="spellEnd"/>
            <w:r w:rsidRPr="004D3C94">
              <w:rPr>
                <w:bCs/>
                <w:sz w:val="20"/>
                <w:szCs w:val="20"/>
              </w:rPr>
              <w:t xml:space="preserve"> </w:t>
            </w:r>
            <w:proofErr w:type="spellStart"/>
            <w:r w:rsidRPr="004D3C94">
              <w:rPr>
                <w:bCs/>
                <w:sz w:val="20"/>
                <w:szCs w:val="20"/>
              </w:rPr>
              <w:t>Market</w:t>
            </w:r>
            <w:proofErr w:type="spellEnd"/>
            <w:r w:rsidRPr="004D3C94">
              <w:rPr>
                <w:bCs/>
                <w:sz w:val="20"/>
                <w:szCs w:val="20"/>
              </w:rPr>
              <w:t xml:space="preserve"> </w:t>
            </w:r>
            <w:proofErr w:type="spellStart"/>
            <w:r w:rsidRPr="004D3C94">
              <w:rPr>
                <w:bCs/>
                <w:sz w:val="20"/>
                <w:szCs w:val="20"/>
              </w:rPr>
              <w:t>Regulations</w:t>
            </w:r>
            <w:proofErr w:type="spellEnd"/>
            <w:r w:rsidRPr="004D3C94">
              <w:rPr>
                <w:bCs/>
                <w:sz w:val="20"/>
                <w:szCs w:val="20"/>
              </w:rPr>
              <w:t xml:space="preserve">: A </w:t>
            </w:r>
            <w:proofErr w:type="spellStart"/>
            <w:r w:rsidRPr="004D3C94">
              <w:rPr>
                <w:bCs/>
                <w:sz w:val="20"/>
                <w:szCs w:val="20"/>
              </w:rPr>
              <w:t>Violation</w:t>
            </w:r>
            <w:proofErr w:type="spellEnd"/>
            <w:r w:rsidRPr="004D3C94">
              <w:rPr>
                <w:bCs/>
                <w:sz w:val="20"/>
                <w:szCs w:val="20"/>
              </w:rPr>
              <w:t xml:space="preserve"> </w:t>
            </w:r>
            <w:proofErr w:type="spellStart"/>
            <w:r w:rsidRPr="004D3C94">
              <w:rPr>
                <w:bCs/>
                <w:sz w:val="20"/>
                <w:szCs w:val="20"/>
              </w:rPr>
              <w:t>of</w:t>
            </w:r>
            <w:proofErr w:type="spellEnd"/>
            <w:r w:rsidRPr="004D3C94">
              <w:rPr>
                <w:bCs/>
                <w:sz w:val="20"/>
                <w:szCs w:val="20"/>
              </w:rPr>
              <w:t xml:space="preserve"> </w:t>
            </w:r>
            <w:proofErr w:type="spellStart"/>
            <w:r w:rsidRPr="004D3C94">
              <w:rPr>
                <w:bCs/>
                <w:sz w:val="20"/>
                <w:szCs w:val="20"/>
              </w:rPr>
              <w:t>the</w:t>
            </w:r>
            <w:proofErr w:type="spellEnd"/>
            <w:r w:rsidRPr="004D3C94">
              <w:rPr>
                <w:bCs/>
                <w:sz w:val="20"/>
                <w:szCs w:val="20"/>
              </w:rPr>
              <w:t xml:space="preserve"> </w:t>
            </w:r>
            <w:proofErr w:type="spellStart"/>
            <w:r w:rsidRPr="004D3C94">
              <w:rPr>
                <w:bCs/>
                <w:sz w:val="20"/>
                <w:szCs w:val="20"/>
              </w:rPr>
              <w:t>Presumption</w:t>
            </w:r>
            <w:proofErr w:type="spellEnd"/>
            <w:r w:rsidRPr="004D3C94">
              <w:rPr>
                <w:bCs/>
                <w:sz w:val="20"/>
                <w:szCs w:val="20"/>
              </w:rPr>
              <w:t xml:space="preserve"> </w:t>
            </w:r>
            <w:proofErr w:type="spellStart"/>
            <w:r w:rsidRPr="004D3C94">
              <w:rPr>
                <w:bCs/>
                <w:sz w:val="20"/>
                <w:szCs w:val="20"/>
              </w:rPr>
              <w:t>of</w:t>
            </w:r>
            <w:proofErr w:type="spellEnd"/>
            <w:r w:rsidRPr="004D3C94">
              <w:rPr>
                <w:bCs/>
                <w:sz w:val="20"/>
                <w:szCs w:val="20"/>
              </w:rPr>
              <w:t xml:space="preserve"> </w:t>
            </w:r>
            <w:proofErr w:type="spellStart"/>
            <w:r w:rsidRPr="004D3C94">
              <w:rPr>
                <w:bCs/>
                <w:sz w:val="20"/>
                <w:szCs w:val="20"/>
              </w:rPr>
              <w:t>Innocence</w:t>
            </w:r>
            <w:proofErr w:type="spellEnd"/>
            <w:r w:rsidRPr="004D3C94">
              <w:rPr>
                <w:bCs/>
                <w:sz w:val="20"/>
                <w:szCs w:val="20"/>
              </w:rPr>
              <w:t xml:space="preserve">? </w:t>
            </w:r>
            <w:proofErr w:type="spellStart"/>
            <w:r w:rsidRPr="004D3C94">
              <w:rPr>
                <w:bCs/>
                <w:sz w:val="20"/>
                <w:szCs w:val="20"/>
              </w:rPr>
              <w:t>Utrecht</w:t>
            </w:r>
            <w:proofErr w:type="spellEnd"/>
            <w:r w:rsidRPr="004D3C94">
              <w:rPr>
                <w:bCs/>
                <w:sz w:val="20"/>
                <w:szCs w:val="20"/>
              </w:rPr>
              <w:t xml:space="preserve"> </w:t>
            </w:r>
            <w:proofErr w:type="spellStart"/>
            <w:r w:rsidRPr="004D3C94">
              <w:rPr>
                <w:bCs/>
                <w:sz w:val="20"/>
                <w:szCs w:val="20"/>
              </w:rPr>
              <w:t>Law</w:t>
            </w:r>
            <w:proofErr w:type="spellEnd"/>
            <w:r w:rsidRPr="004D3C94">
              <w:rPr>
                <w:bCs/>
                <w:sz w:val="20"/>
                <w:szCs w:val="20"/>
              </w:rPr>
              <w:t xml:space="preserve"> </w:t>
            </w:r>
            <w:proofErr w:type="spellStart"/>
            <w:r w:rsidRPr="004D3C94">
              <w:rPr>
                <w:bCs/>
                <w:sz w:val="20"/>
                <w:szCs w:val="20"/>
              </w:rPr>
              <w:t>Review</w:t>
            </w:r>
            <w:proofErr w:type="spellEnd"/>
            <w:r w:rsidRPr="004D3C94">
              <w:rPr>
                <w:bCs/>
                <w:sz w:val="20"/>
                <w:szCs w:val="20"/>
              </w:rPr>
              <w:t xml:space="preserve">, 2014, </w:t>
            </w:r>
            <w:proofErr w:type="spellStart"/>
            <w:r w:rsidRPr="004D3C94">
              <w:rPr>
                <w:bCs/>
                <w:sz w:val="20"/>
                <w:szCs w:val="20"/>
              </w:rPr>
              <w:t>Vol</w:t>
            </w:r>
            <w:proofErr w:type="spellEnd"/>
            <w:r w:rsidRPr="004D3C94">
              <w:rPr>
                <w:bCs/>
                <w:sz w:val="20"/>
                <w:szCs w:val="20"/>
              </w:rPr>
              <w:t xml:space="preserve">. 10, </w:t>
            </w:r>
            <w:proofErr w:type="spellStart"/>
            <w:r w:rsidRPr="004D3C94">
              <w:rPr>
                <w:bCs/>
                <w:sz w:val="20"/>
                <w:szCs w:val="20"/>
              </w:rPr>
              <w:t>Iss</w:t>
            </w:r>
            <w:proofErr w:type="spellEnd"/>
            <w:r w:rsidRPr="004D3C94">
              <w:rPr>
                <w:bCs/>
                <w:sz w:val="20"/>
                <w:szCs w:val="20"/>
              </w:rPr>
              <w:t>. 1, p. 134-148).</w:t>
            </w:r>
          </w:p>
          <w:p w14:paraId="443448CD" w14:textId="77777777" w:rsidR="001E530F" w:rsidRPr="004D3C94" w:rsidRDefault="001E530F" w:rsidP="001E530F">
            <w:pPr>
              <w:pStyle w:val="naisc"/>
              <w:spacing w:before="0" w:after="0"/>
              <w:jc w:val="both"/>
              <w:rPr>
                <w:bCs/>
                <w:sz w:val="20"/>
                <w:szCs w:val="20"/>
              </w:rPr>
            </w:pPr>
            <w:r w:rsidRPr="004D3C94">
              <w:rPr>
                <w:bCs/>
                <w:sz w:val="20"/>
                <w:szCs w:val="20"/>
              </w:rPr>
              <w:t>9.4. Likumprojekta 69. pantā paredzēts, ka sankcijas un citus administratīvos pasākumus ir tiesības piemērot "par šā likuma, Regulas Nr. 2019/2033, Regulas  Nr. 575/2013 28., 52. vai 63. panta pārkāpumiem, kā arī Komisijas izdoto normatīvo noteikumu vai pieņemto lēmumu pārkāpumiem". Sistēmiski skatoties, secināms, ka likumprojekta 69. panta pirmā daļa nav tikai iespējamo sankciju uzskaitījums, bet ietver arī iespējamo pārkāpumu uzskaitījumu.</w:t>
            </w:r>
          </w:p>
          <w:p w14:paraId="24D9ABA1" w14:textId="77777777" w:rsidR="001E530F" w:rsidRPr="004D3C94" w:rsidRDefault="001E530F" w:rsidP="001E530F">
            <w:pPr>
              <w:pStyle w:val="naisc"/>
              <w:spacing w:before="0" w:after="0"/>
              <w:jc w:val="both"/>
              <w:rPr>
                <w:bCs/>
                <w:sz w:val="20"/>
                <w:szCs w:val="20"/>
              </w:rPr>
            </w:pPr>
            <w:r w:rsidRPr="004D3C94">
              <w:rPr>
                <w:bCs/>
                <w:sz w:val="20"/>
                <w:szCs w:val="20"/>
              </w:rPr>
              <w:t>Tā kā šajā pantā daļā ir paredzētas krimināltiesiska (sodoša) rakstura sankcijas, tad pārkāpumi definējami, ievērojot sodu tiesībās valdošos principus un kritērijus.</w:t>
            </w:r>
          </w:p>
          <w:p w14:paraId="4D99FA15" w14:textId="77777777" w:rsidR="001E530F" w:rsidRPr="004D3C94" w:rsidRDefault="001E530F" w:rsidP="001E530F">
            <w:pPr>
              <w:pStyle w:val="naisc"/>
              <w:spacing w:before="0" w:after="0"/>
              <w:jc w:val="both"/>
              <w:rPr>
                <w:bCs/>
                <w:sz w:val="20"/>
                <w:szCs w:val="20"/>
              </w:rPr>
            </w:pPr>
            <w:r w:rsidRPr="004D3C94">
              <w:rPr>
                <w:bCs/>
                <w:sz w:val="20"/>
                <w:szCs w:val="20"/>
              </w:rPr>
              <w:t xml:space="preserve">Atbildību noteicošas normas nevar atzīt par neskaidrām tāpēc vien, ka to saturs noskaidrojams, pamatojoties uz citām tiesību normām vai normatīvajiem aktiem (sal. Satversmes tiesas 19.02.2021. sprieduma lietā Nr. 2020-23-01 15. punkts). Izmantojot </w:t>
            </w:r>
            <w:proofErr w:type="spellStart"/>
            <w:r w:rsidRPr="004D3C94">
              <w:rPr>
                <w:bCs/>
                <w:sz w:val="20"/>
                <w:szCs w:val="20"/>
              </w:rPr>
              <w:t>blanketo</w:t>
            </w:r>
            <w:proofErr w:type="spellEnd"/>
            <w:r w:rsidRPr="004D3C94">
              <w:rPr>
                <w:bCs/>
                <w:sz w:val="20"/>
                <w:szCs w:val="20"/>
              </w:rPr>
              <w:t xml:space="preserve"> normu, likumdevējs formulē vispārinātu pazīmi, kas kopā ar citās normās noteikto šīs pazīmes detalizāciju veido </w:t>
            </w:r>
            <w:r w:rsidRPr="004D3C94">
              <w:rPr>
                <w:bCs/>
                <w:sz w:val="20"/>
                <w:szCs w:val="20"/>
              </w:rPr>
              <w:lastRenderedPageBreak/>
              <w:t xml:space="preserve">pārkāpumu. Tomēr jāievēro, ka arī </w:t>
            </w:r>
            <w:proofErr w:type="spellStart"/>
            <w:r w:rsidRPr="004D3C94">
              <w:rPr>
                <w:bCs/>
                <w:sz w:val="20"/>
                <w:szCs w:val="20"/>
              </w:rPr>
              <w:t>blanketā</w:t>
            </w:r>
            <w:proofErr w:type="spellEnd"/>
            <w:r w:rsidRPr="004D3C94">
              <w:rPr>
                <w:bCs/>
                <w:sz w:val="20"/>
                <w:szCs w:val="20"/>
              </w:rPr>
              <w:t xml:space="preserve"> norma definē visas pārkāpuma pazīmes, vienīgi daļu no šīm pazīmēm sīkāk konkretizē citas normas (sal. Leja M. Krimināltiesību aktuālie jautājumi un to risinājumi Latvijā, Austrijā, Šveicē, Vācijā. Noziedzīga nodarījuma uzbūve; cēloņsakarība; vaina; krimināltiesību normu interpretācija un spēks laikā. I daļa. Rīga: Tiesu namu aģentūra, 2019, 95.-96. lpp.).</w:t>
            </w:r>
          </w:p>
          <w:p w14:paraId="271BD31E" w14:textId="77777777" w:rsidR="001E530F" w:rsidRPr="004D3C94" w:rsidRDefault="001E530F" w:rsidP="001E530F">
            <w:pPr>
              <w:pStyle w:val="naisc"/>
              <w:spacing w:before="0" w:after="0"/>
              <w:jc w:val="both"/>
              <w:rPr>
                <w:bCs/>
                <w:sz w:val="20"/>
                <w:szCs w:val="20"/>
              </w:rPr>
            </w:pPr>
            <w:r w:rsidRPr="004D3C94">
              <w:rPr>
                <w:bCs/>
                <w:sz w:val="20"/>
                <w:szCs w:val="20"/>
              </w:rPr>
              <w:t>Ievērojot minēto, norāde uz likuma vai normatīvo noteikumu pārkāpumiem visticamāk neatbilst pārkāpumu definēšanas prasībām. Tā neļauj personai pietiekami noteikti paredzēt, kāda veida rīcība ir sodāma. Šajā gadījumā likumprojekta 69. panta pirmajā daļā ir norādītas arī konkrētas regulu vienības. Tādējādi pārkāpumu formulējums ir salīdzinoši precīzāks (salīdzinot ar "šā likuma pārkāpumiem"), tomēr likumprojektā ietvertais pārkāpuma apraksts vispār nesatur pārkāpuma pazīmes. Arī no juridiskās tehniskas viedokļa atsauču lietojumam jābūt tādam, lai likumprojekta regulējumu varētu vispārīgi saprast, neizlasot atsaucē norādīto cita normatīvā akta vienību.</w:t>
            </w:r>
          </w:p>
          <w:p w14:paraId="717EF76B" w14:textId="77777777" w:rsidR="001E530F" w:rsidRPr="004D3C94" w:rsidRDefault="001E530F" w:rsidP="001E530F">
            <w:pPr>
              <w:pStyle w:val="naisc"/>
              <w:spacing w:before="0" w:after="0"/>
              <w:jc w:val="both"/>
              <w:rPr>
                <w:bCs/>
                <w:sz w:val="20"/>
                <w:szCs w:val="20"/>
              </w:rPr>
            </w:pPr>
            <w:r w:rsidRPr="004D3C94">
              <w:rPr>
                <w:bCs/>
                <w:sz w:val="20"/>
                <w:szCs w:val="20"/>
              </w:rPr>
              <w:t>Ievērojot minēto, nepieciešams precizēt likumprojektā paredzēto pārkāpumu pazīmes (sal. sk. Muitas likuma 29. pantu un Ģenētisko resursu izmantošanas likuma 7. pantu, arī likumprojekta 69. panta otro daļu).</w:t>
            </w:r>
          </w:p>
          <w:p w14:paraId="2EE6B5B0" w14:textId="77777777" w:rsidR="001E530F" w:rsidRPr="004D3C94" w:rsidRDefault="001E530F" w:rsidP="001E530F">
            <w:pPr>
              <w:pStyle w:val="naisc"/>
              <w:spacing w:before="0" w:after="0"/>
              <w:jc w:val="both"/>
              <w:rPr>
                <w:bCs/>
                <w:sz w:val="20"/>
                <w:szCs w:val="20"/>
              </w:rPr>
            </w:pPr>
            <w:r w:rsidRPr="004D3C94">
              <w:rPr>
                <w:bCs/>
                <w:sz w:val="20"/>
                <w:szCs w:val="20"/>
              </w:rPr>
              <w:t>Nebūtu paredzamas sodoša rakstura sankcijas par "pieņemto lēmumu pārkāpumiem". Tā vietā izmantojama administratīvā akta piespiedu izpilde. Turklāt, pat tajos izņēmuma gadījumos, kad sods par lēmumu nepildīšanu varētu būt paredzēts, pārkāpumam jābūt formulētam jau likumā un ārkārtīgi precīzi. Pārkāpuma saturs nevar būt atkarīgs no iestādes lēmuma, pārkāpuma pazīmes jānosaka likumdevējam.</w:t>
            </w:r>
          </w:p>
          <w:p w14:paraId="0569FC54" w14:textId="77777777" w:rsidR="001E530F" w:rsidRDefault="001E530F" w:rsidP="001E530F">
            <w:pPr>
              <w:pStyle w:val="naisc"/>
              <w:spacing w:before="0" w:after="0"/>
              <w:jc w:val="both"/>
              <w:rPr>
                <w:bCs/>
                <w:sz w:val="20"/>
                <w:szCs w:val="20"/>
              </w:rPr>
            </w:pPr>
            <w:r w:rsidRPr="004D3C94">
              <w:rPr>
                <w:bCs/>
                <w:sz w:val="20"/>
                <w:szCs w:val="20"/>
              </w:rPr>
              <w:t>9</w:t>
            </w:r>
            <w:r w:rsidRPr="00FF0F95">
              <w:rPr>
                <w:bCs/>
                <w:sz w:val="20"/>
                <w:szCs w:val="20"/>
              </w:rPr>
              <w:t>.5.</w:t>
            </w:r>
            <w:r w:rsidRPr="004D3C94">
              <w:rPr>
                <w:bCs/>
                <w:sz w:val="20"/>
                <w:szCs w:val="20"/>
              </w:rPr>
              <w:t xml:space="preserve"> Lūdzam likumprojektā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likumprojektā noteikt konkrētu noilguma termiņu (</w:t>
            </w:r>
            <w:proofErr w:type="spellStart"/>
            <w:r w:rsidRPr="004D3C94">
              <w:rPr>
                <w:bCs/>
                <w:sz w:val="20"/>
                <w:szCs w:val="20"/>
              </w:rPr>
              <w:t>Danovskis</w:t>
            </w:r>
            <w:proofErr w:type="spellEnd"/>
            <w:r w:rsidRPr="004D3C94">
              <w:rPr>
                <w:bCs/>
                <w:sz w:val="20"/>
                <w:szCs w:val="20"/>
              </w:rPr>
              <w:t xml:space="preserve"> E. Sodu tiesību principu nozīme administratīvajās tiesībās. </w:t>
            </w:r>
            <w:proofErr w:type="spellStart"/>
            <w:r w:rsidRPr="004D3C94">
              <w:rPr>
                <w:bCs/>
                <w:sz w:val="20"/>
                <w:szCs w:val="20"/>
              </w:rPr>
              <w:t>Grām</w:t>
            </w:r>
            <w:proofErr w:type="spellEnd"/>
            <w:r w:rsidRPr="004D3C94">
              <w:rPr>
                <w:bCs/>
                <w:sz w:val="20"/>
                <w:szCs w:val="20"/>
              </w:rPr>
              <w:t xml:space="preserve">.: Autoru kolektīvs. </w:t>
            </w:r>
            <w:r w:rsidRPr="004D3C94">
              <w:rPr>
                <w:bCs/>
                <w:sz w:val="20"/>
                <w:szCs w:val="20"/>
              </w:rPr>
              <w:lastRenderedPageBreak/>
              <w:t>Juridisko personu publiski tiesiskā atbildība. Rīga: LU Akadēmiskais apgāds, 2018, 139. lpp.).</w:t>
            </w:r>
          </w:p>
          <w:p w14:paraId="4E01C3EF" w14:textId="77777777" w:rsidR="001E530F" w:rsidRPr="00567F22" w:rsidRDefault="001E530F" w:rsidP="001E530F">
            <w:pPr>
              <w:pStyle w:val="naisc"/>
              <w:spacing w:before="0" w:after="0"/>
              <w:jc w:val="both"/>
              <w:rPr>
                <w:b/>
                <w:bCs/>
                <w:sz w:val="20"/>
                <w:szCs w:val="20"/>
              </w:rPr>
            </w:pPr>
            <w:r w:rsidRPr="00567F22">
              <w:rPr>
                <w:b/>
                <w:bCs/>
                <w:sz w:val="20"/>
                <w:szCs w:val="20"/>
              </w:rPr>
              <w:t>Š.g. 28.jūlijā uzturētais iebildums.</w:t>
            </w:r>
          </w:p>
          <w:p w14:paraId="34C6821D" w14:textId="77777777" w:rsidR="001E530F" w:rsidRDefault="001E530F" w:rsidP="001E530F">
            <w:pPr>
              <w:pStyle w:val="naisc"/>
              <w:spacing w:before="0" w:after="0"/>
              <w:jc w:val="both"/>
              <w:rPr>
                <w:sz w:val="20"/>
                <w:szCs w:val="20"/>
              </w:rPr>
            </w:pPr>
            <w:r w:rsidRPr="004A73B7">
              <w:rPr>
                <w:sz w:val="20"/>
                <w:szCs w:val="20"/>
              </w:rPr>
              <w:t xml:space="preserve">1. Lūdzam precizēt projekta 69. pantu. Šobrīd panta saturs ir veidots kā papildinājums panta nosaukumam, nevis kā patstāvīga norma. Pantu varētu izteikt, piemēram, šādā redakcijā: "Brīdinājums ir personas izdarīta pārkāpuma nosodījums, ko izsaka </w:t>
            </w:r>
            <w:proofErr w:type="spellStart"/>
            <w:r w:rsidRPr="004A73B7">
              <w:rPr>
                <w:sz w:val="20"/>
                <w:szCs w:val="20"/>
              </w:rPr>
              <w:t>rakstveidā</w:t>
            </w:r>
            <w:proofErr w:type="spellEnd"/>
            <w:r w:rsidRPr="004A73B7">
              <w:rPr>
                <w:sz w:val="20"/>
                <w:szCs w:val="20"/>
              </w:rPr>
              <w:t>." </w:t>
            </w:r>
          </w:p>
          <w:p w14:paraId="3E7A67A7" w14:textId="77777777" w:rsidR="001E530F" w:rsidRDefault="001E530F" w:rsidP="001E530F">
            <w:pPr>
              <w:pStyle w:val="naisc"/>
              <w:spacing w:before="0" w:after="0"/>
              <w:jc w:val="both"/>
              <w:rPr>
                <w:sz w:val="20"/>
                <w:szCs w:val="20"/>
              </w:rPr>
            </w:pPr>
            <w:r w:rsidRPr="004A73B7">
              <w:rPr>
                <w:sz w:val="20"/>
                <w:szCs w:val="20"/>
              </w:rPr>
              <w:t>2. Projekta 71. pantā ir iekļauts naudas soda regulējums. Vienlaikus šā panta otrajā daļā ir paredzēts konkrēts pārkāpums, proti, grāmatvedības prasību neievērošana. Lai nošķirtu pārkāpumu un sankciju veidu regulējumu, lūdzam projekta 71. panta otrajā daļā minēto pārkāpumu iekļaut 74. pantā, piemēram, šā panta otrajā daļā.  </w:t>
            </w:r>
          </w:p>
          <w:p w14:paraId="78E758B1" w14:textId="77777777" w:rsidR="001E530F" w:rsidRDefault="001E530F" w:rsidP="001E530F">
            <w:pPr>
              <w:pStyle w:val="naisc"/>
              <w:spacing w:before="0" w:after="0"/>
              <w:jc w:val="both"/>
              <w:rPr>
                <w:sz w:val="20"/>
                <w:szCs w:val="20"/>
              </w:rPr>
            </w:pPr>
            <w:r w:rsidRPr="004A73B7">
              <w:rPr>
                <w:sz w:val="20"/>
                <w:szCs w:val="20"/>
              </w:rPr>
              <w:t>3. Licences vai atļaujas anulēšana ir viens no sankciju veidiem (projekta 68. pants). Projekta 74. pantā ir norādīti tie pārkāpumi, par kuriem var piemērot projektā paredzētas sankcijas vai administratīvos pasākumus. Tātad arī licences vai atļaujas anulēšana būtu piemērojama par būtisku projekta 74. pantā minētu pārkāpumu (ne jebkādu citu likuma pārkāpumu). Tas atbilst projekta anotācijā ietvertajam skaidrojumam: "Likumprojekta 72. panta pirmā daļa paredz licences vai atļaujas anulēšanu kā sankciju, kuru Finanšu un kapitāla tirgus komisija ir tiesīga piemērot par būtiskiem šā likumprojekta 74. panta pirmās daļas pārkāpumiem." </w:t>
            </w:r>
          </w:p>
          <w:p w14:paraId="5E427523" w14:textId="77777777" w:rsidR="001E530F" w:rsidRDefault="001E530F" w:rsidP="001E530F">
            <w:pPr>
              <w:pStyle w:val="naisc"/>
              <w:spacing w:before="0" w:after="0"/>
              <w:jc w:val="both"/>
              <w:rPr>
                <w:sz w:val="20"/>
                <w:szCs w:val="20"/>
              </w:rPr>
            </w:pPr>
            <w:r w:rsidRPr="004A73B7">
              <w:rPr>
                <w:sz w:val="20"/>
                <w:szCs w:val="20"/>
              </w:rPr>
              <w:t xml:space="preserve">Projektā nav jāatkārto citos likumos paredzētās sankcijas. Piemēram, sankcijas noziedzīgi iegūtu līdzekļu legalizācijas un terorisma finansēšanas novēršanas jomā ir noteiktas Noziedzīgi iegūtu līdzekļu legalizācijas un terorisma un </w:t>
            </w:r>
            <w:proofErr w:type="spellStart"/>
            <w:r w:rsidRPr="004A73B7">
              <w:rPr>
                <w:sz w:val="20"/>
                <w:szCs w:val="20"/>
              </w:rPr>
              <w:t>proliferācijas</w:t>
            </w:r>
            <w:proofErr w:type="spellEnd"/>
            <w:r w:rsidRPr="004A73B7">
              <w:rPr>
                <w:sz w:val="20"/>
                <w:szCs w:val="20"/>
              </w:rPr>
              <w:t xml:space="preserve"> finansēšanas novēršanas likumā, tostarp iespēja apturēt vai pārtraukt subjekta darbību. Tas pats attiecas uz Finanšu instrumentu tirgus likumā paredzētajām sankcijām. </w:t>
            </w:r>
          </w:p>
          <w:p w14:paraId="36949CDA" w14:textId="77777777" w:rsidR="001E530F" w:rsidRDefault="001E530F" w:rsidP="001E530F">
            <w:pPr>
              <w:pStyle w:val="naisc"/>
              <w:spacing w:before="0" w:after="0"/>
              <w:jc w:val="both"/>
              <w:rPr>
                <w:sz w:val="20"/>
                <w:szCs w:val="20"/>
              </w:rPr>
            </w:pPr>
            <w:r w:rsidRPr="004A73B7">
              <w:rPr>
                <w:sz w:val="20"/>
                <w:szCs w:val="20"/>
              </w:rPr>
              <w:t>Ievērojot minēto, lūdzam precizēt projekta 72. pantu. </w:t>
            </w:r>
          </w:p>
          <w:p w14:paraId="7E522890" w14:textId="77777777" w:rsidR="001E530F" w:rsidRDefault="001E530F" w:rsidP="001E530F">
            <w:pPr>
              <w:pStyle w:val="naisc"/>
              <w:spacing w:before="0" w:after="0"/>
              <w:jc w:val="both"/>
              <w:rPr>
                <w:sz w:val="20"/>
                <w:szCs w:val="20"/>
              </w:rPr>
            </w:pPr>
            <w:r w:rsidRPr="004A73B7">
              <w:rPr>
                <w:sz w:val="20"/>
                <w:szCs w:val="20"/>
              </w:rPr>
              <w:t>4. Projekta 74. pantā šobrīd ir regulēti divi jautājumi – pārkāpumi ieguldījumu brokeru sabiedrību darbības jomā (šā panta pirmā daļa) un sankciju un administratīvo pasākumu piemērošanas kritēriji.  </w:t>
            </w:r>
          </w:p>
          <w:p w14:paraId="30EB268E" w14:textId="77777777" w:rsidR="001E530F" w:rsidRDefault="001E530F" w:rsidP="001E530F">
            <w:pPr>
              <w:pStyle w:val="naisc"/>
              <w:spacing w:before="0" w:after="0"/>
              <w:jc w:val="both"/>
              <w:rPr>
                <w:sz w:val="20"/>
                <w:szCs w:val="20"/>
              </w:rPr>
            </w:pPr>
            <w:r w:rsidRPr="004A73B7">
              <w:rPr>
                <w:sz w:val="20"/>
                <w:szCs w:val="20"/>
              </w:rPr>
              <w:t xml:space="preserve">Pirmkārt, ieteicams šos jautājumus regulēt atsevišķos pantos (piemēram, "pārkāpumi ieguldījumu brokeru sabiedrību darbības jomā" (vai tamlīdzīgi) un "sankciju un </w:t>
            </w:r>
            <w:r w:rsidRPr="004A73B7">
              <w:rPr>
                <w:sz w:val="20"/>
                <w:szCs w:val="20"/>
              </w:rPr>
              <w:lastRenderedPageBreak/>
              <w:t>administratīvo pasākumu piemērošana" (piemērošanas kritēriji, piemērošanas vispārīgie noteikumi vai tamlīdzīgi)). Šobrīd panta nosaukums neatbilst panta saturam. </w:t>
            </w:r>
          </w:p>
          <w:p w14:paraId="4832F45F" w14:textId="77777777" w:rsidR="001E530F" w:rsidRDefault="001E530F" w:rsidP="001E530F">
            <w:pPr>
              <w:pStyle w:val="naisc"/>
              <w:spacing w:before="0" w:after="0"/>
              <w:jc w:val="both"/>
              <w:rPr>
                <w:sz w:val="20"/>
                <w:szCs w:val="20"/>
              </w:rPr>
            </w:pPr>
            <w:r w:rsidRPr="004A73B7">
              <w:rPr>
                <w:sz w:val="20"/>
                <w:szCs w:val="20"/>
              </w:rPr>
              <w:t>Otrkārt, projekta 74. panta pirmās daļas 1. un 6. punktā paredzētie pārkāpumi šķietami pārklājas. Iesniegšanas kavējums ir informācijas nepienācīgas sniegšanas izpausmes veids. Līdz ar to šos pārkāpumus varētu apvienot vienā punktā, paredzot atbildību par "normatīvos aktos noteiktas informācijas publicēšanas prasību neievērošanu vai informācijas nesniegšanu, informācijas nepienācīgu sniegšanu vai nepatiesas informācijas sniegšanu Komisijai". Jāievēro, ka šeit ir paredzama atbildība tikai par normatīvajos tiesību aktos noteiktu prasību neievērošanu. </w:t>
            </w:r>
          </w:p>
          <w:p w14:paraId="65D5B1BB" w14:textId="77777777" w:rsidR="001E530F" w:rsidRDefault="001E530F" w:rsidP="001E530F">
            <w:pPr>
              <w:pStyle w:val="naisc"/>
              <w:spacing w:before="0" w:after="0"/>
              <w:jc w:val="both"/>
              <w:rPr>
                <w:sz w:val="20"/>
                <w:szCs w:val="20"/>
              </w:rPr>
            </w:pPr>
            <w:r w:rsidRPr="004A73B7">
              <w:rPr>
                <w:sz w:val="20"/>
                <w:szCs w:val="20"/>
              </w:rPr>
              <w:t xml:space="preserve">5. Projekta anotācijā nav iekļauts pietiekams </w:t>
            </w:r>
            <w:proofErr w:type="spellStart"/>
            <w:r w:rsidRPr="004A73B7">
              <w:rPr>
                <w:sz w:val="20"/>
                <w:szCs w:val="20"/>
              </w:rPr>
              <w:t>izvērtējums</w:t>
            </w:r>
            <w:proofErr w:type="spellEnd"/>
            <w:r w:rsidRPr="004A73B7">
              <w:rPr>
                <w:sz w:val="20"/>
                <w:szCs w:val="20"/>
              </w:rPr>
              <w:t xml:space="preserve"> tam, vai projekta 73. panta pirmās daļas 2. punktā paredzētais administratīvais pasākums tiešām neatbilst sodoša (krimināltiesiska) rakstura administratīvās sankcijas pazīmēm. Projekta anotācijā skaidrots: "Pagaidu aizlieguma kā administratīvā pasākuma piemērošanas mērķis ir pārkāpuma novēršana, proti, tas ir pagaidu aizliegums līdz pārkāpuma izbeigšanās brīdim, kas pēc būtības motivē ieguldījumu brokeru sabiedrību novērst pārkāpumu pēc iespējas ātrāk, lai konkrētā persona var atsākt pildīt tai noteiktos pienākumus." Tomēr šāds skaidrojums neliecina, ka pasākumam nevarētu būt arī sodošs raksturs un nav vērtēta pasākuma seku bardzība (piemēram, ar ko tas atšķiras no citos likumos noteiktajiem profesionālās darbības ierobežojumiem kā sankcijām). </w:t>
            </w:r>
          </w:p>
          <w:p w14:paraId="52104F3D" w14:textId="77777777" w:rsidR="001E530F" w:rsidRDefault="001E530F" w:rsidP="001E530F">
            <w:pPr>
              <w:pStyle w:val="naisc"/>
              <w:spacing w:before="0" w:after="0"/>
              <w:jc w:val="both"/>
              <w:rPr>
                <w:sz w:val="20"/>
                <w:szCs w:val="20"/>
              </w:rPr>
            </w:pPr>
            <w:r w:rsidRPr="004A73B7">
              <w:rPr>
                <w:sz w:val="20"/>
                <w:szCs w:val="20"/>
              </w:rPr>
              <w:t xml:space="preserve">Ja pasākuma mērķis ir pārkāpuma novēršana (resp., iepriekšējā pārkāpuma pamatā esošā pienākuma izpilde), tad tiesību ierobežojums nedrīkst būt tāds, kas pats par sevi liedz izpildīt attiecīgo pienākumu. Ja valdes vai padomes loceklim vai citai personai ir aizliegts veikt tās pienākumus, tas nozīmē, ka šī persona nevarēs novērst pārkāpumu. Līdz ar to attiecībā uz šīm personām piemērotais pasākums nav piemērots minētā mērķa sasniegšanai un varētu saturēt represīvas iezīmes. Vārdam "pagaidu" ir nosacīta nozīme, jo pasākumam nav </w:t>
            </w:r>
            <w:r w:rsidRPr="004A73B7">
              <w:rPr>
                <w:sz w:val="20"/>
                <w:szCs w:val="20"/>
              </w:rPr>
              <w:lastRenderedPageBreak/>
              <w:t>paredzami ierobežots maksimālais ilgums. Turklāt tā beigas acīmredzot ir atkarīgas no citu personu rīcības. </w:t>
            </w:r>
          </w:p>
          <w:p w14:paraId="56BCBE1C" w14:textId="77777777" w:rsidR="001E530F" w:rsidRPr="004A73B7" w:rsidRDefault="001E530F" w:rsidP="001E530F">
            <w:pPr>
              <w:pStyle w:val="naisc"/>
              <w:spacing w:before="0" w:after="0"/>
              <w:jc w:val="both"/>
              <w:rPr>
                <w:sz w:val="20"/>
                <w:szCs w:val="20"/>
              </w:rPr>
            </w:pPr>
            <w:r w:rsidRPr="004A73B7">
              <w:rPr>
                <w:sz w:val="20"/>
                <w:szCs w:val="20"/>
              </w:rPr>
              <w:t>Tāpat nav skaidrs projektā lietotās pazīmes "līdz pārkāpuma izbeigšanās brīdim" saturs. Pārkāpums ir pabeigts tiklīdz persona ir veikusi attiecīgo rīcību, kas atbilst pārkāpuma pazīmēm. Ilgstoša pārkāpuma gadījumā, ja tas tiek konstatēts un saistībā ar to piemērota sankcija vai cits pasākums, attiecīgā pienākuma turpmāka nepildīšana var veidot jau jaunu pārkāpumu. </w:t>
            </w:r>
          </w:p>
          <w:p w14:paraId="10AA5824" w14:textId="21D6280B" w:rsidR="001E530F" w:rsidRPr="004B227D" w:rsidRDefault="001E530F" w:rsidP="001E530F">
            <w:pPr>
              <w:pStyle w:val="naisc"/>
              <w:spacing w:before="0" w:after="0"/>
              <w:jc w:val="both"/>
              <w:rPr>
                <w:b/>
                <w:bCs/>
                <w:sz w:val="20"/>
                <w:szCs w:val="20"/>
              </w:rPr>
            </w:pPr>
            <w:r w:rsidRPr="004A73B7">
              <w:rPr>
                <w:sz w:val="20"/>
                <w:szCs w:val="20"/>
              </w:rPr>
              <w:t>Lūdzam atkārtoti izvērtēt aizlieguma veikt personai noteiktos pienākumus raksturu, precizēt projektu, ja tas nepieciešams, un ietvert argumentētu skaidrojumu projekta anotācijā.</w:t>
            </w:r>
          </w:p>
        </w:tc>
        <w:tc>
          <w:tcPr>
            <w:tcW w:w="848" w:type="pct"/>
            <w:gridSpan w:val="2"/>
            <w:tcBorders>
              <w:top w:val="single" w:sz="6" w:space="0" w:color="000000"/>
              <w:left w:val="single" w:sz="6" w:space="0" w:color="000000"/>
              <w:bottom w:val="single" w:sz="6" w:space="0" w:color="000000"/>
              <w:right w:val="single" w:sz="6" w:space="0" w:color="000000"/>
            </w:tcBorders>
          </w:tcPr>
          <w:p w14:paraId="57D3A918" w14:textId="77777777" w:rsidR="001E530F" w:rsidRDefault="0060054F" w:rsidP="0060054F">
            <w:pPr>
              <w:pStyle w:val="naisc"/>
              <w:spacing w:before="0" w:after="0"/>
              <w:jc w:val="both"/>
              <w:rPr>
                <w:b/>
                <w:sz w:val="20"/>
                <w:szCs w:val="20"/>
              </w:rPr>
            </w:pPr>
            <w:r>
              <w:rPr>
                <w:b/>
                <w:sz w:val="20"/>
                <w:szCs w:val="20"/>
              </w:rPr>
              <w:lastRenderedPageBreak/>
              <w:t>Panākta vienošanās elektroniskajā saskaņošanā.</w:t>
            </w:r>
          </w:p>
          <w:p w14:paraId="72040456" w14:textId="111FBC7C" w:rsidR="0060054F" w:rsidRDefault="0060054F" w:rsidP="00E36F1B">
            <w:pPr>
              <w:jc w:val="both"/>
              <w:rPr>
                <w:b/>
                <w:bCs/>
                <w:sz w:val="20"/>
                <w:szCs w:val="20"/>
              </w:rPr>
            </w:pPr>
            <w:r w:rsidRPr="00E36F1B">
              <w:rPr>
                <w:rFonts w:ascii="Times New Roman" w:hAnsi="Times New Roman" w:cs="Times New Roman"/>
                <w:sz w:val="20"/>
                <w:szCs w:val="20"/>
              </w:rPr>
              <w:t>Atbilstoši</w:t>
            </w:r>
            <w:r w:rsidRPr="00E36F1B">
              <w:rPr>
                <w:rFonts w:ascii="Times New Roman" w:hAnsi="Times New Roman" w:cs="Times New Roman"/>
                <w:sz w:val="20"/>
                <w:szCs w:val="20"/>
              </w:rPr>
              <w:t xml:space="preserve"> š.g. 28.septembra Ministru kabineta sēdē un </w:t>
            </w:r>
            <w:r w:rsidRPr="00E36F1B">
              <w:rPr>
                <w:rFonts w:ascii="Times New Roman" w:hAnsi="Times New Roman" w:cs="Times New Roman"/>
                <w:sz w:val="20"/>
                <w:szCs w:val="20"/>
              </w:rPr>
              <w:t>š.g. 1.oktobrī</w:t>
            </w:r>
            <w:r w:rsidRPr="00E36F1B">
              <w:rPr>
                <w:rFonts w:ascii="Times New Roman" w:hAnsi="Times New Roman" w:cs="Times New Roman"/>
                <w:sz w:val="20"/>
                <w:szCs w:val="20"/>
              </w:rPr>
              <w:t xml:space="preserve"> sanāksmē</w:t>
            </w:r>
            <w:r w:rsidRPr="00E36F1B">
              <w:rPr>
                <w:rFonts w:ascii="Times New Roman" w:hAnsi="Times New Roman" w:cs="Times New Roman"/>
                <w:sz w:val="20"/>
                <w:szCs w:val="20"/>
              </w:rPr>
              <w:t xml:space="preserve"> ar Tieslietu ministriju</w:t>
            </w:r>
            <w:r w:rsidRPr="00E36F1B">
              <w:rPr>
                <w:rFonts w:ascii="Times New Roman" w:hAnsi="Times New Roman" w:cs="Times New Roman"/>
                <w:sz w:val="20"/>
                <w:szCs w:val="20"/>
              </w:rPr>
              <w:t xml:space="preserve"> diskutēt</w:t>
            </w:r>
            <w:r w:rsidRPr="00E36F1B">
              <w:rPr>
                <w:rFonts w:ascii="Times New Roman" w:hAnsi="Times New Roman" w:cs="Times New Roman"/>
                <w:sz w:val="20"/>
                <w:szCs w:val="20"/>
              </w:rPr>
              <w:t>aj</w:t>
            </w:r>
            <w:r w:rsidR="00E36F1B" w:rsidRPr="00E36F1B">
              <w:rPr>
                <w:rFonts w:ascii="Times New Roman" w:hAnsi="Times New Roman" w:cs="Times New Roman"/>
                <w:sz w:val="20"/>
                <w:szCs w:val="20"/>
              </w:rPr>
              <w:t xml:space="preserve">am precizēta </w:t>
            </w:r>
            <w:r w:rsidR="00E36F1B" w:rsidRPr="00E36F1B">
              <w:rPr>
                <w:rFonts w:ascii="Times New Roman" w:hAnsi="Times New Roman" w:cs="Times New Roman"/>
                <w:sz w:val="20"/>
                <w:szCs w:val="20"/>
              </w:rPr>
              <w:lastRenderedPageBreak/>
              <w:t>likumprojekta XII nodaļa un anotācija.</w:t>
            </w:r>
          </w:p>
        </w:tc>
        <w:tc>
          <w:tcPr>
            <w:tcW w:w="936" w:type="pct"/>
            <w:tcBorders>
              <w:top w:val="single" w:sz="4" w:space="0" w:color="auto"/>
              <w:left w:val="single" w:sz="4" w:space="0" w:color="auto"/>
              <w:bottom w:val="single" w:sz="4" w:space="0" w:color="auto"/>
              <w:right w:val="single" w:sz="4" w:space="0" w:color="auto"/>
            </w:tcBorders>
          </w:tcPr>
          <w:p w14:paraId="1AD4E7DD" w14:textId="77777777" w:rsidR="0060054F" w:rsidRPr="0060054F" w:rsidRDefault="0060054F" w:rsidP="0060054F">
            <w:pPr>
              <w:pStyle w:val="naisc"/>
              <w:spacing w:before="0" w:after="0"/>
              <w:jc w:val="both"/>
              <w:rPr>
                <w:b/>
                <w:bCs/>
                <w:sz w:val="20"/>
                <w:szCs w:val="20"/>
              </w:rPr>
            </w:pPr>
            <w:r w:rsidRPr="0060054F">
              <w:rPr>
                <w:b/>
                <w:bCs/>
                <w:sz w:val="20"/>
                <w:szCs w:val="20"/>
              </w:rPr>
              <w:lastRenderedPageBreak/>
              <w:t>XII nodaļa</w:t>
            </w:r>
          </w:p>
          <w:p w14:paraId="74CFC1EE" w14:textId="77777777" w:rsidR="0060054F" w:rsidRPr="0060054F" w:rsidRDefault="0060054F" w:rsidP="0060054F">
            <w:pPr>
              <w:pStyle w:val="naisc"/>
              <w:spacing w:before="0" w:after="0"/>
              <w:jc w:val="both"/>
              <w:rPr>
                <w:b/>
                <w:bCs/>
                <w:sz w:val="20"/>
                <w:szCs w:val="20"/>
              </w:rPr>
            </w:pPr>
            <w:r w:rsidRPr="0060054F">
              <w:rPr>
                <w:b/>
                <w:bCs/>
                <w:sz w:val="20"/>
                <w:szCs w:val="20"/>
              </w:rPr>
              <w:t xml:space="preserve">Atbildība </w:t>
            </w:r>
          </w:p>
          <w:p w14:paraId="614FAD96" w14:textId="77777777" w:rsidR="0060054F" w:rsidRPr="0060054F" w:rsidRDefault="0060054F" w:rsidP="0060054F">
            <w:pPr>
              <w:pStyle w:val="naisc"/>
              <w:spacing w:before="0" w:after="0"/>
              <w:jc w:val="both"/>
              <w:rPr>
                <w:sz w:val="20"/>
                <w:szCs w:val="20"/>
              </w:rPr>
            </w:pPr>
          </w:p>
          <w:p w14:paraId="48C34383" w14:textId="77777777" w:rsidR="0060054F" w:rsidRPr="0060054F" w:rsidRDefault="0060054F" w:rsidP="0060054F">
            <w:pPr>
              <w:pStyle w:val="naisc"/>
              <w:spacing w:before="0" w:after="0"/>
              <w:jc w:val="both"/>
              <w:rPr>
                <w:b/>
                <w:bCs/>
                <w:sz w:val="20"/>
                <w:szCs w:val="20"/>
              </w:rPr>
            </w:pPr>
            <w:r w:rsidRPr="0060054F">
              <w:rPr>
                <w:b/>
                <w:bCs/>
                <w:sz w:val="20"/>
                <w:szCs w:val="20"/>
              </w:rPr>
              <w:t>68. pants. Sankciju veidi</w:t>
            </w:r>
          </w:p>
          <w:p w14:paraId="0601C146" w14:textId="77777777" w:rsidR="0060054F" w:rsidRPr="0060054F" w:rsidRDefault="0060054F" w:rsidP="0060054F">
            <w:pPr>
              <w:pStyle w:val="naisc"/>
              <w:spacing w:before="0" w:after="0"/>
              <w:jc w:val="both"/>
              <w:rPr>
                <w:sz w:val="20"/>
                <w:szCs w:val="20"/>
              </w:rPr>
            </w:pPr>
            <w:r w:rsidRPr="0060054F">
              <w:rPr>
                <w:sz w:val="20"/>
                <w:szCs w:val="20"/>
              </w:rPr>
              <w:t>Komisija var piemērot šādas sankcijas:</w:t>
            </w:r>
          </w:p>
          <w:p w14:paraId="0C605540" w14:textId="77777777" w:rsidR="0060054F" w:rsidRPr="0060054F" w:rsidRDefault="0060054F" w:rsidP="0060054F">
            <w:pPr>
              <w:pStyle w:val="naisc"/>
              <w:spacing w:before="0" w:after="0"/>
              <w:jc w:val="both"/>
              <w:rPr>
                <w:sz w:val="20"/>
                <w:szCs w:val="20"/>
              </w:rPr>
            </w:pPr>
            <w:r w:rsidRPr="0060054F">
              <w:rPr>
                <w:sz w:val="20"/>
                <w:szCs w:val="20"/>
              </w:rPr>
              <w:t>1) brīdinājums;</w:t>
            </w:r>
          </w:p>
          <w:p w14:paraId="66B34247" w14:textId="77777777" w:rsidR="0060054F" w:rsidRPr="0060054F" w:rsidRDefault="0060054F" w:rsidP="0060054F">
            <w:pPr>
              <w:pStyle w:val="naisc"/>
              <w:spacing w:before="0" w:after="0"/>
              <w:jc w:val="both"/>
              <w:rPr>
                <w:sz w:val="20"/>
                <w:szCs w:val="20"/>
              </w:rPr>
            </w:pPr>
            <w:r w:rsidRPr="0060054F">
              <w:rPr>
                <w:sz w:val="20"/>
                <w:szCs w:val="20"/>
              </w:rPr>
              <w:t>2) publisks paziņojums;</w:t>
            </w:r>
          </w:p>
          <w:p w14:paraId="06028952" w14:textId="77777777" w:rsidR="0060054F" w:rsidRPr="0060054F" w:rsidRDefault="0060054F" w:rsidP="0060054F">
            <w:pPr>
              <w:pStyle w:val="naisc"/>
              <w:spacing w:before="0" w:after="0"/>
              <w:jc w:val="both"/>
              <w:rPr>
                <w:sz w:val="20"/>
                <w:szCs w:val="20"/>
              </w:rPr>
            </w:pPr>
            <w:r w:rsidRPr="0060054F">
              <w:rPr>
                <w:sz w:val="20"/>
                <w:szCs w:val="20"/>
              </w:rPr>
              <w:lastRenderedPageBreak/>
              <w:t>3) naudas sods;</w:t>
            </w:r>
          </w:p>
          <w:p w14:paraId="2A5AB501" w14:textId="77777777" w:rsidR="0060054F" w:rsidRPr="0060054F" w:rsidRDefault="0060054F" w:rsidP="0060054F">
            <w:pPr>
              <w:pStyle w:val="naisc"/>
              <w:spacing w:before="0" w:after="0"/>
              <w:jc w:val="both"/>
              <w:rPr>
                <w:sz w:val="20"/>
                <w:szCs w:val="20"/>
              </w:rPr>
            </w:pPr>
            <w:r w:rsidRPr="0060054F">
              <w:rPr>
                <w:sz w:val="20"/>
                <w:szCs w:val="20"/>
              </w:rPr>
              <w:t>4) licences vai atļaujas anulēšana.</w:t>
            </w:r>
          </w:p>
          <w:p w14:paraId="74DEB343" w14:textId="77777777" w:rsidR="0060054F" w:rsidRPr="0060054F" w:rsidRDefault="0060054F" w:rsidP="0060054F">
            <w:pPr>
              <w:pStyle w:val="naisc"/>
              <w:spacing w:before="0" w:after="0"/>
              <w:jc w:val="both"/>
              <w:rPr>
                <w:sz w:val="20"/>
                <w:szCs w:val="20"/>
              </w:rPr>
            </w:pPr>
          </w:p>
          <w:p w14:paraId="1E90119F" w14:textId="77777777" w:rsidR="0060054F" w:rsidRPr="0060054F" w:rsidRDefault="0060054F" w:rsidP="0060054F">
            <w:pPr>
              <w:pStyle w:val="naisc"/>
              <w:spacing w:before="0" w:after="0"/>
              <w:jc w:val="both"/>
              <w:rPr>
                <w:b/>
                <w:bCs/>
                <w:sz w:val="20"/>
                <w:szCs w:val="20"/>
              </w:rPr>
            </w:pPr>
            <w:r w:rsidRPr="0060054F">
              <w:rPr>
                <w:b/>
                <w:bCs/>
                <w:sz w:val="20"/>
                <w:szCs w:val="20"/>
              </w:rPr>
              <w:t>69. pants. Brīdinājums</w:t>
            </w:r>
          </w:p>
          <w:p w14:paraId="1800B30B" w14:textId="77777777" w:rsidR="0060054F" w:rsidRPr="0060054F" w:rsidRDefault="0060054F" w:rsidP="0060054F">
            <w:pPr>
              <w:pStyle w:val="naisc"/>
              <w:spacing w:before="0" w:after="0"/>
              <w:jc w:val="both"/>
              <w:rPr>
                <w:sz w:val="20"/>
                <w:szCs w:val="20"/>
              </w:rPr>
            </w:pPr>
            <w:r w:rsidRPr="0060054F">
              <w:rPr>
                <w:sz w:val="20"/>
                <w:szCs w:val="20"/>
              </w:rPr>
              <w:t>Brīdinājums ir par pārkāpumu atbildīgās fiziskās vai juridiskās personas izdarīta pārkāpuma nosodījums, ko izsaka rakstveidā.</w:t>
            </w:r>
          </w:p>
          <w:p w14:paraId="6DE15BE6" w14:textId="77777777" w:rsidR="0060054F" w:rsidRPr="0060054F" w:rsidRDefault="0060054F" w:rsidP="0060054F">
            <w:pPr>
              <w:pStyle w:val="naisc"/>
              <w:spacing w:before="0" w:after="0"/>
              <w:jc w:val="both"/>
              <w:rPr>
                <w:sz w:val="20"/>
                <w:szCs w:val="20"/>
              </w:rPr>
            </w:pPr>
          </w:p>
          <w:p w14:paraId="798F7B84" w14:textId="77777777" w:rsidR="0060054F" w:rsidRPr="0060054F" w:rsidRDefault="0060054F" w:rsidP="0060054F">
            <w:pPr>
              <w:pStyle w:val="naisc"/>
              <w:spacing w:before="0" w:after="0"/>
              <w:jc w:val="both"/>
              <w:rPr>
                <w:b/>
                <w:bCs/>
                <w:sz w:val="20"/>
                <w:szCs w:val="20"/>
              </w:rPr>
            </w:pPr>
            <w:r w:rsidRPr="0060054F">
              <w:rPr>
                <w:b/>
                <w:bCs/>
                <w:sz w:val="20"/>
                <w:szCs w:val="20"/>
              </w:rPr>
              <w:t>70. pants. Publisks paziņojums</w:t>
            </w:r>
          </w:p>
          <w:p w14:paraId="108265A0" w14:textId="77777777" w:rsidR="0060054F" w:rsidRPr="0060054F" w:rsidRDefault="0060054F" w:rsidP="0060054F">
            <w:pPr>
              <w:pStyle w:val="naisc"/>
              <w:spacing w:before="0" w:after="0"/>
              <w:jc w:val="both"/>
              <w:rPr>
                <w:sz w:val="20"/>
                <w:szCs w:val="20"/>
              </w:rPr>
            </w:pPr>
            <w:r w:rsidRPr="0060054F">
              <w:rPr>
                <w:sz w:val="20"/>
                <w:szCs w:val="20"/>
              </w:rPr>
              <w:t>(1) Komisija informāciju par pārkāpumu atbildīgajām fiziskajām vai juridiskajām personām piemērotajām sankcijām un administratīvajiem pasākumiem ievieto savā tīmekļvietnē, norādot ziņas par personu un tās izdarīto pārkāpumu, kā arī par Komisijas izdotā administratīvā akta pārsūdzēšanu un pieņemto nolēmumu.</w:t>
            </w:r>
          </w:p>
          <w:p w14:paraId="7581698A" w14:textId="77777777" w:rsidR="0060054F" w:rsidRPr="0060054F" w:rsidRDefault="0060054F" w:rsidP="0060054F">
            <w:pPr>
              <w:pStyle w:val="naisc"/>
              <w:spacing w:before="0" w:after="0"/>
              <w:jc w:val="both"/>
              <w:rPr>
                <w:sz w:val="20"/>
                <w:szCs w:val="20"/>
              </w:rPr>
            </w:pPr>
            <w:r w:rsidRPr="0060054F">
              <w:rPr>
                <w:sz w:val="20"/>
                <w:szCs w:val="20"/>
              </w:rPr>
              <w:t>(2) Šā panta pirmajā daļā minēto informāciju Komisija var publiskot, neidentificējot personu, ja tā konstatē, ka datu atklāšana par fizisko personu, kurai piemērota sankcija vai administratīvais pasākums, nav samērīga vai arī fiziskās vai juridiskās personas datu atklāšana var apdraudēt finanšu tirgus stabilitāti vai uzsākta kriminālprocesa norisi vai radīt nesamērīgu kaitējumu iesaistītajām personām.</w:t>
            </w:r>
          </w:p>
          <w:p w14:paraId="00BAB8BD" w14:textId="77777777" w:rsidR="0060054F" w:rsidRPr="0060054F" w:rsidRDefault="0060054F" w:rsidP="0060054F">
            <w:pPr>
              <w:pStyle w:val="naisc"/>
              <w:spacing w:before="0" w:after="0"/>
              <w:jc w:val="both"/>
              <w:rPr>
                <w:sz w:val="20"/>
                <w:szCs w:val="20"/>
              </w:rPr>
            </w:pPr>
            <w:r w:rsidRPr="0060054F">
              <w:rPr>
                <w:sz w:val="20"/>
                <w:szCs w:val="20"/>
              </w:rPr>
              <w:t>(3) Publisks paziņojums piemērojams gan kā pamata sankcija, gan kā papildus sankcija brīdinājumam vai naudas sodam.</w:t>
            </w:r>
          </w:p>
          <w:p w14:paraId="164DE9D4" w14:textId="77777777" w:rsidR="0060054F" w:rsidRPr="0060054F" w:rsidRDefault="0060054F" w:rsidP="0060054F">
            <w:pPr>
              <w:pStyle w:val="naisc"/>
              <w:spacing w:before="0" w:after="0"/>
              <w:jc w:val="both"/>
              <w:rPr>
                <w:sz w:val="20"/>
                <w:szCs w:val="20"/>
              </w:rPr>
            </w:pPr>
            <w:r w:rsidRPr="0060054F">
              <w:rPr>
                <w:sz w:val="20"/>
                <w:szCs w:val="20"/>
              </w:rPr>
              <w:t>(4) Šajā pantā noteiktajā kārtībā Komisijas tīmekļvietnē ievietotā informācija ir pieejama piecus gadus no tās ievietošanas dienas.</w:t>
            </w:r>
          </w:p>
          <w:p w14:paraId="46102237" w14:textId="77777777" w:rsidR="0060054F" w:rsidRPr="0060054F" w:rsidRDefault="0060054F" w:rsidP="0060054F">
            <w:pPr>
              <w:pStyle w:val="naisc"/>
              <w:spacing w:before="0" w:after="0"/>
              <w:jc w:val="both"/>
              <w:rPr>
                <w:sz w:val="20"/>
                <w:szCs w:val="20"/>
              </w:rPr>
            </w:pPr>
          </w:p>
          <w:p w14:paraId="73FD5FCC" w14:textId="77777777" w:rsidR="0060054F" w:rsidRPr="0060054F" w:rsidRDefault="0060054F" w:rsidP="0060054F">
            <w:pPr>
              <w:pStyle w:val="naisc"/>
              <w:spacing w:before="0" w:after="0"/>
              <w:jc w:val="both"/>
              <w:rPr>
                <w:b/>
                <w:bCs/>
                <w:sz w:val="20"/>
                <w:szCs w:val="20"/>
              </w:rPr>
            </w:pPr>
            <w:r w:rsidRPr="0060054F">
              <w:rPr>
                <w:b/>
                <w:bCs/>
                <w:sz w:val="20"/>
                <w:szCs w:val="20"/>
              </w:rPr>
              <w:t>71. pants. Naudas sods</w:t>
            </w:r>
          </w:p>
          <w:p w14:paraId="5A51061A" w14:textId="77777777" w:rsidR="0060054F" w:rsidRPr="0060054F" w:rsidRDefault="0060054F" w:rsidP="0060054F">
            <w:pPr>
              <w:pStyle w:val="naisc"/>
              <w:spacing w:before="0" w:after="0"/>
              <w:jc w:val="both"/>
              <w:rPr>
                <w:sz w:val="20"/>
                <w:szCs w:val="20"/>
              </w:rPr>
            </w:pPr>
            <w:r w:rsidRPr="0060054F">
              <w:rPr>
                <w:sz w:val="20"/>
                <w:szCs w:val="20"/>
              </w:rPr>
              <w:t>(1) Komisija ir tiesīga piemērot naudas sodu:</w:t>
            </w:r>
          </w:p>
          <w:p w14:paraId="7163E9FC" w14:textId="77777777" w:rsidR="0060054F" w:rsidRPr="0060054F" w:rsidRDefault="0060054F" w:rsidP="0060054F">
            <w:pPr>
              <w:pStyle w:val="naisc"/>
              <w:spacing w:before="0" w:after="0"/>
              <w:jc w:val="both"/>
              <w:rPr>
                <w:sz w:val="20"/>
                <w:szCs w:val="20"/>
              </w:rPr>
            </w:pPr>
            <w:r w:rsidRPr="0060054F">
              <w:rPr>
                <w:sz w:val="20"/>
                <w:szCs w:val="20"/>
              </w:rPr>
              <w:lastRenderedPageBreak/>
              <w:t>1) juridiskajai personai līdz 10 procentiem no juridiskās personas kopējā gada apgrozījuma, pamatojoties uz iepriekšējā finanšu gada apstiprināto gada pārskatu. Ja juridiskā persona ir meitas sabiedrība, kura sagatavo konsolidēto gada pārskatu saskaņā ar normatīvo aktu prasībām, kas attiecas uz tās gada pārskatu un konsolidēto gada pārskatu sagatavošanu, kopējo gada apgrozījumu veido iepriekšējā finanšu gada kopējais gada apgrozījums vai atbilstoša veida ienākumi, pamatojoties uz galējās mātes sabiedrības iepriekšējā finanšu gada apstiprināto konsolidēto gada pārskatu;</w:t>
            </w:r>
          </w:p>
          <w:p w14:paraId="211460E2" w14:textId="77777777" w:rsidR="0060054F" w:rsidRPr="0060054F" w:rsidRDefault="0060054F" w:rsidP="0060054F">
            <w:pPr>
              <w:pStyle w:val="naisc"/>
              <w:spacing w:before="0" w:after="0"/>
              <w:jc w:val="both"/>
              <w:rPr>
                <w:sz w:val="20"/>
                <w:szCs w:val="20"/>
              </w:rPr>
            </w:pPr>
            <w:r w:rsidRPr="0060054F">
              <w:rPr>
                <w:sz w:val="20"/>
                <w:szCs w:val="20"/>
              </w:rPr>
              <w:t>2) juridiskajai personai līdz pārkāpuma rezultātā gūto ienākumu vai novērsto iespējamo zaudējumu divkāršam apmēram;</w:t>
            </w:r>
          </w:p>
          <w:p w14:paraId="25D58D27" w14:textId="77777777" w:rsidR="0060054F" w:rsidRPr="0060054F" w:rsidRDefault="0060054F" w:rsidP="0060054F">
            <w:pPr>
              <w:pStyle w:val="naisc"/>
              <w:spacing w:before="0" w:after="0"/>
              <w:jc w:val="both"/>
              <w:rPr>
                <w:sz w:val="20"/>
                <w:szCs w:val="20"/>
              </w:rPr>
            </w:pPr>
            <w:r w:rsidRPr="0060054F">
              <w:rPr>
                <w:sz w:val="20"/>
                <w:szCs w:val="20"/>
              </w:rPr>
              <w:t>3) par pārkāpumu atbildīgajai fiziskajai personai, tai skaitā ieguldījumu brokeru sabiedrības amatpersonai, darbiniekam vai fiziskajai</w:t>
            </w:r>
          </w:p>
          <w:p w14:paraId="0C94DCD9" w14:textId="77777777" w:rsidR="0060054F" w:rsidRPr="0060054F" w:rsidRDefault="0060054F" w:rsidP="0060054F">
            <w:pPr>
              <w:pStyle w:val="naisc"/>
              <w:spacing w:before="0" w:after="0"/>
              <w:jc w:val="both"/>
              <w:rPr>
                <w:sz w:val="20"/>
                <w:szCs w:val="20"/>
              </w:rPr>
            </w:pPr>
            <w:r w:rsidRPr="0060054F">
              <w:rPr>
                <w:sz w:val="20"/>
                <w:szCs w:val="20"/>
              </w:rPr>
              <w:t xml:space="preserve">personai, kura pārkāpuma izdarīšanas laikā ir atbildīga par noteiktas darbības veikšanu, līdz pieciem miljoniem </w:t>
            </w:r>
            <w:proofErr w:type="spellStart"/>
            <w:r w:rsidRPr="0060054F">
              <w:rPr>
                <w:sz w:val="20"/>
                <w:szCs w:val="20"/>
              </w:rPr>
              <w:t>euro</w:t>
            </w:r>
            <w:proofErr w:type="spellEnd"/>
            <w:r w:rsidRPr="0060054F">
              <w:rPr>
                <w:sz w:val="20"/>
                <w:szCs w:val="20"/>
              </w:rPr>
              <w:t>.</w:t>
            </w:r>
          </w:p>
          <w:p w14:paraId="45E935D7" w14:textId="77777777" w:rsidR="0060054F" w:rsidRPr="0060054F" w:rsidRDefault="0060054F" w:rsidP="0060054F">
            <w:pPr>
              <w:pStyle w:val="naisc"/>
              <w:spacing w:before="0" w:after="0"/>
              <w:jc w:val="both"/>
              <w:rPr>
                <w:sz w:val="20"/>
                <w:szCs w:val="20"/>
              </w:rPr>
            </w:pPr>
            <w:r w:rsidRPr="0060054F">
              <w:rPr>
                <w:sz w:val="20"/>
                <w:szCs w:val="20"/>
              </w:rPr>
              <w:t>(2) Šā panta pirmās daļas 1. un 2. punktā minētā naudas soda piemērošana juridiskajai personai neatbrīvo valdes vai padomes (ja tāda ir izveidota) locekļus un par pārkāpumu  atbildīgās fiziskās personas no normatīvajos aktos noteiktās civiltiesiskās un administratīvās atbildības un kriminālatbildības.</w:t>
            </w:r>
          </w:p>
          <w:p w14:paraId="1EC35E1C" w14:textId="77777777" w:rsidR="0060054F" w:rsidRPr="0060054F" w:rsidRDefault="0060054F" w:rsidP="0060054F">
            <w:pPr>
              <w:pStyle w:val="naisc"/>
              <w:spacing w:before="0" w:after="0"/>
              <w:jc w:val="both"/>
              <w:rPr>
                <w:sz w:val="20"/>
                <w:szCs w:val="20"/>
              </w:rPr>
            </w:pPr>
          </w:p>
          <w:p w14:paraId="47FE2C51" w14:textId="77777777" w:rsidR="0060054F" w:rsidRPr="0060054F" w:rsidRDefault="0060054F" w:rsidP="0060054F">
            <w:pPr>
              <w:pStyle w:val="naisc"/>
              <w:spacing w:before="0" w:after="0"/>
              <w:jc w:val="both"/>
              <w:rPr>
                <w:b/>
                <w:bCs/>
                <w:sz w:val="20"/>
                <w:szCs w:val="20"/>
              </w:rPr>
            </w:pPr>
            <w:r w:rsidRPr="0060054F">
              <w:rPr>
                <w:b/>
                <w:bCs/>
                <w:sz w:val="20"/>
                <w:szCs w:val="20"/>
              </w:rPr>
              <w:t>72. pants. Licences vai atļaujas anulēšana</w:t>
            </w:r>
          </w:p>
          <w:p w14:paraId="7CF6F896" w14:textId="77777777" w:rsidR="0060054F" w:rsidRPr="0060054F" w:rsidRDefault="0060054F" w:rsidP="0060054F">
            <w:pPr>
              <w:pStyle w:val="naisc"/>
              <w:spacing w:before="0" w:after="0"/>
              <w:jc w:val="both"/>
              <w:rPr>
                <w:sz w:val="20"/>
                <w:szCs w:val="20"/>
              </w:rPr>
            </w:pPr>
            <w:bookmarkStart w:id="9" w:name="_Hlk77673045"/>
            <w:r w:rsidRPr="0060054F">
              <w:rPr>
                <w:sz w:val="20"/>
                <w:szCs w:val="20"/>
              </w:rPr>
              <w:t xml:space="preserve">Komisija ir tiesīga anulēt licenci vai atļauju par </w:t>
            </w:r>
            <w:bookmarkEnd w:id="9"/>
            <w:r w:rsidRPr="0060054F">
              <w:rPr>
                <w:sz w:val="20"/>
                <w:szCs w:val="20"/>
              </w:rPr>
              <w:t>būtisku šā likuma 74. panta pirmajā daļā minētu pārkāpumu.</w:t>
            </w:r>
          </w:p>
          <w:p w14:paraId="29AB988A" w14:textId="77777777" w:rsidR="0060054F" w:rsidRPr="0060054F" w:rsidRDefault="0060054F" w:rsidP="0060054F">
            <w:pPr>
              <w:pStyle w:val="naisc"/>
              <w:spacing w:before="0" w:after="0"/>
              <w:jc w:val="both"/>
              <w:rPr>
                <w:sz w:val="20"/>
                <w:szCs w:val="20"/>
              </w:rPr>
            </w:pPr>
          </w:p>
          <w:p w14:paraId="3707BE53" w14:textId="77777777" w:rsidR="0060054F" w:rsidRPr="0060054F" w:rsidRDefault="0060054F" w:rsidP="0060054F">
            <w:pPr>
              <w:pStyle w:val="naisc"/>
              <w:spacing w:before="0" w:after="0"/>
              <w:jc w:val="both"/>
              <w:rPr>
                <w:b/>
                <w:bCs/>
                <w:sz w:val="20"/>
                <w:szCs w:val="20"/>
              </w:rPr>
            </w:pPr>
            <w:r w:rsidRPr="0060054F">
              <w:rPr>
                <w:b/>
                <w:bCs/>
                <w:sz w:val="20"/>
                <w:szCs w:val="20"/>
              </w:rPr>
              <w:t>73. pants. Administratīvo pasākumu veidi</w:t>
            </w:r>
          </w:p>
          <w:p w14:paraId="3F1D47F9" w14:textId="77777777" w:rsidR="0060054F" w:rsidRPr="0060054F" w:rsidRDefault="0060054F" w:rsidP="0060054F">
            <w:pPr>
              <w:pStyle w:val="naisc"/>
              <w:spacing w:before="0" w:after="0"/>
              <w:jc w:val="both"/>
              <w:rPr>
                <w:sz w:val="20"/>
                <w:szCs w:val="20"/>
              </w:rPr>
            </w:pPr>
            <w:r w:rsidRPr="0060054F">
              <w:rPr>
                <w:sz w:val="20"/>
                <w:szCs w:val="20"/>
              </w:rPr>
              <w:t>(1) Komisija var piemērot šādus administratīvos pasākumus:</w:t>
            </w:r>
          </w:p>
          <w:p w14:paraId="615F02C8" w14:textId="77777777" w:rsidR="0060054F" w:rsidRPr="0060054F" w:rsidRDefault="0060054F" w:rsidP="0060054F">
            <w:pPr>
              <w:pStyle w:val="naisc"/>
              <w:spacing w:before="0" w:after="0"/>
              <w:jc w:val="both"/>
              <w:rPr>
                <w:sz w:val="20"/>
                <w:szCs w:val="20"/>
              </w:rPr>
            </w:pPr>
            <w:r w:rsidRPr="0060054F">
              <w:rPr>
                <w:sz w:val="20"/>
                <w:szCs w:val="20"/>
              </w:rPr>
              <w:t>1) pieprasīt, lai par pārkāpumu atbildīgā fiziskā vai juridiskā persona izbeidz attiecīgo darbību;</w:t>
            </w:r>
          </w:p>
          <w:p w14:paraId="14FA9F01" w14:textId="77777777" w:rsidR="0060054F" w:rsidRPr="0060054F" w:rsidRDefault="0060054F" w:rsidP="0060054F">
            <w:pPr>
              <w:pStyle w:val="naisc"/>
              <w:spacing w:before="0" w:after="0"/>
              <w:jc w:val="both"/>
              <w:rPr>
                <w:sz w:val="20"/>
                <w:szCs w:val="20"/>
              </w:rPr>
            </w:pPr>
            <w:r w:rsidRPr="0060054F">
              <w:rPr>
                <w:sz w:val="20"/>
                <w:szCs w:val="20"/>
              </w:rPr>
              <w:t>2) noteikt pagaidu aizliegumu valdes vai padomes loceklim vai citai par pārkāpumu atbildīgajai fiziskajai personai, veikt tai noteiktos pienākumus līdz galīgā nolēmuma spēkā stāšanās brīdim , bet ne ilgāk kā divus gadus.</w:t>
            </w:r>
          </w:p>
          <w:p w14:paraId="6DB2B5DD" w14:textId="77777777" w:rsidR="0060054F" w:rsidRPr="0060054F" w:rsidRDefault="0060054F" w:rsidP="0060054F">
            <w:pPr>
              <w:pStyle w:val="naisc"/>
              <w:spacing w:before="0" w:after="0"/>
              <w:jc w:val="both"/>
              <w:rPr>
                <w:sz w:val="20"/>
                <w:szCs w:val="20"/>
              </w:rPr>
            </w:pPr>
            <w:r w:rsidRPr="0060054F">
              <w:rPr>
                <w:sz w:val="20"/>
                <w:szCs w:val="20"/>
              </w:rPr>
              <w:t>(2) Komisija var piemērot vienu vai abus administratīvos pasākumus atsevišķi vai papildus sankcijām.</w:t>
            </w:r>
          </w:p>
          <w:p w14:paraId="7BF7CA94" w14:textId="77777777" w:rsidR="0060054F" w:rsidRPr="0060054F" w:rsidRDefault="0060054F" w:rsidP="0060054F">
            <w:pPr>
              <w:pStyle w:val="naisc"/>
              <w:spacing w:before="0" w:after="0"/>
              <w:jc w:val="both"/>
              <w:rPr>
                <w:sz w:val="20"/>
                <w:szCs w:val="20"/>
              </w:rPr>
            </w:pPr>
          </w:p>
          <w:p w14:paraId="6C239429" w14:textId="77777777" w:rsidR="0060054F" w:rsidRPr="0060054F" w:rsidRDefault="0060054F" w:rsidP="0060054F">
            <w:pPr>
              <w:pStyle w:val="naisc"/>
              <w:spacing w:before="0" w:after="0"/>
              <w:jc w:val="both"/>
              <w:rPr>
                <w:b/>
                <w:bCs/>
                <w:sz w:val="20"/>
                <w:szCs w:val="20"/>
              </w:rPr>
            </w:pPr>
            <w:r w:rsidRPr="0060054F">
              <w:rPr>
                <w:b/>
                <w:bCs/>
                <w:sz w:val="20"/>
                <w:szCs w:val="20"/>
              </w:rPr>
              <w:t>74. pants. Pārkāpumi ieguldījumu brokeru sabiedrību darbības jomā</w:t>
            </w:r>
          </w:p>
          <w:p w14:paraId="2BF7E79A" w14:textId="77777777" w:rsidR="0060054F" w:rsidRPr="0060054F" w:rsidRDefault="0060054F" w:rsidP="0060054F">
            <w:pPr>
              <w:pStyle w:val="naisc"/>
              <w:spacing w:before="0" w:after="0"/>
              <w:jc w:val="both"/>
              <w:rPr>
                <w:sz w:val="20"/>
                <w:szCs w:val="20"/>
              </w:rPr>
            </w:pPr>
            <w:r w:rsidRPr="0060054F">
              <w:rPr>
                <w:sz w:val="20"/>
                <w:szCs w:val="20"/>
              </w:rPr>
              <w:t xml:space="preserve">(1) Komisija ir tiesīga šajā likumā noteiktās sankcijas vai administratīvos pasākumus piemērot par: </w:t>
            </w:r>
          </w:p>
          <w:p w14:paraId="607CB86A" w14:textId="77777777" w:rsidR="0060054F" w:rsidRPr="0060054F" w:rsidRDefault="0060054F" w:rsidP="0060054F">
            <w:pPr>
              <w:pStyle w:val="naisc"/>
              <w:spacing w:before="0" w:after="0"/>
              <w:jc w:val="both"/>
              <w:rPr>
                <w:sz w:val="20"/>
                <w:szCs w:val="20"/>
              </w:rPr>
            </w:pPr>
            <w:r w:rsidRPr="0060054F">
              <w:rPr>
                <w:sz w:val="20"/>
                <w:szCs w:val="20"/>
              </w:rPr>
              <w:t>1) normatīvajos aktos noteiktās informācijas publicēšanas prasību neievērošanu vai informācijas nesniegšanu, informācijas nepienācīgu sniegšanu vai nepatiesas informācijas sniegšanu Komisijai;</w:t>
            </w:r>
          </w:p>
          <w:p w14:paraId="2BBBA090" w14:textId="77777777" w:rsidR="0060054F" w:rsidRPr="0060054F" w:rsidRDefault="0060054F" w:rsidP="0060054F">
            <w:pPr>
              <w:pStyle w:val="naisc"/>
              <w:spacing w:before="0" w:after="0"/>
              <w:jc w:val="both"/>
              <w:rPr>
                <w:sz w:val="20"/>
                <w:szCs w:val="20"/>
              </w:rPr>
            </w:pPr>
            <w:r w:rsidRPr="0060054F">
              <w:rPr>
                <w:sz w:val="20"/>
                <w:szCs w:val="20"/>
              </w:rPr>
              <w:t>2) prudenciālo prasību neievērošanu;</w:t>
            </w:r>
          </w:p>
          <w:p w14:paraId="580B76EC" w14:textId="77777777" w:rsidR="0060054F" w:rsidRPr="0060054F" w:rsidRDefault="0060054F" w:rsidP="0060054F">
            <w:pPr>
              <w:pStyle w:val="naisc"/>
              <w:spacing w:before="0" w:after="0"/>
              <w:jc w:val="both"/>
              <w:rPr>
                <w:sz w:val="20"/>
                <w:szCs w:val="20"/>
              </w:rPr>
            </w:pPr>
            <w:r w:rsidRPr="0060054F">
              <w:rPr>
                <w:sz w:val="20"/>
                <w:szCs w:val="20"/>
              </w:rPr>
              <w:t>3) iekšējās kontroles sistēmas pārkāpumiem;</w:t>
            </w:r>
          </w:p>
          <w:p w14:paraId="4ADE27EE" w14:textId="77777777" w:rsidR="0060054F" w:rsidRPr="0060054F" w:rsidRDefault="0060054F" w:rsidP="0060054F">
            <w:pPr>
              <w:pStyle w:val="naisc"/>
              <w:spacing w:before="0" w:after="0"/>
              <w:jc w:val="both"/>
              <w:rPr>
                <w:sz w:val="20"/>
                <w:szCs w:val="20"/>
              </w:rPr>
            </w:pPr>
            <w:r w:rsidRPr="0060054F">
              <w:rPr>
                <w:sz w:val="20"/>
                <w:szCs w:val="20"/>
              </w:rPr>
              <w:t>4) akcionāriem vai dalībniekiem, valdes un padomes (ja tāda ir izveidota) locekļiem noteikto prasību neievērošanu;</w:t>
            </w:r>
          </w:p>
          <w:p w14:paraId="47AEBA64" w14:textId="77777777" w:rsidR="0060054F" w:rsidRPr="0060054F" w:rsidRDefault="0060054F" w:rsidP="0060054F">
            <w:pPr>
              <w:pStyle w:val="naisc"/>
              <w:spacing w:before="0" w:after="0"/>
              <w:jc w:val="both"/>
              <w:rPr>
                <w:sz w:val="20"/>
                <w:szCs w:val="20"/>
              </w:rPr>
            </w:pPr>
            <w:r w:rsidRPr="0060054F">
              <w:rPr>
                <w:sz w:val="20"/>
                <w:szCs w:val="20"/>
              </w:rPr>
              <w:t>5) būtiskas līdzdalības prasību neievērošanu.</w:t>
            </w:r>
          </w:p>
          <w:p w14:paraId="15315B82" w14:textId="77777777" w:rsidR="0060054F" w:rsidRPr="0060054F" w:rsidRDefault="0060054F" w:rsidP="0060054F">
            <w:pPr>
              <w:pStyle w:val="naisc"/>
              <w:spacing w:before="0" w:after="0"/>
              <w:jc w:val="both"/>
              <w:rPr>
                <w:sz w:val="20"/>
                <w:szCs w:val="20"/>
              </w:rPr>
            </w:pPr>
            <w:r w:rsidRPr="0060054F">
              <w:rPr>
                <w:sz w:val="20"/>
                <w:szCs w:val="20"/>
              </w:rPr>
              <w:t xml:space="preserve">(2) Par grāmatvedības prasību neievērošanu Komisija ir tiesīga par pārkāpumu atbildīgajai fiziskajai vai </w:t>
            </w:r>
            <w:r w:rsidRPr="0060054F">
              <w:rPr>
                <w:sz w:val="20"/>
                <w:szCs w:val="20"/>
              </w:rPr>
              <w:lastRenderedPageBreak/>
              <w:t>juridiskajai personai piemērot naudas sodu līdz 14 200 </w:t>
            </w:r>
            <w:proofErr w:type="spellStart"/>
            <w:r w:rsidRPr="0060054F">
              <w:rPr>
                <w:sz w:val="20"/>
                <w:szCs w:val="20"/>
              </w:rPr>
              <w:t>euro</w:t>
            </w:r>
            <w:proofErr w:type="spellEnd"/>
            <w:r w:rsidRPr="0060054F">
              <w:rPr>
                <w:sz w:val="20"/>
                <w:szCs w:val="20"/>
              </w:rPr>
              <w:t>.</w:t>
            </w:r>
          </w:p>
          <w:p w14:paraId="21904127" w14:textId="77777777" w:rsidR="0060054F" w:rsidRPr="0060054F" w:rsidRDefault="0060054F" w:rsidP="0060054F">
            <w:pPr>
              <w:pStyle w:val="naisc"/>
              <w:spacing w:before="0" w:after="0"/>
              <w:jc w:val="both"/>
              <w:rPr>
                <w:sz w:val="20"/>
                <w:szCs w:val="20"/>
              </w:rPr>
            </w:pPr>
          </w:p>
          <w:p w14:paraId="36202E1D" w14:textId="77777777" w:rsidR="0060054F" w:rsidRPr="0060054F" w:rsidRDefault="0060054F" w:rsidP="0060054F">
            <w:pPr>
              <w:pStyle w:val="naisc"/>
              <w:spacing w:before="0" w:after="0"/>
              <w:jc w:val="both"/>
              <w:rPr>
                <w:b/>
                <w:bCs/>
                <w:sz w:val="20"/>
                <w:szCs w:val="20"/>
              </w:rPr>
            </w:pPr>
            <w:r w:rsidRPr="0060054F">
              <w:rPr>
                <w:b/>
                <w:bCs/>
                <w:sz w:val="20"/>
                <w:szCs w:val="20"/>
              </w:rPr>
              <w:t>75. pants. Sankciju un administratīvo pasākumu piemērošana</w:t>
            </w:r>
          </w:p>
          <w:p w14:paraId="0B95EA2D" w14:textId="77777777" w:rsidR="0060054F" w:rsidRPr="0060054F" w:rsidRDefault="0060054F" w:rsidP="0060054F">
            <w:pPr>
              <w:pStyle w:val="naisc"/>
              <w:spacing w:before="0" w:after="0"/>
              <w:jc w:val="both"/>
              <w:rPr>
                <w:sz w:val="20"/>
                <w:szCs w:val="20"/>
              </w:rPr>
            </w:pPr>
            <w:r w:rsidRPr="0060054F">
              <w:rPr>
                <w:sz w:val="20"/>
                <w:szCs w:val="20"/>
              </w:rPr>
              <w:t xml:space="preserve">Pieņemot lēmumu par sankciju un administratīvo pasākumu piemērošanu par pārkāpumu atbildīgajām fiziskajām vai juridiskajām personām, kuras pārkāpušas finanšu un kapitāla tirgu regulējošos normatīvos aktus, un par naudas soda apmēru, Komisija ņem vērā </w:t>
            </w:r>
            <w:hyperlink r:id="rId15" w:tgtFrame="_blank" w:history="1">
              <w:r w:rsidRPr="0060054F">
                <w:rPr>
                  <w:sz w:val="20"/>
                  <w:szCs w:val="20"/>
                </w:rPr>
                <w:t>Finanšu un kapitāla tirgus komisijas likumā</w:t>
              </w:r>
            </w:hyperlink>
            <w:r w:rsidRPr="0060054F">
              <w:rPr>
                <w:sz w:val="20"/>
                <w:szCs w:val="20"/>
              </w:rPr>
              <w:t xml:space="preserve"> minētos apstākļus, kā arī pasākumus, kurus veikusi persona, lai novērstu pārkāpuma atkārtošanos un mazinātu iespējamās pārkāpuma sistēmiskās sekas un ar to nodarīto zaudējumu apmēru trešajām personām, kā arī izvērtē piemērojamo sankciju un administratīvo pasākumu samērīgumu, efektivitāti un atturošo raksturu.</w:t>
            </w:r>
          </w:p>
          <w:p w14:paraId="11457972" w14:textId="77777777" w:rsidR="0060054F" w:rsidRPr="0060054F" w:rsidRDefault="0060054F" w:rsidP="0060054F">
            <w:pPr>
              <w:pStyle w:val="naisc"/>
              <w:spacing w:before="0" w:after="0"/>
              <w:jc w:val="both"/>
              <w:rPr>
                <w:sz w:val="20"/>
                <w:szCs w:val="20"/>
              </w:rPr>
            </w:pPr>
          </w:p>
          <w:p w14:paraId="3150CDA0" w14:textId="77777777" w:rsidR="0060054F" w:rsidRPr="0060054F" w:rsidRDefault="0060054F" w:rsidP="0060054F">
            <w:pPr>
              <w:pStyle w:val="naisc"/>
              <w:spacing w:before="0" w:after="0"/>
              <w:jc w:val="both"/>
              <w:rPr>
                <w:b/>
                <w:bCs/>
                <w:sz w:val="20"/>
                <w:szCs w:val="20"/>
              </w:rPr>
            </w:pPr>
            <w:r w:rsidRPr="0060054F">
              <w:rPr>
                <w:b/>
                <w:bCs/>
                <w:sz w:val="20"/>
                <w:szCs w:val="20"/>
              </w:rPr>
              <w:t>76. pants. Noilgums</w:t>
            </w:r>
          </w:p>
          <w:p w14:paraId="03ED4A58" w14:textId="77777777" w:rsidR="0060054F" w:rsidRPr="0060054F" w:rsidRDefault="0060054F" w:rsidP="0060054F">
            <w:pPr>
              <w:pStyle w:val="naisc"/>
              <w:spacing w:before="0" w:after="0"/>
              <w:jc w:val="both"/>
              <w:rPr>
                <w:sz w:val="20"/>
                <w:szCs w:val="20"/>
              </w:rPr>
            </w:pPr>
            <w:r w:rsidRPr="0060054F">
              <w:rPr>
                <w:sz w:val="20"/>
                <w:szCs w:val="20"/>
              </w:rPr>
              <w:t>(1) Komisija ir tiesīga ierosināt lietu ne vēlāk kā piecu gadu laikā no pārkāpuma izdarīšanas dienas, bet, ja pārkāpums ir ilgstošs, – no pārkāpuma izbeigšanas dienas.</w:t>
            </w:r>
          </w:p>
          <w:p w14:paraId="4149D5EE" w14:textId="77777777" w:rsidR="0060054F" w:rsidRPr="0060054F" w:rsidRDefault="0060054F" w:rsidP="0060054F">
            <w:pPr>
              <w:pStyle w:val="naisc"/>
              <w:spacing w:before="0" w:after="0"/>
              <w:jc w:val="both"/>
              <w:rPr>
                <w:sz w:val="20"/>
                <w:szCs w:val="20"/>
              </w:rPr>
            </w:pPr>
            <w:r w:rsidRPr="0060054F">
              <w:rPr>
                <w:sz w:val="20"/>
                <w:szCs w:val="20"/>
              </w:rPr>
              <w:t>(2) Šā panta pirmajā daļā noteiktā noilguma termiņa skaitīšanu lietas ierosināšanai aptur ar lietas ierosināšanas dienu.</w:t>
            </w:r>
          </w:p>
          <w:p w14:paraId="48A0DBA2" w14:textId="77777777" w:rsidR="0060054F" w:rsidRPr="0060054F" w:rsidRDefault="0060054F" w:rsidP="0060054F">
            <w:pPr>
              <w:pStyle w:val="naisc"/>
              <w:spacing w:before="0" w:after="0"/>
              <w:jc w:val="both"/>
              <w:rPr>
                <w:sz w:val="20"/>
                <w:szCs w:val="20"/>
              </w:rPr>
            </w:pPr>
            <w:r w:rsidRPr="0060054F">
              <w:rPr>
                <w:sz w:val="20"/>
                <w:szCs w:val="20"/>
              </w:rPr>
              <w:t>(3) Lēmumu par šā likuma noteikto sankciju un administratīvo pasākumu piemērošanu Komisija var pieņemt divu gadu laikā no lietas ierosināšanas dienas.</w:t>
            </w:r>
          </w:p>
          <w:p w14:paraId="5E16BD53" w14:textId="77777777" w:rsidR="0060054F" w:rsidRPr="0060054F" w:rsidRDefault="0060054F" w:rsidP="0060054F">
            <w:pPr>
              <w:pStyle w:val="naisc"/>
              <w:spacing w:before="0" w:after="0"/>
              <w:jc w:val="both"/>
              <w:rPr>
                <w:sz w:val="20"/>
                <w:szCs w:val="20"/>
              </w:rPr>
            </w:pPr>
            <w:r w:rsidRPr="0060054F">
              <w:rPr>
                <w:sz w:val="20"/>
                <w:szCs w:val="20"/>
              </w:rPr>
              <w:t xml:space="preserve">(4) Objektīvu iemeslu dēļ, tostarp tad, ja lietā nepieciešama ilgstoša faktu konstatācija, Komisija, pieņemot lēmumu, var pagarināt šā panta trešajā daļā noteikto lēmuma pieņemšanas </w:t>
            </w:r>
            <w:r w:rsidRPr="0060054F">
              <w:rPr>
                <w:sz w:val="20"/>
                <w:szCs w:val="20"/>
              </w:rPr>
              <w:lastRenderedPageBreak/>
              <w:t>termiņu uz laiku, kas nepārsniedz trīs gadus no lietas ierosināšanas dienas. Lēmums par termiņa pagarināšanu nav pārsūdzams.</w:t>
            </w:r>
          </w:p>
          <w:p w14:paraId="296A1370" w14:textId="77777777" w:rsidR="0060054F" w:rsidRPr="0060054F" w:rsidRDefault="0060054F" w:rsidP="0060054F">
            <w:pPr>
              <w:pStyle w:val="naisc"/>
              <w:spacing w:before="0" w:after="0"/>
              <w:jc w:val="both"/>
              <w:rPr>
                <w:sz w:val="20"/>
                <w:szCs w:val="20"/>
              </w:rPr>
            </w:pPr>
            <w:r w:rsidRPr="0060054F">
              <w:rPr>
                <w:sz w:val="20"/>
                <w:szCs w:val="20"/>
              </w:rPr>
              <w:t>(5) Komisija izbeidz lietu, ja šā panta trešajā vai ceturtajā daļā noteiktajā termiņā nav pieņemts lēmums par šā likuma noteikto sankciju un administratīvo pasākumu piemērošanu.</w:t>
            </w:r>
          </w:p>
          <w:p w14:paraId="657873F2" w14:textId="77777777" w:rsidR="0060054F" w:rsidRPr="0060054F" w:rsidRDefault="0060054F" w:rsidP="0060054F">
            <w:pPr>
              <w:pStyle w:val="naisc"/>
              <w:spacing w:before="0" w:after="0"/>
              <w:jc w:val="both"/>
              <w:rPr>
                <w:sz w:val="20"/>
                <w:szCs w:val="20"/>
              </w:rPr>
            </w:pPr>
          </w:p>
          <w:p w14:paraId="5904F6F6" w14:textId="77777777" w:rsidR="0060054F" w:rsidRPr="0060054F" w:rsidRDefault="0060054F" w:rsidP="0060054F">
            <w:pPr>
              <w:pStyle w:val="naisc"/>
              <w:spacing w:before="0" w:after="0"/>
              <w:jc w:val="both"/>
              <w:rPr>
                <w:b/>
                <w:bCs/>
                <w:sz w:val="20"/>
                <w:szCs w:val="20"/>
              </w:rPr>
            </w:pPr>
            <w:r w:rsidRPr="0060054F">
              <w:rPr>
                <w:b/>
                <w:bCs/>
                <w:sz w:val="20"/>
                <w:szCs w:val="20"/>
              </w:rPr>
              <w:t>77. pants. Komisijas izdotā administratīvā akta pārsūdzēšana</w:t>
            </w:r>
          </w:p>
          <w:p w14:paraId="2E83125C" w14:textId="77777777" w:rsidR="0060054F" w:rsidRPr="0060054F" w:rsidRDefault="0060054F" w:rsidP="0060054F">
            <w:pPr>
              <w:pStyle w:val="naisc"/>
              <w:spacing w:before="0" w:after="0"/>
              <w:jc w:val="both"/>
              <w:rPr>
                <w:sz w:val="20"/>
                <w:szCs w:val="20"/>
              </w:rPr>
            </w:pPr>
            <w:r w:rsidRPr="0060054F">
              <w:rPr>
                <w:sz w:val="20"/>
                <w:szCs w:val="20"/>
              </w:rPr>
              <w:t>(1) Pārsūdzot Komisijas izdoto administratīvo aktu, pieteikumu iesniedz Administratīvajā apgabaltiesā. Tiesa lietu izskata kā pirmās instances tiesa. Lieta tiek izskatīta triju tiesnešu sastāvā. Administratīvās apgabaltiesas spriedumu var pārsūdzēt, iesniedzot kasācijas sūdzību.</w:t>
            </w:r>
          </w:p>
          <w:p w14:paraId="756428D6" w14:textId="77777777" w:rsidR="0060054F" w:rsidRPr="0060054F" w:rsidRDefault="0060054F" w:rsidP="0060054F">
            <w:pPr>
              <w:pStyle w:val="naisc"/>
              <w:spacing w:before="0" w:after="0"/>
              <w:jc w:val="both"/>
              <w:rPr>
                <w:sz w:val="20"/>
                <w:szCs w:val="20"/>
              </w:rPr>
            </w:pPr>
            <w:r w:rsidRPr="0060054F">
              <w:rPr>
                <w:sz w:val="20"/>
                <w:szCs w:val="20"/>
              </w:rPr>
              <w:t>(2) Šā panta pirmajā daļā minētā administratīvā akta pārsūdzēšana, izņemot administratīvo aktu par naudas soda piemērošanu vai publisku paziņojumu, neaptur šā akta darbību.</w:t>
            </w:r>
          </w:p>
          <w:p w14:paraId="1E7F9CA5" w14:textId="77777777" w:rsidR="0060054F" w:rsidRPr="0060054F" w:rsidRDefault="0060054F" w:rsidP="0060054F">
            <w:pPr>
              <w:pStyle w:val="naisc"/>
              <w:spacing w:before="0" w:after="0"/>
              <w:jc w:val="both"/>
              <w:rPr>
                <w:sz w:val="20"/>
                <w:szCs w:val="20"/>
              </w:rPr>
            </w:pPr>
          </w:p>
          <w:p w14:paraId="20A92602" w14:textId="77777777" w:rsidR="0060054F" w:rsidRPr="0060054F" w:rsidRDefault="0060054F" w:rsidP="0060054F">
            <w:pPr>
              <w:pStyle w:val="naisc"/>
              <w:spacing w:before="0" w:after="0"/>
              <w:jc w:val="both"/>
              <w:rPr>
                <w:b/>
                <w:bCs/>
                <w:sz w:val="20"/>
                <w:szCs w:val="20"/>
              </w:rPr>
            </w:pPr>
            <w:r w:rsidRPr="0060054F">
              <w:rPr>
                <w:b/>
                <w:bCs/>
                <w:sz w:val="20"/>
                <w:szCs w:val="20"/>
              </w:rPr>
              <w:t>78. pants. Komisijas pienākums sniegt informāciju Eiropas Komisijai, Eiropas Vērtspapīru un tirgu iestādei un Eiropas Banku iestādei</w:t>
            </w:r>
          </w:p>
          <w:p w14:paraId="1423D9D2" w14:textId="77777777" w:rsidR="0060054F" w:rsidRPr="0060054F" w:rsidRDefault="0060054F" w:rsidP="0060054F">
            <w:pPr>
              <w:pStyle w:val="naisc"/>
              <w:spacing w:before="0" w:after="0"/>
              <w:jc w:val="both"/>
              <w:rPr>
                <w:sz w:val="20"/>
                <w:szCs w:val="20"/>
              </w:rPr>
            </w:pPr>
            <w:r w:rsidRPr="0060054F">
              <w:rPr>
                <w:sz w:val="20"/>
                <w:szCs w:val="20"/>
              </w:rPr>
              <w:t xml:space="preserve">(1) Komisija informē Eiropas Banku iestādi par sankcijām, kas piemērotas par šā likuma pārkāpumiem, un īstenotajām darbībām, kā arī par Komisijas izdotā administratīvā akta pārsūdzēšanu un pieņemto nolēmumu. </w:t>
            </w:r>
          </w:p>
          <w:p w14:paraId="3E67FE84" w14:textId="77777777" w:rsidR="0060054F" w:rsidRPr="0060054F" w:rsidRDefault="0060054F" w:rsidP="0060054F">
            <w:pPr>
              <w:pStyle w:val="naisc"/>
              <w:spacing w:before="0" w:after="0"/>
              <w:jc w:val="both"/>
              <w:rPr>
                <w:sz w:val="20"/>
                <w:szCs w:val="20"/>
              </w:rPr>
            </w:pPr>
            <w:r w:rsidRPr="0060054F">
              <w:rPr>
                <w:sz w:val="20"/>
                <w:szCs w:val="20"/>
              </w:rPr>
              <w:t>(2) Komisija informē Eiropas Komisiju un Eiropas Vērtspapīru un tirgu iestādi par darbībām, ko tā veikusi saskaņā ar šā likuma 48. panta otro daļu.</w:t>
            </w:r>
          </w:p>
          <w:p w14:paraId="1F275E57" w14:textId="77777777" w:rsidR="001E530F" w:rsidRPr="00E66993" w:rsidRDefault="001E530F" w:rsidP="004E33B7">
            <w:pPr>
              <w:pStyle w:val="naisc"/>
              <w:spacing w:before="0" w:after="0"/>
              <w:jc w:val="both"/>
              <w:rPr>
                <w:b/>
                <w:bCs/>
                <w:sz w:val="20"/>
                <w:szCs w:val="20"/>
              </w:rPr>
            </w:pPr>
          </w:p>
        </w:tc>
      </w:tr>
      <w:tr w:rsidR="00F77260" w:rsidRPr="00184920" w14:paraId="02E45067"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4EF518C" w14:textId="18AF2869" w:rsidR="00F77260" w:rsidRDefault="00F77260"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32.</w:t>
            </w:r>
          </w:p>
        </w:tc>
        <w:tc>
          <w:tcPr>
            <w:tcW w:w="692" w:type="pct"/>
            <w:tcBorders>
              <w:top w:val="single" w:sz="6" w:space="0" w:color="000000"/>
              <w:left w:val="single" w:sz="6" w:space="0" w:color="000000"/>
              <w:bottom w:val="single" w:sz="6" w:space="0" w:color="000000"/>
              <w:right w:val="single" w:sz="6" w:space="0" w:color="000000"/>
            </w:tcBorders>
          </w:tcPr>
          <w:p w14:paraId="2E5CBEE1" w14:textId="77777777" w:rsidR="00F77260" w:rsidRPr="0055749F" w:rsidRDefault="00F77260" w:rsidP="00F77260">
            <w:pPr>
              <w:pStyle w:val="NoSpacing"/>
              <w:widowControl/>
              <w:rPr>
                <w:rFonts w:eastAsiaTheme="minorHAnsi"/>
                <w:b/>
                <w:bCs/>
                <w:sz w:val="20"/>
                <w:szCs w:val="20"/>
              </w:rPr>
            </w:pPr>
            <w:r w:rsidRPr="0055749F">
              <w:rPr>
                <w:rFonts w:eastAsiaTheme="minorHAnsi"/>
                <w:b/>
                <w:bCs/>
                <w:sz w:val="20"/>
                <w:szCs w:val="20"/>
              </w:rPr>
              <w:t>69. pants. Sankcijas un citi administratīvie pasākumi</w:t>
            </w:r>
          </w:p>
          <w:p w14:paraId="3713793B" w14:textId="77777777" w:rsidR="00F77260" w:rsidRPr="00CC184D" w:rsidRDefault="00F77260" w:rsidP="00F77260">
            <w:pPr>
              <w:pStyle w:val="NoSpacing"/>
              <w:widowControl/>
              <w:rPr>
                <w:rFonts w:eastAsiaTheme="minorHAnsi"/>
                <w:bCs/>
                <w:sz w:val="20"/>
                <w:szCs w:val="20"/>
              </w:rPr>
            </w:pPr>
            <w:r w:rsidRPr="0055749F">
              <w:rPr>
                <w:rFonts w:eastAsiaTheme="minorHAnsi"/>
                <w:bCs/>
                <w:sz w:val="20"/>
                <w:szCs w:val="20"/>
              </w:rPr>
              <w:t>(1) Par šā likuma, Regulas Nr.  2019/2033, Regulas  Nr. 575/2013 28., 52. vai 63. panta pārkāpumiem, kā arī Komisijas izdoto normatīvo noteikumu vai pieņemto lēmumu pārkāpumiem, Komisijai ir tiesības:</w:t>
            </w:r>
          </w:p>
          <w:p w14:paraId="011EAED2" w14:textId="77777777" w:rsidR="00F77260" w:rsidRPr="0055749F" w:rsidRDefault="00F77260" w:rsidP="00F77260">
            <w:pPr>
              <w:pStyle w:val="NoSpacing"/>
              <w:widowControl/>
              <w:rPr>
                <w:rFonts w:eastAsiaTheme="minorHAnsi"/>
                <w:bCs/>
                <w:sz w:val="20"/>
                <w:szCs w:val="20"/>
              </w:rPr>
            </w:pPr>
            <w:r w:rsidRPr="0055749F">
              <w:rPr>
                <w:rFonts w:eastAsiaTheme="minorHAnsi"/>
                <w:bCs/>
                <w:sz w:val="20"/>
                <w:szCs w:val="20"/>
              </w:rPr>
              <w:t>2) pieprasīt, lai par pārkāpumu atbildīgā fiziskā vai juridiskā persona nekavējoties izbeidz attiecīgo darbību;</w:t>
            </w:r>
          </w:p>
          <w:p w14:paraId="5C18436C" w14:textId="11254E5D" w:rsidR="00F77260" w:rsidRPr="004B227D" w:rsidRDefault="00F77260" w:rsidP="00F77260">
            <w:pPr>
              <w:pStyle w:val="NoSpacing"/>
              <w:widowControl/>
              <w:rPr>
                <w:rFonts w:eastAsiaTheme="minorHAnsi"/>
                <w:b/>
                <w:bCs/>
                <w:sz w:val="20"/>
                <w:szCs w:val="20"/>
              </w:rPr>
            </w:pPr>
            <w:r w:rsidRPr="0055749F">
              <w:rPr>
                <w:rFonts w:eastAsiaTheme="minorHAnsi"/>
                <w:bCs/>
                <w:sz w:val="20"/>
                <w:szCs w:val="20"/>
              </w:rPr>
              <w:t xml:space="preserve">3) noteikt pagaidu aizliegumu ieguldījumu brokeru sabiedrības </w:t>
            </w:r>
            <w:r w:rsidRPr="0055749F">
              <w:rPr>
                <w:rFonts w:eastAsiaTheme="minorHAnsi"/>
                <w:noProof/>
                <w:sz w:val="20"/>
                <w:szCs w:val="20"/>
              </w:rPr>
              <w:t>valdes un padomes(ja tāda ir izveidota)</w:t>
            </w:r>
            <w:r w:rsidRPr="0055749F">
              <w:rPr>
                <w:rFonts w:eastAsiaTheme="minorHAnsi"/>
                <w:bCs/>
                <w:sz w:val="20"/>
                <w:szCs w:val="20"/>
              </w:rPr>
              <w:t xml:space="preserve"> loceklim vai citai par pārkāpumu atbildīgai fiziskajai personai veikt tai noteiktos pienākumus;</w:t>
            </w:r>
          </w:p>
        </w:tc>
        <w:tc>
          <w:tcPr>
            <w:tcW w:w="1309" w:type="pct"/>
            <w:tcBorders>
              <w:top w:val="single" w:sz="6" w:space="0" w:color="000000"/>
              <w:left w:val="single" w:sz="6" w:space="0" w:color="000000"/>
              <w:bottom w:val="single" w:sz="6" w:space="0" w:color="000000"/>
              <w:right w:val="single" w:sz="6" w:space="0" w:color="000000"/>
            </w:tcBorders>
          </w:tcPr>
          <w:p w14:paraId="06516DDC" w14:textId="77777777" w:rsidR="00F77260" w:rsidRPr="00CC184D" w:rsidRDefault="00F77260" w:rsidP="00F77260">
            <w:pPr>
              <w:pStyle w:val="NoSpacing"/>
              <w:rPr>
                <w:sz w:val="20"/>
                <w:szCs w:val="20"/>
              </w:rPr>
            </w:pPr>
            <w:r w:rsidRPr="00CC184D">
              <w:rPr>
                <w:b/>
                <w:bCs/>
                <w:sz w:val="20"/>
                <w:szCs w:val="20"/>
              </w:rPr>
              <w:t>Iebildums.</w:t>
            </w:r>
            <w:r w:rsidRPr="00CC184D">
              <w:rPr>
                <w:sz w:val="20"/>
                <w:szCs w:val="20"/>
              </w:rPr>
              <w:t xml:space="preserve"> Likumprojektā nav ietverts procesuālais regulējums un materiālie priekšnoteikumi (piem., noilgums, sodāmība). Likumprojektā vajadzētu būt noteiktam noilgumam, atbilstoši noformulētiem pārkāpumiem un sodiem (sankcijām), ievērojot administratīvo pārkāpumu formulēšanas kritērijus. Nav pieļaujams, ka pārkāpumi ir vispārīgi, proti, par normatīvo aktu vai lēmumu pārkāpumiem, vai sankcijas nenoteiktas (nav ierobežotas laikā, var izpausties dažādos veidos u.tml.). Nav skaidrs, kāda būs procesuālā kārtība likumprojekta 67. panta pirmās daļas 2. punktā ietvertajam pieprasījumam, vai uz kādu laiku varēs noteikt likumprojekta 67. panta pirmās daļas 3. punktā ietverto pagaidu aizliegumu.</w:t>
            </w:r>
          </w:p>
          <w:p w14:paraId="3CC67ECE" w14:textId="77777777" w:rsidR="00F77260" w:rsidRDefault="00F77260" w:rsidP="00F77260">
            <w:pPr>
              <w:jc w:val="both"/>
              <w:rPr>
                <w:rFonts w:ascii="Times New Roman" w:hAnsi="Times New Roman" w:cs="Times New Roman"/>
                <w:sz w:val="20"/>
                <w:szCs w:val="20"/>
              </w:rPr>
            </w:pPr>
            <w:r w:rsidRPr="00CC184D">
              <w:rPr>
                <w:rFonts w:ascii="Times New Roman" w:hAnsi="Times New Roman" w:cs="Times New Roman"/>
                <w:sz w:val="20"/>
                <w:szCs w:val="20"/>
              </w:rPr>
              <w:t>Vienlaikus vēršam uzmanību, ja paredzēts minētās sankcijas piemērot Administratīvā procesa likuma ietvaros, tad neatkarīgi no likumprojektā ietvertā procesuālā regulējuma, netiek pienācīgi noregulēts sankciju piemērošanas process. Tieslietu ministrijas ieskatā nav atbalstāma pasākumu, kas būtībā ir sods, ieviešana ārpus administratīvās atbildības vai kriminālatbildības sistēmas. Administratīvā procesa likuma regulējums tam nav piemērots. Administratīvajā procesā piemērojamu pasākumu mērķim nedrīkst piemist represīvas (sodošas) iezīmes un tā bardzība nevar būt tāda, lai to pašu par sevi jau varētu uzskatīt par sodu.</w:t>
            </w:r>
          </w:p>
          <w:p w14:paraId="25FB6E0B" w14:textId="77777777" w:rsidR="00F77260" w:rsidRDefault="00F77260" w:rsidP="00F77260">
            <w:pPr>
              <w:spacing w:after="0" w:line="240" w:lineRule="auto"/>
              <w:jc w:val="both"/>
              <w:rPr>
                <w:rFonts w:ascii="Times New Roman" w:eastAsia="Times New Roman" w:hAnsi="Times New Roman" w:cs="Times New Roman"/>
                <w:b/>
                <w:bCs/>
                <w:sz w:val="20"/>
              </w:rPr>
            </w:pPr>
            <w:r>
              <w:rPr>
                <w:rFonts w:ascii="Times New Roman" w:eastAsia="Times New Roman" w:hAnsi="Times New Roman" w:cs="Times New Roman"/>
                <w:b/>
                <w:bCs/>
                <w:sz w:val="20"/>
              </w:rPr>
              <w:lastRenderedPageBreak/>
              <w:t>Š.g. 11.maijā un 7.jūnijā uzturētais iebildums.</w:t>
            </w:r>
          </w:p>
          <w:p w14:paraId="29DF5EBA" w14:textId="39B9613B" w:rsidR="00F77260" w:rsidRPr="004B227D" w:rsidRDefault="00F77260" w:rsidP="00F77260">
            <w:pPr>
              <w:jc w:val="both"/>
              <w:rPr>
                <w:rFonts w:ascii="Times New Roman" w:hAnsi="Times New Roman" w:cs="Times New Roman"/>
                <w:b/>
                <w:bCs/>
                <w:sz w:val="20"/>
                <w:szCs w:val="20"/>
              </w:rPr>
            </w:pPr>
            <w:r w:rsidRPr="00ED31E9">
              <w:rPr>
                <w:rFonts w:ascii="Times New Roman" w:eastAsia="Times New Roman" w:hAnsi="Times New Roman" w:cs="Times New Roman"/>
                <w:sz w:val="20"/>
              </w:rPr>
              <w:t>Skatīt uzturēto iebildumu pie 31.iebilduma.</w:t>
            </w:r>
          </w:p>
        </w:tc>
        <w:tc>
          <w:tcPr>
            <w:tcW w:w="848" w:type="pct"/>
            <w:gridSpan w:val="2"/>
            <w:tcBorders>
              <w:top w:val="single" w:sz="6" w:space="0" w:color="000000"/>
              <w:left w:val="single" w:sz="6" w:space="0" w:color="000000"/>
              <w:bottom w:val="single" w:sz="6" w:space="0" w:color="000000"/>
              <w:right w:val="single" w:sz="6" w:space="0" w:color="000000"/>
            </w:tcBorders>
          </w:tcPr>
          <w:p w14:paraId="60AFFFFA" w14:textId="61DA58C7" w:rsidR="00F77260" w:rsidRDefault="00F77260" w:rsidP="00F77260">
            <w:pPr>
              <w:pStyle w:val="naisc"/>
              <w:spacing w:before="0" w:after="0"/>
              <w:jc w:val="both"/>
              <w:rPr>
                <w:sz w:val="20"/>
                <w:szCs w:val="20"/>
              </w:rPr>
            </w:pPr>
            <w:r>
              <w:rPr>
                <w:b/>
                <w:bCs/>
                <w:sz w:val="20"/>
                <w:szCs w:val="20"/>
              </w:rPr>
              <w:lastRenderedPageBreak/>
              <w:t>Panākta vienošanās elektroniskajā saskaņošanā</w:t>
            </w:r>
            <w:r w:rsidRPr="00824BF1">
              <w:rPr>
                <w:b/>
                <w:bCs/>
                <w:sz w:val="20"/>
                <w:szCs w:val="20"/>
              </w:rPr>
              <w:t xml:space="preserve">. </w:t>
            </w:r>
          </w:p>
          <w:p w14:paraId="7941CCE6" w14:textId="5AFBFF7F" w:rsidR="00F77260" w:rsidRDefault="00F77260" w:rsidP="00F77260">
            <w:pPr>
              <w:pStyle w:val="naisc"/>
              <w:spacing w:before="0" w:after="0"/>
              <w:jc w:val="both"/>
              <w:rPr>
                <w:b/>
                <w:bCs/>
                <w:sz w:val="20"/>
                <w:szCs w:val="20"/>
              </w:rPr>
            </w:pPr>
            <w:r>
              <w:rPr>
                <w:sz w:val="20"/>
                <w:szCs w:val="20"/>
              </w:rPr>
              <w:t>Likumprojekta XII nodaļa ietver 75.pantu, kurā ir paredzēt noilgums.</w:t>
            </w:r>
          </w:p>
        </w:tc>
        <w:tc>
          <w:tcPr>
            <w:tcW w:w="936" w:type="pct"/>
            <w:tcBorders>
              <w:top w:val="single" w:sz="4" w:space="0" w:color="auto"/>
              <w:left w:val="single" w:sz="4" w:space="0" w:color="auto"/>
              <w:bottom w:val="single" w:sz="4" w:space="0" w:color="auto"/>
              <w:right w:val="single" w:sz="4" w:space="0" w:color="auto"/>
            </w:tcBorders>
          </w:tcPr>
          <w:p w14:paraId="7534097D" w14:textId="77777777" w:rsidR="00F77260" w:rsidRPr="004F2E8E" w:rsidRDefault="00F77260" w:rsidP="00F77260">
            <w:pPr>
              <w:pStyle w:val="naisc"/>
              <w:spacing w:before="0" w:after="0"/>
              <w:jc w:val="both"/>
              <w:rPr>
                <w:b/>
                <w:bCs/>
                <w:sz w:val="20"/>
                <w:szCs w:val="20"/>
              </w:rPr>
            </w:pPr>
            <w:r w:rsidRPr="004F2E8E">
              <w:rPr>
                <w:b/>
                <w:bCs/>
                <w:sz w:val="20"/>
                <w:szCs w:val="20"/>
              </w:rPr>
              <w:t>75. pants. Noilgums</w:t>
            </w:r>
          </w:p>
          <w:p w14:paraId="685CFFF0" w14:textId="77777777" w:rsidR="00F77260" w:rsidRPr="004F2E8E" w:rsidRDefault="00F77260" w:rsidP="00F77260">
            <w:pPr>
              <w:pStyle w:val="naisc"/>
              <w:spacing w:before="0" w:after="0"/>
              <w:jc w:val="both"/>
              <w:rPr>
                <w:sz w:val="20"/>
                <w:szCs w:val="20"/>
              </w:rPr>
            </w:pPr>
            <w:r w:rsidRPr="004F2E8E">
              <w:rPr>
                <w:sz w:val="20"/>
                <w:szCs w:val="20"/>
              </w:rPr>
              <w:t>(1) Komisija ir tiesīga ierosināt lietu ne vēlāk kā piecu gadu laikā no pārkāpuma izdarīšanas dienas, bet, ja pārkāpums ir ilgstošs, — no pārkāpuma izbeigšanas dienas.</w:t>
            </w:r>
          </w:p>
          <w:p w14:paraId="52D37A05" w14:textId="77777777" w:rsidR="00F77260" w:rsidRPr="004F2E8E" w:rsidRDefault="00F77260" w:rsidP="00F77260">
            <w:pPr>
              <w:pStyle w:val="naisc"/>
              <w:spacing w:before="0" w:after="0"/>
              <w:jc w:val="both"/>
              <w:rPr>
                <w:sz w:val="20"/>
                <w:szCs w:val="20"/>
              </w:rPr>
            </w:pPr>
            <w:r w:rsidRPr="004F2E8E">
              <w:rPr>
                <w:sz w:val="20"/>
                <w:szCs w:val="20"/>
              </w:rPr>
              <w:t>(2) Šā panta pirmajā daļā noteiktā noilguma termiņa skaitīšanu lietas ierosināšanai aptur ar lietas ierosināšanas dienu.</w:t>
            </w:r>
          </w:p>
          <w:p w14:paraId="15FCF7DF" w14:textId="77777777" w:rsidR="00F77260" w:rsidRPr="004F2E8E" w:rsidRDefault="00F77260" w:rsidP="00F77260">
            <w:pPr>
              <w:pStyle w:val="naisc"/>
              <w:spacing w:before="0" w:after="0"/>
              <w:jc w:val="both"/>
              <w:rPr>
                <w:sz w:val="20"/>
                <w:szCs w:val="20"/>
              </w:rPr>
            </w:pPr>
            <w:r w:rsidRPr="004F2E8E">
              <w:rPr>
                <w:sz w:val="20"/>
                <w:szCs w:val="20"/>
              </w:rPr>
              <w:t>(3) Lēmumu par šā likuma noteikto sankciju un administratīvo pasākumu piemērošanu Komisija var pieņemt divu gadu laikā no lietas ierosināšanas dienas.</w:t>
            </w:r>
          </w:p>
          <w:p w14:paraId="24BDE8A0" w14:textId="77777777" w:rsidR="00F77260" w:rsidRPr="004F2E8E" w:rsidRDefault="00F77260" w:rsidP="00F77260">
            <w:pPr>
              <w:pStyle w:val="naisc"/>
              <w:spacing w:before="0" w:after="0"/>
              <w:jc w:val="both"/>
              <w:rPr>
                <w:sz w:val="20"/>
                <w:szCs w:val="20"/>
              </w:rPr>
            </w:pPr>
            <w:r w:rsidRPr="004F2E8E">
              <w:rPr>
                <w:sz w:val="20"/>
                <w:szCs w:val="20"/>
              </w:rPr>
              <w:t>(4) Objektīvu iemeslu dēļ, tostarp tad, ja lietā nepieciešama ilgstoša faktu konstatācija, Komisija, pieņemot lēmumu, var pagarināt šā panta trešajā daļā noteikto lēmuma pieņemšanas termiņu uz laiku, kas nepārsniedz trīs gadus no lietas ierosināšanas dienas. Lēmums par termiņa pagarināšanu nav pārsūdzams.</w:t>
            </w:r>
          </w:p>
          <w:p w14:paraId="6C5E90C2" w14:textId="7D7CE4D3" w:rsidR="00F77260" w:rsidRPr="00E66993" w:rsidRDefault="00F77260" w:rsidP="004E33B7">
            <w:pPr>
              <w:pStyle w:val="naisc"/>
              <w:spacing w:before="0" w:after="0"/>
              <w:jc w:val="both"/>
              <w:rPr>
                <w:b/>
                <w:bCs/>
                <w:sz w:val="20"/>
                <w:szCs w:val="20"/>
              </w:rPr>
            </w:pPr>
            <w:r w:rsidRPr="004F2E8E">
              <w:rPr>
                <w:sz w:val="20"/>
                <w:szCs w:val="20"/>
              </w:rPr>
              <w:t>(5) Komisija izbeidz lietu, ja šā panta trešajā vai ceturtajā daļā noteiktajā termiņā nav pieņemts lēmums par šā likuma noteikto sankciju un administratīvo pasākumu piemērošanu.</w:t>
            </w:r>
          </w:p>
        </w:tc>
      </w:tr>
      <w:tr w:rsidR="007D6D6F" w:rsidRPr="00184920" w14:paraId="02158E0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799FB3D7" w14:textId="68F6E530"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33.</w:t>
            </w:r>
          </w:p>
        </w:tc>
        <w:tc>
          <w:tcPr>
            <w:tcW w:w="692" w:type="pct"/>
            <w:tcBorders>
              <w:top w:val="single" w:sz="6" w:space="0" w:color="000000"/>
              <w:left w:val="single" w:sz="6" w:space="0" w:color="000000"/>
              <w:bottom w:val="single" w:sz="6" w:space="0" w:color="000000"/>
              <w:right w:val="single" w:sz="6" w:space="0" w:color="000000"/>
            </w:tcBorders>
          </w:tcPr>
          <w:p w14:paraId="4CA38A94" w14:textId="77777777" w:rsidR="007D6D6F" w:rsidRPr="00153A88" w:rsidRDefault="007D6D6F" w:rsidP="007D6D6F">
            <w:pPr>
              <w:pStyle w:val="NoSpacing"/>
              <w:widowControl/>
              <w:rPr>
                <w:rFonts w:eastAsiaTheme="minorHAnsi"/>
                <w:b/>
                <w:bCs/>
                <w:sz w:val="20"/>
                <w:szCs w:val="20"/>
              </w:rPr>
            </w:pPr>
            <w:r w:rsidRPr="00153A88">
              <w:rPr>
                <w:rFonts w:eastAsiaTheme="minorHAnsi"/>
                <w:b/>
                <w:bCs/>
                <w:sz w:val="20"/>
                <w:szCs w:val="20"/>
              </w:rPr>
              <w:t>73.pants. Rīcība ar klientu naudas līdzekļiem</w:t>
            </w:r>
          </w:p>
          <w:p w14:paraId="08031E90" w14:textId="7DD46BE5" w:rsidR="007D6D6F" w:rsidRPr="00FC7CE6" w:rsidRDefault="007D6D6F" w:rsidP="007D6D6F">
            <w:pPr>
              <w:pStyle w:val="NoSpacing"/>
              <w:widowControl/>
              <w:rPr>
                <w:rFonts w:eastAsiaTheme="minorHAnsi"/>
                <w:bCs/>
                <w:sz w:val="20"/>
                <w:szCs w:val="20"/>
              </w:rPr>
            </w:pPr>
            <w:r w:rsidRPr="00153A88">
              <w:rPr>
                <w:rFonts w:eastAsiaTheme="minorHAnsi"/>
                <w:bCs/>
                <w:sz w:val="20"/>
                <w:szCs w:val="20"/>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w:t>
            </w:r>
            <w:r w:rsidRPr="00F814EB">
              <w:rPr>
                <w:rFonts w:eastAsiaTheme="minorHAnsi"/>
                <w:bCs/>
                <w:sz w:val="20"/>
                <w:szCs w:val="20"/>
                <w:u w:val="single"/>
              </w:rPr>
              <w:t>kā bezīpašnieka manta</w:t>
            </w:r>
            <w:r w:rsidRPr="00153A88">
              <w:rPr>
                <w:rFonts w:eastAsiaTheme="minorHAnsi"/>
                <w:bCs/>
                <w:sz w:val="20"/>
                <w:szCs w:val="20"/>
              </w:rPr>
              <w:t>.</w:t>
            </w:r>
          </w:p>
          <w:p w14:paraId="7AB8380D" w14:textId="77777777" w:rsidR="007D6D6F" w:rsidRPr="00153A88" w:rsidRDefault="007D6D6F" w:rsidP="007D6D6F">
            <w:pPr>
              <w:pStyle w:val="NoSpacing"/>
              <w:widowControl/>
              <w:rPr>
                <w:rFonts w:eastAsiaTheme="minorHAnsi"/>
                <w:b/>
                <w:bCs/>
                <w:sz w:val="20"/>
                <w:szCs w:val="20"/>
              </w:rPr>
            </w:pPr>
            <w:r w:rsidRPr="00153A88">
              <w:rPr>
                <w:rFonts w:eastAsiaTheme="minorHAnsi"/>
                <w:b/>
                <w:bCs/>
                <w:sz w:val="20"/>
                <w:szCs w:val="20"/>
              </w:rPr>
              <w:t>74.pants. Rīcība ar klientu finanšu instrumentiem</w:t>
            </w:r>
          </w:p>
          <w:p w14:paraId="7EC34932" w14:textId="49A34D92" w:rsidR="007D6D6F" w:rsidRPr="00D77F5F" w:rsidRDefault="007D6D6F" w:rsidP="007D6D6F">
            <w:pPr>
              <w:pStyle w:val="NoSpacing"/>
              <w:widowControl/>
              <w:rPr>
                <w:rFonts w:eastAsiaTheme="minorHAnsi"/>
                <w:bCs/>
                <w:sz w:val="20"/>
                <w:szCs w:val="20"/>
              </w:rPr>
            </w:pPr>
            <w:r w:rsidRPr="00153A88">
              <w:rPr>
                <w:rFonts w:eastAsiaTheme="minorHAnsi"/>
                <w:bCs/>
                <w:sz w:val="20"/>
                <w:szCs w:val="20"/>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w:t>
            </w:r>
            <w:r w:rsidRPr="00F814EB">
              <w:rPr>
                <w:rFonts w:eastAsiaTheme="minorHAnsi"/>
                <w:bCs/>
                <w:sz w:val="20"/>
                <w:szCs w:val="20"/>
                <w:u w:val="single"/>
              </w:rPr>
              <w:t>kā bezīpašnieka manta</w:t>
            </w:r>
            <w:r w:rsidRPr="00153A88">
              <w:rPr>
                <w:rFonts w:eastAsiaTheme="minorHAnsi"/>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737DDA96" w14:textId="77777777" w:rsidR="007D6D6F" w:rsidRPr="00193E7D" w:rsidRDefault="007D6D6F" w:rsidP="007D6D6F">
            <w:pPr>
              <w:pStyle w:val="NoSpacing"/>
              <w:widowControl/>
              <w:rPr>
                <w:rFonts w:eastAsiaTheme="minorHAnsi"/>
                <w:bCs/>
                <w:sz w:val="20"/>
                <w:szCs w:val="20"/>
              </w:rPr>
            </w:pPr>
            <w:r w:rsidRPr="00193E7D">
              <w:rPr>
                <w:rFonts w:eastAsiaTheme="minorHAnsi"/>
                <w:b/>
                <w:sz w:val="20"/>
                <w:szCs w:val="20"/>
              </w:rPr>
              <w:t>Iebildums.</w:t>
            </w:r>
            <w:r w:rsidRPr="00193E7D">
              <w:rPr>
                <w:rFonts w:eastAsiaTheme="minorHAnsi"/>
                <w:bCs/>
                <w:sz w:val="20"/>
                <w:szCs w:val="20"/>
              </w:rPr>
              <w:t xml:space="preserve"> Likumprojekta 71. panta ceturtā daļa un 72. panta ceturtā daļa paredz, ka tad, ja ieguldījumu brokeru sabiedrības klients desmit gadu laikā no brīža, kad naudas līdzekļi un finanšu instrumenti nodoti kredītiestādei vai citai ieguldījumu brokeru sabiedrībai, nav izņēmis naudas līdzekļus un finanšu instrumentus, kas tam pienākas, tas zaudē prasījuma tiesības uz tiem. Tāpat šīs normas paredz, ka naudas līdzekļi un finanšu instrumenti, kuri pienākas ieguldījumu brokeru sabiedrības klientiem un attiecībā uz kuriem iestājies noilgums, piekrīt valstij kā bezīpašnieka manta.</w:t>
            </w:r>
          </w:p>
          <w:p w14:paraId="334EB86B"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Norādām, ka Civillikuma 930. pants paredz bezīpašnieka lietas institūtu, tāpēc lūdzam precizēt normas, nosakot, ka naudas līdzekļi un finanšu instrumenti piekrīt valstij kā bezīpašnieka lietas. Vienlaikus lūdzam skaidrot, vai naudas līdzekļus un finanšu instrumentus 10 gadu laikā būs tiesīgi ir izņemt arī brokeru sabiedrības klienta mantinieki vai saistību un tiesību pārņēmēji. Lūdzam izvērtēt nepieciešamību papildināt anotāciju ar skaidrojumu un nepieciešamības gadījumā precizēt arī tiesību normas, ja normas neaptver klienta mantiniekus vai saistību un tiesību pārņēmējus.</w:t>
            </w:r>
          </w:p>
          <w:p w14:paraId="68A2BA49" w14:textId="77777777" w:rsidR="007D6D6F" w:rsidRPr="00193E7D" w:rsidRDefault="007D6D6F" w:rsidP="007D6D6F">
            <w:pPr>
              <w:pStyle w:val="NoSpacing"/>
              <w:widowControl/>
              <w:rPr>
                <w:rFonts w:eastAsiaTheme="minorHAnsi"/>
                <w:b/>
                <w:sz w:val="20"/>
                <w:szCs w:val="20"/>
              </w:rPr>
            </w:pPr>
          </w:p>
          <w:p w14:paraId="20479852" w14:textId="77777777" w:rsidR="007D6D6F" w:rsidRPr="00193E7D" w:rsidRDefault="007D6D6F" w:rsidP="007D6D6F">
            <w:pPr>
              <w:pStyle w:val="NoSpacing"/>
              <w:widowControl/>
              <w:rPr>
                <w:rFonts w:eastAsiaTheme="minorHAnsi"/>
                <w:b/>
                <w:sz w:val="20"/>
                <w:szCs w:val="20"/>
              </w:rPr>
            </w:pPr>
            <w:r w:rsidRPr="00193E7D">
              <w:rPr>
                <w:rFonts w:eastAsiaTheme="minorHAnsi"/>
                <w:b/>
                <w:sz w:val="20"/>
                <w:szCs w:val="20"/>
              </w:rPr>
              <w:t>Š.g. 11.maijā uzturētais iebildums.</w:t>
            </w:r>
          </w:p>
          <w:p w14:paraId="6BFB8CC0"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Likumprojekta 73. panta ceturtā daļa un 74. panta ceturtā daļa paredz, ka tad, ja ieguldījumu brokeru sabiedrības klients desmit gadu laikā no brīža, kad naudas līdzekļi un finanšu instrumenti nodoti kredītiestādei vai citai ieguldījumu brokeru sabiedrībai, nav izņēmis naudas līdzekļus un finanšu instrumentus, kas tam pienākas, tas zaudē prasījuma tiesības uz tiem. Tāpat šīs normas paredz, ka naudas līdzekļi un finanšu instrumenti, kuri pienākas ieguldījumu brokeru sabiedrības klientiem un attiecībā uz kuriem iestājies noilgums, piekrīt valstij kā bezīpašnieka manta.</w:t>
            </w:r>
          </w:p>
          <w:p w14:paraId="2C539990"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 xml:space="preserve">           Skaidrojam, ka Civillikumā ir iekļauti tikai divi tiesību institūti, kas nosaka, kādas lietas un mantas piekrīt valstij. Civillikuma 930. paredz tādu institūtu kā bezīpašnieka lietas institūtu, savukārt Civillikuma </w:t>
            </w:r>
            <w:r w:rsidRPr="00193E7D">
              <w:rPr>
                <w:rFonts w:eastAsiaTheme="minorHAnsi"/>
                <w:bCs/>
                <w:sz w:val="20"/>
                <w:szCs w:val="20"/>
              </w:rPr>
              <w:lastRenderedPageBreak/>
              <w:t xml:space="preserve">416. pants – bezmantinieku mantu. Civillikums nepazīst cita veida institūtus attiecībā piekritību valstij. Jānorāda, ka, lai gan sarunvalodā bieži lietoti un arī normatīvos aktos ieviesti termini bezsaimnieka manta vai bezīpašnieka manta, tie tomēr nav pareizi lietoti, ja ir domāts piemērot Civillikumā paredzēto. Turklāt ņemot vērā Tieslietu ministrijas ieceri precizēt minētos institūtus. </w:t>
            </w:r>
          </w:p>
          <w:p w14:paraId="1E36EDE0" w14:textId="77777777"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Līdz ar to lūdzam skaidrot, vai likumprojektā ir paredzēts piemērot Civillikuma institūta būtību vai likumprojektā ir paredzēts ieviest un praksē nostiprināt cita veida institūtu, kas nav domāts bezīpašnieka lieta vai bezmantinieku manta Civillikumā izpratnē. Ja likumprojektā norādītais bezīpašnieka manta nav domāta bezīpašnieka lieta Civillikuma izpratnē, lūdzam to norādīt anotācijā. Ja tomēr likumprojekta minētajās normās ir plānots atsaukties uz institūtiem Civillikuma izpratnē, lūdzam attiecīgi precizēt normas, kā arī to nodrošināt nozares citos normatīvos aktos.</w:t>
            </w:r>
          </w:p>
          <w:p w14:paraId="24DBFA61" w14:textId="3C506592" w:rsidR="007D6D6F" w:rsidRPr="00193E7D" w:rsidRDefault="007D6D6F" w:rsidP="007D6D6F">
            <w:pPr>
              <w:pStyle w:val="NoSpacing"/>
              <w:widowControl/>
              <w:rPr>
                <w:rFonts w:eastAsiaTheme="minorHAnsi"/>
                <w:bCs/>
                <w:sz w:val="20"/>
                <w:szCs w:val="20"/>
              </w:rPr>
            </w:pPr>
            <w:r w:rsidRPr="00193E7D">
              <w:rPr>
                <w:rFonts w:eastAsiaTheme="minorHAnsi"/>
                <w:bCs/>
                <w:sz w:val="20"/>
                <w:szCs w:val="20"/>
              </w:rPr>
              <w:t>Vienlaikus skaidrojam, ka attiecībā uz bezmantinieku mantu, ar mantu tiek saprasts aktīvu un pasīvu kopums, kas piederēja mantojuma atstājējam, tāpat tiek precizēta valsts atbildība attiecībā uz bezmantinieku mantu. Turklāt, lai būtu bezmantinieku manta, ir jābūt izietam mantošanas procesam. Savukārt attiecībā uz bezīpašnieka lietu, tiek saprasts, ka konkrētā lieta ir palikusi bez īpašnieka. Izvērtējot likumprojektā ietvertās normas, netika gūta pārliecība, ka ar mantu tiek saprasts aktīvu un pasīvu kopums, kas pēc 10 gadiem piekrīt valstij. Turklāt, interpretējot normu, tiek secināts, ka pamatdoma ir pateikt, ka tieši klienta konkrētie naudas līdzekļi vai finanšu instrumenti pēc 10 gadiem ir kļuvuši bez īpašnieka, nevis, ka klienta visa manta piekrīt valstij.</w:t>
            </w:r>
          </w:p>
        </w:tc>
        <w:tc>
          <w:tcPr>
            <w:tcW w:w="848" w:type="pct"/>
            <w:gridSpan w:val="2"/>
            <w:tcBorders>
              <w:top w:val="single" w:sz="6" w:space="0" w:color="000000"/>
              <w:left w:val="single" w:sz="6" w:space="0" w:color="000000"/>
              <w:bottom w:val="single" w:sz="6" w:space="0" w:color="000000"/>
              <w:right w:val="single" w:sz="6" w:space="0" w:color="000000"/>
            </w:tcBorders>
          </w:tcPr>
          <w:p w14:paraId="476949E9" w14:textId="7E90225D" w:rsidR="007D6D6F" w:rsidRDefault="0036005B" w:rsidP="007D6D6F">
            <w:pPr>
              <w:spacing w:after="0" w:line="240" w:lineRule="auto"/>
              <w:jc w:val="both"/>
              <w:rPr>
                <w:rFonts w:ascii="Times New Roman" w:eastAsia="Times New Roman" w:hAnsi="Times New Roman" w:cs="Times New Roman"/>
                <w:sz w:val="20"/>
                <w:szCs w:val="20"/>
                <w:lang w:eastAsia="lv-LV"/>
              </w:rPr>
            </w:pPr>
            <w:r w:rsidRPr="0036005B">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Pr>
                <w:rFonts w:ascii="Times New Roman" w:eastAsia="Times New Roman" w:hAnsi="Times New Roman" w:cs="Times New Roman"/>
                <w:sz w:val="20"/>
                <w:szCs w:val="20"/>
                <w:lang w:eastAsia="lv-LV"/>
              </w:rPr>
              <w:t xml:space="preserve">Likumprojekta </w:t>
            </w:r>
            <w:r w:rsidR="00940BE6">
              <w:rPr>
                <w:rFonts w:ascii="Times New Roman" w:eastAsia="Times New Roman" w:hAnsi="Times New Roman" w:cs="Times New Roman"/>
                <w:sz w:val="20"/>
                <w:szCs w:val="20"/>
                <w:lang w:eastAsia="lv-LV"/>
              </w:rPr>
              <w:t>79</w:t>
            </w:r>
            <w:r w:rsidR="007D6D6F">
              <w:rPr>
                <w:rFonts w:ascii="Times New Roman" w:eastAsia="Times New Roman" w:hAnsi="Times New Roman" w:cs="Times New Roman"/>
                <w:sz w:val="20"/>
                <w:szCs w:val="20"/>
                <w:lang w:eastAsia="lv-LV"/>
              </w:rPr>
              <w:t xml:space="preserve">.panta ceturtā daļa un </w:t>
            </w:r>
            <w:r w:rsidR="00940BE6">
              <w:rPr>
                <w:rFonts w:ascii="Times New Roman" w:eastAsia="Times New Roman" w:hAnsi="Times New Roman" w:cs="Times New Roman"/>
                <w:sz w:val="20"/>
                <w:szCs w:val="20"/>
                <w:lang w:eastAsia="lv-LV"/>
              </w:rPr>
              <w:t>80</w:t>
            </w:r>
            <w:r w:rsidR="007D6D6F">
              <w:rPr>
                <w:rFonts w:ascii="Times New Roman" w:eastAsia="Times New Roman" w:hAnsi="Times New Roman" w:cs="Times New Roman"/>
                <w:sz w:val="20"/>
                <w:szCs w:val="20"/>
                <w:lang w:eastAsia="lv-LV"/>
              </w:rPr>
              <w:t xml:space="preserve">.panta ceturtā daļa precizēta. </w:t>
            </w:r>
          </w:p>
          <w:p w14:paraId="26210E6B" w14:textId="35F389C6" w:rsidR="007D6D6F" w:rsidRPr="000764D9" w:rsidRDefault="007D6D6F" w:rsidP="007D6D6F">
            <w:pPr>
              <w:spacing w:after="0" w:line="240" w:lineRule="auto"/>
              <w:jc w:val="both"/>
              <w:rPr>
                <w:rFonts w:ascii="Times New Roman" w:eastAsia="Times New Roman" w:hAnsi="Times New Roman" w:cs="Times New Roman"/>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244BA97B" w14:textId="6B5FE940" w:rsidR="007D6D6F" w:rsidRPr="00153A88" w:rsidRDefault="007D6D6F" w:rsidP="007D6D6F">
            <w:pPr>
              <w:pStyle w:val="NoSpacing"/>
              <w:widowControl/>
              <w:rPr>
                <w:rFonts w:eastAsiaTheme="minorHAnsi"/>
                <w:b/>
                <w:bCs/>
                <w:sz w:val="20"/>
                <w:szCs w:val="20"/>
              </w:rPr>
            </w:pPr>
            <w:r w:rsidRPr="00153A88">
              <w:rPr>
                <w:rFonts w:eastAsiaTheme="minorHAnsi"/>
                <w:b/>
                <w:bCs/>
                <w:sz w:val="20"/>
                <w:szCs w:val="20"/>
              </w:rPr>
              <w:t>7</w:t>
            </w:r>
            <w:r w:rsidR="00940BE6">
              <w:rPr>
                <w:rFonts w:eastAsiaTheme="minorHAnsi"/>
                <w:b/>
                <w:bCs/>
                <w:sz w:val="20"/>
                <w:szCs w:val="20"/>
              </w:rPr>
              <w:t>9</w:t>
            </w:r>
            <w:r w:rsidRPr="00153A88">
              <w:rPr>
                <w:rFonts w:eastAsiaTheme="minorHAnsi"/>
                <w:b/>
                <w:bCs/>
                <w:sz w:val="20"/>
                <w:szCs w:val="20"/>
              </w:rPr>
              <w:t>.pants. Rīcība ar klientu naudas līdzekļiem</w:t>
            </w:r>
          </w:p>
          <w:p w14:paraId="05B19DA4" w14:textId="79F3BBBE" w:rsidR="007D6D6F" w:rsidRPr="00FC7CE6" w:rsidRDefault="007D6D6F" w:rsidP="007D6D6F">
            <w:pPr>
              <w:pStyle w:val="NoSpacing"/>
              <w:widowControl/>
              <w:rPr>
                <w:rFonts w:eastAsiaTheme="minorHAnsi"/>
                <w:bCs/>
                <w:sz w:val="20"/>
                <w:szCs w:val="20"/>
              </w:rPr>
            </w:pPr>
            <w:r w:rsidRPr="00153A88">
              <w:rPr>
                <w:rFonts w:eastAsiaTheme="minorHAnsi"/>
                <w:bCs/>
                <w:sz w:val="20"/>
                <w:szCs w:val="20"/>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noilgums, piekrīt valstij </w:t>
            </w:r>
            <w:r w:rsidRPr="00F814EB">
              <w:rPr>
                <w:rFonts w:eastAsiaTheme="minorHAnsi"/>
                <w:bCs/>
                <w:sz w:val="20"/>
                <w:szCs w:val="20"/>
                <w:u w:val="single"/>
              </w:rPr>
              <w:t xml:space="preserve">kā bezīpašnieka </w:t>
            </w:r>
            <w:r>
              <w:rPr>
                <w:rFonts w:eastAsiaTheme="minorHAnsi"/>
                <w:bCs/>
                <w:sz w:val="20"/>
                <w:szCs w:val="20"/>
                <w:u w:val="single"/>
              </w:rPr>
              <w:t>lieta</w:t>
            </w:r>
            <w:r w:rsidRPr="00153A88">
              <w:rPr>
                <w:rFonts w:eastAsiaTheme="minorHAnsi"/>
                <w:bCs/>
                <w:sz w:val="20"/>
                <w:szCs w:val="20"/>
              </w:rPr>
              <w:t>.</w:t>
            </w:r>
          </w:p>
          <w:p w14:paraId="09F95AC6" w14:textId="0DF12C63" w:rsidR="007D6D6F" w:rsidRPr="00153A88" w:rsidRDefault="00940BE6" w:rsidP="007D6D6F">
            <w:pPr>
              <w:pStyle w:val="NoSpacing"/>
              <w:widowControl/>
              <w:rPr>
                <w:rFonts w:eastAsiaTheme="minorHAnsi"/>
                <w:b/>
                <w:bCs/>
                <w:sz w:val="20"/>
                <w:szCs w:val="20"/>
              </w:rPr>
            </w:pPr>
            <w:r>
              <w:rPr>
                <w:rFonts w:eastAsiaTheme="minorHAnsi"/>
                <w:b/>
                <w:bCs/>
                <w:sz w:val="20"/>
                <w:szCs w:val="20"/>
              </w:rPr>
              <w:t>80</w:t>
            </w:r>
            <w:r w:rsidR="007D6D6F" w:rsidRPr="00153A88">
              <w:rPr>
                <w:rFonts w:eastAsiaTheme="minorHAnsi"/>
                <w:b/>
                <w:bCs/>
                <w:sz w:val="20"/>
                <w:szCs w:val="20"/>
              </w:rPr>
              <w:t>.pants. Rīcība ar klientu finanšu instrumentiem</w:t>
            </w:r>
          </w:p>
          <w:p w14:paraId="5D32D4AB" w14:textId="7A9DF45C" w:rsidR="007D6D6F" w:rsidRPr="00184920" w:rsidRDefault="007D6D6F" w:rsidP="007D6D6F">
            <w:pPr>
              <w:pStyle w:val="NoSpacing"/>
              <w:widowControl/>
              <w:rPr>
                <w:rFonts w:eastAsia="Times New Roman"/>
                <w:sz w:val="20"/>
                <w:szCs w:val="20"/>
                <w:lang w:eastAsia="lv-LV"/>
              </w:rPr>
            </w:pPr>
            <w:r w:rsidRPr="00153A88">
              <w:rPr>
                <w:rFonts w:eastAsiaTheme="minorHAnsi"/>
                <w:bCs/>
                <w:sz w:val="20"/>
                <w:szCs w:val="20"/>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w:t>
            </w:r>
            <w:r w:rsidRPr="00C171CE">
              <w:rPr>
                <w:rFonts w:eastAsiaTheme="minorHAnsi"/>
                <w:bCs/>
                <w:sz w:val="20"/>
                <w:szCs w:val="20"/>
                <w:u w:val="single"/>
              </w:rPr>
              <w:t xml:space="preserve">kā bezīpašnieka </w:t>
            </w:r>
            <w:r>
              <w:rPr>
                <w:rFonts w:eastAsiaTheme="minorHAnsi"/>
                <w:bCs/>
                <w:sz w:val="20"/>
                <w:szCs w:val="20"/>
                <w:u w:val="single"/>
              </w:rPr>
              <w:t>lieta</w:t>
            </w:r>
            <w:r w:rsidRPr="00153A88">
              <w:rPr>
                <w:rFonts w:eastAsiaTheme="minorHAnsi"/>
                <w:bCs/>
                <w:sz w:val="20"/>
                <w:szCs w:val="20"/>
              </w:rPr>
              <w:t>.</w:t>
            </w:r>
          </w:p>
        </w:tc>
      </w:tr>
      <w:tr w:rsidR="007D6D6F" w:rsidRPr="00184920" w14:paraId="26EF049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FF53C5E" w14:textId="29274DE9"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34.</w:t>
            </w:r>
          </w:p>
        </w:tc>
        <w:tc>
          <w:tcPr>
            <w:tcW w:w="692" w:type="pct"/>
            <w:tcBorders>
              <w:top w:val="single" w:sz="6" w:space="0" w:color="000000"/>
              <w:left w:val="single" w:sz="6" w:space="0" w:color="000000"/>
              <w:bottom w:val="single" w:sz="6" w:space="0" w:color="000000"/>
              <w:right w:val="single" w:sz="6" w:space="0" w:color="000000"/>
            </w:tcBorders>
          </w:tcPr>
          <w:p w14:paraId="09FF4393" w14:textId="77777777" w:rsidR="007D6D6F" w:rsidRPr="00D77F5F" w:rsidRDefault="007D6D6F" w:rsidP="007D6D6F">
            <w:pPr>
              <w:pStyle w:val="NoSpacing"/>
              <w:widowControl/>
              <w:rPr>
                <w:rFonts w:eastAsiaTheme="minorHAnsi"/>
                <w:b/>
                <w:bCs/>
                <w:sz w:val="20"/>
                <w:szCs w:val="20"/>
              </w:rPr>
            </w:pPr>
            <w:r w:rsidRPr="00D77F5F">
              <w:rPr>
                <w:rFonts w:eastAsiaTheme="minorHAnsi"/>
                <w:b/>
                <w:bCs/>
                <w:sz w:val="20"/>
                <w:szCs w:val="20"/>
              </w:rPr>
              <w:t>73.pants. Rīcība ar klientu naudas līdzekļiem</w:t>
            </w:r>
          </w:p>
          <w:p w14:paraId="20D0206B" w14:textId="77777777" w:rsidR="007D6D6F" w:rsidRPr="00D77F5F" w:rsidRDefault="007D6D6F" w:rsidP="007D6D6F">
            <w:pPr>
              <w:pStyle w:val="NoSpacing"/>
              <w:widowControl/>
              <w:rPr>
                <w:rFonts w:eastAsiaTheme="minorHAnsi"/>
                <w:bCs/>
                <w:sz w:val="20"/>
                <w:szCs w:val="20"/>
              </w:rPr>
            </w:pPr>
            <w:r w:rsidRPr="00D77F5F">
              <w:rPr>
                <w:rFonts w:eastAsiaTheme="minorHAnsi"/>
                <w:bCs/>
                <w:sz w:val="20"/>
                <w:szCs w:val="20"/>
              </w:rPr>
              <w:t xml:space="preserve">(4) Ja ieguldījumu brokeru sabiedrības klients desmit gadu laikā no brīža, kad naudas līdzekļi nodoti kredītiestādei, nav izņēmis naudas līdzekļus, kas tam pienākas, tas zaudē </w:t>
            </w:r>
            <w:r w:rsidRPr="00D77F5F">
              <w:rPr>
                <w:rFonts w:eastAsiaTheme="minorHAnsi"/>
                <w:bCs/>
                <w:sz w:val="20"/>
                <w:szCs w:val="20"/>
              </w:rPr>
              <w:lastRenderedPageBreak/>
              <w:t>prasījuma tiesības uz tiem. Naudas līdzekļi, kuri pienākas ieguldījumu brokeru sabiedrības klientiem un attiecībā uz kuriem iestājies noilgums, piekrīt valstij kā bezīpašnieka manta.</w:t>
            </w:r>
          </w:p>
          <w:p w14:paraId="6B785D52" w14:textId="77777777" w:rsidR="007D6D6F" w:rsidRPr="00D77F5F" w:rsidRDefault="007D6D6F" w:rsidP="007D6D6F">
            <w:pPr>
              <w:rPr>
                <w:rFonts w:ascii="Times New Roman" w:hAnsi="Times New Roman" w:cs="Times New Roman"/>
              </w:rPr>
            </w:pPr>
          </w:p>
          <w:p w14:paraId="03A0F254" w14:textId="77777777" w:rsidR="007D6D6F" w:rsidRPr="00D77F5F" w:rsidRDefault="007D6D6F" w:rsidP="007D6D6F">
            <w:pPr>
              <w:pStyle w:val="NoSpacing"/>
              <w:widowControl/>
              <w:rPr>
                <w:rFonts w:eastAsiaTheme="minorHAnsi"/>
                <w:b/>
                <w:bCs/>
                <w:sz w:val="20"/>
                <w:szCs w:val="20"/>
              </w:rPr>
            </w:pPr>
            <w:r w:rsidRPr="00D77F5F">
              <w:rPr>
                <w:rFonts w:eastAsiaTheme="minorHAnsi"/>
                <w:b/>
                <w:bCs/>
                <w:sz w:val="20"/>
                <w:szCs w:val="20"/>
              </w:rPr>
              <w:t>74.pants. Rīcība ar klientu finanšu instrumentiem</w:t>
            </w:r>
          </w:p>
          <w:p w14:paraId="4E1995A0" w14:textId="507D2468" w:rsidR="007D6D6F" w:rsidRPr="00D77F5F" w:rsidRDefault="007D6D6F" w:rsidP="007D6D6F">
            <w:pPr>
              <w:spacing w:after="0" w:line="240" w:lineRule="auto"/>
              <w:jc w:val="both"/>
              <w:rPr>
                <w:rFonts w:ascii="Times New Roman" w:eastAsia="Times New Roman" w:hAnsi="Times New Roman" w:cs="Times New Roman"/>
                <w:sz w:val="20"/>
                <w:lang w:eastAsia="lv-LV"/>
              </w:rPr>
            </w:pPr>
            <w:r w:rsidRPr="00D77F5F">
              <w:rPr>
                <w:rFonts w:ascii="Times New Roman" w:hAnsi="Times New Roman" w:cs="Times New Roman"/>
                <w:bCs/>
                <w:sz w:val="20"/>
                <w:szCs w:val="20"/>
              </w:rPr>
              <w:t>(4)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kā bezīpašnieka manta.</w:t>
            </w:r>
          </w:p>
        </w:tc>
        <w:tc>
          <w:tcPr>
            <w:tcW w:w="1309" w:type="pct"/>
            <w:tcBorders>
              <w:top w:val="single" w:sz="6" w:space="0" w:color="000000"/>
              <w:left w:val="single" w:sz="6" w:space="0" w:color="000000"/>
              <w:bottom w:val="single" w:sz="6" w:space="0" w:color="000000"/>
              <w:right w:val="single" w:sz="6" w:space="0" w:color="000000"/>
            </w:tcBorders>
          </w:tcPr>
          <w:p w14:paraId="5D4D5EB1" w14:textId="77777777" w:rsidR="007D6D6F" w:rsidRPr="00D77F5F" w:rsidRDefault="007D6D6F" w:rsidP="007D6D6F">
            <w:pPr>
              <w:jc w:val="both"/>
              <w:rPr>
                <w:rFonts w:ascii="Times New Roman" w:hAnsi="Times New Roman" w:cs="Times New Roman"/>
                <w:sz w:val="20"/>
                <w:szCs w:val="20"/>
              </w:rPr>
            </w:pPr>
            <w:r w:rsidRPr="00D77F5F">
              <w:rPr>
                <w:rFonts w:ascii="Times New Roman" w:hAnsi="Times New Roman" w:cs="Times New Roman"/>
                <w:b/>
                <w:bCs/>
                <w:sz w:val="20"/>
                <w:szCs w:val="20"/>
              </w:rPr>
              <w:lastRenderedPageBreak/>
              <w:t>Iebildums.</w:t>
            </w:r>
            <w:r w:rsidRPr="00D77F5F">
              <w:rPr>
                <w:rFonts w:ascii="Times New Roman" w:hAnsi="Times New Roman" w:cs="Times New Roman"/>
                <w:sz w:val="20"/>
                <w:szCs w:val="20"/>
              </w:rPr>
              <w:t xml:space="preserve"> Tāpat norādām, ka likumprojekta 71. panta ceturtā daļa un 72. panta ceturtā daļa nosaka to, ka naudas līdzekļi un finanšu instrumenti, kuri pienākas ieguldījumu brokeru sabiedrības klientiem un attiecībā uz kuriem iestājies noilgums, piekrīt valstij kā bezīpašnieka lieta, taču likumprojekts nav paredzējis kārtību, kādā valsts šo bezīpašnieka lietu pārņem. Proti, nav paredzēts </w:t>
            </w:r>
            <w:r w:rsidRPr="00D77F5F">
              <w:rPr>
                <w:rFonts w:ascii="Times New Roman" w:hAnsi="Times New Roman" w:cs="Times New Roman"/>
                <w:sz w:val="20"/>
                <w:szCs w:val="20"/>
              </w:rPr>
              <w:lastRenderedPageBreak/>
              <w:t xml:space="preserve">mehānisms, kā valsts var uzzināt par šādas bezmantinieka mantas esamību un kā būtu jārīkojas kredītiestādei pēc noilguma iestāšanās. </w:t>
            </w:r>
          </w:p>
          <w:p w14:paraId="12EB58E7" w14:textId="77777777" w:rsidR="007D6D6F" w:rsidRDefault="007D6D6F" w:rsidP="007D6D6F">
            <w:pPr>
              <w:spacing w:after="0" w:line="240" w:lineRule="auto"/>
              <w:jc w:val="both"/>
              <w:rPr>
                <w:rFonts w:ascii="Times New Roman" w:hAnsi="Times New Roman" w:cs="Times New Roman"/>
                <w:sz w:val="20"/>
                <w:szCs w:val="20"/>
              </w:rPr>
            </w:pPr>
            <w:r w:rsidRPr="00D77F5F">
              <w:rPr>
                <w:rFonts w:ascii="Times New Roman" w:hAnsi="Times New Roman" w:cs="Times New Roman"/>
                <w:sz w:val="20"/>
                <w:szCs w:val="20"/>
              </w:rPr>
              <w:t>Norādām, ka viens no veidiem, kā veicināt bezīpašnieka lietas pārņemšanu, ir paredzēt subjektam, kura pārziņā ir šāda bezīpašnieka lieta, pienākumu par to paziņot konkrētai valsts institūcijai, līdzīgi kā to paredz pašlaik Saeimā skatītais likumprojekts “Grozījumi Kredītiestāžu likumā”.</w:t>
            </w:r>
            <w:r w:rsidRPr="00D77F5F">
              <w:rPr>
                <w:rStyle w:val="FootnoteReference"/>
                <w:rFonts w:ascii="Times New Roman" w:hAnsi="Times New Roman" w:cs="Times New Roman"/>
                <w:sz w:val="20"/>
                <w:szCs w:val="20"/>
              </w:rPr>
              <w:footnoteReference w:id="11"/>
            </w:r>
            <w:r w:rsidRPr="00D77F5F">
              <w:rPr>
                <w:rFonts w:ascii="Times New Roman" w:hAnsi="Times New Roman" w:cs="Times New Roman"/>
                <w:sz w:val="20"/>
                <w:szCs w:val="20"/>
              </w:rPr>
              <w:t xml:space="preserve"> Ņemot vērā minēto, lūdzam precizēt likumprojektu, paredzot kārtību, kādā valsts pārņem šādu bezīpašnieka lietu.</w:t>
            </w:r>
          </w:p>
          <w:p w14:paraId="46629EB9"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p>
          <w:p w14:paraId="64E6E754" w14:textId="77777777" w:rsidR="007D6D6F" w:rsidRPr="00212ADA" w:rsidRDefault="007D6D6F" w:rsidP="007D6D6F">
            <w:pPr>
              <w:spacing w:after="0" w:line="240" w:lineRule="auto"/>
              <w:jc w:val="both"/>
              <w:rPr>
                <w:rFonts w:ascii="Times New Roman" w:eastAsia="Times New Roman" w:hAnsi="Times New Roman" w:cs="Times New Roman"/>
                <w:b/>
                <w:bCs/>
                <w:sz w:val="20"/>
                <w:szCs w:val="20"/>
                <w:lang w:eastAsia="lv-LV"/>
              </w:rPr>
            </w:pPr>
            <w:r w:rsidRPr="00212ADA">
              <w:rPr>
                <w:rFonts w:ascii="Times New Roman" w:eastAsia="Times New Roman" w:hAnsi="Times New Roman" w:cs="Times New Roman"/>
                <w:b/>
                <w:bCs/>
                <w:sz w:val="20"/>
                <w:szCs w:val="20"/>
                <w:lang w:eastAsia="lv-LV"/>
              </w:rPr>
              <w:t>Š.g. 11.maijā uzturētais iebildums.</w:t>
            </w:r>
          </w:p>
          <w:p w14:paraId="637795ED" w14:textId="77777777" w:rsidR="007D6D6F" w:rsidRPr="00212ADA" w:rsidRDefault="007D6D6F" w:rsidP="007D6D6F">
            <w:pPr>
              <w:spacing w:after="0" w:line="240" w:lineRule="auto"/>
              <w:jc w:val="both"/>
              <w:rPr>
                <w:rFonts w:ascii="Times New Roman" w:hAnsi="Times New Roman" w:cs="Times New Roman"/>
                <w:bCs/>
                <w:sz w:val="20"/>
                <w:szCs w:val="20"/>
              </w:rPr>
            </w:pPr>
            <w:r w:rsidRPr="00212ADA">
              <w:rPr>
                <w:rFonts w:ascii="Times New Roman" w:hAnsi="Times New Roman" w:cs="Times New Roman"/>
                <w:bCs/>
                <w:sz w:val="20"/>
                <w:szCs w:val="20"/>
              </w:rPr>
              <w:t xml:space="preserve">Tāpat norādām, ka likumprojekta 71. panta ceturtā daļa un 72. panta ceturtā daļa nosaka to, ka naudas līdzekļi un finanšu instrumenti, kuri pienākas ieguldījumu brokeru sabiedrības klientiem un attiecībā uz kuriem iestājies noilgums, piekrīt valstij kā bezīpašnieka lieta, taču likumprojekts nav paredzējis kārtību, kādā valsts šo bezīpašnieka lietu pārņem. Proti, nav paredzēts mehānisms, kā valsts var uzzināt par šādas bezīpašnieka lietas esamību un kā būtu jārīkojas kredītiestādei pēc noilguma iestāšanās. </w:t>
            </w:r>
          </w:p>
          <w:p w14:paraId="468E03CD" w14:textId="7DBF817B" w:rsidR="007D6D6F" w:rsidRPr="00D77F5F" w:rsidRDefault="007D6D6F" w:rsidP="007D6D6F">
            <w:pPr>
              <w:spacing w:after="0" w:line="240" w:lineRule="auto"/>
              <w:jc w:val="both"/>
              <w:rPr>
                <w:rFonts w:ascii="Times New Roman" w:eastAsia="Times New Roman" w:hAnsi="Times New Roman" w:cs="Times New Roman"/>
                <w:sz w:val="20"/>
                <w:szCs w:val="20"/>
                <w:lang w:eastAsia="lv-LV"/>
              </w:rPr>
            </w:pPr>
            <w:r w:rsidRPr="00212ADA">
              <w:rPr>
                <w:rFonts w:ascii="Times New Roman" w:hAnsi="Times New Roman" w:cs="Times New Roman"/>
                <w:bCs/>
                <w:sz w:val="20"/>
                <w:szCs w:val="20"/>
              </w:rPr>
              <w:t>Ņemot vērā, ka Finanšu ministrija un Tieslietu ministrija vēlas uzlabot bezīpašnieka lietas un bezmantinieku mantas procesu, lūdzam precizēt likumprojektu, paredzot kārtību, kādā valsts pārņem šādu bezīpašnieka lietu, kā arī anotāciju papildināt ar to, vai un kas tiek plānots darīt, ja mehānisms netiek paredzēts.</w:t>
            </w:r>
          </w:p>
        </w:tc>
        <w:tc>
          <w:tcPr>
            <w:tcW w:w="848" w:type="pct"/>
            <w:gridSpan w:val="2"/>
            <w:tcBorders>
              <w:top w:val="single" w:sz="6" w:space="0" w:color="000000"/>
              <w:left w:val="single" w:sz="6" w:space="0" w:color="000000"/>
              <w:bottom w:val="single" w:sz="6" w:space="0" w:color="000000"/>
              <w:right w:val="single" w:sz="6" w:space="0" w:color="000000"/>
            </w:tcBorders>
          </w:tcPr>
          <w:p w14:paraId="51349FCC" w14:textId="693AD90F" w:rsidR="007D6D6F" w:rsidRPr="00E56013" w:rsidRDefault="002A3F65" w:rsidP="007D6D6F">
            <w:pPr>
              <w:spacing w:after="0" w:line="240" w:lineRule="auto"/>
              <w:jc w:val="both"/>
              <w:rPr>
                <w:rFonts w:ascii="Times New Roman" w:eastAsia="Times New Roman" w:hAnsi="Times New Roman" w:cs="Times New Roman"/>
                <w:sz w:val="20"/>
                <w:szCs w:val="20"/>
                <w:lang w:eastAsia="lv-LV"/>
              </w:rPr>
            </w:pPr>
            <w:r w:rsidRPr="002A3F65">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7D6D6F" w:rsidRPr="003A670D">
              <w:rPr>
                <w:rFonts w:ascii="Times New Roman" w:eastAsia="Times New Roman" w:hAnsi="Times New Roman" w:cs="Times New Roman"/>
                <w:sz w:val="20"/>
                <w:szCs w:val="20"/>
                <w:lang w:eastAsia="lv-LV"/>
              </w:rPr>
              <w:t>Precizēta likumprojekta 7</w:t>
            </w:r>
            <w:r w:rsidR="00E21838">
              <w:rPr>
                <w:rFonts w:ascii="Times New Roman" w:eastAsia="Times New Roman" w:hAnsi="Times New Roman" w:cs="Times New Roman"/>
                <w:sz w:val="20"/>
                <w:szCs w:val="20"/>
                <w:lang w:eastAsia="lv-LV"/>
              </w:rPr>
              <w:t>9</w:t>
            </w:r>
            <w:r w:rsidR="007D6D6F" w:rsidRPr="003A670D">
              <w:rPr>
                <w:rFonts w:ascii="Times New Roman" w:eastAsia="Times New Roman" w:hAnsi="Times New Roman" w:cs="Times New Roman"/>
                <w:sz w:val="20"/>
                <w:szCs w:val="20"/>
                <w:lang w:eastAsia="lv-LV"/>
              </w:rPr>
              <w:t xml:space="preserve">.panta ceturtā daļa un </w:t>
            </w:r>
            <w:r w:rsidR="00E21838">
              <w:rPr>
                <w:rFonts w:ascii="Times New Roman" w:eastAsia="Times New Roman" w:hAnsi="Times New Roman" w:cs="Times New Roman"/>
                <w:sz w:val="20"/>
                <w:szCs w:val="20"/>
                <w:lang w:eastAsia="lv-LV"/>
              </w:rPr>
              <w:t>80</w:t>
            </w:r>
            <w:r w:rsidR="007D6D6F" w:rsidRPr="003A670D">
              <w:rPr>
                <w:rFonts w:ascii="Times New Roman" w:eastAsia="Times New Roman" w:hAnsi="Times New Roman" w:cs="Times New Roman"/>
                <w:sz w:val="20"/>
                <w:szCs w:val="20"/>
                <w:lang w:eastAsia="lv-LV"/>
              </w:rPr>
              <w:t>.panta ceturtā daļa.</w:t>
            </w:r>
          </w:p>
        </w:tc>
        <w:tc>
          <w:tcPr>
            <w:tcW w:w="936" w:type="pct"/>
            <w:tcBorders>
              <w:top w:val="single" w:sz="4" w:space="0" w:color="auto"/>
              <w:left w:val="single" w:sz="4" w:space="0" w:color="auto"/>
              <w:bottom w:val="single" w:sz="4" w:space="0" w:color="auto"/>
              <w:right w:val="single" w:sz="4" w:space="0" w:color="auto"/>
            </w:tcBorders>
          </w:tcPr>
          <w:p w14:paraId="4CADF4CB" w14:textId="541D82AD" w:rsidR="007D6D6F" w:rsidRPr="00DD56D6" w:rsidRDefault="007D6D6F" w:rsidP="007D6D6F">
            <w:pPr>
              <w:spacing w:after="0" w:line="240" w:lineRule="auto"/>
              <w:jc w:val="both"/>
              <w:rPr>
                <w:rFonts w:ascii="Times New Roman" w:hAnsi="Times New Roman" w:cs="Times New Roman"/>
                <w:bCs/>
                <w:sz w:val="20"/>
                <w:szCs w:val="20"/>
              </w:rPr>
            </w:pPr>
            <w:r w:rsidRPr="00DD56D6">
              <w:rPr>
                <w:rFonts w:ascii="Times New Roman" w:hAnsi="Times New Roman" w:cs="Times New Roman"/>
                <w:bCs/>
                <w:sz w:val="20"/>
                <w:szCs w:val="20"/>
              </w:rPr>
              <w:t xml:space="preserve">Likumprojekta </w:t>
            </w:r>
            <w:r w:rsidR="00E21838">
              <w:rPr>
                <w:rFonts w:ascii="Times New Roman" w:hAnsi="Times New Roman" w:cs="Times New Roman"/>
                <w:bCs/>
                <w:sz w:val="20"/>
                <w:szCs w:val="20"/>
              </w:rPr>
              <w:t>79</w:t>
            </w:r>
            <w:r w:rsidRPr="00DD56D6">
              <w:rPr>
                <w:rFonts w:ascii="Times New Roman" w:hAnsi="Times New Roman" w:cs="Times New Roman"/>
                <w:bCs/>
                <w:sz w:val="20"/>
                <w:szCs w:val="20"/>
              </w:rPr>
              <w:t>.panta ceturtā daļa:</w:t>
            </w:r>
          </w:p>
          <w:p w14:paraId="1C6C4C97" w14:textId="6FE847B7" w:rsidR="007D6D6F" w:rsidRPr="00DD56D6" w:rsidRDefault="007D6D6F" w:rsidP="007D6D6F">
            <w:pPr>
              <w:spacing w:after="0" w:line="240" w:lineRule="auto"/>
              <w:jc w:val="both"/>
              <w:rPr>
                <w:rFonts w:ascii="Times New Roman" w:hAnsi="Times New Roman" w:cs="Times New Roman"/>
                <w:bCs/>
                <w:sz w:val="20"/>
                <w:szCs w:val="20"/>
                <w:u w:val="single"/>
              </w:rPr>
            </w:pPr>
            <w:r w:rsidRPr="00DD56D6">
              <w:rPr>
                <w:rFonts w:ascii="Times New Roman" w:hAnsi="Times New Roman" w:cs="Times New Roman"/>
                <w:bCs/>
                <w:sz w:val="20"/>
                <w:szCs w:val="20"/>
              </w:rPr>
              <w:t xml:space="preserve">“(4) Ja ieguldījumu brokeru sabiedrības klients desmit gadu laikā no brīža, kad naudas līdzekļi nodoti kredītiestādei, nav izņēmis naudas līdzekļus, kas tam pienākas, tas zaudē prasījuma tiesības uz tiem. Naudas līdzekļi, kuri pienākas ieguldījumu brokeru sabiedrības klientiem un attiecībā uz kuriem iestājies </w:t>
            </w:r>
            <w:r w:rsidRPr="00DD56D6">
              <w:rPr>
                <w:rFonts w:ascii="Times New Roman" w:hAnsi="Times New Roman" w:cs="Times New Roman"/>
                <w:bCs/>
                <w:sz w:val="20"/>
                <w:szCs w:val="20"/>
              </w:rPr>
              <w:lastRenderedPageBreak/>
              <w:t xml:space="preserve">noilgums, piekrīt valstij kā bezīpašnieka lieta. </w:t>
            </w:r>
            <w:r w:rsidRPr="00DD56D6">
              <w:rPr>
                <w:rFonts w:ascii="Times New Roman" w:hAnsi="Times New Roman" w:cs="Times New Roman"/>
                <w:bCs/>
                <w:sz w:val="20"/>
                <w:szCs w:val="20"/>
                <w:u w:val="single"/>
              </w:rPr>
              <w:t>Iestājoties noilgumam, kredītiestāde vai citai ieguldījumu brokeru sabiedrība, nekavējoties sniedz informāciju par bezīpašnieka lietu Valsts ieņēmumu dienestam.</w:t>
            </w:r>
          </w:p>
          <w:p w14:paraId="3D142866" w14:textId="77777777" w:rsidR="007D6D6F" w:rsidRPr="00DD56D6" w:rsidRDefault="007D6D6F" w:rsidP="007D6D6F">
            <w:pPr>
              <w:spacing w:after="0" w:line="240" w:lineRule="auto"/>
              <w:jc w:val="both"/>
              <w:rPr>
                <w:rFonts w:ascii="Times New Roman" w:hAnsi="Times New Roman" w:cs="Times New Roman"/>
                <w:bCs/>
                <w:sz w:val="20"/>
                <w:szCs w:val="20"/>
              </w:rPr>
            </w:pPr>
          </w:p>
          <w:p w14:paraId="24AB7D4F" w14:textId="01F7AEE5" w:rsidR="007D6D6F" w:rsidRPr="00DD56D6" w:rsidRDefault="007D6D6F" w:rsidP="007D6D6F">
            <w:pPr>
              <w:spacing w:after="0" w:line="240" w:lineRule="auto"/>
              <w:jc w:val="both"/>
              <w:rPr>
                <w:rFonts w:ascii="Times New Roman" w:hAnsi="Times New Roman" w:cs="Times New Roman"/>
                <w:bCs/>
                <w:sz w:val="20"/>
                <w:szCs w:val="20"/>
              </w:rPr>
            </w:pPr>
            <w:r w:rsidRPr="00DD56D6">
              <w:rPr>
                <w:rFonts w:ascii="Times New Roman" w:hAnsi="Times New Roman" w:cs="Times New Roman"/>
                <w:bCs/>
                <w:sz w:val="20"/>
                <w:szCs w:val="20"/>
              </w:rPr>
              <w:t xml:space="preserve">Likumprojekta </w:t>
            </w:r>
            <w:r w:rsidR="00E21838">
              <w:rPr>
                <w:rFonts w:ascii="Times New Roman" w:hAnsi="Times New Roman" w:cs="Times New Roman"/>
                <w:bCs/>
                <w:sz w:val="20"/>
                <w:szCs w:val="20"/>
              </w:rPr>
              <w:t>80</w:t>
            </w:r>
            <w:r w:rsidRPr="00DD56D6">
              <w:rPr>
                <w:rFonts w:ascii="Times New Roman" w:hAnsi="Times New Roman" w:cs="Times New Roman"/>
                <w:bCs/>
                <w:sz w:val="20"/>
                <w:szCs w:val="20"/>
              </w:rPr>
              <w:t>.panta ceturtā daļa:</w:t>
            </w:r>
          </w:p>
          <w:p w14:paraId="47CB028E" w14:textId="7C589219" w:rsidR="007D6D6F" w:rsidRPr="00DD56D6" w:rsidRDefault="007D6D6F" w:rsidP="007D6D6F">
            <w:pPr>
              <w:spacing w:after="0" w:line="240" w:lineRule="auto"/>
              <w:jc w:val="both"/>
              <w:rPr>
                <w:rFonts w:ascii="Times New Roman" w:hAnsi="Times New Roman" w:cs="Times New Roman"/>
                <w:bCs/>
                <w:sz w:val="20"/>
                <w:szCs w:val="20"/>
              </w:rPr>
            </w:pPr>
            <w:r w:rsidRPr="00DD56D6">
              <w:rPr>
                <w:rFonts w:ascii="Times New Roman" w:hAnsi="Times New Roman" w:cs="Times New Roman"/>
                <w:bCs/>
                <w:sz w:val="20"/>
                <w:szCs w:val="20"/>
              </w:rPr>
              <w:t xml:space="preserve">“(4) Ja ieguldījumu brokeru sabiedrības klients desmit gadu laikā no brīža, kad finanšu instrumenti nodoti kredītiestādei vai citai ieguldījumu brokeru sabiedrībai, nav izņēmis finanšu instrumentus, kas tam pienākas, tas zaudē prasījuma tiesības uz tiem. Finanšu instrumenti, kuri pienākas ieguldījumu brokeru sabiedrības klientiem un attiecībā uz kuriem iestājies noilgums, piekrīt valstij kā bezīpašnieka lieta. </w:t>
            </w:r>
            <w:r w:rsidRPr="00DD56D6">
              <w:rPr>
                <w:rFonts w:ascii="Times New Roman" w:hAnsi="Times New Roman" w:cs="Times New Roman"/>
                <w:bCs/>
                <w:sz w:val="20"/>
                <w:szCs w:val="20"/>
                <w:u w:val="single"/>
              </w:rPr>
              <w:t>Iestājoties noilgumam, kredītiestāde vai citai ieguldījumu brokeru sabiedrība, nekavējoties sniedz informāciju par bezīpašnieka lietu Valsts ieņēmumu dienestam.</w:t>
            </w:r>
            <w:r w:rsidRPr="00DD56D6">
              <w:rPr>
                <w:rFonts w:ascii="Times New Roman" w:hAnsi="Times New Roman" w:cs="Times New Roman"/>
                <w:bCs/>
                <w:sz w:val="20"/>
                <w:szCs w:val="20"/>
              </w:rPr>
              <w:t>”.</w:t>
            </w:r>
          </w:p>
          <w:p w14:paraId="3679EF87" w14:textId="77777777" w:rsidR="007D6D6F" w:rsidRPr="00DD56D6" w:rsidRDefault="007D6D6F" w:rsidP="007D6D6F">
            <w:pPr>
              <w:spacing w:after="0" w:line="240" w:lineRule="auto"/>
              <w:jc w:val="both"/>
              <w:rPr>
                <w:rFonts w:ascii="Times New Roman" w:hAnsi="Times New Roman" w:cs="Times New Roman"/>
                <w:bCs/>
                <w:sz w:val="20"/>
                <w:szCs w:val="20"/>
              </w:rPr>
            </w:pPr>
          </w:p>
          <w:p w14:paraId="6AE32428" w14:textId="0533FCE7" w:rsidR="007D6D6F" w:rsidRPr="00DD56D6" w:rsidRDefault="007D6D6F" w:rsidP="007D6D6F">
            <w:pPr>
              <w:spacing w:after="0" w:line="240" w:lineRule="auto"/>
              <w:jc w:val="both"/>
              <w:rPr>
                <w:rFonts w:ascii="Times New Roman" w:hAnsi="Times New Roman" w:cs="Times New Roman"/>
                <w:bCs/>
                <w:sz w:val="20"/>
                <w:szCs w:val="20"/>
              </w:rPr>
            </w:pPr>
          </w:p>
        </w:tc>
      </w:tr>
      <w:tr w:rsidR="007D6D6F" w:rsidRPr="00184920" w14:paraId="768B4539"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3A8F4090" w14:textId="6A9DA778"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35.</w:t>
            </w:r>
          </w:p>
        </w:tc>
        <w:tc>
          <w:tcPr>
            <w:tcW w:w="692" w:type="pct"/>
            <w:tcBorders>
              <w:top w:val="single" w:sz="6" w:space="0" w:color="000000"/>
              <w:left w:val="single" w:sz="6" w:space="0" w:color="000000"/>
              <w:bottom w:val="single" w:sz="6" w:space="0" w:color="000000"/>
              <w:right w:val="single" w:sz="6" w:space="0" w:color="000000"/>
            </w:tcBorders>
          </w:tcPr>
          <w:p w14:paraId="24ACA0E4" w14:textId="653358BD" w:rsidR="007D6D6F" w:rsidRPr="00184920" w:rsidRDefault="007D6D6F" w:rsidP="007D6D6F">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szCs w:val="20"/>
              </w:rPr>
              <w:t>73., 74. un 76.pants.</w:t>
            </w:r>
          </w:p>
        </w:tc>
        <w:tc>
          <w:tcPr>
            <w:tcW w:w="1309" w:type="pct"/>
            <w:tcBorders>
              <w:top w:val="single" w:sz="6" w:space="0" w:color="000000"/>
              <w:left w:val="single" w:sz="6" w:space="0" w:color="000000"/>
              <w:bottom w:val="single" w:sz="6" w:space="0" w:color="000000"/>
              <w:right w:val="single" w:sz="6" w:space="0" w:color="000000"/>
            </w:tcBorders>
          </w:tcPr>
          <w:p w14:paraId="0DA516BC" w14:textId="64E7BF68" w:rsidR="007D6D6F" w:rsidRPr="00DA0AC4" w:rsidRDefault="007D6D6F" w:rsidP="007D6D6F">
            <w:pPr>
              <w:spacing w:after="0" w:line="240" w:lineRule="auto"/>
              <w:jc w:val="both"/>
              <w:rPr>
                <w:rFonts w:ascii="Times New Roman" w:eastAsia="Times New Roman" w:hAnsi="Times New Roman" w:cs="Times New Roman"/>
                <w:sz w:val="20"/>
                <w:szCs w:val="20"/>
                <w:lang w:eastAsia="lv-LV"/>
              </w:rPr>
            </w:pPr>
            <w:r w:rsidRPr="00DA0AC4">
              <w:rPr>
                <w:rFonts w:ascii="Times New Roman" w:hAnsi="Times New Roman" w:cs="Times New Roman"/>
                <w:b/>
                <w:bCs/>
                <w:sz w:val="20"/>
                <w:szCs w:val="20"/>
              </w:rPr>
              <w:t>Iebildums.</w:t>
            </w:r>
            <w:r w:rsidRPr="00DA0AC4">
              <w:rPr>
                <w:rFonts w:ascii="Times New Roman" w:hAnsi="Times New Roman" w:cs="Times New Roman"/>
                <w:sz w:val="20"/>
                <w:szCs w:val="20"/>
              </w:rPr>
              <w:t xml:space="preserve"> Likumprojekta 71., 72. un 74. pantā vairākkārt lietots termins “administrators”. No likumprojekta normām kopumā secināms, ka ar terminu “administrators” ir domāts Maksātnespējas likuma 9. pantā definētais maksātnespējas procesa administrators. Taču tiesiskās noteiktības un skaidrības, kā arī normatīvajos aktos konsekventas terminoloģijas lietošanas nolūkos lūdzam pārskatīt likumprojektu, tajā ietverot termina “administrators” skaidrojumu vai arī </w:t>
            </w:r>
            <w:r w:rsidRPr="00DA0AC4">
              <w:rPr>
                <w:rFonts w:ascii="Times New Roman" w:hAnsi="Times New Roman" w:cs="Times New Roman"/>
                <w:sz w:val="20"/>
                <w:szCs w:val="20"/>
              </w:rPr>
              <w:lastRenderedPageBreak/>
              <w:t>lietojot pilno nosaukumu “maksātnespējas procesa administrators”.</w:t>
            </w:r>
          </w:p>
        </w:tc>
        <w:tc>
          <w:tcPr>
            <w:tcW w:w="848" w:type="pct"/>
            <w:gridSpan w:val="2"/>
            <w:tcBorders>
              <w:top w:val="single" w:sz="6" w:space="0" w:color="000000"/>
              <w:left w:val="single" w:sz="6" w:space="0" w:color="000000"/>
              <w:bottom w:val="single" w:sz="6" w:space="0" w:color="000000"/>
              <w:right w:val="single" w:sz="6" w:space="0" w:color="000000"/>
            </w:tcBorders>
          </w:tcPr>
          <w:p w14:paraId="1165DDDA" w14:textId="26FB0FD0"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lastRenderedPageBreak/>
              <w:t xml:space="preserve">Iebildums ņemts vērā. </w:t>
            </w:r>
            <w:r w:rsidRPr="00BE3FD8">
              <w:rPr>
                <w:rFonts w:ascii="Times New Roman" w:hAnsi="Times New Roman" w:cs="Times New Roman"/>
                <w:sz w:val="20"/>
                <w:szCs w:val="20"/>
              </w:rPr>
              <w:t>Likumprojekta 7</w:t>
            </w:r>
            <w:r w:rsidR="00E21838">
              <w:rPr>
                <w:rFonts w:ascii="Times New Roman" w:hAnsi="Times New Roman" w:cs="Times New Roman"/>
                <w:sz w:val="20"/>
                <w:szCs w:val="20"/>
              </w:rPr>
              <w:t>9</w:t>
            </w:r>
            <w:r w:rsidRPr="00BE3FD8">
              <w:rPr>
                <w:rFonts w:ascii="Times New Roman" w:hAnsi="Times New Roman" w:cs="Times New Roman"/>
                <w:sz w:val="20"/>
                <w:szCs w:val="20"/>
              </w:rPr>
              <w:t>.panta pirmajā daļā ietverts pilnais termins “maksātnespējas procesa administrators”, vienlaikus to saīsinot.</w:t>
            </w:r>
            <w:r>
              <w:rPr>
                <w:rFonts w:ascii="Times New Roman" w:hAnsi="Times New Roman" w:cs="Times New Roman"/>
                <w:sz w:val="20"/>
                <w:szCs w:val="20"/>
              </w:rPr>
              <w:t xml:space="preserve"> Precizēta arī anotācija, lietojot pilno terminu divās vietās.</w:t>
            </w:r>
          </w:p>
        </w:tc>
        <w:tc>
          <w:tcPr>
            <w:tcW w:w="936" w:type="pct"/>
            <w:tcBorders>
              <w:top w:val="single" w:sz="4" w:space="0" w:color="auto"/>
              <w:left w:val="single" w:sz="4" w:space="0" w:color="auto"/>
              <w:bottom w:val="single" w:sz="4" w:space="0" w:color="auto"/>
              <w:right w:val="single" w:sz="4" w:space="0" w:color="auto"/>
            </w:tcBorders>
          </w:tcPr>
          <w:p w14:paraId="50AAF84B" w14:textId="278E6A2A" w:rsidR="007D6D6F" w:rsidRPr="00DA0AC4" w:rsidRDefault="007D6D6F" w:rsidP="007D6D6F">
            <w:pPr>
              <w:spacing w:after="0" w:line="240" w:lineRule="auto"/>
              <w:jc w:val="both"/>
              <w:rPr>
                <w:rFonts w:ascii="Times New Roman" w:hAnsi="Times New Roman" w:cs="Times New Roman"/>
                <w:sz w:val="20"/>
                <w:szCs w:val="20"/>
              </w:rPr>
            </w:pPr>
            <w:r w:rsidRPr="00DA0AC4">
              <w:rPr>
                <w:rFonts w:ascii="Times New Roman" w:hAnsi="Times New Roman" w:cs="Times New Roman"/>
                <w:sz w:val="20"/>
                <w:szCs w:val="20"/>
              </w:rPr>
              <w:t>Likumprojekta 7</w:t>
            </w:r>
            <w:r w:rsidR="00E21838">
              <w:rPr>
                <w:rFonts w:ascii="Times New Roman" w:hAnsi="Times New Roman" w:cs="Times New Roman"/>
                <w:sz w:val="20"/>
                <w:szCs w:val="20"/>
              </w:rPr>
              <w:t>9</w:t>
            </w:r>
            <w:r w:rsidRPr="00DA0AC4">
              <w:rPr>
                <w:rFonts w:ascii="Times New Roman" w:hAnsi="Times New Roman" w:cs="Times New Roman"/>
                <w:sz w:val="20"/>
                <w:szCs w:val="20"/>
              </w:rPr>
              <w:t>.panta pirmā daļa:</w:t>
            </w:r>
          </w:p>
          <w:p w14:paraId="0BFCA67A" w14:textId="4A043AA0"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DA0AC4">
              <w:rPr>
                <w:rFonts w:ascii="Times New Roman" w:hAnsi="Times New Roman" w:cs="Times New Roman"/>
                <w:sz w:val="20"/>
                <w:szCs w:val="20"/>
              </w:rPr>
              <w:t xml:space="preserve">“(1) Ieguldījumu brokeru sabiedrības likvidators vai </w:t>
            </w:r>
            <w:r w:rsidRPr="00DA0AC4">
              <w:rPr>
                <w:rFonts w:ascii="Times New Roman" w:hAnsi="Times New Roman" w:cs="Times New Roman"/>
                <w:sz w:val="20"/>
                <w:szCs w:val="20"/>
                <w:u w:val="single"/>
              </w:rPr>
              <w:t>maksātnespējas procesa administrators (turpmāk – administrators)</w:t>
            </w:r>
            <w:r w:rsidRPr="00DA0AC4">
              <w:rPr>
                <w:rFonts w:ascii="Times New Roman" w:hAnsi="Times New Roman" w:cs="Times New Roman"/>
                <w:sz w:val="20"/>
                <w:szCs w:val="20"/>
              </w:rPr>
              <w:t xml:space="preserve"> uzaicina ieguldījumu brokeru sabiedrības klientus saņemt tās turējumā esošos naudas līdzekļus un vienojas par to saņemšanas kārtību. Rakstveida paziņojumu ieguldījumu </w:t>
            </w:r>
            <w:r w:rsidRPr="00DA0AC4">
              <w:rPr>
                <w:rFonts w:ascii="Times New Roman" w:hAnsi="Times New Roman" w:cs="Times New Roman"/>
                <w:sz w:val="20"/>
                <w:szCs w:val="20"/>
              </w:rPr>
              <w:lastRenderedPageBreak/>
              <w:t xml:space="preserve">brokeru sabiedrības likvidators vai administrators </w:t>
            </w:r>
            <w:proofErr w:type="spellStart"/>
            <w:r w:rsidRPr="00DA0AC4">
              <w:rPr>
                <w:rFonts w:ascii="Times New Roman" w:hAnsi="Times New Roman" w:cs="Times New Roman"/>
                <w:sz w:val="20"/>
                <w:szCs w:val="20"/>
              </w:rPr>
              <w:t>nosūta</w:t>
            </w:r>
            <w:proofErr w:type="spellEnd"/>
            <w:r w:rsidRPr="00DA0AC4">
              <w:rPr>
                <w:rFonts w:ascii="Times New Roman" w:hAnsi="Times New Roman" w:cs="Times New Roman"/>
                <w:sz w:val="20"/>
                <w:szCs w:val="20"/>
              </w:rPr>
              <w:t xml:space="preserve"> katram klientam, kā arī publicē plašsaziņas līdzekļos un oficiālajā izdevumā “Latvijas Vēstnesis”.”</w:t>
            </w:r>
          </w:p>
        </w:tc>
      </w:tr>
      <w:tr w:rsidR="007D6D6F" w:rsidRPr="00184920" w14:paraId="0880836A"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7EB90AB" w14:textId="068E433C"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36.</w:t>
            </w:r>
          </w:p>
        </w:tc>
        <w:tc>
          <w:tcPr>
            <w:tcW w:w="692" w:type="pct"/>
            <w:tcBorders>
              <w:top w:val="single" w:sz="6" w:space="0" w:color="000000"/>
              <w:left w:val="single" w:sz="6" w:space="0" w:color="000000"/>
              <w:bottom w:val="single" w:sz="6" w:space="0" w:color="000000"/>
              <w:right w:val="single" w:sz="6" w:space="0" w:color="000000"/>
            </w:tcBorders>
          </w:tcPr>
          <w:p w14:paraId="66276318" w14:textId="77777777" w:rsidR="007D6D6F" w:rsidRPr="00DA0AC4" w:rsidRDefault="007D6D6F" w:rsidP="007D6D6F">
            <w:pPr>
              <w:pStyle w:val="NoSpacing"/>
              <w:widowControl/>
              <w:rPr>
                <w:rFonts w:eastAsiaTheme="minorHAnsi"/>
                <w:b/>
                <w:bCs/>
                <w:sz w:val="20"/>
                <w:szCs w:val="20"/>
              </w:rPr>
            </w:pPr>
            <w:r w:rsidRPr="00DA0AC4">
              <w:rPr>
                <w:rFonts w:eastAsiaTheme="minorHAnsi"/>
                <w:b/>
                <w:bCs/>
                <w:sz w:val="20"/>
                <w:szCs w:val="20"/>
              </w:rPr>
              <w:t>74.pants. Rīcība ar klientu finanšu instrumentiem</w:t>
            </w:r>
          </w:p>
          <w:p w14:paraId="0319DECB" w14:textId="101177CC"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DA0AC4">
              <w:rPr>
                <w:rFonts w:ascii="Times New Roman" w:hAnsi="Times New Roman" w:cs="Times New Roman"/>
                <w:bCs/>
                <w:sz w:val="20"/>
                <w:szCs w:val="20"/>
              </w:rPr>
              <w:t xml:space="preserve">(6) Ieguldījumu brokeru sabiedrības klientiem piederošos finanšu instrumentus, par kuru nodošanu kredītiestādei vai citai ieguldījumu brokeru sabiedrībai turējumā ieguldījumu brokeru sabiedrības likvidators vai administrators </w:t>
            </w:r>
            <w:r w:rsidRPr="00DA0AC4">
              <w:rPr>
                <w:rFonts w:ascii="Times New Roman" w:hAnsi="Times New Roman" w:cs="Times New Roman"/>
                <w:bCs/>
                <w:sz w:val="20"/>
                <w:szCs w:val="20"/>
                <w:u w:val="single"/>
              </w:rPr>
              <w:t>nav noslēdzis</w:t>
            </w:r>
            <w:r w:rsidRPr="00DA0AC4">
              <w:rPr>
                <w:rFonts w:ascii="Times New Roman" w:hAnsi="Times New Roman" w:cs="Times New Roman"/>
                <w:bCs/>
                <w:sz w:val="20"/>
                <w:szCs w:val="20"/>
              </w:rPr>
              <w:t xml:space="preserve"> līgumu, tas var atsavināt publiskā izsolē. Izsoli organizē un tās noteikumus izstrādā ieguldījumu brokeru sabiedrības likvidators vai administrators.</w:t>
            </w:r>
          </w:p>
        </w:tc>
        <w:tc>
          <w:tcPr>
            <w:tcW w:w="1309" w:type="pct"/>
            <w:tcBorders>
              <w:top w:val="single" w:sz="6" w:space="0" w:color="000000"/>
              <w:left w:val="single" w:sz="6" w:space="0" w:color="000000"/>
              <w:bottom w:val="single" w:sz="6" w:space="0" w:color="000000"/>
              <w:right w:val="single" w:sz="6" w:space="0" w:color="000000"/>
            </w:tcBorders>
          </w:tcPr>
          <w:p w14:paraId="1284D017" w14:textId="0730FF57" w:rsidR="007D6D6F" w:rsidRPr="00DA0AC4" w:rsidRDefault="007D6D6F" w:rsidP="007D6D6F">
            <w:pPr>
              <w:spacing w:after="0" w:line="240" w:lineRule="auto"/>
              <w:jc w:val="both"/>
              <w:rPr>
                <w:rFonts w:ascii="Times New Roman" w:eastAsia="Times New Roman" w:hAnsi="Times New Roman" w:cs="Times New Roman"/>
                <w:sz w:val="20"/>
                <w:szCs w:val="20"/>
                <w:lang w:eastAsia="lv-LV"/>
              </w:rPr>
            </w:pPr>
            <w:r w:rsidRPr="00DA0AC4">
              <w:rPr>
                <w:rFonts w:ascii="Times New Roman" w:hAnsi="Times New Roman" w:cs="Times New Roman"/>
                <w:b/>
                <w:bCs/>
                <w:sz w:val="20"/>
                <w:szCs w:val="20"/>
              </w:rPr>
              <w:t>Iebildums.</w:t>
            </w:r>
            <w:r w:rsidRPr="00DA0AC4">
              <w:rPr>
                <w:rFonts w:ascii="Times New Roman" w:hAnsi="Times New Roman" w:cs="Times New Roman"/>
                <w:sz w:val="20"/>
                <w:szCs w:val="20"/>
              </w:rPr>
              <w:t xml:space="preserve"> Likumprojekta 72. panta sestā daļa paredz likvidatora vai administratora tiesības atsavināt klienta finanšu instrumentus publiskā izsolē tad, ja likvidators vai administrators nav noslēdzis līgumu par finanšu instrumentu nodošanu kredītiestādei vai citai ieguldījumu brokeru sabiedrībai turējumā. Lai novērstu tiesību izmantošanu pretēji likumam, aicinām precizēt likumprojekta 72. panta sestās daļu, aizstājot vārdus “</w:t>
            </w:r>
            <w:r w:rsidRPr="00DA0AC4">
              <w:rPr>
                <w:rFonts w:ascii="Times New Roman" w:hAnsi="Times New Roman" w:cs="Times New Roman"/>
                <w:i/>
                <w:iCs/>
                <w:sz w:val="20"/>
                <w:szCs w:val="20"/>
              </w:rPr>
              <w:t>nav noslēdzis</w:t>
            </w:r>
            <w:r w:rsidRPr="00DA0AC4">
              <w:rPr>
                <w:rFonts w:ascii="Times New Roman" w:hAnsi="Times New Roman" w:cs="Times New Roman"/>
                <w:sz w:val="20"/>
                <w:szCs w:val="20"/>
              </w:rPr>
              <w:t>” ar vārdiem “</w:t>
            </w:r>
            <w:r w:rsidRPr="00DA0AC4">
              <w:rPr>
                <w:rFonts w:ascii="Times New Roman" w:hAnsi="Times New Roman" w:cs="Times New Roman"/>
                <w:i/>
                <w:iCs/>
                <w:sz w:val="20"/>
                <w:szCs w:val="20"/>
              </w:rPr>
              <w:t>nebija iespējams noslēgt</w:t>
            </w:r>
            <w:r w:rsidRPr="00DA0AC4">
              <w:rPr>
                <w:rFonts w:ascii="Times New Roman" w:hAnsi="Times New Roman" w:cs="Times New Roman"/>
                <w:sz w:val="20"/>
                <w:szCs w:val="20"/>
              </w:rPr>
              <w:t>”.</w:t>
            </w:r>
          </w:p>
        </w:tc>
        <w:tc>
          <w:tcPr>
            <w:tcW w:w="848" w:type="pct"/>
            <w:gridSpan w:val="2"/>
            <w:tcBorders>
              <w:top w:val="single" w:sz="6" w:space="0" w:color="000000"/>
              <w:left w:val="single" w:sz="6" w:space="0" w:color="000000"/>
              <w:bottom w:val="single" w:sz="6" w:space="0" w:color="000000"/>
              <w:right w:val="single" w:sz="6" w:space="0" w:color="000000"/>
            </w:tcBorders>
          </w:tcPr>
          <w:p w14:paraId="0C2FBAA2" w14:textId="048A5489"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Iebildums ņemts vērā. </w:t>
            </w:r>
            <w:r w:rsidRPr="00AB0AFE">
              <w:rPr>
                <w:rFonts w:ascii="Times New Roman" w:hAnsi="Times New Roman" w:cs="Times New Roman"/>
                <w:sz w:val="20"/>
                <w:szCs w:val="20"/>
              </w:rPr>
              <w:t xml:space="preserve">Likumprojekta </w:t>
            </w:r>
            <w:r w:rsidR="003544D3">
              <w:rPr>
                <w:rFonts w:ascii="Times New Roman" w:hAnsi="Times New Roman" w:cs="Times New Roman"/>
                <w:sz w:val="20"/>
                <w:szCs w:val="20"/>
              </w:rPr>
              <w:t>80</w:t>
            </w:r>
            <w:r w:rsidRPr="00AB0AFE">
              <w:rPr>
                <w:rFonts w:ascii="Times New Roman" w:hAnsi="Times New Roman" w:cs="Times New Roman"/>
                <w:sz w:val="20"/>
                <w:szCs w:val="20"/>
              </w:rPr>
              <w:t>.panta sestajā daļā vārdi “nav noslēdzis” aizstāti ar vārdiem “nebija iespējams noslēgt”.</w:t>
            </w:r>
          </w:p>
        </w:tc>
        <w:tc>
          <w:tcPr>
            <w:tcW w:w="936" w:type="pct"/>
            <w:tcBorders>
              <w:top w:val="single" w:sz="4" w:space="0" w:color="auto"/>
              <w:left w:val="single" w:sz="4" w:space="0" w:color="auto"/>
              <w:bottom w:val="single" w:sz="4" w:space="0" w:color="auto"/>
              <w:right w:val="single" w:sz="4" w:space="0" w:color="auto"/>
            </w:tcBorders>
          </w:tcPr>
          <w:p w14:paraId="548E8803" w14:textId="54B14D07" w:rsidR="007D6D6F" w:rsidRDefault="007D6D6F" w:rsidP="007D6D6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Likumprojekta </w:t>
            </w:r>
            <w:r w:rsidR="003544D3">
              <w:rPr>
                <w:rFonts w:ascii="Times New Roman" w:hAnsi="Times New Roman" w:cs="Times New Roman"/>
                <w:sz w:val="20"/>
                <w:szCs w:val="20"/>
              </w:rPr>
              <w:t>80</w:t>
            </w:r>
            <w:r>
              <w:rPr>
                <w:rFonts w:ascii="Times New Roman" w:hAnsi="Times New Roman" w:cs="Times New Roman"/>
                <w:sz w:val="20"/>
                <w:szCs w:val="20"/>
              </w:rPr>
              <w:t>.panta sestā daļa:</w:t>
            </w:r>
          </w:p>
          <w:p w14:paraId="1E178CC7" w14:textId="7B04CC4E"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sz w:val="20"/>
                <w:szCs w:val="20"/>
              </w:rPr>
              <w:t>“</w:t>
            </w:r>
            <w:r w:rsidRPr="00CA7D02">
              <w:rPr>
                <w:rFonts w:ascii="Times New Roman" w:hAnsi="Times New Roman" w:cs="Times New Roman"/>
                <w:sz w:val="20"/>
                <w:szCs w:val="20"/>
              </w:rPr>
              <w:t>(6) Ieguldījumu brokeru sabiedrības klientiem piederošos finanšu instrumentus, par kuru nodošanu kredītiestādei vai citai ieguldījumu brokeru sabiedrībai turējumā ieguldījumu brokeru sabiedrības likvidator</w:t>
            </w:r>
            <w:r>
              <w:rPr>
                <w:rFonts w:ascii="Times New Roman" w:hAnsi="Times New Roman" w:cs="Times New Roman"/>
                <w:sz w:val="20"/>
                <w:szCs w:val="20"/>
              </w:rPr>
              <w:t>am</w:t>
            </w:r>
            <w:r w:rsidRPr="00CA7D02">
              <w:rPr>
                <w:rFonts w:ascii="Times New Roman" w:hAnsi="Times New Roman" w:cs="Times New Roman"/>
                <w:sz w:val="20"/>
                <w:szCs w:val="20"/>
              </w:rPr>
              <w:t xml:space="preserve"> vai administrator</w:t>
            </w:r>
            <w:r>
              <w:rPr>
                <w:rFonts w:ascii="Times New Roman" w:hAnsi="Times New Roman" w:cs="Times New Roman"/>
                <w:sz w:val="20"/>
                <w:szCs w:val="20"/>
              </w:rPr>
              <w:t>am</w:t>
            </w:r>
            <w:r w:rsidRPr="00CA7D02">
              <w:rPr>
                <w:rFonts w:ascii="Times New Roman" w:hAnsi="Times New Roman" w:cs="Times New Roman"/>
                <w:sz w:val="20"/>
                <w:szCs w:val="20"/>
              </w:rPr>
              <w:t xml:space="preserve"> </w:t>
            </w:r>
            <w:r w:rsidRPr="00CA7D02">
              <w:rPr>
                <w:rFonts w:ascii="Times New Roman" w:hAnsi="Times New Roman" w:cs="Times New Roman"/>
                <w:sz w:val="20"/>
                <w:szCs w:val="20"/>
                <w:u w:val="single"/>
              </w:rPr>
              <w:t>nebija iespējams noslēgt</w:t>
            </w:r>
            <w:r>
              <w:rPr>
                <w:rFonts w:ascii="Times New Roman" w:hAnsi="Times New Roman" w:cs="Times New Roman"/>
                <w:sz w:val="20"/>
                <w:szCs w:val="20"/>
              </w:rPr>
              <w:t xml:space="preserve"> </w:t>
            </w:r>
            <w:r w:rsidRPr="00CA7D02">
              <w:rPr>
                <w:rFonts w:ascii="Times New Roman" w:hAnsi="Times New Roman" w:cs="Times New Roman"/>
                <w:sz w:val="20"/>
                <w:szCs w:val="20"/>
              </w:rPr>
              <w:t>līgumu, tas var atsavināt publiskā izsolē. Izsoli organizē un tās noteikumus izstrādā ieguldījumu brokeru sabiedrības likvidators vai administrators.</w:t>
            </w:r>
            <w:r>
              <w:rPr>
                <w:rFonts w:ascii="Times New Roman" w:hAnsi="Times New Roman" w:cs="Times New Roman"/>
                <w:sz w:val="20"/>
                <w:szCs w:val="20"/>
              </w:rPr>
              <w:t>”.</w:t>
            </w:r>
          </w:p>
        </w:tc>
      </w:tr>
      <w:tr w:rsidR="007D6D6F" w:rsidRPr="00184920" w14:paraId="64D113B9"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53E3A2C" w14:textId="1F5839CF"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37.</w:t>
            </w:r>
          </w:p>
        </w:tc>
        <w:tc>
          <w:tcPr>
            <w:tcW w:w="692" w:type="pct"/>
            <w:tcBorders>
              <w:top w:val="single" w:sz="6" w:space="0" w:color="000000"/>
              <w:left w:val="single" w:sz="6" w:space="0" w:color="000000"/>
              <w:bottom w:val="single" w:sz="6" w:space="0" w:color="000000"/>
              <w:right w:val="single" w:sz="6" w:space="0" w:color="000000"/>
            </w:tcBorders>
          </w:tcPr>
          <w:p w14:paraId="7F4A7A74" w14:textId="63F9D371" w:rsidR="007D6D6F" w:rsidRPr="00184920" w:rsidRDefault="007D6D6F" w:rsidP="007D6D6F">
            <w:pPr>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szCs w:val="20"/>
              </w:rPr>
              <w:t xml:space="preserve">Viss likumprojekts un anotācija attiecībā uz </w:t>
            </w:r>
            <w:r w:rsidRPr="00AA59EB">
              <w:rPr>
                <w:rFonts w:ascii="Times New Roman" w:eastAsia="Times New Roman" w:hAnsi="Times New Roman" w:cs="Times New Roman"/>
                <w:sz w:val="20"/>
                <w:szCs w:val="20"/>
              </w:rPr>
              <w:t>termina “maksātnespēja” lietojumu</w:t>
            </w:r>
            <w:r>
              <w:rPr>
                <w:rFonts w:ascii="Times New Roman" w:eastAsia="Times New Roman" w:hAnsi="Times New Roman" w:cs="Times New Roman"/>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593D9C12" w14:textId="77777777" w:rsidR="007D6D6F" w:rsidRPr="007444E0" w:rsidRDefault="007D6D6F" w:rsidP="007D6D6F">
            <w:pPr>
              <w:pStyle w:val="NoSpacing"/>
              <w:rPr>
                <w:sz w:val="20"/>
                <w:szCs w:val="20"/>
              </w:rPr>
            </w:pPr>
            <w:r w:rsidRPr="007444E0">
              <w:rPr>
                <w:b/>
                <w:bCs/>
                <w:sz w:val="20"/>
                <w:szCs w:val="20"/>
              </w:rPr>
              <w:t>Iebildums.</w:t>
            </w:r>
            <w:r w:rsidRPr="007444E0">
              <w:rPr>
                <w:sz w:val="20"/>
                <w:szCs w:val="20"/>
              </w:rPr>
              <w:t xml:space="preserve"> Likumprojektā un anotācijā vairākkārt lietots termins “maksātnespēja”, kaut arī no likumprojekta būtības, piemēram, tā 73. panta satura, secināms, ka galvenokārt</w:t>
            </w:r>
            <w:r w:rsidRPr="007444E0">
              <w:rPr>
                <w:rStyle w:val="FootnoteReference"/>
                <w:sz w:val="20"/>
                <w:szCs w:val="20"/>
              </w:rPr>
              <w:footnoteReference w:id="12"/>
            </w:r>
            <w:r w:rsidRPr="007444E0">
              <w:rPr>
                <w:sz w:val="20"/>
                <w:szCs w:val="20"/>
              </w:rPr>
              <w:t xml:space="preserve"> tiek risināti maksātnespējas procesa jautājumi. Vēršam uzmanību, ka ar terminu “maksātnespēja” tiek apzīmēts subjekta finansiālais faktiskais stāvoklis, nevis juridiski, ar tiesas nolēmumu nostiprināts juridisks un formāls process.</w:t>
            </w:r>
          </w:p>
          <w:p w14:paraId="6748B77D" w14:textId="2B994977" w:rsidR="007D6D6F" w:rsidRPr="007444E0" w:rsidRDefault="007D6D6F" w:rsidP="007D6D6F">
            <w:pPr>
              <w:spacing w:after="0" w:line="240" w:lineRule="auto"/>
              <w:jc w:val="both"/>
              <w:rPr>
                <w:rFonts w:ascii="Times New Roman" w:eastAsia="Times New Roman" w:hAnsi="Times New Roman" w:cs="Times New Roman"/>
                <w:sz w:val="20"/>
                <w:szCs w:val="20"/>
                <w:lang w:eastAsia="lv-LV"/>
              </w:rPr>
            </w:pPr>
            <w:r w:rsidRPr="007444E0">
              <w:rPr>
                <w:rFonts w:ascii="Times New Roman" w:hAnsi="Times New Roman" w:cs="Times New Roman"/>
                <w:sz w:val="20"/>
                <w:szCs w:val="20"/>
              </w:rPr>
              <w:t xml:space="preserve">Vienlaikus vēršam uzmanību, ka termins “maksātnespējas process” sevī ietver abus Maksātnespējas likumā paredzētos maksātnespējas procesu veidus – juridiskās personas maksātnespējas procesu un fiziskās personas maksātnespējas procesu. Taču, ievērojot likumprojekta 1. panta pirmās daļas 6. punktā noteikto, ka ieguldījumu brokeru sabiedrība ir kapitālsabiedrība, kas regulāri un </w:t>
            </w:r>
            <w:r w:rsidRPr="007444E0">
              <w:rPr>
                <w:rFonts w:ascii="Times New Roman" w:hAnsi="Times New Roman" w:cs="Times New Roman"/>
                <w:sz w:val="20"/>
                <w:szCs w:val="20"/>
              </w:rPr>
              <w:lastRenderedPageBreak/>
              <w:t>profesionāli sniedz ieguldījumu pakalpojumus, visaptverošas norādes lietošana nav pamatota un, iespējams, veicinās aplamu interpretāciju veidošanos. Ievērojot minēto, lūdzam likumprojektā un anotācijā pārskatīt termina “maksātnespēja” lietojumu.</w:t>
            </w:r>
          </w:p>
        </w:tc>
        <w:tc>
          <w:tcPr>
            <w:tcW w:w="848" w:type="pct"/>
            <w:gridSpan w:val="2"/>
            <w:tcBorders>
              <w:top w:val="single" w:sz="6" w:space="0" w:color="000000"/>
              <w:left w:val="single" w:sz="6" w:space="0" w:color="000000"/>
              <w:bottom w:val="single" w:sz="6" w:space="0" w:color="000000"/>
              <w:right w:val="single" w:sz="6" w:space="0" w:color="000000"/>
            </w:tcBorders>
          </w:tcPr>
          <w:p w14:paraId="6BB42048" w14:textId="115B252F" w:rsidR="007D6D6F" w:rsidRPr="000606A3" w:rsidRDefault="007D6D6F" w:rsidP="007D6D6F">
            <w:pPr>
              <w:autoSpaceDE w:val="0"/>
              <w:autoSpaceDN w:val="0"/>
              <w:adjustRightInd w:val="0"/>
              <w:jc w:val="both"/>
              <w:rPr>
                <w:noProof/>
                <w:spacing w:val="-2"/>
              </w:rPr>
            </w:pPr>
            <w:r w:rsidRPr="00BB0D23">
              <w:rPr>
                <w:rFonts w:ascii="Times New Roman" w:eastAsia="Times New Roman" w:hAnsi="Times New Roman" w:cs="Times New Roman"/>
                <w:b/>
                <w:bCs/>
                <w:sz w:val="20"/>
                <w:szCs w:val="20"/>
                <w:lang w:eastAsia="lv-LV"/>
              </w:rPr>
              <w:lastRenderedPageBreak/>
              <w:t>Iebildums ņemts vērā.</w:t>
            </w:r>
            <w:r>
              <w:rPr>
                <w:rFonts w:ascii="Times New Roman" w:eastAsia="Times New Roman" w:hAnsi="Times New Roman" w:cs="Times New Roman"/>
                <w:b/>
                <w:bCs/>
                <w:sz w:val="20"/>
                <w:szCs w:val="20"/>
                <w:lang w:eastAsia="lv-LV"/>
              </w:rPr>
              <w:t xml:space="preserve"> </w:t>
            </w:r>
            <w:r w:rsidRPr="00BE576E">
              <w:rPr>
                <w:rFonts w:ascii="Times New Roman" w:eastAsia="Times New Roman" w:hAnsi="Times New Roman" w:cs="Times New Roman"/>
                <w:sz w:val="20"/>
                <w:szCs w:val="20"/>
                <w:lang w:eastAsia="lv-LV"/>
              </w:rPr>
              <w:t>Likumprojekts precizēts attiecīgajās vietās, kā arī precizēta anotācija.</w:t>
            </w:r>
          </w:p>
        </w:tc>
        <w:tc>
          <w:tcPr>
            <w:tcW w:w="936" w:type="pct"/>
            <w:tcBorders>
              <w:top w:val="single" w:sz="4" w:space="0" w:color="auto"/>
              <w:left w:val="single" w:sz="4" w:space="0" w:color="auto"/>
              <w:bottom w:val="single" w:sz="4" w:space="0" w:color="auto"/>
              <w:right w:val="single" w:sz="4" w:space="0" w:color="auto"/>
            </w:tcBorders>
          </w:tcPr>
          <w:p w14:paraId="4D4A1B6D" w14:textId="1C32BFFF" w:rsidR="007D6D6F" w:rsidRDefault="007D6D6F" w:rsidP="007D6D6F">
            <w:pPr>
              <w:pStyle w:val="NoSpacing"/>
              <w:rPr>
                <w:sz w:val="20"/>
                <w:szCs w:val="20"/>
              </w:rPr>
            </w:pPr>
            <w:r w:rsidRPr="000606A3">
              <w:rPr>
                <w:sz w:val="20"/>
                <w:szCs w:val="20"/>
              </w:rPr>
              <w:t xml:space="preserve">Likumprojekta 3.panta pirmās daļas 10.punkts, 35.panta 3.punkts, 51.panta pirmās daļas 1.punkts, XIV nodaļas nosaukums, </w:t>
            </w:r>
            <w:r w:rsidR="003544D3">
              <w:rPr>
                <w:sz w:val="20"/>
                <w:szCs w:val="20"/>
              </w:rPr>
              <w:t>81</w:t>
            </w:r>
            <w:r w:rsidRPr="000606A3">
              <w:rPr>
                <w:sz w:val="20"/>
                <w:szCs w:val="20"/>
              </w:rPr>
              <w:t xml:space="preserve">.panta nosaukums, </w:t>
            </w:r>
            <w:r w:rsidR="003544D3">
              <w:rPr>
                <w:sz w:val="20"/>
                <w:szCs w:val="20"/>
              </w:rPr>
              <w:t>81</w:t>
            </w:r>
            <w:r w:rsidRPr="000606A3">
              <w:rPr>
                <w:sz w:val="20"/>
                <w:szCs w:val="20"/>
              </w:rPr>
              <w:t xml:space="preserve">.panta trešā, ceturtā, sestā, septītā, astotā daļa, </w:t>
            </w:r>
            <w:r w:rsidR="003544D3">
              <w:rPr>
                <w:sz w:val="20"/>
                <w:szCs w:val="20"/>
              </w:rPr>
              <w:t>82</w:t>
            </w:r>
            <w:r w:rsidRPr="000606A3">
              <w:rPr>
                <w:sz w:val="20"/>
                <w:szCs w:val="20"/>
              </w:rPr>
              <w:t xml:space="preserve">.panta pirmā daļa attiecīgi precizēta, aizstājot vārdu “maksātnespēja”(attiecīgā locījumā) ar vārdiem “maksātnespējas process”(attiecīgā locījumā). </w:t>
            </w:r>
          </w:p>
          <w:p w14:paraId="53CFE05C" w14:textId="77777777" w:rsidR="007D6D6F" w:rsidRDefault="007D6D6F" w:rsidP="007D6D6F">
            <w:pPr>
              <w:pStyle w:val="NoSpacing"/>
              <w:rPr>
                <w:sz w:val="20"/>
                <w:szCs w:val="20"/>
              </w:rPr>
            </w:pPr>
          </w:p>
          <w:p w14:paraId="78475D3E" w14:textId="2F0AFE70" w:rsidR="007D6D6F" w:rsidRPr="000606A3" w:rsidRDefault="007D6D6F" w:rsidP="007D6D6F">
            <w:pPr>
              <w:pStyle w:val="NoSpacing"/>
              <w:rPr>
                <w:sz w:val="20"/>
                <w:szCs w:val="20"/>
              </w:rPr>
            </w:pPr>
            <w:r w:rsidRPr="000606A3">
              <w:rPr>
                <w:sz w:val="20"/>
                <w:szCs w:val="20"/>
              </w:rPr>
              <w:t xml:space="preserve">Papildus attiecīgi precizēta anotācija un papildināta ar “Likumprojektā ar “maksātnespējas process” </w:t>
            </w:r>
            <w:r>
              <w:rPr>
                <w:sz w:val="20"/>
                <w:szCs w:val="20"/>
              </w:rPr>
              <w:t>jāsaprot kā</w:t>
            </w:r>
            <w:r w:rsidRPr="000606A3">
              <w:rPr>
                <w:sz w:val="20"/>
                <w:szCs w:val="20"/>
              </w:rPr>
              <w:t xml:space="preserve"> juridiskas personas maksātnespējas </w:t>
            </w:r>
            <w:r w:rsidRPr="000606A3">
              <w:rPr>
                <w:sz w:val="20"/>
                <w:szCs w:val="20"/>
              </w:rPr>
              <w:lastRenderedPageBreak/>
              <w:t>process, ņemto vēra, ka likumprojekta 1.panta pirmās daļas 6.punkts nosaka, ka ieguldījumu brokeru sabiedrība ir kapitālsabiedrība, kas regulāri un profesionāli sniedz ieguldījumu pakalpojumus.</w:t>
            </w:r>
          </w:p>
        </w:tc>
      </w:tr>
      <w:tr w:rsidR="007D6D6F" w:rsidRPr="00184920" w14:paraId="244D5851"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3EE9851" w14:textId="4779C585"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38.</w:t>
            </w:r>
          </w:p>
        </w:tc>
        <w:tc>
          <w:tcPr>
            <w:tcW w:w="692" w:type="pct"/>
            <w:tcBorders>
              <w:top w:val="single" w:sz="6" w:space="0" w:color="000000"/>
              <w:left w:val="single" w:sz="6" w:space="0" w:color="000000"/>
              <w:bottom w:val="single" w:sz="6" w:space="0" w:color="000000"/>
              <w:right w:val="single" w:sz="6" w:space="0" w:color="000000"/>
            </w:tcBorders>
          </w:tcPr>
          <w:p w14:paraId="0E452080" w14:textId="77777777" w:rsidR="007D6D6F" w:rsidRPr="00453CBD" w:rsidRDefault="007D6D6F" w:rsidP="007D6D6F">
            <w:pPr>
              <w:pStyle w:val="NoSpacing"/>
              <w:widowControl/>
              <w:rPr>
                <w:rFonts w:eastAsiaTheme="minorHAnsi"/>
                <w:b/>
                <w:bCs/>
                <w:sz w:val="20"/>
                <w:szCs w:val="20"/>
              </w:rPr>
            </w:pPr>
            <w:r w:rsidRPr="00453CBD">
              <w:rPr>
                <w:rFonts w:eastAsiaTheme="minorHAnsi"/>
                <w:b/>
                <w:bCs/>
                <w:sz w:val="20"/>
                <w:szCs w:val="20"/>
              </w:rPr>
              <w:t>35. pants. Ieguldījumu pakalpojumu sniegšanas ierobežošana</w:t>
            </w:r>
          </w:p>
          <w:p w14:paraId="0CFC9529" w14:textId="77777777" w:rsidR="007D6D6F" w:rsidRPr="00453CBD" w:rsidRDefault="007D6D6F" w:rsidP="007D6D6F">
            <w:pPr>
              <w:pStyle w:val="NoSpacing"/>
              <w:widowControl/>
              <w:rPr>
                <w:rFonts w:eastAsiaTheme="minorHAnsi"/>
                <w:bCs/>
                <w:sz w:val="20"/>
                <w:szCs w:val="20"/>
              </w:rPr>
            </w:pPr>
            <w:r w:rsidRPr="00453CBD">
              <w:rPr>
                <w:rFonts w:eastAsiaTheme="minorHAnsi"/>
                <w:bCs/>
                <w:sz w:val="20"/>
                <w:szCs w:val="20"/>
              </w:rPr>
              <w:t>Komisija ir tiesīga ierobežot ieguldījumu brokeru sabiedrības tiesības sniegt vienu vai vairākus ieguldījumu pakalpojumus un veikt finanšu instrumentu turēšanu, ja:</w:t>
            </w:r>
          </w:p>
          <w:p w14:paraId="33563BC9" w14:textId="50F30462"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453CBD">
              <w:rPr>
                <w:rFonts w:ascii="Times New Roman" w:hAnsi="Times New Roman" w:cs="Times New Roman"/>
                <w:bCs/>
                <w:sz w:val="20"/>
                <w:szCs w:val="20"/>
              </w:rPr>
              <w:t xml:space="preserve">3) tiesā ir iesniegts ieguldījumu brokeru sabiedrības </w:t>
            </w:r>
            <w:r w:rsidRPr="00453CBD">
              <w:rPr>
                <w:rFonts w:ascii="Times New Roman" w:hAnsi="Times New Roman" w:cs="Times New Roman"/>
                <w:bCs/>
                <w:sz w:val="20"/>
                <w:szCs w:val="20"/>
                <w:u w:val="single"/>
              </w:rPr>
              <w:t>maksātnespējas pieteikums vai ieguldījumu brokeru sabiedrība ir pasludināta par maksātnespējīgu</w:t>
            </w:r>
            <w:r w:rsidRPr="00453CBD">
              <w:rPr>
                <w:rFonts w:ascii="Times New Roman" w:hAnsi="Times New Roman" w:cs="Times New Roman"/>
                <w:bCs/>
                <w:sz w:val="20"/>
                <w:szCs w:val="20"/>
              </w:rPr>
              <w:t>;</w:t>
            </w:r>
          </w:p>
        </w:tc>
        <w:tc>
          <w:tcPr>
            <w:tcW w:w="1309" w:type="pct"/>
            <w:tcBorders>
              <w:top w:val="single" w:sz="6" w:space="0" w:color="000000"/>
              <w:left w:val="single" w:sz="6" w:space="0" w:color="000000"/>
              <w:bottom w:val="single" w:sz="6" w:space="0" w:color="000000"/>
              <w:right w:val="single" w:sz="6" w:space="0" w:color="000000"/>
            </w:tcBorders>
          </w:tcPr>
          <w:p w14:paraId="0E405821" w14:textId="7C319CAD" w:rsidR="007D6D6F" w:rsidRPr="00453CBD" w:rsidRDefault="007D6D6F" w:rsidP="007D6D6F">
            <w:pPr>
              <w:spacing w:after="0" w:line="240" w:lineRule="auto"/>
              <w:jc w:val="both"/>
              <w:rPr>
                <w:rFonts w:ascii="Times New Roman" w:eastAsia="Times New Roman" w:hAnsi="Times New Roman" w:cs="Times New Roman"/>
                <w:sz w:val="20"/>
                <w:szCs w:val="20"/>
                <w:lang w:eastAsia="lv-LV"/>
              </w:rPr>
            </w:pPr>
            <w:r w:rsidRPr="00453CBD">
              <w:rPr>
                <w:rFonts w:ascii="Times New Roman" w:hAnsi="Times New Roman" w:cs="Times New Roman"/>
                <w:b/>
                <w:bCs/>
                <w:sz w:val="20"/>
                <w:szCs w:val="20"/>
              </w:rPr>
              <w:t>Iebildums.</w:t>
            </w:r>
            <w:r w:rsidRPr="00453CBD">
              <w:rPr>
                <w:rFonts w:ascii="Times New Roman" w:hAnsi="Times New Roman" w:cs="Times New Roman"/>
                <w:sz w:val="20"/>
                <w:szCs w:val="20"/>
              </w:rPr>
              <w:t xml:space="preserve"> Papildus šī atzinuma 37. punktā norādītajam, lūdzam precizēt likumprojekta 35. panta 3. punktā lietoto terminoloģiju, ievērojot Civilprocesa likumā</w:t>
            </w:r>
            <w:r w:rsidRPr="00453CBD">
              <w:rPr>
                <w:rStyle w:val="FootnoteReference"/>
                <w:rFonts w:ascii="Times New Roman" w:hAnsi="Times New Roman" w:cs="Times New Roman"/>
                <w:sz w:val="20"/>
                <w:szCs w:val="20"/>
              </w:rPr>
              <w:footnoteReference w:id="13"/>
            </w:r>
            <w:r w:rsidRPr="00453CBD">
              <w:rPr>
                <w:rFonts w:ascii="Times New Roman" w:hAnsi="Times New Roman" w:cs="Times New Roman"/>
                <w:sz w:val="20"/>
                <w:szCs w:val="20"/>
              </w:rPr>
              <w:t xml:space="preserve"> lietoto terminoloģiju.</w:t>
            </w:r>
          </w:p>
        </w:tc>
        <w:tc>
          <w:tcPr>
            <w:tcW w:w="848" w:type="pct"/>
            <w:gridSpan w:val="2"/>
            <w:tcBorders>
              <w:top w:val="single" w:sz="6" w:space="0" w:color="000000"/>
              <w:left w:val="single" w:sz="6" w:space="0" w:color="000000"/>
              <w:bottom w:val="single" w:sz="6" w:space="0" w:color="000000"/>
              <w:right w:val="single" w:sz="6" w:space="0" w:color="000000"/>
            </w:tcBorders>
          </w:tcPr>
          <w:p w14:paraId="55818FC0" w14:textId="6BF1A128" w:rsidR="007D6D6F" w:rsidRPr="00F36AD7" w:rsidRDefault="007D6D6F" w:rsidP="007D6D6F">
            <w:pPr>
              <w:spacing w:after="0" w:line="240" w:lineRule="auto"/>
              <w:jc w:val="both"/>
              <w:rPr>
                <w:rFonts w:ascii="Times New Roman" w:eastAsia="Times New Roman" w:hAnsi="Times New Roman" w:cs="Times New Roman"/>
                <w:b/>
                <w:bCs/>
                <w:sz w:val="20"/>
                <w:szCs w:val="20"/>
                <w:lang w:eastAsia="lv-LV"/>
              </w:rPr>
            </w:pPr>
            <w:r w:rsidRPr="00F36AD7">
              <w:rPr>
                <w:rFonts w:ascii="Times New Roman" w:eastAsia="Times New Roman" w:hAnsi="Times New Roman" w:cs="Times New Roman"/>
                <w:b/>
                <w:bCs/>
                <w:sz w:val="20"/>
                <w:szCs w:val="20"/>
                <w:lang w:eastAsia="lv-LV"/>
              </w:rPr>
              <w:t>Iebildums ņemts vērā.</w:t>
            </w:r>
            <w:r>
              <w:rPr>
                <w:rFonts w:ascii="Times New Roman" w:eastAsia="Times New Roman" w:hAnsi="Times New Roman" w:cs="Times New Roman"/>
                <w:b/>
                <w:bCs/>
                <w:sz w:val="20"/>
                <w:szCs w:val="20"/>
                <w:lang w:eastAsia="lv-LV"/>
              </w:rPr>
              <w:t xml:space="preserve"> </w:t>
            </w:r>
            <w:r w:rsidRPr="00F36AD7">
              <w:rPr>
                <w:rFonts w:ascii="Times New Roman" w:eastAsia="Times New Roman" w:hAnsi="Times New Roman" w:cs="Times New Roman"/>
                <w:sz w:val="20"/>
                <w:szCs w:val="20"/>
                <w:lang w:eastAsia="lv-LV"/>
              </w:rPr>
              <w:t>Likumprojekta 35.panta 3.punkts attiecīgi precizēts.</w:t>
            </w:r>
          </w:p>
        </w:tc>
        <w:tc>
          <w:tcPr>
            <w:tcW w:w="936" w:type="pct"/>
            <w:tcBorders>
              <w:top w:val="single" w:sz="4" w:space="0" w:color="auto"/>
              <w:left w:val="single" w:sz="4" w:space="0" w:color="auto"/>
              <w:bottom w:val="single" w:sz="4" w:space="0" w:color="auto"/>
              <w:right w:val="single" w:sz="4" w:space="0" w:color="auto"/>
            </w:tcBorders>
          </w:tcPr>
          <w:p w14:paraId="32158D33"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Likumprojekta 35.panta 3.punkts:</w:t>
            </w:r>
          </w:p>
          <w:p w14:paraId="6A6DCC84"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p>
          <w:p w14:paraId="4029DC36" w14:textId="77777777" w:rsidR="007D6D6F" w:rsidRPr="00453CBD" w:rsidRDefault="007D6D6F" w:rsidP="007D6D6F">
            <w:pPr>
              <w:pStyle w:val="NoSpacing"/>
              <w:widowControl/>
              <w:rPr>
                <w:rFonts w:eastAsiaTheme="minorHAnsi"/>
                <w:b/>
                <w:bCs/>
                <w:sz w:val="20"/>
                <w:szCs w:val="20"/>
              </w:rPr>
            </w:pPr>
            <w:r w:rsidRPr="00453CBD">
              <w:rPr>
                <w:rFonts w:eastAsiaTheme="minorHAnsi"/>
                <w:b/>
                <w:bCs/>
                <w:sz w:val="20"/>
                <w:szCs w:val="20"/>
              </w:rPr>
              <w:t>35. pants. Ieguldījumu pakalpojumu sniegšanas ierobežošana</w:t>
            </w:r>
          </w:p>
          <w:p w14:paraId="20F1D3CB" w14:textId="77777777" w:rsidR="007D6D6F" w:rsidRPr="00453CBD" w:rsidRDefault="007D6D6F" w:rsidP="007D6D6F">
            <w:pPr>
              <w:pStyle w:val="NoSpacing"/>
              <w:widowControl/>
              <w:rPr>
                <w:rFonts w:eastAsiaTheme="minorHAnsi"/>
                <w:bCs/>
                <w:sz w:val="20"/>
                <w:szCs w:val="20"/>
              </w:rPr>
            </w:pPr>
            <w:r w:rsidRPr="00453CBD">
              <w:rPr>
                <w:rFonts w:eastAsiaTheme="minorHAnsi"/>
                <w:bCs/>
                <w:sz w:val="20"/>
                <w:szCs w:val="20"/>
              </w:rPr>
              <w:t>Komisija ir tiesīga ierobežot ieguldījumu brokeru sabiedrības tiesības sniegt vienu vai vairākus ieguldījumu pakalpojumus un veikt finanšu instrumentu turēšanu, ja:</w:t>
            </w:r>
          </w:p>
          <w:p w14:paraId="6674A791" w14:textId="1575BFFB"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453CBD">
              <w:rPr>
                <w:rFonts w:ascii="Times New Roman" w:hAnsi="Times New Roman" w:cs="Times New Roman"/>
                <w:bCs/>
                <w:sz w:val="20"/>
                <w:szCs w:val="20"/>
              </w:rPr>
              <w:t xml:space="preserve">3) tiesā ir iesniegts ieguldījumu brokeru sabiedrības </w:t>
            </w:r>
            <w:r w:rsidRPr="00453CBD">
              <w:rPr>
                <w:rFonts w:ascii="Times New Roman" w:hAnsi="Times New Roman" w:cs="Times New Roman"/>
                <w:bCs/>
                <w:sz w:val="20"/>
                <w:szCs w:val="20"/>
                <w:u w:val="single"/>
              </w:rPr>
              <w:t>maksātnespējas</w:t>
            </w:r>
            <w:r>
              <w:rPr>
                <w:rFonts w:ascii="Times New Roman" w:hAnsi="Times New Roman" w:cs="Times New Roman"/>
                <w:bCs/>
                <w:sz w:val="20"/>
                <w:szCs w:val="20"/>
                <w:u w:val="single"/>
              </w:rPr>
              <w:t xml:space="preserve"> procesa</w:t>
            </w:r>
            <w:r w:rsidRPr="00453CBD">
              <w:rPr>
                <w:rFonts w:ascii="Times New Roman" w:hAnsi="Times New Roman" w:cs="Times New Roman"/>
                <w:bCs/>
                <w:sz w:val="20"/>
                <w:szCs w:val="20"/>
                <w:u w:val="single"/>
              </w:rPr>
              <w:t xml:space="preserve"> pieteikums vai </w:t>
            </w:r>
            <w:r>
              <w:rPr>
                <w:rFonts w:ascii="Times New Roman" w:hAnsi="Times New Roman" w:cs="Times New Roman"/>
                <w:bCs/>
                <w:sz w:val="20"/>
                <w:szCs w:val="20"/>
                <w:u w:val="single"/>
              </w:rPr>
              <w:t xml:space="preserve">tiesa pasludinājusi </w:t>
            </w:r>
            <w:r w:rsidRPr="00453CBD">
              <w:rPr>
                <w:rFonts w:ascii="Times New Roman" w:hAnsi="Times New Roman" w:cs="Times New Roman"/>
                <w:bCs/>
                <w:sz w:val="20"/>
                <w:szCs w:val="20"/>
                <w:u w:val="single"/>
              </w:rPr>
              <w:t>ieguldījumu brokeru sabiedrība</w:t>
            </w:r>
            <w:r>
              <w:rPr>
                <w:rFonts w:ascii="Times New Roman" w:hAnsi="Times New Roman" w:cs="Times New Roman"/>
                <w:bCs/>
                <w:sz w:val="20"/>
                <w:szCs w:val="20"/>
                <w:u w:val="single"/>
              </w:rPr>
              <w:t>s</w:t>
            </w:r>
            <w:r w:rsidRPr="00453CBD">
              <w:rPr>
                <w:rFonts w:ascii="Times New Roman" w:hAnsi="Times New Roman" w:cs="Times New Roman"/>
                <w:bCs/>
                <w:sz w:val="20"/>
                <w:szCs w:val="20"/>
                <w:u w:val="single"/>
              </w:rPr>
              <w:t xml:space="preserve"> </w:t>
            </w:r>
            <w:r>
              <w:rPr>
                <w:rFonts w:ascii="Times New Roman" w:hAnsi="Times New Roman" w:cs="Times New Roman"/>
                <w:bCs/>
                <w:sz w:val="20"/>
                <w:szCs w:val="20"/>
                <w:u w:val="single"/>
              </w:rPr>
              <w:t>maksātnespējas procesu</w:t>
            </w:r>
            <w:r w:rsidRPr="00453CBD">
              <w:rPr>
                <w:rFonts w:ascii="Times New Roman" w:hAnsi="Times New Roman" w:cs="Times New Roman"/>
                <w:bCs/>
                <w:sz w:val="20"/>
                <w:szCs w:val="20"/>
              </w:rPr>
              <w:t>;</w:t>
            </w:r>
          </w:p>
        </w:tc>
      </w:tr>
      <w:tr w:rsidR="007D6D6F" w:rsidRPr="00184920" w14:paraId="3CA8594D"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641F1D1" w14:textId="23C1C636" w:rsidR="007D6D6F" w:rsidRPr="0047780E" w:rsidRDefault="007D6D6F" w:rsidP="007D6D6F">
            <w:pPr>
              <w:spacing w:after="0" w:line="240" w:lineRule="auto"/>
              <w:jc w:val="center"/>
              <w:rPr>
                <w:rFonts w:ascii="Times New Roman" w:eastAsia="Times New Roman" w:hAnsi="Times New Roman" w:cs="Times New Roman"/>
                <w:sz w:val="20"/>
                <w:lang w:eastAsia="lv-LV"/>
              </w:rPr>
            </w:pPr>
            <w:r w:rsidRPr="0047780E">
              <w:rPr>
                <w:rFonts w:ascii="Times New Roman" w:eastAsia="Times New Roman" w:hAnsi="Times New Roman" w:cs="Times New Roman"/>
                <w:sz w:val="20"/>
                <w:lang w:eastAsia="lv-LV"/>
              </w:rPr>
              <w:t>39.</w:t>
            </w:r>
          </w:p>
        </w:tc>
        <w:tc>
          <w:tcPr>
            <w:tcW w:w="692" w:type="pct"/>
            <w:tcBorders>
              <w:top w:val="single" w:sz="6" w:space="0" w:color="000000"/>
              <w:left w:val="single" w:sz="6" w:space="0" w:color="000000"/>
              <w:bottom w:val="single" w:sz="6" w:space="0" w:color="000000"/>
              <w:right w:val="single" w:sz="6" w:space="0" w:color="000000"/>
            </w:tcBorders>
          </w:tcPr>
          <w:p w14:paraId="33151580" w14:textId="77777777" w:rsidR="007D6D6F" w:rsidRPr="0047780E" w:rsidRDefault="007D6D6F" w:rsidP="007D6D6F">
            <w:pPr>
              <w:pStyle w:val="NoSpacing"/>
              <w:widowControl/>
              <w:rPr>
                <w:rFonts w:eastAsiaTheme="minorHAnsi"/>
                <w:b/>
                <w:bCs/>
                <w:sz w:val="20"/>
                <w:szCs w:val="20"/>
              </w:rPr>
            </w:pPr>
            <w:r w:rsidRPr="0047780E">
              <w:rPr>
                <w:rFonts w:eastAsiaTheme="minorHAnsi"/>
                <w:b/>
                <w:bCs/>
                <w:sz w:val="20"/>
                <w:szCs w:val="20"/>
              </w:rPr>
              <w:t>75.pants. Ieguldījumu brokeru sabiedrību darbības atjaunošanas un noregulējuma, maksātnespējas un likvidācijas tiesiskais regulējums</w:t>
            </w:r>
          </w:p>
          <w:p w14:paraId="6AE6C952" w14:textId="4AE69675" w:rsidR="007D6D6F" w:rsidRPr="0047780E" w:rsidRDefault="007D6D6F" w:rsidP="007D6D6F">
            <w:pPr>
              <w:spacing w:after="0" w:line="240" w:lineRule="auto"/>
              <w:jc w:val="both"/>
              <w:rPr>
                <w:rFonts w:ascii="Times New Roman" w:eastAsia="Times New Roman" w:hAnsi="Times New Roman" w:cs="Times New Roman"/>
                <w:sz w:val="20"/>
                <w:szCs w:val="20"/>
                <w:lang w:eastAsia="lv-LV"/>
              </w:rPr>
            </w:pPr>
            <w:r w:rsidRPr="0047780E">
              <w:rPr>
                <w:rFonts w:ascii="Times New Roman" w:hAnsi="Times New Roman" w:cs="Times New Roman"/>
                <w:bCs/>
                <w:sz w:val="20"/>
                <w:szCs w:val="20"/>
              </w:rPr>
              <w:t>(3) Ieguldījumu brokeru sabiedrībai maksātnespēju un likvidāciju regulējošās </w:t>
            </w:r>
            <w:hyperlink r:id="rId16" w:tgtFrame="_blank" w:history="1">
              <w:r w:rsidRPr="0047780E">
                <w:rPr>
                  <w:rFonts w:ascii="Times New Roman" w:hAnsi="Times New Roman" w:cs="Times New Roman"/>
                  <w:bCs/>
                  <w:sz w:val="20"/>
                  <w:szCs w:val="20"/>
                </w:rPr>
                <w:t>Komerclikuma</w:t>
              </w:r>
            </w:hyperlink>
            <w:r w:rsidRPr="0047780E">
              <w:rPr>
                <w:rFonts w:ascii="Times New Roman" w:hAnsi="Times New Roman" w:cs="Times New Roman"/>
                <w:bCs/>
                <w:sz w:val="20"/>
                <w:szCs w:val="20"/>
              </w:rPr>
              <w:t> </w:t>
            </w:r>
            <w:r w:rsidRPr="0047780E">
              <w:rPr>
                <w:rFonts w:ascii="Times New Roman" w:hAnsi="Times New Roman" w:cs="Times New Roman"/>
                <w:bCs/>
                <w:sz w:val="20"/>
                <w:szCs w:val="20"/>
                <w:u w:val="single"/>
              </w:rPr>
              <w:t>un </w:t>
            </w:r>
            <w:hyperlink r:id="rId17" w:tgtFrame="_blank" w:history="1">
              <w:r w:rsidRPr="0047780E">
                <w:rPr>
                  <w:rFonts w:ascii="Times New Roman" w:hAnsi="Times New Roman" w:cs="Times New Roman"/>
                  <w:bCs/>
                  <w:sz w:val="20"/>
                  <w:szCs w:val="20"/>
                  <w:u w:val="single"/>
                </w:rPr>
                <w:t>Maksātnespējas likuma</w:t>
              </w:r>
            </w:hyperlink>
            <w:r w:rsidRPr="0047780E">
              <w:rPr>
                <w:rFonts w:ascii="Times New Roman" w:hAnsi="Times New Roman" w:cs="Times New Roman"/>
                <w:bCs/>
                <w:sz w:val="20"/>
                <w:szCs w:val="20"/>
              </w:rPr>
              <w:t xml:space="preserve"> normas piemērojamas tiktāl, ciktāl </w:t>
            </w:r>
            <w:r w:rsidRPr="0047780E">
              <w:rPr>
                <w:rFonts w:ascii="Times New Roman" w:hAnsi="Times New Roman" w:cs="Times New Roman"/>
                <w:bCs/>
                <w:sz w:val="20"/>
                <w:szCs w:val="20"/>
              </w:rPr>
              <w:lastRenderedPageBreak/>
              <w:t>tās nav pretrunā ar šā likuma un </w:t>
            </w:r>
            <w:hyperlink r:id="rId18" w:tgtFrame="_blank" w:history="1">
              <w:r w:rsidRPr="0047780E">
                <w:rPr>
                  <w:rFonts w:ascii="Times New Roman" w:hAnsi="Times New Roman" w:cs="Times New Roman"/>
                  <w:bCs/>
                  <w:sz w:val="20"/>
                  <w:szCs w:val="20"/>
                </w:rPr>
                <w:t>Kredītiestāžu un ieguldījumu brokeru sabiedrību darbības atjaunošanas un noregulējuma likuma</w:t>
              </w:r>
            </w:hyperlink>
            <w:r w:rsidRPr="0047780E">
              <w:rPr>
                <w:rFonts w:ascii="Times New Roman" w:hAnsi="Times New Roman" w:cs="Times New Roman"/>
                <w:bCs/>
                <w:sz w:val="20"/>
                <w:szCs w:val="20"/>
              </w:rPr>
              <w:t> normām.</w:t>
            </w:r>
          </w:p>
        </w:tc>
        <w:tc>
          <w:tcPr>
            <w:tcW w:w="1309" w:type="pct"/>
            <w:tcBorders>
              <w:top w:val="single" w:sz="6" w:space="0" w:color="000000"/>
              <w:left w:val="single" w:sz="6" w:space="0" w:color="000000"/>
              <w:bottom w:val="single" w:sz="6" w:space="0" w:color="000000"/>
              <w:right w:val="single" w:sz="6" w:space="0" w:color="000000"/>
            </w:tcBorders>
          </w:tcPr>
          <w:p w14:paraId="4C3F4F2F" w14:textId="77777777" w:rsidR="007D6D6F" w:rsidRPr="0047780E" w:rsidRDefault="007D6D6F" w:rsidP="007D6D6F">
            <w:pPr>
              <w:pStyle w:val="NoSpacing"/>
              <w:rPr>
                <w:sz w:val="20"/>
                <w:szCs w:val="20"/>
              </w:rPr>
            </w:pPr>
            <w:r w:rsidRPr="0047780E">
              <w:rPr>
                <w:b/>
                <w:bCs/>
                <w:sz w:val="20"/>
                <w:szCs w:val="20"/>
              </w:rPr>
              <w:lastRenderedPageBreak/>
              <w:t>Iebildums.</w:t>
            </w:r>
            <w:r w:rsidRPr="0047780E">
              <w:rPr>
                <w:sz w:val="20"/>
                <w:szCs w:val="20"/>
              </w:rPr>
              <w:t xml:space="preserve"> Attiecībā uz likumprojekta 73. panta trešajā daļā noteikto saistībā ar atsauci uz Maksātnespējas likumu, norādām turpmāko. Maksātnespējas likuma 2. panta ceturtajā daļā noteikts: “</w:t>
            </w:r>
            <w:r w:rsidRPr="0047780E">
              <w:rPr>
                <w:i/>
                <w:iCs/>
                <w:sz w:val="20"/>
                <w:szCs w:val="20"/>
              </w:rPr>
              <w:t>Uz to finanšu un kapitāla tirgus dalībnieku maksātnespējas procesu, kuru darbības uzraudzību saskaņā ar normatīvo aktu prasībām veic Finanšu un kapitāla tirgus komisija, attiecināmi šā likuma noteikumi, ciktāl finanšu un kapitāla tirgus dalībnieku darbību reglamentējošajās speciālajās tiesību normās nav noteikts citādi</w:t>
            </w:r>
            <w:r w:rsidRPr="0047780E">
              <w:rPr>
                <w:sz w:val="20"/>
                <w:szCs w:val="20"/>
              </w:rPr>
              <w:t>.” Ieguldījumu brokeru sabiedrības ir finanšu un kapitāla tirgus dalībnieki</w:t>
            </w:r>
            <w:r w:rsidRPr="0047780E">
              <w:rPr>
                <w:rStyle w:val="FootnoteReference"/>
                <w:sz w:val="20"/>
                <w:szCs w:val="20"/>
              </w:rPr>
              <w:footnoteReference w:id="14"/>
            </w:r>
            <w:r w:rsidRPr="0047780E">
              <w:rPr>
                <w:sz w:val="20"/>
                <w:szCs w:val="20"/>
              </w:rPr>
              <w:t xml:space="preserve"> un to darbību uzrauga Komisija</w:t>
            </w:r>
            <w:r w:rsidRPr="0047780E">
              <w:rPr>
                <w:rStyle w:val="FootnoteReference"/>
                <w:sz w:val="20"/>
                <w:szCs w:val="20"/>
              </w:rPr>
              <w:footnoteReference w:id="15"/>
            </w:r>
            <w:r w:rsidRPr="0047780E">
              <w:rPr>
                <w:sz w:val="20"/>
                <w:szCs w:val="20"/>
              </w:rPr>
              <w:t xml:space="preserve">, turklāt likumprojekta 3. pants noteic, ka tieši likumprojekts regulē ieguldījumu brokeru sabiedrības darbību visdažādākajos aspektos. Līdz ar to </w:t>
            </w:r>
            <w:r w:rsidRPr="0047780E">
              <w:rPr>
                <w:sz w:val="20"/>
                <w:szCs w:val="20"/>
              </w:rPr>
              <w:lastRenderedPageBreak/>
              <w:t>secināms, ka likumprojekta 73. panta trešā daļa daļēji dublē Maksātnespējas likuma 2. panta ceturtajā daļā noteikto.</w:t>
            </w:r>
          </w:p>
          <w:p w14:paraId="32C64C4C" w14:textId="33CD9D3C" w:rsidR="007D6D6F" w:rsidRPr="0047780E" w:rsidRDefault="007D6D6F" w:rsidP="007D6D6F">
            <w:pPr>
              <w:spacing w:after="0" w:line="240" w:lineRule="auto"/>
              <w:jc w:val="both"/>
              <w:rPr>
                <w:rFonts w:ascii="Times New Roman" w:eastAsia="Times New Roman" w:hAnsi="Times New Roman" w:cs="Times New Roman"/>
                <w:sz w:val="20"/>
                <w:szCs w:val="20"/>
                <w:lang w:eastAsia="lv-LV"/>
              </w:rPr>
            </w:pPr>
            <w:r w:rsidRPr="0047780E">
              <w:rPr>
                <w:rFonts w:ascii="Times New Roman" w:hAnsi="Times New Roman" w:cs="Times New Roman"/>
                <w:sz w:val="20"/>
                <w:szCs w:val="20"/>
              </w:rPr>
              <w:t>Atbilstoši noteikumu Nr. 108 3.2. apakšpunktam normatīvā akta projektā neietver normas, kas dublē tāda paša spēka normatīvā akta tiesību normās ietverto normatīvo regulējumu. Ievērojot minēto, lūdzam pārskatīt likumprojekta 73. panta trešo daļu saistībā ar atsauci uz Maksātnespējas likumu.</w:t>
            </w:r>
          </w:p>
        </w:tc>
        <w:tc>
          <w:tcPr>
            <w:tcW w:w="848" w:type="pct"/>
            <w:gridSpan w:val="2"/>
            <w:tcBorders>
              <w:top w:val="single" w:sz="6" w:space="0" w:color="000000"/>
              <w:left w:val="single" w:sz="6" w:space="0" w:color="000000"/>
              <w:bottom w:val="single" w:sz="6" w:space="0" w:color="000000"/>
              <w:right w:val="single" w:sz="6" w:space="0" w:color="000000"/>
            </w:tcBorders>
          </w:tcPr>
          <w:p w14:paraId="63C2B980" w14:textId="77777777" w:rsidR="007D6D6F"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b/>
                <w:bCs/>
                <w:sz w:val="20"/>
                <w:szCs w:val="20"/>
                <w:lang w:eastAsia="lv-LV"/>
              </w:rPr>
              <w:lastRenderedPageBreak/>
              <w:t xml:space="preserve">Sniedzam skaidrojumu. </w:t>
            </w:r>
            <w:r>
              <w:rPr>
                <w:rFonts w:ascii="Times New Roman" w:eastAsia="Times New Roman" w:hAnsi="Times New Roman" w:cs="Times New Roman"/>
                <w:sz w:val="20"/>
                <w:szCs w:val="20"/>
                <w:lang w:eastAsia="lv-LV"/>
              </w:rPr>
              <w:t xml:space="preserve">Finanšu ministrijas ieskatā atsauces uz likumprojekta 75.panta trešajā daļā minētajiem likumiem tikai atvieglo likumprojektā ietvertā speciālā regulējuma piemērošanu attiecībā uz ieguldījumu brokeru sabiedrības maksātnespējas un likvidācijas procesu. Papildus uzsveram, ka likumprojekta 75.panta trešā daļa ietver atsauci gan uz Komerclikumu, gan uz Maksātnespējas likumu, lai nodrošinātu visaptverošas norādes attiecībā uz ieguldījumu brokeru </w:t>
            </w:r>
            <w:r>
              <w:rPr>
                <w:rFonts w:ascii="Times New Roman" w:eastAsia="Times New Roman" w:hAnsi="Times New Roman" w:cs="Times New Roman"/>
                <w:sz w:val="20"/>
                <w:szCs w:val="20"/>
                <w:lang w:eastAsia="lv-LV"/>
              </w:rPr>
              <w:lastRenderedPageBreak/>
              <w:t>sabiedrības maksātnespējas un likvidācijas procesu.</w:t>
            </w:r>
          </w:p>
          <w:p w14:paraId="7C69BCAC" w14:textId="5C79AACB" w:rsidR="007D6D6F" w:rsidRPr="0047780E"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Lūdzam ņemt vērā Maksātnespējas likuma 2.panta ceturtajā daļā noteikto un to, ka likumprojekta XIV nodaļas noteikumi ir speciālie noteikumi attiecībā uz ieguldījumu brokeru sabiedrības maksātnespējas procesu un likvidāciju.</w:t>
            </w:r>
          </w:p>
        </w:tc>
        <w:tc>
          <w:tcPr>
            <w:tcW w:w="936" w:type="pct"/>
            <w:tcBorders>
              <w:top w:val="single" w:sz="4" w:space="0" w:color="auto"/>
              <w:left w:val="single" w:sz="4" w:space="0" w:color="auto"/>
              <w:bottom w:val="single" w:sz="4" w:space="0" w:color="auto"/>
              <w:right w:val="single" w:sz="4" w:space="0" w:color="auto"/>
            </w:tcBorders>
          </w:tcPr>
          <w:p w14:paraId="7F78141B" w14:textId="00FC6DA4"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r>
      <w:tr w:rsidR="006B0E97" w:rsidRPr="00184920" w14:paraId="5E7B1D58"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039366D3" w14:textId="634368F6" w:rsidR="006B0E97" w:rsidRPr="0047780E" w:rsidRDefault="006B0E97"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40.</w:t>
            </w:r>
          </w:p>
        </w:tc>
        <w:tc>
          <w:tcPr>
            <w:tcW w:w="692" w:type="pct"/>
            <w:tcBorders>
              <w:top w:val="single" w:sz="6" w:space="0" w:color="000000"/>
              <w:left w:val="single" w:sz="6" w:space="0" w:color="000000"/>
              <w:bottom w:val="single" w:sz="6" w:space="0" w:color="000000"/>
              <w:right w:val="single" w:sz="6" w:space="0" w:color="000000"/>
            </w:tcBorders>
          </w:tcPr>
          <w:p w14:paraId="57ADF6CF" w14:textId="77777777" w:rsidR="006B0E97" w:rsidRPr="000B1586" w:rsidRDefault="006B0E97" w:rsidP="006B0E97">
            <w:pPr>
              <w:pStyle w:val="NoSpacing"/>
              <w:widowControl/>
              <w:rPr>
                <w:rFonts w:eastAsiaTheme="minorHAnsi"/>
                <w:b/>
                <w:bCs/>
                <w:sz w:val="20"/>
                <w:szCs w:val="20"/>
              </w:rPr>
            </w:pPr>
            <w:r w:rsidRPr="000B1586">
              <w:rPr>
                <w:rFonts w:eastAsiaTheme="minorHAnsi"/>
                <w:b/>
                <w:bCs/>
                <w:sz w:val="20"/>
                <w:szCs w:val="20"/>
              </w:rPr>
              <w:t>75.pants. Ieguldījumu brokeru sabiedrību darbības atjaunošanas un noregulējuma, maksātnespējas un likvidācijas tiesiskais regulējums</w:t>
            </w:r>
          </w:p>
          <w:p w14:paraId="47E241C2" w14:textId="77777777" w:rsidR="006B0E97" w:rsidRPr="000B1586" w:rsidRDefault="006B0E97" w:rsidP="006B0E97">
            <w:pPr>
              <w:pStyle w:val="NoSpacing"/>
              <w:widowControl/>
              <w:rPr>
                <w:rFonts w:eastAsiaTheme="minorHAnsi"/>
                <w:bCs/>
                <w:sz w:val="20"/>
                <w:szCs w:val="20"/>
              </w:rPr>
            </w:pPr>
            <w:r w:rsidRPr="000B1586">
              <w:rPr>
                <w:rFonts w:eastAsiaTheme="minorHAnsi"/>
                <w:bCs/>
                <w:sz w:val="20"/>
                <w:szCs w:val="20"/>
              </w:rPr>
              <w:t>(4) Ieguldījumu brokeru sabiedrības maksātnespējas pieteikums tiek iesniegts tikai ar Komisijas piekrišanu.</w:t>
            </w:r>
          </w:p>
          <w:p w14:paraId="4E019228" w14:textId="77777777" w:rsidR="006B0E97" w:rsidRPr="000B1586" w:rsidRDefault="006B0E97" w:rsidP="006B0E97">
            <w:pPr>
              <w:pStyle w:val="NoSpacing"/>
              <w:widowControl/>
              <w:rPr>
                <w:rFonts w:eastAsiaTheme="minorHAnsi"/>
                <w:bCs/>
                <w:sz w:val="20"/>
                <w:szCs w:val="20"/>
              </w:rPr>
            </w:pPr>
            <w:r w:rsidRPr="000B1586">
              <w:rPr>
                <w:rFonts w:eastAsiaTheme="minorHAnsi"/>
                <w:bCs/>
                <w:sz w:val="20"/>
                <w:szCs w:val="20"/>
              </w:rPr>
              <w:t>(5) Pret ieguldījumu brokeru sabiedrību, attiecībā uz kuru Komisija ir pieņēmusi lēmumu par turpmāko rīcību saskaņā ar </w:t>
            </w:r>
            <w:hyperlink r:id="rId19" w:tgtFrame="_blank" w:history="1">
              <w:r w:rsidRPr="000B1586">
                <w:rPr>
                  <w:rFonts w:eastAsiaTheme="minorHAnsi"/>
                  <w:bCs/>
                  <w:sz w:val="20"/>
                  <w:szCs w:val="20"/>
                </w:rPr>
                <w:t>Kredītiestāžu un ieguldījumu brokeru sabiedrību darbības atjaunošanas un noregulējuma likumā</w:t>
              </w:r>
            </w:hyperlink>
            <w:r w:rsidRPr="000B1586">
              <w:rPr>
                <w:rFonts w:eastAsiaTheme="minorHAnsi"/>
                <w:bCs/>
                <w:sz w:val="20"/>
                <w:szCs w:val="20"/>
              </w:rPr>
              <w:t> noteikto kārtību, maksātnespējas procesu tiesa var ierosināt, tikai pamatojoties uz Komisijas pieteikumu.</w:t>
            </w:r>
          </w:p>
          <w:p w14:paraId="2D50EAD7" w14:textId="77777777" w:rsidR="006B0E97" w:rsidRPr="000B1586" w:rsidRDefault="006B0E97" w:rsidP="006B0E97">
            <w:pPr>
              <w:pStyle w:val="NoSpacing"/>
              <w:widowControl/>
              <w:rPr>
                <w:rFonts w:eastAsiaTheme="minorHAnsi"/>
                <w:bCs/>
                <w:sz w:val="20"/>
                <w:szCs w:val="20"/>
              </w:rPr>
            </w:pPr>
            <w:r w:rsidRPr="000B1586">
              <w:rPr>
                <w:rFonts w:eastAsiaTheme="minorHAnsi"/>
                <w:bCs/>
                <w:sz w:val="20"/>
                <w:szCs w:val="20"/>
              </w:rPr>
              <w:t xml:space="preserve">(6) Tiesa, saņemot ieguldījumu brokeru sabiedrības maksātnespējas pieteikumu, nekavējoties par to informē Komisiju neatkarīgi no tā, vai ieguldījumu brokeru sabiedrībai tiek piemērots </w:t>
            </w:r>
            <w:r w:rsidRPr="000B1586">
              <w:rPr>
                <w:rFonts w:eastAsiaTheme="minorHAnsi"/>
                <w:bCs/>
                <w:sz w:val="20"/>
                <w:szCs w:val="20"/>
              </w:rPr>
              <w:lastRenderedPageBreak/>
              <w:t>noregulējums vai ir publiskots lēmums saskaņā ar </w:t>
            </w:r>
            <w:hyperlink r:id="rId20" w:tgtFrame="_blank" w:history="1">
              <w:r w:rsidRPr="000B1586">
                <w:rPr>
                  <w:rFonts w:eastAsiaTheme="minorHAnsi"/>
                  <w:bCs/>
                  <w:sz w:val="20"/>
                  <w:szCs w:val="20"/>
                </w:rPr>
                <w:t>Kredītiestāžu un ieguldījumu brokeru sabiedrību darbības atjaunošanas un noregulējuma likumā</w:t>
              </w:r>
            </w:hyperlink>
            <w:r w:rsidRPr="000B1586">
              <w:rPr>
                <w:rFonts w:eastAsiaTheme="minorHAnsi"/>
                <w:bCs/>
                <w:sz w:val="20"/>
                <w:szCs w:val="20"/>
              </w:rPr>
              <w:t> noteikto kārtību.</w:t>
            </w:r>
          </w:p>
          <w:p w14:paraId="48DC6A05" w14:textId="144DF993" w:rsidR="006B0E97" w:rsidRPr="0047780E" w:rsidRDefault="006B0E97" w:rsidP="006B0E97">
            <w:pPr>
              <w:pStyle w:val="NoSpacing"/>
              <w:widowControl/>
              <w:rPr>
                <w:rFonts w:eastAsiaTheme="minorHAnsi"/>
                <w:b/>
                <w:bCs/>
                <w:sz w:val="20"/>
                <w:szCs w:val="20"/>
              </w:rPr>
            </w:pPr>
            <w:r w:rsidRPr="000B1586">
              <w:rPr>
                <w:bCs/>
                <w:sz w:val="20"/>
                <w:szCs w:val="20"/>
              </w:rPr>
              <w:t>(7) Pēc šā panta sestajā daļā noteiktā informēšanas pienākuma izpildes tiesa var izskatīt maksātnespējas pieteikumu, ja Komisija ir paziņojusi tiesai, ka tā neplāno veikt noregulējuma darbības attiecībā uz ieguldījumu brokeru sabiedrību, vai tā nav septiņu dienu laikā sniegusi atbildi tiesai.</w:t>
            </w:r>
          </w:p>
        </w:tc>
        <w:tc>
          <w:tcPr>
            <w:tcW w:w="1309" w:type="pct"/>
            <w:tcBorders>
              <w:top w:val="single" w:sz="6" w:space="0" w:color="000000"/>
              <w:left w:val="single" w:sz="6" w:space="0" w:color="000000"/>
              <w:bottom w:val="single" w:sz="6" w:space="0" w:color="000000"/>
              <w:right w:val="single" w:sz="6" w:space="0" w:color="000000"/>
            </w:tcBorders>
          </w:tcPr>
          <w:p w14:paraId="204504E6" w14:textId="77777777" w:rsidR="006B0E97" w:rsidRPr="00C71D61" w:rsidRDefault="006B0E97" w:rsidP="00C71D61">
            <w:pPr>
              <w:pStyle w:val="NoSpacing"/>
              <w:rPr>
                <w:sz w:val="20"/>
                <w:szCs w:val="20"/>
              </w:rPr>
            </w:pPr>
            <w:r w:rsidRPr="00C71D61">
              <w:rPr>
                <w:b/>
                <w:bCs/>
                <w:sz w:val="20"/>
                <w:szCs w:val="20"/>
              </w:rPr>
              <w:lastRenderedPageBreak/>
              <w:t>Iebildums.</w:t>
            </w:r>
            <w:r w:rsidRPr="000B1586">
              <w:rPr>
                <w:sz w:val="20"/>
                <w:szCs w:val="20"/>
              </w:rPr>
              <w:t xml:space="preserve"> Likumprojekta 73. panta ceturtā daļa paredz, ka "</w:t>
            </w:r>
            <w:r w:rsidRPr="00C71D61">
              <w:rPr>
                <w:sz w:val="20"/>
                <w:szCs w:val="20"/>
              </w:rPr>
              <w:t xml:space="preserve">Ieguldījumu brokeru sabiedrības maksātnespējas pieteikums tiek iesniegts tikai ar Finanšu un kapitāla tirgus komisijas piekrišanu". </w:t>
            </w:r>
            <w:r w:rsidRPr="000B1586">
              <w:rPr>
                <w:sz w:val="20"/>
                <w:szCs w:val="20"/>
              </w:rPr>
              <w:t>Likumprojekta 73. panta piektā daļa paredz, ka "</w:t>
            </w:r>
            <w:r w:rsidRPr="00C71D61">
              <w:rPr>
                <w:sz w:val="20"/>
                <w:szCs w:val="20"/>
              </w:rPr>
              <w:t>pret ieguldījumu brokeru sabiedrību, attiecībā uz kuru Finanšu un kapitāla tirgus komisija ir pieņēmusi lēmumu par turpmāko rīcību saskaņā ar </w:t>
            </w:r>
            <w:hyperlink r:id="rId21" w:tgtFrame="_blank" w:history="1">
              <w:r w:rsidRPr="00C71D61">
                <w:t>Kredītiestāžu un ieguldījumu brokeru sabiedrību darbības atjaunošanas un noregulējuma likumā</w:t>
              </w:r>
            </w:hyperlink>
            <w:r w:rsidRPr="00C71D61">
              <w:rPr>
                <w:sz w:val="20"/>
                <w:szCs w:val="20"/>
              </w:rPr>
              <w:t> noteikto kārtību, maksātnespējas procesu tiesa var ierosināt, tikai pamatojoties uz Finanšu un kapitāla tirgus komisijas pieteikumu". Savukārt likumprojekta 73. panta sestā un septītā daļa paredz, ka "tiesa, saņemot ieguldījumu brokeru sabiedrības maksātnespējas pieteikumu, nekavējoties par to informē Finanšu un kapitāla tirgus komisiju neatkarīgi no tā, vai ieguldījumu brokeru sabiedrībai tiek piemērots noregulējums vai ir publiskots lēmums saskaņā ar </w:t>
            </w:r>
            <w:hyperlink r:id="rId22" w:tgtFrame="_blank" w:history="1">
              <w:r w:rsidRPr="00C71D61">
                <w:t>Kredītiestāžu un ieguldījumu brokeru sabiedrību darbības atjaunošanas un noregulējuma likumā</w:t>
              </w:r>
            </w:hyperlink>
            <w:r w:rsidRPr="00C71D61">
              <w:rPr>
                <w:sz w:val="20"/>
                <w:szCs w:val="20"/>
              </w:rPr>
              <w:t xml:space="preserve"> noteikto kārtība. Pēc šā panta sestajā daļā noteiktā informēšanas pienākuma izpildes tiesa var izskatīt maksātnespējas pieteikumu, ja </w:t>
            </w:r>
            <w:bookmarkStart w:id="10" w:name="_Hlk66873451"/>
            <w:r w:rsidRPr="00C71D61">
              <w:rPr>
                <w:sz w:val="20"/>
                <w:szCs w:val="20"/>
              </w:rPr>
              <w:t xml:space="preserve">Finanšu un kapitāla tirgus komisiju </w:t>
            </w:r>
            <w:bookmarkEnd w:id="10"/>
            <w:r w:rsidRPr="00C71D61">
              <w:rPr>
                <w:sz w:val="20"/>
                <w:szCs w:val="20"/>
              </w:rPr>
              <w:t xml:space="preserve">ir paziņojusi tiesai, ka tā neplāno veikt noregulējuma darbības attiecībā uz ieguldījumu brokeru sabiedrību, vai tā nav septiņu dienu laikā sniegusi atbildi tiesai. </w:t>
            </w:r>
          </w:p>
          <w:p w14:paraId="12D9ACD2" w14:textId="77777777" w:rsidR="006B0E97" w:rsidRPr="00C71D61" w:rsidRDefault="006B0E97" w:rsidP="00C71D61">
            <w:pPr>
              <w:pStyle w:val="BodyTextIndent"/>
              <w:widowControl w:val="0"/>
              <w:spacing w:after="0"/>
              <w:ind w:left="0" w:firstLine="720"/>
              <w:jc w:val="both"/>
              <w:rPr>
                <w:rFonts w:eastAsia="Calibri"/>
                <w:sz w:val="20"/>
                <w:szCs w:val="20"/>
                <w:lang w:eastAsia="en-US"/>
              </w:rPr>
            </w:pPr>
            <w:r w:rsidRPr="00C71D61">
              <w:rPr>
                <w:rFonts w:eastAsia="Calibri"/>
                <w:sz w:val="20"/>
                <w:szCs w:val="20"/>
                <w:lang w:eastAsia="en-US"/>
              </w:rPr>
              <w:t xml:space="preserve">Tieslietu ministrijas ieskatā minētais regulējums ir smagnējs, ar sarežģītu juridisko konstrukciju. Ja likumprojekta 73. panta ceturtā daļa paredz, ka ieguldījumu brokeru sabiedrības maksātnespējas procesa </w:t>
            </w:r>
            <w:r w:rsidRPr="00C71D61">
              <w:rPr>
                <w:rFonts w:eastAsia="Calibri"/>
                <w:sz w:val="20"/>
                <w:szCs w:val="20"/>
                <w:lang w:eastAsia="en-US"/>
              </w:rPr>
              <w:lastRenderedPageBreak/>
              <w:t xml:space="preserve">pieteikums tiek iesniegts tikai ar Komisijas piekrišanu, nav viennozīmīgi skaidrs, kādēļ Komisija, veicot </w:t>
            </w:r>
            <w:proofErr w:type="spellStart"/>
            <w:r w:rsidRPr="00C71D61">
              <w:rPr>
                <w:rFonts w:eastAsia="Calibri"/>
                <w:sz w:val="20"/>
                <w:szCs w:val="20"/>
                <w:lang w:eastAsia="en-US"/>
              </w:rPr>
              <w:t>izvērtējumu</w:t>
            </w:r>
            <w:proofErr w:type="spellEnd"/>
            <w:r w:rsidRPr="00C71D61">
              <w:rPr>
                <w:rFonts w:eastAsia="Calibri"/>
                <w:sz w:val="20"/>
                <w:szCs w:val="20"/>
                <w:lang w:eastAsia="en-US"/>
              </w:rPr>
              <w:t>, vai dot piekrišanu ieguldījumu brokeru sabiedrības maksātnespējas procesa pieteikuma iesniegšanai tiesā, vienlaikus nevarētu izlemt jautājumu par noregulējuma darbībām attiecībā uz ieguldījumu brokeru sabiedrību, tādējādi atbrīvojot tiesu no pienākuma informēt Komisiju par iesniegto pieteikumu, lai noskaidrotu tās plānus attiecībā uz ieguldījumu brokeru sabiedrību. Apvienojot minētās darbības, proti, ja Komisija attiecīgo lēmumu pieņemtu, izlemjot jautājumu par piekrišanas sniegšanu vai nesniegšanu, pastāvot nosacījumiem atbilstoši kuriem maksātnespējas procesa pieteikums būtu iesniedzams Komisijai, tiesai Komisijas lēmums ar ieguldījumu brokeru sabiedrības maksātnespējas procesa pieteikuma iesniegšanu būtu zināms, un tiesa varētu izskatīt ieguldījumu brokeru sabiedrības maksātnespējas procesa pieteikumu. Vienlaikus tiesai nebūtu jālemj par maksātnespējas procesa pieteikuma noraidīšanu, kā to šobrīd paredz likumprojekta 73. panta astotā daļa</w:t>
            </w:r>
            <w:r w:rsidRPr="00C71D61">
              <w:rPr>
                <w:rFonts w:eastAsia="Calibri"/>
                <w:lang w:eastAsia="en-US"/>
              </w:rPr>
              <w:footnoteReference w:id="16"/>
            </w:r>
            <w:r w:rsidRPr="00C71D61">
              <w:rPr>
                <w:rFonts w:eastAsia="Calibri"/>
                <w:sz w:val="20"/>
                <w:szCs w:val="20"/>
                <w:lang w:eastAsia="en-US"/>
              </w:rPr>
              <w:t xml:space="preserve">, Komisijai paziņojot, ka ieguldījumu brokeru sabiedrība atbilst noregulējuma nosacījumiem un attiecībā uz ieguldījumu brokeru sabiedrību tā plāno veikt noregulējuma darbības. </w:t>
            </w:r>
          </w:p>
          <w:p w14:paraId="4A5C2C99" w14:textId="77777777" w:rsidR="006B0E97" w:rsidRDefault="006B0E97" w:rsidP="00C71D61">
            <w:pPr>
              <w:pStyle w:val="NoSpacing"/>
              <w:rPr>
                <w:sz w:val="20"/>
                <w:szCs w:val="20"/>
              </w:rPr>
            </w:pPr>
            <w:r w:rsidRPr="000B1586">
              <w:rPr>
                <w:sz w:val="20"/>
                <w:szCs w:val="20"/>
              </w:rPr>
              <w:t>Ievērojot minēto, Tieslietu ministrijas ieskatā izvērtējama iespēja minēto regulējumu precizēt atbilstoši norādītajai juridiskajai konstrukcijai. Pastāvot objektīviem apstākļiem, kas liedz likumprojektu precizēt atbilstoši norādītajai juridiskajai konstrukcijai, lūdzam anotācijā sniegt minēto normu detalizētu skaidrojumu.</w:t>
            </w:r>
          </w:p>
          <w:p w14:paraId="5A1D0BB8" w14:textId="77777777" w:rsidR="006B0E97" w:rsidRPr="00C71D61" w:rsidRDefault="006B0E97" w:rsidP="00C71D61">
            <w:pPr>
              <w:widowControl w:val="0"/>
              <w:spacing w:after="0" w:line="240" w:lineRule="auto"/>
              <w:jc w:val="both"/>
              <w:rPr>
                <w:rFonts w:ascii="Times New Roman" w:eastAsia="Calibri" w:hAnsi="Times New Roman" w:cs="Times New Roman"/>
                <w:b/>
                <w:bCs/>
                <w:sz w:val="20"/>
                <w:szCs w:val="20"/>
              </w:rPr>
            </w:pPr>
            <w:r w:rsidRPr="00C71D61">
              <w:rPr>
                <w:rFonts w:ascii="Times New Roman" w:eastAsia="Calibri" w:hAnsi="Times New Roman" w:cs="Times New Roman"/>
                <w:b/>
                <w:bCs/>
                <w:sz w:val="20"/>
                <w:szCs w:val="20"/>
              </w:rPr>
              <w:t>Š.g. 11.maijā uzturētais iebildums.</w:t>
            </w:r>
          </w:p>
          <w:p w14:paraId="27578144" w14:textId="77777777" w:rsidR="006B0E97" w:rsidRPr="00C71D61" w:rsidRDefault="006B0E97" w:rsidP="00C71D61">
            <w:pPr>
              <w:pStyle w:val="NoSpacing"/>
              <w:rPr>
                <w:sz w:val="20"/>
                <w:szCs w:val="20"/>
              </w:rPr>
            </w:pPr>
            <w:r w:rsidRPr="00C71D61">
              <w:rPr>
                <w:sz w:val="20"/>
                <w:szCs w:val="20"/>
              </w:rPr>
              <w:t xml:space="preserve">Tieslietu ministrija ir izvērtējusi precizēto likumprojektu un tā anotācijā, kā arī izziņā iekļauto skaidrojumu, vienlaikus respektējot citos normatīvajos aktos, tostarp, Maksātnespējas likumā noteikto, un uztur iepriekš izteikto iebildumu par nepieciešamību pārskatīt regulējumu. </w:t>
            </w:r>
          </w:p>
          <w:p w14:paraId="6306C500" w14:textId="77777777" w:rsidR="006B0E97" w:rsidRPr="00C71D61" w:rsidRDefault="006B0E97" w:rsidP="00C71D61">
            <w:pPr>
              <w:pStyle w:val="NoSpacing"/>
              <w:rPr>
                <w:sz w:val="20"/>
                <w:szCs w:val="20"/>
              </w:rPr>
            </w:pPr>
            <w:r w:rsidRPr="00C71D61">
              <w:rPr>
                <w:sz w:val="20"/>
                <w:szCs w:val="20"/>
              </w:rPr>
              <w:t xml:space="preserve">Kā secināms no izziņas, tad likumprojekta 75. panta </w:t>
            </w:r>
            <w:r w:rsidRPr="00C71D61">
              <w:rPr>
                <w:sz w:val="20"/>
                <w:szCs w:val="20"/>
              </w:rPr>
              <w:lastRenderedPageBreak/>
              <w:t xml:space="preserve">ceturtajā daļā ietvertās normas slodze jeb mērķis ir “nodrošināt, ka tiesā iesniegtie ieguldījumu brokeru sabiedrību maksātnespējas pieteikumi “nepaslīd” garām Komisijai neatkarīgi no tā, kāds lēmums ir pieņemts iepriekš attiecībā uz konkrēto ieguldījumu brokeru sabiedrību”. </w:t>
            </w:r>
          </w:p>
          <w:p w14:paraId="3FFE342C" w14:textId="28A454B1" w:rsidR="006B0E97" w:rsidRDefault="006B0E97" w:rsidP="00C71D61">
            <w:pPr>
              <w:pStyle w:val="NoSpacing"/>
              <w:rPr>
                <w:sz w:val="20"/>
                <w:szCs w:val="20"/>
              </w:rPr>
            </w:pPr>
            <w:r w:rsidRPr="00C71D61">
              <w:rPr>
                <w:sz w:val="20"/>
                <w:szCs w:val="20"/>
              </w:rPr>
              <w:t>Ievērojot minēto, secināms, ka attiecīgais mērķis ir sasniedzams, ja tiesas pienākums informēt Komisiju ir attiecināms (tikai) uz gadījumiem, kad pieteikumam nav pievienota Komisijas piekrišana, proti, ziņošanas pienākums nav attiecināms uz saistāms ar noteiktiem Komisijas lēmumiem. Ievērojot minēto, norādām uz nepieciešamību likumprojekta 75. panta ceturto daļu izteikt šādā redakcijā “Tiesa, saņemot ieguldījumu brokeru sabiedrības maksātnespējas pieteikumu, kuram nav pievienota Komisijas piekrišana,  nekavējoties par saņemto pieteikumu informē Komisiju”.</w:t>
            </w:r>
          </w:p>
          <w:p w14:paraId="4351DAB3" w14:textId="77777777" w:rsidR="00C71D61" w:rsidRPr="00C71D61" w:rsidRDefault="00C71D61" w:rsidP="00C71D61"/>
          <w:p w14:paraId="5F7E668E" w14:textId="77777777" w:rsidR="00C71D61" w:rsidRPr="00C71D61" w:rsidRDefault="00C71D61" w:rsidP="00C71D61">
            <w:pPr>
              <w:widowControl w:val="0"/>
              <w:jc w:val="both"/>
              <w:rPr>
                <w:rFonts w:ascii="Times New Roman" w:eastAsia="Calibri" w:hAnsi="Times New Roman" w:cs="Times New Roman"/>
                <w:b/>
                <w:bCs/>
                <w:sz w:val="20"/>
                <w:szCs w:val="20"/>
              </w:rPr>
            </w:pPr>
            <w:r w:rsidRPr="00C71D61">
              <w:rPr>
                <w:rFonts w:ascii="Times New Roman" w:eastAsia="Calibri" w:hAnsi="Times New Roman" w:cs="Times New Roman"/>
                <w:b/>
                <w:bCs/>
                <w:sz w:val="20"/>
                <w:szCs w:val="20"/>
              </w:rPr>
              <w:t>Š.g. 7.jūnijā uzturētais iebildums.</w:t>
            </w:r>
          </w:p>
          <w:p w14:paraId="0F313067" w14:textId="77777777" w:rsidR="00C71D61" w:rsidRPr="00C71D61" w:rsidRDefault="00C71D61" w:rsidP="00C71D61">
            <w:pPr>
              <w:widowControl w:val="0"/>
              <w:spacing w:after="0" w:line="23" w:lineRule="atLeast"/>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Kas attiecas uz likumprojekta 75. pantu, Tieslietu ministrija uztur tās izteiktos iebildumus par to, ka likumprojekta 75. pantā iekļautajām normām, kas risina norisi tiesā (likumprojekta 75. panta ceturtā, piektā, sestā, septītā un astotā daļa), jābūt iekļautām Civilprocesa likumā. Līdz ar to lūdzam tās izslēgt no likumprojekta 75. panta.</w:t>
            </w:r>
          </w:p>
          <w:p w14:paraId="6D1A9896" w14:textId="77777777" w:rsidR="00C71D61" w:rsidRPr="00C71D61" w:rsidRDefault="00C71D61" w:rsidP="00C71D61">
            <w:pPr>
              <w:widowControl w:val="0"/>
              <w:spacing w:after="0" w:line="23" w:lineRule="atLeast"/>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Ja Finanšu ministrija iebilst iepriekš minētā regulējuma pārnešanai tikai uz Civilprocesa likumu, Tieslietu ministrija var atbalstīt šāda procesuālā regulējuma atstāšanu likumprojektā (ar tālāku tā iekļaušanu Civilprocesa likumā) tikai pie nosacījuma, ja 75. panta sestā daļa tiek izteikta sekojošā redakcijā:</w:t>
            </w:r>
          </w:p>
          <w:p w14:paraId="305CA309" w14:textId="77777777" w:rsidR="00C71D61" w:rsidRPr="00C71D61" w:rsidRDefault="00C71D61" w:rsidP="00C71D61">
            <w:pPr>
              <w:widowControl w:val="0"/>
              <w:spacing w:after="0" w:line="23" w:lineRule="atLeast"/>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4ADC1297" w14:textId="06AC3AB1" w:rsidR="00C71D61" w:rsidRPr="00C71D61" w:rsidRDefault="00C71D61" w:rsidP="00C71D61">
            <w:pPr>
              <w:widowControl w:val="0"/>
              <w:jc w:val="both"/>
              <w:rPr>
                <w:rFonts w:ascii="Times New Roman" w:eastAsia="Calibri" w:hAnsi="Times New Roman" w:cs="Times New Roman"/>
                <w:sz w:val="20"/>
                <w:szCs w:val="20"/>
              </w:rPr>
            </w:pPr>
            <w:r w:rsidRPr="00C71D61">
              <w:rPr>
                <w:rFonts w:ascii="Times New Roman" w:eastAsia="Calibri" w:hAnsi="Times New Roman" w:cs="Times New Roman"/>
                <w:sz w:val="20"/>
                <w:szCs w:val="20"/>
              </w:rPr>
              <w:lastRenderedPageBreak/>
              <w:t>Jebkādas darbības attiecībā uz ieguldījumu brokeru sabiedrības maksātnespējas lietu, tostarp informēt Komisiju vai izskatīt pieteikumu, kā tas ir norādīts arī likumprojekta 75. panta septītajā un astotajā daļā, tiesa var veikt tikai pēc tam, kad ir ierosinājusi lietu. Kamēr lieta nav ierosināta, tiesai nav pamata veikt nekādas darbības, jo pastāv iespēja, ka lieta nemaz netiks ierosināta, proti, pieteicējs var nebūt iesniedzis visus likumā noteiktos dokumentus vai samaksājis tiesas izdevumus. Šādos gadījumos pieteicējam tiek dots termiņš trūkumu novēršanai. Ja trūkumi netiek novērsti, pieteikums tiek uzskatīts par neiesniegtu un atgriezts pieteicējam. Savukārt, ja trūkumi noteiktajā termiņā tiek novērsti, pieteikums tiek pieņemts un lieta tiek ierosināta. Attiecīgi tikai pēc lietas ierosināšanas tiesai var rasties pienākums informēt Komisiju par pieņemto pieteikumu, kā arī izlemt jautājumu par pieteikuma apmierināšanu vai noraidīšanu.</w:t>
            </w:r>
          </w:p>
        </w:tc>
        <w:tc>
          <w:tcPr>
            <w:tcW w:w="848" w:type="pct"/>
            <w:gridSpan w:val="2"/>
            <w:tcBorders>
              <w:top w:val="single" w:sz="6" w:space="0" w:color="000000"/>
              <w:left w:val="single" w:sz="6" w:space="0" w:color="000000"/>
              <w:bottom w:val="single" w:sz="6" w:space="0" w:color="000000"/>
              <w:right w:val="single" w:sz="6" w:space="0" w:color="000000"/>
            </w:tcBorders>
          </w:tcPr>
          <w:p w14:paraId="39DD0020" w14:textId="104A5916" w:rsidR="00C71D61" w:rsidRDefault="002A3F65" w:rsidP="00C71D61">
            <w:pPr>
              <w:spacing w:after="0" w:line="240" w:lineRule="auto"/>
              <w:jc w:val="both"/>
              <w:rPr>
                <w:rFonts w:ascii="Times New Roman" w:eastAsia="Times New Roman" w:hAnsi="Times New Roman" w:cs="Times New Roman"/>
                <w:sz w:val="20"/>
                <w:szCs w:val="20"/>
                <w:lang w:eastAsia="lv-LV"/>
              </w:rPr>
            </w:pPr>
            <w:r w:rsidRPr="002A3F65">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C71D61" w:rsidRPr="00EC49D1">
              <w:rPr>
                <w:rFonts w:ascii="Times New Roman" w:eastAsia="Times New Roman" w:hAnsi="Times New Roman" w:cs="Times New Roman"/>
                <w:sz w:val="20"/>
                <w:szCs w:val="20"/>
                <w:lang w:eastAsia="lv-LV"/>
              </w:rPr>
              <w:t>Maksātnespējas likuma 2.panta ceturtā daļa nosaka, ka “</w:t>
            </w:r>
            <w:r w:rsidR="00C71D61" w:rsidRPr="00EC49D1">
              <w:rPr>
                <w:rFonts w:ascii="Times New Roman" w:eastAsia="Times New Roman" w:hAnsi="Times New Roman" w:cs="Times New Roman"/>
                <w:i/>
                <w:iCs/>
                <w:sz w:val="20"/>
                <w:szCs w:val="20"/>
                <w:lang w:eastAsia="lv-LV"/>
              </w:rPr>
              <w:t xml:space="preserve">uz to finanšu un kapitāla tirgus dalībnieku maksātnespējas procesu, kuru darbības uzraudzību saskaņā ar normatīvo aktu prasībām veic Finanšu un kapitāla tirgus komisija, attiecināmi šā likuma noteikumi, </w:t>
            </w:r>
            <w:r w:rsidR="00C71D61" w:rsidRPr="00454D6A">
              <w:rPr>
                <w:rFonts w:ascii="Times New Roman" w:eastAsia="Times New Roman" w:hAnsi="Times New Roman" w:cs="Times New Roman"/>
                <w:i/>
                <w:iCs/>
                <w:sz w:val="20"/>
                <w:szCs w:val="20"/>
                <w:lang w:eastAsia="lv-LV"/>
              </w:rPr>
              <w:t>ciktāl finanšu un kapitāla tirgus dalībnieku darbību reglamentējošajās speciālajās tiesību normās nav noteikts citādi</w:t>
            </w:r>
            <w:r w:rsidR="00C71D61" w:rsidRPr="00454D6A">
              <w:rPr>
                <w:rFonts w:ascii="Times New Roman" w:eastAsia="Times New Roman" w:hAnsi="Times New Roman" w:cs="Times New Roman"/>
                <w:sz w:val="20"/>
                <w:szCs w:val="20"/>
                <w:lang w:eastAsia="lv-LV"/>
              </w:rPr>
              <w:t>”,</w:t>
            </w:r>
            <w:r w:rsidR="00C71D61">
              <w:rPr>
                <w:rFonts w:ascii="Times New Roman" w:eastAsia="Times New Roman" w:hAnsi="Times New Roman" w:cs="Times New Roman"/>
                <w:sz w:val="20"/>
                <w:szCs w:val="20"/>
                <w:lang w:eastAsia="lv-LV"/>
              </w:rPr>
              <w:t xml:space="preserve"> proti, ne Maksātnespējas likums, ne šobrīd spēkā esošais Finanšu instrumentu tirgus likums neliedz ieguldījumu brokeru sabiedrībai kā juridiskai personai iesniegt tiesā maksātnespējas procesa pieteikumu. Likumprojekta </w:t>
            </w:r>
            <w:r w:rsidR="0053498B">
              <w:rPr>
                <w:rFonts w:ascii="Times New Roman" w:eastAsia="Times New Roman" w:hAnsi="Times New Roman" w:cs="Times New Roman"/>
                <w:sz w:val="20"/>
                <w:szCs w:val="20"/>
                <w:lang w:eastAsia="lv-LV"/>
              </w:rPr>
              <w:t>81</w:t>
            </w:r>
            <w:r w:rsidR="00C71D61">
              <w:rPr>
                <w:rFonts w:ascii="Times New Roman" w:eastAsia="Times New Roman" w:hAnsi="Times New Roman" w:cs="Times New Roman"/>
                <w:sz w:val="20"/>
                <w:szCs w:val="20"/>
                <w:lang w:eastAsia="lv-LV"/>
              </w:rPr>
              <w:t xml:space="preserve">.panta ceturtā daļa attiecināma uz tiesu, kura saņēmusi šādu pieteikumu un kurai saskaņā ar sesto daļu ir pienākums nekavējoties par to </w:t>
            </w:r>
            <w:proofErr w:type="spellStart"/>
            <w:r w:rsidR="00C71D61">
              <w:rPr>
                <w:rFonts w:ascii="Times New Roman" w:eastAsia="Times New Roman" w:hAnsi="Times New Roman" w:cs="Times New Roman"/>
                <w:sz w:val="20"/>
                <w:szCs w:val="20"/>
                <w:lang w:eastAsia="lv-LV"/>
              </w:rPr>
              <w:t>infromēt</w:t>
            </w:r>
            <w:proofErr w:type="spellEnd"/>
            <w:r w:rsidR="00C71D61">
              <w:rPr>
                <w:rFonts w:ascii="Times New Roman" w:eastAsia="Times New Roman" w:hAnsi="Times New Roman" w:cs="Times New Roman"/>
                <w:sz w:val="20"/>
                <w:szCs w:val="20"/>
                <w:lang w:eastAsia="lv-LV"/>
              </w:rPr>
              <w:t xml:space="preserve"> Komisiju. Šāda regulējuma mērķis ir </w:t>
            </w:r>
            <w:proofErr w:type="spellStart"/>
            <w:r w:rsidR="00C71D61">
              <w:rPr>
                <w:rFonts w:ascii="Times New Roman" w:eastAsia="Times New Roman" w:hAnsi="Times New Roman" w:cs="Times New Roman"/>
                <w:sz w:val="20"/>
                <w:szCs w:val="20"/>
                <w:lang w:eastAsia="lv-LV"/>
              </w:rPr>
              <w:t>nodoršināt</w:t>
            </w:r>
            <w:proofErr w:type="spellEnd"/>
            <w:r w:rsidR="00C71D61">
              <w:rPr>
                <w:rFonts w:ascii="Times New Roman" w:eastAsia="Times New Roman" w:hAnsi="Times New Roman" w:cs="Times New Roman"/>
                <w:sz w:val="20"/>
                <w:szCs w:val="20"/>
                <w:lang w:eastAsia="lv-LV"/>
              </w:rPr>
              <w:t xml:space="preserve">, ka tiesā iesniegtie ieguldījumu brokeru sabiedrību maksātnespējas pieteikumi “nepaslīd” garām Komisijai neatkarīgi no tā, kāds lēmums ir pieņemts iepriekš attiecībā uz konkrēto ieguldījumu brokeru sabiedrību. Lēmums par </w:t>
            </w:r>
            <w:r w:rsidR="00C71D61">
              <w:rPr>
                <w:rFonts w:ascii="Times New Roman" w:eastAsia="Times New Roman" w:hAnsi="Times New Roman" w:cs="Times New Roman"/>
                <w:sz w:val="20"/>
                <w:szCs w:val="20"/>
                <w:lang w:eastAsia="lv-LV"/>
              </w:rPr>
              <w:t xml:space="preserve">noregulējuma piemērošanu vai </w:t>
            </w:r>
            <w:r w:rsidR="00C71D61" w:rsidRPr="00720E93">
              <w:rPr>
                <w:rFonts w:ascii="Times New Roman" w:eastAsia="Times New Roman" w:hAnsi="Times New Roman" w:cs="Times New Roman"/>
                <w:sz w:val="20"/>
                <w:szCs w:val="20"/>
                <w:lang w:eastAsia="lv-LV"/>
              </w:rPr>
              <w:t xml:space="preserve">lēmums </w:t>
            </w:r>
            <w:r w:rsidR="00C71D61">
              <w:rPr>
                <w:rFonts w:ascii="Times New Roman" w:eastAsia="Times New Roman" w:hAnsi="Times New Roman" w:cs="Times New Roman"/>
                <w:sz w:val="20"/>
                <w:szCs w:val="20"/>
                <w:lang w:eastAsia="lv-LV"/>
              </w:rPr>
              <w:t xml:space="preserve">par </w:t>
            </w:r>
            <w:r w:rsidR="00C71D61" w:rsidRPr="00720E93">
              <w:rPr>
                <w:rFonts w:ascii="Times New Roman" w:eastAsia="Times New Roman" w:hAnsi="Times New Roman" w:cs="Times New Roman"/>
                <w:sz w:val="20"/>
                <w:szCs w:val="20"/>
                <w:lang w:eastAsia="lv-LV"/>
              </w:rPr>
              <w:t> </w:t>
            </w:r>
            <w:hyperlink r:id="rId23" w:tgtFrame="_blank" w:history="1">
              <w:r w:rsidR="00C71D61" w:rsidRPr="00720E93">
                <w:rPr>
                  <w:rFonts w:ascii="Times New Roman" w:eastAsia="Times New Roman" w:hAnsi="Times New Roman" w:cs="Times New Roman"/>
                  <w:sz w:val="20"/>
                  <w:szCs w:val="20"/>
                  <w:lang w:eastAsia="lv-LV"/>
                </w:rPr>
                <w:t>Kredītiestāžu un ieguldījumu brokeru sabiedrību darbības atjaunošanas un noregulējuma likumā</w:t>
              </w:r>
            </w:hyperlink>
            <w:r w:rsidR="00C71D61" w:rsidRPr="00720E93">
              <w:rPr>
                <w:rFonts w:ascii="Times New Roman" w:eastAsia="Times New Roman" w:hAnsi="Times New Roman" w:cs="Times New Roman"/>
                <w:sz w:val="20"/>
                <w:szCs w:val="20"/>
                <w:lang w:eastAsia="lv-LV"/>
              </w:rPr>
              <w:t> noteikt</w:t>
            </w:r>
            <w:r w:rsidR="00C71D61">
              <w:rPr>
                <w:rFonts w:ascii="Times New Roman" w:eastAsia="Times New Roman" w:hAnsi="Times New Roman" w:cs="Times New Roman"/>
                <w:sz w:val="20"/>
                <w:szCs w:val="20"/>
                <w:lang w:eastAsia="lv-LV"/>
              </w:rPr>
              <w:t>ās</w:t>
            </w:r>
            <w:r w:rsidR="00C71D61" w:rsidRPr="00720E93">
              <w:rPr>
                <w:rFonts w:ascii="Times New Roman" w:eastAsia="Times New Roman" w:hAnsi="Times New Roman" w:cs="Times New Roman"/>
                <w:sz w:val="20"/>
                <w:szCs w:val="20"/>
                <w:lang w:eastAsia="lv-LV"/>
              </w:rPr>
              <w:t xml:space="preserve"> kārtīb</w:t>
            </w:r>
            <w:r w:rsidR="00C71D61">
              <w:rPr>
                <w:rFonts w:ascii="Times New Roman" w:eastAsia="Times New Roman" w:hAnsi="Times New Roman" w:cs="Times New Roman"/>
                <w:sz w:val="20"/>
                <w:szCs w:val="20"/>
                <w:lang w:eastAsia="lv-LV"/>
              </w:rPr>
              <w:t>as piemērošanu negarantē to, ka konkrētā ieguldījumu brokeru sabiedrība tiks noregulēta vai atjaunota, lai tā spētu funkcionēt un pildīt uzņemtās saistības, proti, tas ir pietiekami garš un sarežģīts process</w:t>
            </w:r>
            <w:r w:rsidR="00C71D61" w:rsidRPr="00720E93">
              <w:rPr>
                <w:rFonts w:ascii="Times New Roman" w:eastAsia="Times New Roman" w:hAnsi="Times New Roman" w:cs="Times New Roman"/>
                <w:sz w:val="20"/>
                <w:szCs w:val="20"/>
                <w:lang w:eastAsia="lv-LV"/>
              </w:rPr>
              <w:t>.</w:t>
            </w:r>
          </w:p>
          <w:p w14:paraId="082321EA" w14:textId="77777777" w:rsidR="00C71D61" w:rsidRDefault="00C71D61" w:rsidP="00C71D61">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Komisijas viena no galvenajām funkcijām ir nodrošināt </w:t>
            </w:r>
            <w:proofErr w:type="spellStart"/>
            <w:r>
              <w:rPr>
                <w:rFonts w:ascii="Times New Roman" w:eastAsia="Times New Roman" w:hAnsi="Times New Roman" w:cs="Times New Roman"/>
                <w:sz w:val="20"/>
                <w:szCs w:val="20"/>
                <w:lang w:eastAsia="lv-LV"/>
              </w:rPr>
              <w:t>finašu</w:t>
            </w:r>
            <w:proofErr w:type="spellEnd"/>
            <w:r>
              <w:rPr>
                <w:rFonts w:ascii="Times New Roman" w:eastAsia="Times New Roman" w:hAnsi="Times New Roman" w:cs="Times New Roman"/>
                <w:sz w:val="20"/>
                <w:szCs w:val="20"/>
                <w:lang w:eastAsia="lv-LV"/>
              </w:rPr>
              <w:t xml:space="preserve"> un kapitāla tirgus stabilitāti, proti, jebkuras finanšu institūcijas nonākšana grūtībās ir potenciāls drauds finanšu un kapitāla tirgus stabilitātei.</w:t>
            </w:r>
          </w:p>
          <w:p w14:paraId="77C1FD59" w14:textId="7E7F5B78" w:rsidR="006B0E97" w:rsidRDefault="00C71D61" w:rsidP="00C71D61">
            <w:pPr>
              <w:spacing w:after="0" w:line="240" w:lineRule="auto"/>
              <w:jc w:val="both"/>
              <w:rPr>
                <w:rFonts w:ascii="Times New Roman" w:eastAsia="Times New Roman" w:hAnsi="Times New Roman" w:cs="Times New Roman"/>
                <w:b/>
                <w:bCs/>
                <w:sz w:val="20"/>
                <w:szCs w:val="20"/>
                <w:lang w:eastAsia="lv-LV"/>
              </w:rPr>
            </w:pPr>
            <w:r w:rsidRPr="00C71D61">
              <w:rPr>
                <w:rFonts w:ascii="Times New Roman" w:eastAsia="Times New Roman" w:hAnsi="Times New Roman" w:cs="Times New Roman"/>
                <w:sz w:val="20"/>
                <w:szCs w:val="20"/>
                <w:lang w:eastAsia="lv-LV"/>
              </w:rPr>
              <w:t xml:space="preserve">Kontekstā ar Tieslietu ministrijas 41.iebildumu Finanšu ministrija konceptuāli neiebilst pret likumprojekta </w:t>
            </w:r>
            <w:r w:rsidR="0053498B">
              <w:rPr>
                <w:rFonts w:ascii="Times New Roman" w:eastAsia="Times New Roman" w:hAnsi="Times New Roman" w:cs="Times New Roman"/>
                <w:sz w:val="20"/>
                <w:szCs w:val="20"/>
                <w:lang w:eastAsia="lv-LV"/>
              </w:rPr>
              <w:t>81</w:t>
            </w:r>
            <w:r w:rsidRPr="00C71D61">
              <w:rPr>
                <w:rFonts w:ascii="Times New Roman" w:eastAsia="Times New Roman" w:hAnsi="Times New Roman" w:cs="Times New Roman"/>
                <w:sz w:val="20"/>
                <w:szCs w:val="20"/>
                <w:lang w:eastAsia="lv-LV"/>
              </w:rPr>
              <w:t xml:space="preserve">.panta ceturtās, piektās, sestās, septītās un astotās daļas regulējuma pārskatīšanu, proti, ja Tieslietu ministrijas ieskatā minētais regulējums ir iekļaujams Civilprocesa likumā, tad šādu grozījumu nepieciešamība būtu izskatāma Tieslietu ministrijas Civilprocesa likuma darba grupā. Rezultātā būtu jāizstrādā attiecīgi grozījumi, </w:t>
            </w:r>
            <w:proofErr w:type="spellStart"/>
            <w:r w:rsidRPr="00C71D61">
              <w:rPr>
                <w:rFonts w:ascii="Times New Roman" w:eastAsia="Times New Roman" w:hAnsi="Times New Roman" w:cs="Times New Roman"/>
                <w:sz w:val="20"/>
                <w:szCs w:val="20"/>
                <w:lang w:eastAsia="lv-LV"/>
              </w:rPr>
              <w:t>izlēdzot</w:t>
            </w:r>
            <w:proofErr w:type="spellEnd"/>
            <w:r w:rsidRPr="00C71D61">
              <w:rPr>
                <w:rFonts w:ascii="Times New Roman" w:eastAsia="Times New Roman" w:hAnsi="Times New Roman" w:cs="Times New Roman"/>
                <w:sz w:val="20"/>
                <w:szCs w:val="20"/>
                <w:lang w:eastAsia="lv-LV"/>
              </w:rPr>
              <w:t xml:space="preserve"> minētās normas, no Ieguldījumu brokeru sabiedrību likuma un vienlaikus ar grozījumiem jāiestrādā Civilprocesa likumā, neradot minētā regulējuma “pārrāvumu”.</w:t>
            </w:r>
          </w:p>
        </w:tc>
        <w:tc>
          <w:tcPr>
            <w:tcW w:w="936" w:type="pct"/>
            <w:tcBorders>
              <w:top w:val="single" w:sz="4" w:space="0" w:color="auto"/>
              <w:left w:val="single" w:sz="4" w:space="0" w:color="auto"/>
              <w:bottom w:val="single" w:sz="4" w:space="0" w:color="auto"/>
              <w:right w:val="single" w:sz="4" w:space="0" w:color="auto"/>
            </w:tcBorders>
          </w:tcPr>
          <w:p w14:paraId="3C500B98" w14:textId="1CFC7F8D" w:rsidR="00C71D61" w:rsidRDefault="0053498B" w:rsidP="00C71D61">
            <w:pPr>
              <w:pStyle w:val="NoSpacing"/>
              <w:widowControl/>
              <w:rPr>
                <w:rFonts w:eastAsiaTheme="minorHAnsi"/>
                <w:b/>
                <w:bCs/>
                <w:sz w:val="20"/>
                <w:szCs w:val="20"/>
              </w:rPr>
            </w:pPr>
            <w:r>
              <w:rPr>
                <w:rFonts w:eastAsiaTheme="minorHAnsi"/>
                <w:b/>
                <w:bCs/>
                <w:sz w:val="20"/>
                <w:szCs w:val="20"/>
              </w:rPr>
              <w:lastRenderedPageBreak/>
              <w:t>81</w:t>
            </w:r>
            <w:r w:rsidR="00C71D61" w:rsidRPr="000B1586">
              <w:rPr>
                <w:rFonts w:eastAsiaTheme="minorHAnsi"/>
                <w:b/>
                <w:bCs/>
                <w:sz w:val="20"/>
                <w:szCs w:val="20"/>
              </w:rPr>
              <w:t>.pants. Ieguldījumu brokeru sabiedrību darbības atjaunošanas un noregulējuma, maksātnespējas un likvidācijas tiesiskais regulējums</w:t>
            </w:r>
          </w:p>
          <w:p w14:paraId="65D9AC1F" w14:textId="77777777" w:rsidR="00C71D61" w:rsidRPr="00A35625" w:rsidRDefault="00C71D61" w:rsidP="00C71D61">
            <w:pPr>
              <w:spacing w:after="0" w:line="23" w:lineRule="atLeast"/>
              <w:jc w:val="both"/>
              <w:rPr>
                <w:rFonts w:ascii="Times New Roman" w:hAnsi="Times New Roman" w:cs="Times New Roman"/>
                <w:sz w:val="20"/>
                <w:szCs w:val="20"/>
                <w:u w:val="single"/>
              </w:rPr>
            </w:pPr>
            <w:r w:rsidRPr="00A35625">
              <w:rPr>
                <w:rFonts w:ascii="Times New Roman" w:hAnsi="Times New Roman" w:cs="Times New Roman"/>
                <w:sz w:val="20"/>
                <w:szCs w:val="20"/>
                <w:u w:val="single"/>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68213F02" w14:textId="77777777" w:rsidR="006B0E97" w:rsidRPr="00184920" w:rsidRDefault="006B0E97" w:rsidP="007D6D6F">
            <w:pPr>
              <w:spacing w:after="0" w:line="240" w:lineRule="auto"/>
              <w:jc w:val="both"/>
              <w:rPr>
                <w:rFonts w:ascii="Times New Roman" w:eastAsia="Times New Roman" w:hAnsi="Times New Roman" w:cs="Times New Roman"/>
                <w:sz w:val="20"/>
                <w:szCs w:val="20"/>
                <w:lang w:eastAsia="lv-LV"/>
              </w:rPr>
            </w:pPr>
          </w:p>
        </w:tc>
      </w:tr>
      <w:tr w:rsidR="00611CDE" w:rsidRPr="00184920" w14:paraId="6D65025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12BAE87C" w14:textId="06A04A5A" w:rsidR="00611CDE" w:rsidRDefault="00611CDE"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41.</w:t>
            </w:r>
          </w:p>
        </w:tc>
        <w:tc>
          <w:tcPr>
            <w:tcW w:w="692" w:type="pct"/>
            <w:tcBorders>
              <w:top w:val="single" w:sz="6" w:space="0" w:color="000000"/>
              <w:left w:val="single" w:sz="6" w:space="0" w:color="000000"/>
              <w:bottom w:val="single" w:sz="6" w:space="0" w:color="000000"/>
              <w:right w:val="single" w:sz="6" w:space="0" w:color="000000"/>
            </w:tcBorders>
          </w:tcPr>
          <w:p w14:paraId="319811A7" w14:textId="77777777" w:rsidR="00611CDE" w:rsidRPr="007E5A47" w:rsidRDefault="00611CDE" w:rsidP="00611CDE">
            <w:pPr>
              <w:pStyle w:val="NoSpacing"/>
              <w:widowControl/>
              <w:rPr>
                <w:rFonts w:eastAsiaTheme="minorHAnsi"/>
                <w:b/>
                <w:bCs/>
                <w:sz w:val="20"/>
                <w:szCs w:val="20"/>
              </w:rPr>
            </w:pPr>
            <w:r w:rsidRPr="007E5A47">
              <w:rPr>
                <w:rFonts w:eastAsiaTheme="minorHAnsi"/>
                <w:b/>
                <w:bCs/>
                <w:sz w:val="20"/>
                <w:szCs w:val="20"/>
              </w:rPr>
              <w:t>75.pants. Ieguldījumu brokeru sabiedrību darbības atjaunošanas un noregulējuma, maksātnespējas un likvidācijas tiesiskais regulējums</w:t>
            </w:r>
          </w:p>
          <w:p w14:paraId="31EA027E"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(4) Ieguldījumu brokeru sabiedrības maksātnespējas pieteikums tiek iesniegts tikai ar Komisijas piekrišanu.</w:t>
            </w:r>
          </w:p>
          <w:p w14:paraId="796E78E8"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(5) Pret ieguldījumu brokeru sabiedrību, attiecībā uz kuru Komisija ir pieņēmusi lēmumu par turpmāko rīcību saskaņā ar </w:t>
            </w:r>
            <w:hyperlink r:id="rId24" w:tgtFrame="_blank" w:history="1">
              <w:r w:rsidRPr="007E5A47">
                <w:rPr>
                  <w:rFonts w:eastAsiaTheme="minorHAnsi"/>
                  <w:bCs/>
                  <w:sz w:val="20"/>
                  <w:szCs w:val="20"/>
                </w:rPr>
                <w:t>Kredītiestāžu un ieguldījumu brokeru sabiedrību darbības atjaunošanas un noregulējuma likumā</w:t>
              </w:r>
            </w:hyperlink>
            <w:r w:rsidRPr="007E5A47">
              <w:rPr>
                <w:rFonts w:eastAsiaTheme="minorHAnsi"/>
                <w:bCs/>
                <w:sz w:val="20"/>
                <w:szCs w:val="20"/>
              </w:rPr>
              <w:t xml:space="preserve"> noteikto kārtību, </w:t>
            </w:r>
            <w:r w:rsidRPr="007E5A47">
              <w:rPr>
                <w:rFonts w:eastAsiaTheme="minorHAnsi"/>
                <w:bCs/>
                <w:sz w:val="20"/>
                <w:szCs w:val="20"/>
              </w:rPr>
              <w:lastRenderedPageBreak/>
              <w:t>maksātnespējas procesu tiesa var ierosināt, tikai pamatojoties uz Komisijas pieteikumu.</w:t>
            </w:r>
          </w:p>
          <w:p w14:paraId="1E215405"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(6) Tiesa, saņemot ieguldījumu brokeru sabiedrības maksātnespējas pieteikumu, nekavējoties par to informē Komisiju neatkarīgi no tā, vai ieguldījumu brokeru sabiedrībai tiek piemērots noregulējums vai ir publiskots lēmums saskaņā ar </w:t>
            </w:r>
            <w:hyperlink r:id="rId25" w:tgtFrame="_blank" w:history="1">
              <w:r w:rsidRPr="007E5A47">
                <w:rPr>
                  <w:rFonts w:eastAsiaTheme="minorHAnsi"/>
                  <w:bCs/>
                  <w:sz w:val="20"/>
                  <w:szCs w:val="20"/>
                </w:rPr>
                <w:t>Kredītiestāžu un ieguldījumu brokeru sabiedrību darbības atjaunošanas un noregulējuma likumā</w:t>
              </w:r>
            </w:hyperlink>
            <w:r w:rsidRPr="007E5A47">
              <w:rPr>
                <w:rFonts w:eastAsiaTheme="minorHAnsi"/>
                <w:bCs/>
                <w:sz w:val="20"/>
                <w:szCs w:val="20"/>
              </w:rPr>
              <w:t> noteikto kārtību.</w:t>
            </w:r>
          </w:p>
          <w:p w14:paraId="7FA1017B" w14:textId="77777777" w:rsidR="00611CDE" w:rsidRPr="007E5A47" w:rsidRDefault="00611CDE" w:rsidP="00611CDE">
            <w:pPr>
              <w:pStyle w:val="NoSpacing"/>
              <w:widowControl/>
              <w:rPr>
                <w:rFonts w:eastAsiaTheme="minorHAnsi"/>
                <w:bCs/>
                <w:sz w:val="20"/>
                <w:szCs w:val="20"/>
              </w:rPr>
            </w:pPr>
            <w:r w:rsidRPr="007E5A47">
              <w:rPr>
                <w:rFonts w:eastAsiaTheme="minorHAnsi"/>
                <w:bCs/>
                <w:sz w:val="20"/>
                <w:szCs w:val="20"/>
              </w:rPr>
              <w:t>(7) Pēc šā panta sestajā daļā noteiktā informēšanas pienākuma izpildes tiesa var izskatīt maksātnespējas pieteikumu, ja Komisija ir paziņojusi tiesai, ka tā neplāno veikt noregulējuma darbības attiecībā uz ieguldījumu brokeru sabiedrību, vai tā nav septiņu dienu laikā sniegusi atbildi tiesai.</w:t>
            </w:r>
          </w:p>
          <w:p w14:paraId="2775A308" w14:textId="57E7E4DC" w:rsidR="00611CDE" w:rsidRPr="000B1586" w:rsidRDefault="00611CDE" w:rsidP="006B0E97">
            <w:pPr>
              <w:pStyle w:val="NoSpacing"/>
              <w:widowControl/>
              <w:rPr>
                <w:rFonts w:eastAsiaTheme="minorHAnsi"/>
                <w:b/>
                <w:bCs/>
                <w:sz w:val="20"/>
                <w:szCs w:val="20"/>
              </w:rPr>
            </w:pPr>
            <w:r w:rsidRPr="007E5A47">
              <w:rPr>
                <w:bCs/>
                <w:sz w:val="20"/>
                <w:szCs w:val="20"/>
              </w:rPr>
              <w:t xml:space="preserve">(8) Ja Komisija pēc šā panta sestajā daļā noteiktās informācijas saņemšanas tiesai ir paziņojusi, ka ieguldījumu brokeru sabiedrība atbilst noregulējuma nosacījumiem un attiecībā uz ieguldījumu brokeru sabiedrību tā plāno veikt noregulējuma darbības, </w:t>
            </w:r>
            <w:r w:rsidRPr="007E5A47">
              <w:rPr>
                <w:bCs/>
                <w:sz w:val="20"/>
                <w:szCs w:val="20"/>
              </w:rPr>
              <w:lastRenderedPageBreak/>
              <w:t>tiesa pieņem nolēmumu par maksātnespējas pieteikuma noraidīšanu.</w:t>
            </w:r>
          </w:p>
        </w:tc>
        <w:tc>
          <w:tcPr>
            <w:tcW w:w="1309" w:type="pct"/>
            <w:tcBorders>
              <w:top w:val="single" w:sz="6" w:space="0" w:color="000000"/>
              <w:left w:val="single" w:sz="6" w:space="0" w:color="000000"/>
              <w:bottom w:val="single" w:sz="6" w:space="0" w:color="000000"/>
              <w:right w:val="single" w:sz="6" w:space="0" w:color="000000"/>
            </w:tcBorders>
          </w:tcPr>
          <w:p w14:paraId="5C569822" w14:textId="77777777" w:rsidR="00611CDE" w:rsidRPr="007E5A47" w:rsidRDefault="00611CDE" w:rsidP="00611CDE">
            <w:pPr>
              <w:jc w:val="both"/>
              <w:rPr>
                <w:rFonts w:ascii="Times New Roman" w:hAnsi="Times New Roman" w:cs="Times New Roman"/>
                <w:sz w:val="20"/>
                <w:szCs w:val="20"/>
              </w:rPr>
            </w:pPr>
            <w:r w:rsidRPr="007E5A47">
              <w:rPr>
                <w:rFonts w:ascii="Times New Roman" w:hAnsi="Times New Roman" w:cs="Times New Roman"/>
                <w:b/>
                <w:bCs/>
                <w:sz w:val="20"/>
                <w:szCs w:val="20"/>
              </w:rPr>
              <w:lastRenderedPageBreak/>
              <w:t>Iebildums.</w:t>
            </w:r>
            <w:r w:rsidRPr="007E5A47">
              <w:rPr>
                <w:rFonts w:ascii="Times New Roman" w:hAnsi="Times New Roman" w:cs="Times New Roman"/>
                <w:sz w:val="20"/>
                <w:szCs w:val="20"/>
              </w:rPr>
              <w:t xml:space="preserve"> Vēršam uzmanību, ka likumprojekta 73. panta ceturtā, piektā, sestā, septītā un astotā daļa ir procesuālas normas, kurām būtu jābūt ietvertām Civilprocesa likuma 46.</w:t>
            </w:r>
            <w:r w:rsidRPr="007E5A47">
              <w:rPr>
                <w:rFonts w:ascii="Times New Roman" w:hAnsi="Times New Roman" w:cs="Times New Roman"/>
                <w:sz w:val="20"/>
                <w:szCs w:val="20"/>
                <w:vertAlign w:val="superscript"/>
              </w:rPr>
              <w:t>1</w:t>
            </w:r>
            <w:r w:rsidRPr="007E5A47">
              <w:rPr>
                <w:rFonts w:ascii="Times New Roman" w:hAnsi="Times New Roman" w:cs="Times New Roman"/>
                <w:sz w:val="20"/>
                <w:szCs w:val="20"/>
              </w:rPr>
              <w:t> nodaļā, nevis likumprojektā. Vienlaikus informējam, ka gadījumā, ja ir plānots šīs normas iekļaut Civilprocesa likumā, vispirms šāds regulējums ir izskatāms Civilprocesa likuma darba grupā.</w:t>
            </w:r>
          </w:p>
          <w:p w14:paraId="011749F7" w14:textId="77777777" w:rsidR="00611CDE" w:rsidRDefault="00611CDE" w:rsidP="00611CDE">
            <w:pPr>
              <w:jc w:val="both"/>
              <w:rPr>
                <w:rFonts w:ascii="Times New Roman" w:hAnsi="Times New Roman" w:cs="Times New Roman"/>
                <w:sz w:val="20"/>
                <w:szCs w:val="20"/>
              </w:rPr>
            </w:pPr>
            <w:r w:rsidRPr="007E5A47">
              <w:rPr>
                <w:rFonts w:ascii="Times New Roman" w:hAnsi="Times New Roman" w:cs="Times New Roman"/>
                <w:sz w:val="20"/>
                <w:szCs w:val="20"/>
              </w:rPr>
              <w:t xml:space="preserve">Tāpat norādām, ka Tieslietu ministrijas ieskatā nav skaidrs, kā tiesa lietas ierosināšanas (nevis juridiskās personas maksātnespējas procesa pasludināšanas) brīdī varēs konstatēt vai pārliecināties par minētā panta ceturtajā un piektajā daļā norādītajiem apstākļiem, vienlaikus ievērojot, ka sestajā daļā noteiktā darbība būtiski atšķiras no civilprocesa norises konstrukcijas juridiskas personas maksātnespējas procesa lietās. Šajā sakarā papildus vēršam uzmanību uz Civilprocesa likuma </w:t>
            </w:r>
            <w:r w:rsidRPr="007E5A47">
              <w:rPr>
                <w:rFonts w:ascii="Times New Roman" w:hAnsi="Times New Roman" w:cs="Times New Roman"/>
                <w:sz w:val="20"/>
                <w:szCs w:val="20"/>
              </w:rPr>
              <w:t>363.</w:t>
            </w:r>
            <w:r w:rsidRPr="007E5A47">
              <w:rPr>
                <w:rFonts w:ascii="Times New Roman" w:hAnsi="Times New Roman" w:cs="Times New Roman"/>
                <w:sz w:val="20"/>
                <w:szCs w:val="20"/>
                <w:vertAlign w:val="superscript"/>
              </w:rPr>
              <w:t>10</w:t>
            </w:r>
            <w:r w:rsidRPr="007E5A47">
              <w:rPr>
                <w:rFonts w:ascii="Times New Roman" w:hAnsi="Times New Roman" w:cs="Times New Roman"/>
                <w:sz w:val="20"/>
                <w:szCs w:val="20"/>
              </w:rPr>
              <w:t> panta pirmās daļas 2. punktā noteikto pienākumu tiesai.</w:t>
            </w:r>
          </w:p>
          <w:p w14:paraId="799E626C" w14:textId="77777777" w:rsidR="00611CDE" w:rsidRDefault="00611CDE" w:rsidP="00611CDE">
            <w:pPr>
              <w:pStyle w:val="NoSpacing"/>
              <w:widowControl/>
              <w:rPr>
                <w:b/>
                <w:sz w:val="20"/>
                <w:szCs w:val="20"/>
              </w:rPr>
            </w:pPr>
            <w:r w:rsidRPr="007F4126">
              <w:rPr>
                <w:b/>
                <w:sz w:val="20"/>
                <w:szCs w:val="20"/>
              </w:rPr>
              <w:t>Š.g. 11.maijā uzturētais iebildums.</w:t>
            </w:r>
          </w:p>
          <w:p w14:paraId="4C32B6DB" w14:textId="77777777" w:rsidR="00611CDE" w:rsidRPr="007F4126" w:rsidRDefault="00611CDE" w:rsidP="00611CDE">
            <w:pPr>
              <w:pStyle w:val="NoSpacing"/>
              <w:widowControl/>
              <w:rPr>
                <w:b/>
                <w:sz w:val="20"/>
                <w:szCs w:val="20"/>
              </w:rPr>
            </w:pPr>
            <w:r w:rsidRPr="007F4126">
              <w:rPr>
                <w:bCs/>
                <w:sz w:val="20"/>
                <w:szCs w:val="20"/>
              </w:rPr>
              <w:t>Turpinot par likumprojekta 75. pantu, Tieslietu ministrija uztur tās izteiktos iebildumus par to, ka šajā pantā paredzētajām normām jābūt iekļautām Civilprocesa likumā. Tieslietu ministrijas ieskatā jautājumi, kuri saistīti ar tiesas darbības un pienākumu noteikšanu, ir procesuāli, un tie jārisina procesuālajā regulējumā – konkrēti šajā gadījumā Civilprocesa likumā, un izņēmumi no tā nav pieļaujami. Tāpat Finanšu ministrijas iecerētā kārtība rada nesamērīgu slogu civilprocesa norisei.</w:t>
            </w:r>
          </w:p>
          <w:p w14:paraId="509DBF82" w14:textId="77777777" w:rsidR="00611CDE" w:rsidRPr="007F4126" w:rsidRDefault="00611CDE" w:rsidP="00611CDE">
            <w:pPr>
              <w:pStyle w:val="NoSpacing"/>
              <w:widowControl/>
              <w:rPr>
                <w:bCs/>
                <w:sz w:val="20"/>
                <w:szCs w:val="20"/>
              </w:rPr>
            </w:pPr>
            <w:r w:rsidRPr="007F4126">
              <w:rPr>
                <w:bCs/>
                <w:sz w:val="20"/>
                <w:szCs w:val="20"/>
              </w:rPr>
              <w:t xml:space="preserve">No maksātnespējas jomas perspektīvas šajā saistībā vēršam uzmanību, ka Maksātnespējas likuma 2. pantā patiešām ir paredzēti gadījumi, kad citos normatīvajos aktos ir pieļaujams iekļaut citādus noteikumus, nekā Maksātnespējas likumā. Taču jāuzsver, ka vairākkārtīgi jau ir diskutēts par Maksātnespējas likuma un Civilprocesa likuma savstarpējo mijiedarbību. Proti, Maksātnespējas likums kopumā paredz </w:t>
            </w:r>
            <w:proofErr w:type="spellStart"/>
            <w:r w:rsidRPr="007F4126">
              <w:rPr>
                <w:bCs/>
                <w:sz w:val="20"/>
                <w:szCs w:val="20"/>
              </w:rPr>
              <w:t>materiāltiesiskās</w:t>
            </w:r>
            <w:proofErr w:type="spellEnd"/>
            <w:r w:rsidRPr="007F4126">
              <w:rPr>
                <w:bCs/>
                <w:sz w:val="20"/>
                <w:szCs w:val="20"/>
              </w:rPr>
              <w:t xml:space="preserve"> normas un normas, kas regulē procesa norisi ārpus tiesas. Savukārt noteikumi, kas regulē norisi tiesā, ir ietverami Civilprocesa likumā, tā kā tieši minētais normatīvais akts regulē civilprocesuālas darbības.</w:t>
            </w:r>
          </w:p>
          <w:p w14:paraId="4EC8B0CC" w14:textId="77777777" w:rsidR="00611CDE" w:rsidRPr="007F4126" w:rsidRDefault="00611CDE" w:rsidP="00611CDE">
            <w:pPr>
              <w:pStyle w:val="NoSpacing"/>
              <w:widowControl/>
              <w:rPr>
                <w:bCs/>
                <w:sz w:val="20"/>
                <w:szCs w:val="20"/>
              </w:rPr>
            </w:pPr>
            <w:r w:rsidRPr="007F4126">
              <w:rPr>
                <w:bCs/>
                <w:sz w:val="20"/>
                <w:szCs w:val="20"/>
              </w:rPr>
              <w:t>Tāpat norādām, ka Finanšu ministrijas arguments par finanšu sektora sadrumstalotu regulējumu nav pamatots. Norādām, ka jau šobrīd Civilprocesa likumā ir regulējums par kredītiestāžu maksātnespējas un likvidācijas lietām (47. nodaļa), kas saturiski ir līdzīga regulējumam, ko Finanšu ministrija vēlas noteikt attiecībā uz ieguldījumu brokeru sabiedrībām (piemēram, arī kredītiestādei pirms vēršanās tiesā ar maksātnespējas pieteikumu ir jāsaņem Komisijas piekrišana).</w:t>
            </w:r>
          </w:p>
          <w:p w14:paraId="04336265" w14:textId="77777777" w:rsidR="00611CDE" w:rsidRPr="007F4126" w:rsidRDefault="00611CDE" w:rsidP="00611CDE">
            <w:pPr>
              <w:pStyle w:val="NoSpacing"/>
              <w:widowControl/>
              <w:rPr>
                <w:bCs/>
                <w:sz w:val="20"/>
                <w:szCs w:val="20"/>
              </w:rPr>
            </w:pPr>
            <w:r w:rsidRPr="007F4126">
              <w:rPr>
                <w:bCs/>
                <w:sz w:val="20"/>
                <w:szCs w:val="20"/>
              </w:rPr>
              <w:t>Līdz ar to Tieslietu ministrijas ieskatā jautājumi, kas risina norisi tiesā, ir ietverami Civilprocesa likumā, nevis Maksātnespējas likumā vai citā tamlīdzīgā likumā. Attiecīgi lūdzam ņemt vērā, ka likumprojekta 75. pantā rakstītajam, to vēl precizējot, ir jābūt iekļautam Civilprocesa likumā.</w:t>
            </w:r>
          </w:p>
          <w:p w14:paraId="2DE36D35" w14:textId="77777777" w:rsidR="00611CDE" w:rsidRPr="00536C24" w:rsidRDefault="00611CDE" w:rsidP="00611CDE">
            <w:pPr>
              <w:jc w:val="both"/>
              <w:rPr>
                <w:rFonts w:ascii="Times New Roman" w:hAnsi="Times New Roman" w:cs="Times New Roman"/>
                <w:b/>
                <w:bCs/>
                <w:sz w:val="20"/>
                <w:szCs w:val="20"/>
              </w:rPr>
            </w:pPr>
            <w:r w:rsidRPr="00536C24">
              <w:rPr>
                <w:rFonts w:ascii="Times New Roman" w:hAnsi="Times New Roman" w:cs="Times New Roman"/>
                <w:b/>
                <w:bCs/>
                <w:sz w:val="20"/>
                <w:szCs w:val="20"/>
              </w:rPr>
              <w:lastRenderedPageBreak/>
              <w:t>Š.g. 7.jūnijā uzturētais iebildums.</w:t>
            </w:r>
          </w:p>
          <w:p w14:paraId="08E1618D" w14:textId="77777777" w:rsidR="00611CDE" w:rsidRPr="00536C24" w:rsidRDefault="00611CDE" w:rsidP="00611CDE">
            <w:pPr>
              <w:spacing w:after="0" w:line="23" w:lineRule="atLeast"/>
              <w:jc w:val="both"/>
              <w:rPr>
                <w:rFonts w:ascii="Times New Roman" w:hAnsi="Times New Roman" w:cs="Times New Roman"/>
                <w:sz w:val="20"/>
                <w:szCs w:val="20"/>
              </w:rPr>
            </w:pPr>
            <w:r w:rsidRPr="00536C24">
              <w:rPr>
                <w:rFonts w:ascii="Times New Roman" w:hAnsi="Times New Roman" w:cs="Times New Roman"/>
                <w:sz w:val="20"/>
                <w:szCs w:val="20"/>
              </w:rPr>
              <w:t>Kas attiecas uz likumprojekta 75. pantu, Tieslietu ministrija uztur tās izteiktos iebildumus par to, ka likumprojekta 75. pantā iekļautajām normām, kas risina norisi tiesā (likumprojekta 75. panta ceturtā, piektā, sestā, septītā un astotā daļa), jābūt iekļautām Civilprocesa likumā. Līdz ar to lūdzam tās izslēgt no likumprojekta 75. panta.</w:t>
            </w:r>
          </w:p>
          <w:p w14:paraId="496802CA" w14:textId="77777777" w:rsidR="00611CDE" w:rsidRPr="00536C24" w:rsidRDefault="00611CDE" w:rsidP="00611CDE">
            <w:pPr>
              <w:spacing w:after="0" w:line="23" w:lineRule="atLeast"/>
              <w:jc w:val="both"/>
              <w:rPr>
                <w:rFonts w:ascii="Times New Roman" w:hAnsi="Times New Roman" w:cs="Times New Roman"/>
                <w:sz w:val="20"/>
                <w:szCs w:val="20"/>
              </w:rPr>
            </w:pPr>
            <w:r w:rsidRPr="00536C24">
              <w:rPr>
                <w:rFonts w:ascii="Times New Roman" w:hAnsi="Times New Roman" w:cs="Times New Roman"/>
                <w:sz w:val="20"/>
                <w:szCs w:val="20"/>
              </w:rPr>
              <w:t>Ja Finanšu ministrija iebilst iepriekš minētā regulējuma pārnešanai tikai uz Civilprocesa likumu, Tieslietu ministrija var atbalstīt šāda procesuālā regulējuma atstāšanu likumprojektā (ar tālāku tā iekļaušanu Civilprocesa likumā) tikai pie nosacījuma, ja 75. panta sestā daļa tiek izteikta sekojošā redakcijā:</w:t>
            </w:r>
          </w:p>
          <w:p w14:paraId="363FCB70" w14:textId="0E3BD3FE" w:rsidR="00611CDE" w:rsidRDefault="00611CDE" w:rsidP="00611CDE">
            <w:pPr>
              <w:spacing w:after="0" w:line="23" w:lineRule="atLeast"/>
              <w:jc w:val="both"/>
              <w:rPr>
                <w:rFonts w:ascii="Times New Roman" w:hAnsi="Times New Roman" w:cs="Times New Roman"/>
                <w:sz w:val="20"/>
                <w:szCs w:val="20"/>
              </w:rPr>
            </w:pPr>
            <w:r w:rsidRPr="00536C24">
              <w:rPr>
                <w:rFonts w:ascii="Times New Roman" w:hAnsi="Times New Roman" w:cs="Times New Roman"/>
                <w:sz w:val="20"/>
                <w:szCs w:val="20"/>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66FC3668" w14:textId="6707850F" w:rsidR="00611CDE" w:rsidRPr="00611CDE" w:rsidRDefault="00611CDE" w:rsidP="00611CDE">
            <w:pPr>
              <w:spacing w:after="0" w:line="23" w:lineRule="atLeast"/>
              <w:jc w:val="both"/>
              <w:rPr>
                <w:rFonts w:ascii="Times New Roman" w:hAnsi="Times New Roman" w:cs="Times New Roman"/>
                <w:sz w:val="20"/>
                <w:szCs w:val="20"/>
              </w:rPr>
            </w:pPr>
            <w:r w:rsidRPr="00611CDE">
              <w:rPr>
                <w:rFonts w:ascii="Times New Roman" w:hAnsi="Times New Roman" w:cs="Times New Roman"/>
                <w:sz w:val="20"/>
                <w:szCs w:val="20"/>
              </w:rPr>
              <w:t>Jebkādas darbības attiecībā uz ieguldījumu brokeru sabiedrības maksātnespējas lietu, tostarp informēt Komisiju vai izskatīt pieteikumu, kā tas ir norādīts arī likumprojekta 75. panta septītajā un astotajā daļā, tiesa var veikt tikai pēc tam, kad ir ierosinājusi lietu. Kamēr lieta nav ierosināta, tiesai nav pamata veikt nekādas darbības, jo pastāv iespēja, ka lieta nemaz netiks ierosināta, proti, pieteicējs var nebūt iesniedzis visus likumā noteiktos dokumentus vai samaksājis tiesas izdevumus. Šādos gadījumos pieteicējam tiek dots termiņš trūkumu novēršanai. Ja trūkumi netiek novērsti, pieteikums tiek uzskatīts par neiesniegtu un atgriezts pieteicējam. Savukārt, ja trūkumi noteiktajā termiņā tiek novērsti, pieteikums tiek pieņemts un lieta tiek ierosināta. Attiecīgi tikai pēc lietas ierosināšanas tiesai var rasties pienākums informēt Komisiju par pieņemto pieteikumu, kā arī izlemt jautājumu par pieteikuma apmierināšanu vai noraidīšanu.</w:t>
            </w:r>
          </w:p>
        </w:tc>
        <w:tc>
          <w:tcPr>
            <w:tcW w:w="848" w:type="pct"/>
            <w:gridSpan w:val="2"/>
            <w:tcBorders>
              <w:top w:val="single" w:sz="6" w:space="0" w:color="000000"/>
              <w:left w:val="single" w:sz="6" w:space="0" w:color="000000"/>
              <w:bottom w:val="single" w:sz="6" w:space="0" w:color="000000"/>
              <w:right w:val="single" w:sz="6" w:space="0" w:color="000000"/>
            </w:tcBorders>
          </w:tcPr>
          <w:p w14:paraId="36385383" w14:textId="770C84C3" w:rsidR="00611CDE" w:rsidRPr="00CA6E5E" w:rsidRDefault="00CA6E5E" w:rsidP="00611CDE">
            <w:pPr>
              <w:pStyle w:val="NoSpacing"/>
              <w:widowControl/>
              <w:rPr>
                <w:rFonts w:eastAsiaTheme="minorHAnsi"/>
                <w:bCs/>
                <w:sz w:val="20"/>
                <w:szCs w:val="20"/>
              </w:rPr>
            </w:pPr>
            <w:r>
              <w:rPr>
                <w:b/>
                <w:bCs/>
                <w:sz w:val="20"/>
                <w:szCs w:val="20"/>
              </w:rPr>
              <w:lastRenderedPageBreak/>
              <w:t>Panākta vienošanās elektroniskajā saskaņošanā.</w:t>
            </w:r>
            <w:r w:rsidRPr="0085739E">
              <w:rPr>
                <w:sz w:val="20"/>
                <w:szCs w:val="20"/>
              </w:rPr>
              <w:t xml:space="preserve"> </w:t>
            </w:r>
            <w:r w:rsidR="00611CDE" w:rsidRPr="00CA6E5E">
              <w:rPr>
                <w:rFonts w:eastAsiaTheme="minorHAnsi"/>
                <w:bCs/>
                <w:sz w:val="20"/>
                <w:szCs w:val="20"/>
              </w:rPr>
              <w:t xml:space="preserve">Finanšu ministrija konceptuāli neiebilst pret likumprojekta </w:t>
            </w:r>
            <w:r w:rsidR="00761981">
              <w:rPr>
                <w:rFonts w:eastAsiaTheme="minorHAnsi"/>
                <w:bCs/>
                <w:sz w:val="20"/>
                <w:szCs w:val="20"/>
              </w:rPr>
              <w:t>81</w:t>
            </w:r>
            <w:r w:rsidR="00611CDE" w:rsidRPr="00CA6E5E">
              <w:rPr>
                <w:rFonts w:eastAsiaTheme="minorHAnsi"/>
                <w:bCs/>
                <w:sz w:val="20"/>
                <w:szCs w:val="20"/>
              </w:rPr>
              <w:t xml:space="preserve">.panta ceturtās, piektās, sestās, septītās un astotās daļas regulējuma pārskatīšanu, proti, ja Tieslietu ministrijas ieskatā minētais regulējums ir iekļaujams Civilprocesa likumā, tad šādu grozījumu nepieciešamība būtu izskatāma Tieslietu ministrijas Civilprocesa likuma darba grupā. Rezultātā būtu jāizstrādā attiecīgi grozījumi, </w:t>
            </w:r>
            <w:proofErr w:type="spellStart"/>
            <w:r w:rsidR="00611CDE" w:rsidRPr="00CA6E5E">
              <w:rPr>
                <w:rFonts w:eastAsiaTheme="minorHAnsi"/>
                <w:bCs/>
                <w:sz w:val="20"/>
                <w:szCs w:val="20"/>
              </w:rPr>
              <w:t>izlēdzot</w:t>
            </w:r>
            <w:proofErr w:type="spellEnd"/>
            <w:r w:rsidR="00611CDE" w:rsidRPr="00CA6E5E">
              <w:rPr>
                <w:rFonts w:eastAsiaTheme="minorHAnsi"/>
                <w:bCs/>
                <w:sz w:val="20"/>
                <w:szCs w:val="20"/>
              </w:rPr>
              <w:t xml:space="preserve"> minētās normas, no Ieguldījumu brokeru sabiedrību likuma un vienlaikus ar grozījumiem jāiestrādā Civilprocesa likumā, neradot minētā regulējuma “pārrāvumu”. Skaidrojums attiecas </w:t>
            </w:r>
            <w:r w:rsidR="00611CDE" w:rsidRPr="00CA6E5E">
              <w:rPr>
                <w:rFonts w:eastAsiaTheme="minorHAnsi"/>
                <w:bCs/>
                <w:sz w:val="20"/>
                <w:szCs w:val="20"/>
              </w:rPr>
              <w:t>arī uz Tieslietu ministrijas 40.iebildumu.</w:t>
            </w:r>
          </w:p>
          <w:p w14:paraId="74C01F13" w14:textId="77777777" w:rsidR="00611CDE" w:rsidRDefault="00611CDE" w:rsidP="00C71D61">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2226F3AC" w14:textId="0890066A" w:rsidR="00611CDE" w:rsidRDefault="00761981" w:rsidP="00611CDE">
            <w:pPr>
              <w:pStyle w:val="NoSpacing"/>
              <w:widowControl/>
              <w:rPr>
                <w:rFonts w:eastAsiaTheme="minorHAnsi"/>
                <w:b/>
                <w:bCs/>
                <w:sz w:val="20"/>
                <w:szCs w:val="20"/>
              </w:rPr>
            </w:pPr>
            <w:r>
              <w:rPr>
                <w:rFonts w:eastAsiaTheme="minorHAnsi"/>
                <w:b/>
                <w:bCs/>
                <w:sz w:val="20"/>
                <w:szCs w:val="20"/>
              </w:rPr>
              <w:lastRenderedPageBreak/>
              <w:t>81</w:t>
            </w:r>
            <w:r w:rsidR="00611CDE" w:rsidRPr="000B1586">
              <w:rPr>
                <w:rFonts w:eastAsiaTheme="minorHAnsi"/>
                <w:b/>
                <w:bCs/>
                <w:sz w:val="20"/>
                <w:szCs w:val="20"/>
              </w:rPr>
              <w:t>.pants. Ieguldījumu brokeru sabiedrību darbības atjaunošanas un noregulējuma, maksātnespējas un likvidācijas tiesiskais regulējums</w:t>
            </w:r>
          </w:p>
          <w:p w14:paraId="4B5EC588" w14:textId="77777777" w:rsidR="00611CDE" w:rsidRPr="00DA2968" w:rsidRDefault="00611CDE" w:rsidP="00611CDE">
            <w:pPr>
              <w:spacing w:after="0" w:line="23" w:lineRule="atLeast"/>
              <w:jc w:val="both"/>
              <w:rPr>
                <w:rFonts w:ascii="Times New Roman" w:hAnsi="Times New Roman" w:cs="Times New Roman"/>
                <w:sz w:val="20"/>
                <w:szCs w:val="20"/>
                <w:u w:val="single"/>
              </w:rPr>
            </w:pPr>
            <w:r w:rsidRPr="00DA2968">
              <w:rPr>
                <w:rFonts w:ascii="Times New Roman" w:hAnsi="Times New Roman" w:cs="Times New Roman"/>
                <w:sz w:val="20"/>
                <w:szCs w:val="20"/>
                <w:u w:val="single"/>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0975204E" w14:textId="77777777" w:rsidR="00611CDE" w:rsidRPr="000B1586" w:rsidRDefault="00611CDE" w:rsidP="00C71D61">
            <w:pPr>
              <w:pStyle w:val="NoSpacing"/>
              <w:widowControl/>
              <w:rPr>
                <w:rFonts w:eastAsiaTheme="minorHAnsi"/>
                <w:b/>
                <w:bCs/>
                <w:sz w:val="20"/>
                <w:szCs w:val="20"/>
              </w:rPr>
            </w:pPr>
          </w:p>
        </w:tc>
      </w:tr>
      <w:tr w:rsidR="00F716EB" w:rsidRPr="00184920" w14:paraId="51E82F20"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56E7241F" w14:textId="45B23514" w:rsidR="00F716EB" w:rsidRPr="0047780E" w:rsidRDefault="00F716EB"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42.</w:t>
            </w:r>
          </w:p>
        </w:tc>
        <w:tc>
          <w:tcPr>
            <w:tcW w:w="692" w:type="pct"/>
            <w:tcBorders>
              <w:top w:val="single" w:sz="6" w:space="0" w:color="000000"/>
              <w:left w:val="single" w:sz="6" w:space="0" w:color="000000"/>
              <w:bottom w:val="single" w:sz="6" w:space="0" w:color="000000"/>
              <w:right w:val="single" w:sz="6" w:space="0" w:color="000000"/>
            </w:tcBorders>
          </w:tcPr>
          <w:p w14:paraId="3763DD1C" w14:textId="77777777" w:rsidR="00F716EB" w:rsidRPr="007A0277" w:rsidRDefault="00F716EB" w:rsidP="00F716EB">
            <w:pPr>
              <w:pStyle w:val="NoSpacing"/>
              <w:widowControl/>
              <w:rPr>
                <w:rFonts w:eastAsiaTheme="minorHAnsi"/>
                <w:b/>
                <w:bCs/>
                <w:sz w:val="20"/>
                <w:szCs w:val="20"/>
              </w:rPr>
            </w:pPr>
            <w:r w:rsidRPr="007A0277">
              <w:rPr>
                <w:rFonts w:eastAsiaTheme="minorHAnsi"/>
                <w:b/>
                <w:bCs/>
                <w:sz w:val="20"/>
                <w:szCs w:val="20"/>
              </w:rPr>
              <w:t>76.pants. Kreditoru prasījumu segšanas speciālā kārtība</w:t>
            </w:r>
          </w:p>
          <w:p w14:paraId="0D26510B" w14:textId="77777777" w:rsidR="00F716EB" w:rsidRPr="007A0277" w:rsidRDefault="00F716EB" w:rsidP="00F716EB">
            <w:pPr>
              <w:pStyle w:val="NoSpacing"/>
              <w:widowControl/>
              <w:rPr>
                <w:rFonts w:eastAsiaTheme="minorHAnsi"/>
                <w:bCs/>
                <w:sz w:val="20"/>
                <w:szCs w:val="20"/>
              </w:rPr>
            </w:pPr>
            <w:r w:rsidRPr="007A0277">
              <w:rPr>
                <w:rFonts w:eastAsiaTheme="minorHAnsi"/>
                <w:bCs/>
                <w:sz w:val="20"/>
                <w:szCs w:val="20"/>
              </w:rPr>
              <w:lastRenderedPageBreak/>
              <w:t>(1) Pēc ieguldījumu brokeru sabiedrības maksātnespējas procesa vai likvidācijas izdevumu segšanas atlikušie naudas līdzekļi tiek sadalīti kreditoru prasījumu pamatsummu (bez procentiem) apmierināšanai šādā kārtībā:</w:t>
            </w:r>
          </w:p>
          <w:p w14:paraId="7C61A05C" w14:textId="11FFCC9E" w:rsidR="00F716EB" w:rsidRPr="0047780E" w:rsidRDefault="00F716EB" w:rsidP="00F716EB">
            <w:pPr>
              <w:pStyle w:val="NoSpacing"/>
              <w:widowControl/>
              <w:rPr>
                <w:rFonts w:eastAsiaTheme="minorHAnsi"/>
                <w:b/>
                <w:bCs/>
                <w:sz w:val="20"/>
                <w:szCs w:val="20"/>
              </w:rPr>
            </w:pPr>
            <w:r w:rsidRPr="007A0277">
              <w:rPr>
                <w:rFonts w:eastAsiaTheme="minorHAnsi"/>
                <w:bCs/>
                <w:sz w:val="20"/>
                <w:szCs w:val="20"/>
              </w:rPr>
              <w:t>1) izmaksas ieguldītājiem, kuriem saskaņā ar </w:t>
            </w:r>
            <w:hyperlink r:id="rId26" w:tgtFrame="_blank" w:history="1">
              <w:r w:rsidRPr="007A0277">
                <w:rPr>
                  <w:rFonts w:eastAsiaTheme="minorHAnsi"/>
                  <w:bCs/>
                  <w:sz w:val="20"/>
                  <w:szCs w:val="20"/>
                </w:rPr>
                <w:t>Ieguldītāju aizsardzības likumu</w:t>
              </w:r>
            </w:hyperlink>
            <w:r w:rsidRPr="007A0277">
              <w:rPr>
                <w:rFonts w:eastAsiaTheme="minorHAnsi"/>
                <w:bCs/>
                <w:sz w:val="20"/>
                <w:szCs w:val="20"/>
              </w:rPr>
              <w:t> izmaksājama kompensācija. Izmaksas tiek noteiktas </w:t>
            </w:r>
            <w:hyperlink r:id="rId27" w:tgtFrame="_blank" w:history="1">
              <w:r w:rsidRPr="007A0277">
                <w:rPr>
                  <w:rFonts w:eastAsiaTheme="minorHAnsi"/>
                  <w:bCs/>
                  <w:sz w:val="20"/>
                  <w:szCs w:val="20"/>
                </w:rPr>
                <w:t>Ieguldītāju aizsardzības likumā</w:t>
              </w:r>
            </w:hyperlink>
            <w:r w:rsidRPr="007A0277">
              <w:rPr>
                <w:rFonts w:eastAsiaTheme="minorHAnsi"/>
                <w:bCs/>
                <w:sz w:val="20"/>
                <w:szCs w:val="20"/>
              </w:rPr>
              <w:t xml:space="preserve"> paredzētās kompensācijas apmērā. Ja ieguldītājs ir saņēmis kompensāciju, viņš zaudē prasījuma tiesības attiecībā uz saņemto summu un attiecīgais prasījums tiek pielīdzināts šīs grupas prasījumiem. Likvidatoram vai administratoram Komisijas iesniegtais aprēķins par ieguldītājiem veiktajām izmaksām izmaksāto kompensāciju apmērā ir uzskatāms par kreditora prasību, kas apmierināma prioritārā kārtībā pirms citiem </w:t>
            </w:r>
            <w:r w:rsidRPr="007A0277">
              <w:rPr>
                <w:rFonts w:eastAsiaTheme="minorHAnsi"/>
                <w:bCs/>
                <w:sz w:val="20"/>
                <w:szCs w:val="20"/>
              </w:rPr>
              <w:lastRenderedPageBreak/>
              <w:t>nenodrošināto kreditoru prasījumiem;</w:t>
            </w:r>
          </w:p>
        </w:tc>
        <w:tc>
          <w:tcPr>
            <w:tcW w:w="1309" w:type="pct"/>
            <w:tcBorders>
              <w:top w:val="single" w:sz="6" w:space="0" w:color="000000"/>
              <w:left w:val="single" w:sz="6" w:space="0" w:color="000000"/>
              <w:bottom w:val="single" w:sz="6" w:space="0" w:color="000000"/>
              <w:right w:val="single" w:sz="6" w:space="0" w:color="000000"/>
            </w:tcBorders>
          </w:tcPr>
          <w:p w14:paraId="31C107BF" w14:textId="712C45A8" w:rsidR="00F716EB" w:rsidRDefault="00F716EB" w:rsidP="00F716EB">
            <w:pPr>
              <w:pStyle w:val="NoSpacing"/>
              <w:rPr>
                <w:sz w:val="20"/>
                <w:szCs w:val="20"/>
              </w:rPr>
            </w:pPr>
            <w:r w:rsidRPr="007A0277">
              <w:rPr>
                <w:b/>
                <w:bCs/>
                <w:sz w:val="20"/>
                <w:szCs w:val="20"/>
              </w:rPr>
              <w:lastRenderedPageBreak/>
              <w:t>Iebildums.</w:t>
            </w:r>
            <w:r>
              <w:rPr>
                <w:sz w:val="20"/>
                <w:szCs w:val="20"/>
              </w:rPr>
              <w:t xml:space="preserve"> </w:t>
            </w:r>
            <w:r w:rsidRPr="007A0277">
              <w:rPr>
                <w:sz w:val="20"/>
                <w:szCs w:val="20"/>
              </w:rPr>
              <w:t>Likumprojekta 74. panta pirmās daļas 1. punktā cita starp noteikts: “</w:t>
            </w:r>
            <w:r w:rsidRPr="007A0277">
              <w:rPr>
                <w:i/>
                <w:iCs/>
                <w:sz w:val="20"/>
                <w:szCs w:val="20"/>
              </w:rPr>
              <w:t xml:space="preserve">Likvidatoram vai administratoram Komisijas iesniegtais aprēķins par </w:t>
            </w:r>
            <w:r w:rsidRPr="007A0277">
              <w:rPr>
                <w:i/>
                <w:iCs/>
                <w:sz w:val="20"/>
                <w:szCs w:val="20"/>
              </w:rPr>
              <w:t>ieguldītājiem veiktajām izmaksām izmaksāto kompensāciju apmērā ir uzskatāms par kreditora prasību, kas apmierināma prioritārā kārtībā pirms citiem nenodrošināto kreditoru prasījumiem.</w:t>
            </w:r>
            <w:r w:rsidRPr="007A0277">
              <w:rPr>
                <w:sz w:val="20"/>
                <w:szCs w:val="20"/>
              </w:rPr>
              <w:t>” Vēršam uzmanību, ka kreditoru prasījumu iesniegšanas, izskatīšanas un atzīšanas kārtība noteikta Maksātnespējas likuma 73., 74. un 75. pantā. Iepriekš citētā likumprojekta norma nonāk būtiskā pretrunā ar maksātnespējas procesa administrēšanas konstrukciju, kā arī kreditoru vienlīdzības principu</w:t>
            </w:r>
            <w:r w:rsidRPr="007A0277">
              <w:rPr>
                <w:rStyle w:val="FootnoteReference"/>
                <w:sz w:val="20"/>
                <w:szCs w:val="20"/>
              </w:rPr>
              <w:footnoteReference w:id="17"/>
            </w:r>
            <w:r w:rsidRPr="007A0277">
              <w:rPr>
                <w:sz w:val="20"/>
                <w:szCs w:val="20"/>
              </w:rPr>
              <w:t>, vienlaikus ņemot vērā, ka kreditoru tiesības kopumā nav absolūtas un to realizēšanas nolūkos kreditoram ir jāveic aktīvas darbības.</w:t>
            </w:r>
            <w:r w:rsidRPr="007A0277">
              <w:rPr>
                <w:rStyle w:val="FootnoteReference"/>
                <w:sz w:val="20"/>
                <w:szCs w:val="20"/>
              </w:rPr>
              <w:footnoteReference w:id="18"/>
            </w:r>
            <w:r w:rsidRPr="007A0277">
              <w:rPr>
                <w:sz w:val="20"/>
                <w:szCs w:val="20"/>
              </w:rPr>
              <w:t xml:space="preserve"> Piemēram, arī kreditoriem, kuru prasījumu pamatā ir spēkā stājies tiesas spriedums,</w:t>
            </w:r>
            <w:r w:rsidRPr="007A0277">
              <w:rPr>
                <w:rStyle w:val="FootnoteReference"/>
                <w:sz w:val="20"/>
                <w:szCs w:val="20"/>
              </w:rPr>
              <w:footnoteReference w:id="19"/>
            </w:r>
            <w:r w:rsidRPr="007A0277">
              <w:rPr>
                <w:sz w:val="20"/>
                <w:szCs w:val="20"/>
              </w:rPr>
              <w:t xml:space="preserve"> ir jāiesniedz savs kreditora prasījums un maksātnespējas procesa administratoram ir pienākums</w:t>
            </w:r>
            <w:r w:rsidRPr="007A0277">
              <w:rPr>
                <w:rStyle w:val="FootnoteReference"/>
                <w:sz w:val="20"/>
                <w:szCs w:val="20"/>
              </w:rPr>
              <w:footnoteReference w:id="20"/>
            </w:r>
            <w:r w:rsidRPr="007A0277">
              <w:rPr>
                <w:sz w:val="20"/>
                <w:szCs w:val="20"/>
              </w:rPr>
              <w:t xml:space="preserve"> pārbaudīt tā faktisku izpildi. Ievērojot minēto, lūdzam pārskatīt likumprojekta 74. panta pirmās daļas 1. punktu.</w:t>
            </w:r>
          </w:p>
          <w:p w14:paraId="4A793B3C" w14:textId="77777777" w:rsidR="00F716EB" w:rsidRPr="00F716EB" w:rsidRDefault="00F716EB" w:rsidP="00F716EB"/>
          <w:p w14:paraId="4A44C1EC" w14:textId="77777777" w:rsidR="00F716EB" w:rsidRPr="00F51CE3" w:rsidRDefault="00F716EB" w:rsidP="00F716EB">
            <w:pPr>
              <w:pStyle w:val="naisc"/>
              <w:spacing w:before="0" w:after="0"/>
              <w:jc w:val="both"/>
              <w:rPr>
                <w:b/>
                <w:bCs/>
                <w:sz w:val="20"/>
                <w:szCs w:val="20"/>
              </w:rPr>
            </w:pPr>
            <w:r w:rsidRPr="00F51CE3">
              <w:rPr>
                <w:b/>
                <w:bCs/>
                <w:sz w:val="20"/>
                <w:szCs w:val="20"/>
              </w:rPr>
              <w:t>Š.g. 11.maijā uzturētais iebildums.</w:t>
            </w:r>
          </w:p>
          <w:p w14:paraId="6A6BF28C" w14:textId="4AD04523" w:rsidR="00F716EB" w:rsidRPr="00F716EB" w:rsidRDefault="00F716EB" w:rsidP="00F716EB">
            <w:pPr>
              <w:pStyle w:val="NoSpacing"/>
              <w:rPr>
                <w:sz w:val="20"/>
                <w:szCs w:val="20"/>
              </w:rPr>
            </w:pPr>
            <w:r w:rsidRPr="00F51CE3">
              <w:rPr>
                <w:sz w:val="20"/>
                <w:szCs w:val="20"/>
              </w:rPr>
              <w:t xml:space="preserve">Tieslietu ministrija uztur iebildumu par likumprojekta 76. panta pirmo daļu, kuras 1. punktā ietvertais pēdējais teikums atver kreditoru prasījumu divus aspektus – gan to atzīšanu, gan segšanas kārtību. Norādām, ka iebildums bija vērsts uz to daļu, kas paredzētu, ka Komisijas iesniegtais aprēķins par ieguldītājiem veiktajām izmaksām izmaksāto kompensāciju apmērā ir uzskatāms par kreditora prasību. Taču Finanšu ministrijas sniegtais skaidrojums ir par kreditoru prasījumu segšanas kārtību, kas, kā jau minēts, nav Tieslietu ministrijas iebilduma objekts. Detalizēti neatkārtojot iepriekš jau sniegto argumentāciju, uzsveram, ka kreditoru prasījumu atzīšanas kārtība ir būtisks maksātnespējas procesa pamatjautājums. Neviens kreditora prasījums automātiski </w:t>
            </w:r>
            <w:r w:rsidRPr="00F51CE3">
              <w:rPr>
                <w:sz w:val="20"/>
                <w:szCs w:val="20"/>
              </w:rPr>
              <w:lastRenderedPageBreak/>
              <w:t xml:space="preserve">nekļūst par kreditora prasījumu maksātnespējas procesā, ja procesa vadītājs – maksātnespējas procesa administrators – nav veicis visas nepieciešamās darbības, lai pārliecinātos par prasījuma pamatotību, </w:t>
            </w:r>
            <w:proofErr w:type="spellStart"/>
            <w:r w:rsidRPr="00F51CE3">
              <w:rPr>
                <w:sz w:val="20"/>
                <w:szCs w:val="20"/>
              </w:rPr>
              <w:t>attiecināmību</w:t>
            </w:r>
            <w:proofErr w:type="spellEnd"/>
            <w:r w:rsidRPr="00F51CE3">
              <w:rPr>
                <w:sz w:val="20"/>
                <w:szCs w:val="20"/>
              </w:rPr>
              <w:t xml:space="preserve"> un citiem tā elementiem.</w:t>
            </w:r>
          </w:p>
          <w:p w14:paraId="23365B71" w14:textId="77777777" w:rsidR="00F716EB" w:rsidRDefault="00F716EB" w:rsidP="00F716EB"/>
          <w:p w14:paraId="4851E73A" w14:textId="03BA7565" w:rsidR="00F716EB" w:rsidRPr="00F716EB" w:rsidRDefault="00F716EB" w:rsidP="00F716EB"/>
        </w:tc>
        <w:tc>
          <w:tcPr>
            <w:tcW w:w="848" w:type="pct"/>
            <w:gridSpan w:val="2"/>
            <w:tcBorders>
              <w:top w:val="single" w:sz="6" w:space="0" w:color="000000"/>
              <w:left w:val="single" w:sz="6" w:space="0" w:color="000000"/>
              <w:bottom w:val="single" w:sz="6" w:space="0" w:color="000000"/>
              <w:right w:val="single" w:sz="6" w:space="0" w:color="000000"/>
            </w:tcBorders>
          </w:tcPr>
          <w:p w14:paraId="12C56327" w14:textId="5628AF8A" w:rsidR="00F716EB" w:rsidRDefault="009F2897" w:rsidP="00F716EB">
            <w:pPr>
              <w:spacing w:after="0" w:line="240" w:lineRule="auto"/>
              <w:jc w:val="both"/>
              <w:rPr>
                <w:rFonts w:ascii="Times New Roman" w:eastAsia="Times New Roman" w:hAnsi="Times New Roman" w:cs="Times New Roman"/>
                <w:sz w:val="20"/>
                <w:szCs w:val="20"/>
                <w:lang w:eastAsia="lv-LV"/>
              </w:rPr>
            </w:pPr>
            <w:r w:rsidRPr="009F2897">
              <w:rPr>
                <w:rFonts w:ascii="Times New Roman" w:eastAsia="Times New Roman" w:hAnsi="Times New Roman" w:cs="Times New Roman"/>
                <w:b/>
                <w:bCs/>
                <w:sz w:val="20"/>
                <w:szCs w:val="20"/>
                <w:lang w:eastAsia="lv-LV"/>
              </w:rPr>
              <w:lastRenderedPageBreak/>
              <w:t>Panākta vienošanās elektroniskajā saskaņošanā.</w:t>
            </w:r>
            <w:r w:rsidRPr="0085739E">
              <w:rPr>
                <w:sz w:val="20"/>
                <w:szCs w:val="20"/>
              </w:rPr>
              <w:t xml:space="preserve"> </w:t>
            </w:r>
            <w:r w:rsidR="00F716EB" w:rsidRPr="00D67DD8">
              <w:rPr>
                <w:rFonts w:ascii="Times New Roman" w:eastAsia="Times New Roman" w:hAnsi="Times New Roman" w:cs="Times New Roman"/>
                <w:sz w:val="20"/>
                <w:szCs w:val="20"/>
                <w:lang w:eastAsia="lv-LV"/>
              </w:rPr>
              <w:t xml:space="preserve">Likumprojekta </w:t>
            </w:r>
            <w:r w:rsidR="00761981">
              <w:rPr>
                <w:rFonts w:ascii="Times New Roman" w:eastAsia="Times New Roman" w:hAnsi="Times New Roman" w:cs="Times New Roman"/>
                <w:sz w:val="20"/>
                <w:szCs w:val="20"/>
                <w:lang w:eastAsia="lv-LV"/>
              </w:rPr>
              <w:t>82</w:t>
            </w:r>
            <w:r w:rsidR="00F716EB" w:rsidRPr="00D67DD8">
              <w:rPr>
                <w:rFonts w:ascii="Times New Roman" w:eastAsia="Times New Roman" w:hAnsi="Times New Roman" w:cs="Times New Roman"/>
                <w:sz w:val="20"/>
                <w:szCs w:val="20"/>
                <w:lang w:eastAsia="lv-LV"/>
              </w:rPr>
              <w:t>.panta pirmās daļas 1.punkts precizēts.</w:t>
            </w:r>
            <w:r w:rsidR="00F716EB">
              <w:rPr>
                <w:rFonts w:ascii="Times New Roman" w:eastAsia="Times New Roman" w:hAnsi="Times New Roman" w:cs="Times New Roman"/>
                <w:sz w:val="20"/>
                <w:szCs w:val="20"/>
                <w:lang w:eastAsia="lv-LV"/>
              </w:rPr>
              <w:t xml:space="preserve"> </w:t>
            </w:r>
          </w:p>
          <w:p w14:paraId="09207504" w14:textId="77777777" w:rsidR="00F716EB" w:rsidRDefault="00F716EB" w:rsidP="007D6D6F">
            <w:pPr>
              <w:spacing w:after="0" w:line="240" w:lineRule="auto"/>
              <w:jc w:val="both"/>
              <w:rPr>
                <w:rFonts w:ascii="Times New Roman" w:eastAsia="Times New Roman" w:hAnsi="Times New Roman" w:cs="Times New Roman"/>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18BD05AA" w14:textId="670E41DF" w:rsidR="00F716EB" w:rsidRPr="00D67DD8" w:rsidRDefault="00761981" w:rsidP="00F716EB">
            <w:pPr>
              <w:pStyle w:val="naisc"/>
              <w:spacing w:before="0" w:after="0"/>
              <w:jc w:val="both"/>
              <w:rPr>
                <w:b/>
                <w:bCs/>
                <w:sz w:val="20"/>
                <w:szCs w:val="20"/>
              </w:rPr>
            </w:pPr>
            <w:r>
              <w:rPr>
                <w:b/>
                <w:bCs/>
                <w:sz w:val="20"/>
                <w:szCs w:val="20"/>
              </w:rPr>
              <w:lastRenderedPageBreak/>
              <w:t>82</w:t>
            </w:r>
            <w:r w:rsidR="00F716EB" w:rsidRPr="00D67DD8">
              <w:rPr>
                <w:b/>
                <w:bCs/>
                <w:sz w:val="20"/>
                <w:szCs w:val="20"/>
              </w:rPr>
              <w:t>.pants. Kreditoru prasījumu segšanas speciālā kārtība</w:t>
            </w:r>
          </w:p>
          <w:p w14:paraId="268F18D6" w14:textId="77777777" w:rsidR="00F716EB" w:rsidRPr="00D67DD8" w:rsidRDefault="00F716EB" w:rsidP="00F716EB">
            <w:pPr>
              <w:pStyle w:val="naisc"/>
              <w:spacing w:before="0" w:after="0"/>
              <w:jc w:val="both"/>
              <w:rPr>
                <w:sz w:val="20"/>
                <w:szCs w:val="20"/>
              </w:rPr>
            </w:pPr>
            <w:r w:rsidRPr="00D67DD8">
              <w:rPr>
                <w:sz w:val="20"/>
                <w:szCs w:val="20"/>
              </w:rPr>
              <w:lastRenderedPageBreak/>
              <w:t>(1) Pēc ieguldījumu brokeru sabiedrības maksātnespējas procesa vai likvidācijas izdevumu segšanas atlikušie naudas līdzekļi tiek sadalīti kreditoru prasījumu pamatsummu (bez procentiem) apmierināšanai šādā kārtībā:</w:t>
            </w:r>
          </w:p>
          <w:p w14:paraId="5AB8878F" w14:textId="77777777" w:rsidR="00F716EB" w:rsidRPr="00D67DD8" w:rsidRDefault="00F716EB" w:rsidP="00F716EB">
            <w:pPr>
              <w:pStyle w:val="naisc"/>
              <w:spacing w:before="0" w:after="0"/>
              <w:jc w:val="both"/>
              <w:rPr>
                <w:sz w:val="20"/>
                <w:szCs w:val="20"/>
              </w:rPr>
            </w:pPr>
            <w:r w:rsidRPr="00D67DD8">
              <w:rPr>
                <w:sz w:val="20"/>
                <w:szCs w:val="20"/>
              </w:rPr>
              <w:t>1) izmaksas ieguldītājiem, kuriem saskaņā ar </w:t>
            </w:r>
            <w:hyperlink r:id="rId28" w:tgtFrame="_blank" w:history="1">
              <w:r w:rsidRPr="00D67DD8">
                <w:rPr>
                  <w:sz w:val="20"/>
                  <w:szCs w:val="20"/>
                </w:rPr>
                <w:t>Ieguldītāju aizsardzības likumu</w:t>
              </w:r>
            </w:hyperlink>
            <w:r w:rsidRPr="00D67DD8">
              <w:rPr>
                <w:sz w:val="20"/>
                <w:szCs w:val="20"/>
              </w:rPr>
              <w:t> izmaksājama kompensācija. Izmaksas tiek noteiktas </w:t>
            </w:r>
            <w:hyperlink r:id="rId29" w:tgtFrame="_blank" w:history="1">
              <w:r w:rsidRPr="00D67DD8">
                <w:rPr>
                  <w:sz w:val="20"/>
                  <w:szCs w:val="20"/>
                </w:rPr>
                <w:t>Ieguldītāju aizsardzības likumā</w:t>
              </w:r>
            </w:hyperlink>
            <w:r w:rsidRPr="00D67DD8">
              <w:rPr>
                <w:sz w:val="20"/>
                <w:szCs w:val="20"/>
              </w:rPr>
              <w:t xml:space="preserve"> paredzētās kompensācijas apmērā. Ja ieguldītājs ir saņēmis kompensāciju, viņš zaudē prasījuma tiesības attiecībā uz saņemto summu un attiecīgais prasījums tiek pielīdzināts šīs grupas prasījumiem. Likvidatoram vai administratoram Komisijas iesniegtais aprēķins par ieguldītājiem veiktajām izmaksām izmaksāto kompensāciju apmērā ir uzskatāms par kreditora prasību, kas apmierināma prioritārā kārtībā pirms citiem nenodrošināto kreditoru prasījumiem </w:t>
            </w:r>
            <w:r w:rsidRPr="00D67DD8">
              <w:rPr>
                <w:sz w:val="20"/>
                <w:szCs w:val="20"/>
                <w:u w:val="single"/>
              </w:rPr>
              <w:t>brīdī, kad likvidators vai administrators ir veicis visas normatīvajos aktos noteiktās darbības, lai pārliecinātos par prasījuma pamatotību</w:t>
            </w:r>
            <w:r w:rsidRPr="00D67DD8">
              <w:rPr>
                <w:sz w:val="20"/>
                <w:szCs w:val="20"/>
              </w:rPr>
              <w:t>;</w:t>
            </w:r>
          </w:p>
          <w:p w14:paraId="3D35BEDE" w14:textId="77777777" w:rsidR="00F716EB" w:rsidRPr="00184920" w:rsidRDefault="00F716EB" w:rsidP="007D6D6F">
            <w:pPr>
              <w:spacing w:after="0" w:line="240" w:lineRule="auto"/>
              <w:jc w:val="both"/>
              <w:rPr>
                <w:rFonts w:ascii="Times New Roman" w:eastAsia="Times New Roman" w:hAnsi="Times New Roman" w:cs="Times New Roman"/>
                <w:sz w:val="20"/>
                <w:szCs w:val="20"/>
                <w:lang w:eastAsia="lv-LV"/>
              </w:rPr>
            </w:pPr>
          </w:p>
        </w:tc>
      </w:tr>
      <w:tr w:rsidR="00F716EB" w:rsidRPr="00184920" w14:paraId="68C94FF9"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9B3D6BC" w14:textId="1F937CD5" w:rsidR="00F716EB" w:rsidRPr="0047780E" w:rsidRDefault="00F716EB"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43.</w:t>
            </w:r>
          </w:p>
        </w:tc>
        <w:tc>
          <w:tcPr>
            <w:tcW w:w="692" w:type="pct"/>
            <w:tcBorders>
              <w:top w:val="single" w:sz="6" w:space="0" w:color="000000"/>
              <w:left w:val="single" w:sz="6" w:space="0" w:color="000000"/>
              <w:bottom w:val="single" w:sz="6" w:space="0" w:color="000000"/>
              <w:right w:val="single" w:sz="6" w:space="0" w:color="000000"/>
            </w:tcBorders>
          </w:tcPr>
          <w:p w14:paraId="36C280CE" w14:textId="77777777" w:rsidR="00F716EB" w:rsidRPr="00043F2A" w:rsidRDefault="00F716EB" w:rsidP="00F716EB">
            <w:pPr>
              <w:pStyle w:val="NoSpacing"/>
              <w:widowControl/>
              <w:rPr>
                <w:rFonts w:eastAsiaTheme="minorHAnsi"/>
                <w:b/>
                <w:bCs/>
                <w:sz w:val="20"/>
                <w:szCs w:val="20"/>
              </w:rPr>
            </w:pPr>
            <w:r w:rsidRPr="00043F2A">
              <w:rPr>
                <w:rFonts w:eastAsiaTheme="minorHAnsi"/>
                <w:b/>
                <w:bCs/>
                <w:sz w:val="20"/>
                <w:szCs w:val="20"/>
              </w:rPr>
              <w:t>76.pants. Kreditoru prasījumu segšanas speciālā kārtība</w:t>
            </w:r>
          </w:p>
          <w:p w14:paraId="3341E8A1" w14:textId="5ED42C89" w:rsidR="00F716EB" w:rsidRPr="0047780E" w:rsidRDefault="00F716EB" w:rsidP="00F716EB">
            <w:pPr>
              <w:pStyle w:val="NoSpacing"/>
              <w:widowControl/>
              <w:rPr>
                <w:rFonts w:eastAsiaTheme="minorHAnsi"/>
                <w:b/>
                <w:bCs/>
                <w:sz w:val="20"/>
                <w:szCs w:val="20"/>
              </w:rPr>
            </w:pPr>
            <w:r w:rsidRPr="00043F2A">
              <w:rPr>
                <w:rFonts w:eastAsiaTheme="minorHAnsi"/>
                <w:bCs/>
                <w:sz w:val="20"/>
                <w:szCs w:val="20"/>
              </w:rPr>
              <w:t>(2) Ja parādnieka naudas līdzekļu nepietiek, lai pilnībā apmierinātu visus šā panta pirmās daļas otrajā punktā minētos kreditoru prasījumus, attiecīgie prasījumi apmierināmi proporcionāli prasījuma summai, kas pienākas katram kreditoram.</w:t>
            </w:r>
          </w:p>
        </w:tc>
        <w:tc>
          <w:tcPr>
            <w:tcW w:w="1309" w:type="pct"/>
            <w:tcBorders>
              <w:top w:val="single" w:sz="6" w:space="0" w:color="000000"/>
              <w:left w:val="single" w:sz="6" w:space="0" w:color="000000"/>
              <w:bottom w:val="single" w:sz="6" w:space="0" w:color="000000"/>
              <w:right w:val="single" w:sz="6" w:space="0" w:color="000000"/>
            </w:tcBorders>
          </w:tcPr>
          <w:p w14:paraId="36B46DCD" w14:textId="75784A5F" w:rsidR="00F716EB" w:rsidRDefault="00F716EB" w:rsidP="007D6D6F">
            <w:pPr>
              <w:pStyle w:val="NoSpacing"/>
              <w:rPr>
                <w:sz w:val="20"/>
                <w:szCs w:val="20"/>
              </w:rPr>
            </w:pPr>
            <w:r w:rsidRPr="00335E10">
              <w:rPr>
                <w:b/>
                <w:bCs/>
                <w:sz w:val="20"/>
                <w:szCs w:val="20"/>
              </w:rPr>
              <w:t>Iebildums.</w:t>
            </w:r>
            <w:r w:rsidRPr="00335E10">
              <w:rPr>
                <w:sz w:val="20"/>
                <w:szCs w:val="20"/>
              </w:rPr>
              <w:t xml:space="preserve"> Likumprojekta 74. pantā noteikta kreditoru prasījumu segšanas kārtība ieguldījumu brokeru sabiedrību maksātnespējas procesā un likvidācijas procesā, un šī panta otrā daļa paredz: “</w:t>
            </w:r>
            <w:r w:rsidRPr="00335E10">
              <w:rPr>
                <w:i/>
                <w:iCs/>
                <w:sz w:val="20"/>
                <w:szCs w:val="20"/>
              </w:rPr>
              <w:t>Ja parādnieka naudas līdzekļu nepietiek, lai pilnībā apmierinātu visus šā panta pirmās daļas otrajā punktā minētos kreditoru prasījumus, attiecīgie prasījumi apmierināmi proporcionāli prasījuma summai, kas pienākas katram kreditoram</w:t>
            </w:r>
            <w:r w:rsidRPr="00335E10">
              <w:rPr>
                <w:sz w:val="20"/>
                <w:szCs w:val="20"/>
              </w:rPr>
              <w:t>.”</w:t>
            </w:r>
          </w:p>
          <w:p w14:paraId="5540F32B" w14:textId="328855A9" w:rsidR="00F716EB" w:rsidRDefault="00F716EB" w:rsidP="007D6D6F">
            <w:pPr>
              <w:pStyle w:val="NoSpacing"/>
              <w:rPr>
                <w:sz w:val="20"/>
                <w:szCs w:val="20"/>
                <w:lang w:eastAsia="lv-LV"/>
              </w:rPr>
            </w:pPr>
            <w:r w:rsidRPr="00335E10">
              <w:rPr>
                <w:sz w:val="20"/>
                <w:szCs w:val="20"/>
              </w:rPr>
              <w:t xml:space="preserve">Vēlamies norādīt, ka tad, ja </w:t>
            </w:r>
            <w:r w:rsidRPr="00335E10">
              <w:rPr>
                <w:sz w:val="20"/>
                <w:szCs w:val="20"/>
                <w:lang w:eastAsia="lv-LV"/>
              </w:rPr>
              <w:t>komercsabiedrības likvidācijas gaitā atklājas, ka likvidējamās komercsabiedrības mantas nepietiek, lai apmierinātu visus pamatotos kreditoru prasījumus, Komerclikuma 323. pants paredz likvidatora pienākumu iesniegt maksātnespējas procesa pieteikumu likumā noteiktajā kārtībā. Līdz ar to nav iespējama situācija, kad likvidācijas procesa laikā kreditora prasījums netiek apmierināts vai tiek apmierināts daļēji. Ievērojot minēto, lūdzam precizēt likumprojektu, neattiecinot 74. panta otro daļu uz ieguldījumu brokeru sabiedrības likvidācijas procesu</w:t>
            </w:r>
            <w:r>
              <w:rPr>
                <w:sz w:val="20"/>
                <w:szCs w:val="20"/>
                <w:lang w:eastAsia="lv-LV"/>
              </w:rPr>
              <w:t>.</w:t>
            </w:r>
          </w:p>
          <w:p w14:paraId="334AF37C" w14:textId="77777777" w:rsidR="00F716EB" w:rsidRPr="00F716EB" w:rsidRDefault="00F716EB" w:rsidP="00F716EB">
            <w:pPr>
              <w:rPr>
                <w:lang w:eastAsia="lv-LV"/>
              </w:rPr>
            </w:pPr>
          </w:p>
          <w:p w14:paraId="37BDA2CC" w14:textId="77777777" w:rsidR="00F716EB" w:rsidRPr="00F51CE3" w:rsidRDefault="00F716EB" w:rsidP="00F716EB">
            <w:pPr>
              <w:pStyle w:val="naisc"/>
              <w:spacing w:before="0" w:after="0"/>
              <w:jc w:val="both"/>
              <w:rPr>
                <w:b/>
                <w:bCs/>
                <w:sz w:val="20"/>
                <w:szCs w:val="20"/>
              </w:rPr>
            </w:pPr>
            <w:r w:rsidRPr="00F51CE3">
              <w:rPr>
                <w:b/>
                <w:bCs/>
                <w:sz w:val="20"/>
                <w:szCs w:val="20"/>
              </w:rPr>
              <w:t>Š.g. 11.maijā uzturētais iebildums.</w:t>
            </w:r>
          </w:p>
          <w:p w14:paraId="02862569" w14:textId="5D6BB3A3" w:rsidR="00F716EB" w:rsidRPr="00F716EB" w:rsidRDefault="00F716EB" w:rsidP="00F716EB">
            <w:pPr>
              <w:pStyle w:val="naisc"/>
              <w:spacing w:before="0" w:after="0"/>
              <w:jc w:val="both"/>
              <w:rPr>
                <w:sz w:val="20"/>
                <w:szCs w:val="20"/>
              </w:rPr>
            </w:pPr>
            <w:r w:rsidRPr="00F51CE3">
              <w:rPr>
                <w:sz w:val="20"/>
                <w:szCs w:val="20"/>
              </w:rPr>
              <w:t xml:space="preserve">Tieslietu ministrija uztur iebildumu par likumprojekta 76. panta otro daļu. Norādām, ka tad, ja komercsabiedrības likvidācijas gaitā atklājas, ka likvidējamās komercsabiedrības mantas nepietiek, lai apmierinātu visus pamatotos kreditoru prasījumus, Komerclikuma 323. pants paredz likvidatora pienākumu iesniegt maksātnespējas procesa pieteikumu likumā noteiktajā kārtībā. Līdz ar to nav iespējama situācija, kad likvidācijas procesa laikā kreditora prasījums netiek </w:t>
            </w:r>
            <w:r w:rsidRPr="00F51CE3">
              <w:rPr>
                <w:sz w:val="20"/>
                <w:szCs w:val="20"/>
              </w:rPr>
              <w:lastRenderedPageBreak/>
              <w:t>apmierināts vai tiek apmierināts daļēji. Ievērojot minēto, lūdzam precizēt likumprojektu, neattiecinot 76. panta otro daļu uz ieguldījumu brokeru sabiedrības likvidācijas procesu.</w:t>
            </w:r>
          </w:p>
        </w:tc>
        <w:tc>
          <w:tcPr>
            <w:tcW w:w="848" w:type="pct"/>
            <w:gridSpan w:val="2"/>
            <w:tcBorders>
              <w:top w:val="single" w:sz="6" w:space="0" w:color="000000"/>
              <w:left w:val="single" w:sz="6" w:space="0" w:color="000000"/>
              <w:bottom w:val="single" w:sz="6" w:space="0" w:color="000000"/>
              <w:right w:val="single" w:sz="6" w:space="0" w:color="000000"/>
            </w:tcBorders>
          </w:tcPr>
          <w:p w14:paraId="6F55D41B" w14:textId="19BB35BF" w:rsidR="00F716EB" w:rsidRDefault="001C09CA" w:rsidP="00F716EB">
            <w:pPr>
              <w:pStyle w:val="NoSpacing"/>
              <w:rPr>
                <w:rFonts w:eastAsia="Times New Roman"/>
                <w:b/>
                <w:bCs/>
                <w:sz w:val="20"/>
                <w:szCs w:val="20"/>
                <w:lang w:eastAsia="lv-LV"/>
              </w:rPr>
            </w:pPr>
            <w:r>
              <w:rPr>
                <w:b/>
                <w:bCs/>
                <w:sz w:val="20"/>
                <w:szCs w:val="20"/>
              </w:rPr>
              <w:lastRenderedPageBreak/>
              <w:t>Panākta vienošanās elektroniskajā saskaņošanā.</w:t>
            </w:r>
            <w:r w:rsidRPr="0085739E">
              <w:rPr>
                <w:sz w:val="20"/>
                <w:szCs w:val="20"/>
              </w:rPr>
              <w:t xml:space="preserve"> </w:t>
            </w:r>
            <w:r w:rsidR="00F716EB" w:rsidRPr="00AE0B9E">
              <w:rPr>
                <w:sz w:val="20"/>
                <w:szCs w:val="20"/>
                <w:lang w:eastAsia="lv-LV"/>
              </w:rPr>
              <w:t xml:space="preserve">Likumprojekta </w:t>
            </w:r>
            <w:r w:rsidR="00761981">
              <w:rPr>
                <w:sz w:val="20"/>
                <w:szCs w:val="20"/>
                <w:lang w:eastAsia="lv-LV"/>
              </w:rPr>
              <w:t>82</w:t>
            </w:r>
            <w:r w:rsidR="00F716EB" w:rsidRPr="00AE0B9E">
              <w:rPr>
                <w:sz w:val="20"/>
                <w:szCs w:val="20"/>
                <w:lang w:eastAsia="lv-LV"/>
              </w:rPr>
              <w:t>.panta otrā daļa precizēt pēc analoģijas ar Kredītiestāžu likuma 138.panta pirm</w:t>
            </w:r>
            <w:r w:rsidR="00F716EB">
              <w:rPr>
                <w:sz w:val="20"/>
                <w:szCs w:val="20"/>
                <w:lang w:eastAsia="lv-LV"/>
              </w:rPr>
              <w:t>o</w:t>
            </w:r>
            <w:r w:rsidR="00F716EB" w:rsidRPr="00AE0B9E">
              <w:rPr>
                <w:sz w:val="20"/>
                <w:szCs w:val="20"/>
                <w:lang w:eastAsia="lv-LV"/>
              </w:rPr>
              <w:t xml:space="preserve"> daļ</w:t>
            </w:r>
            <w:r w:rsidR="00F716EB">
              <w:rPr>
                <w:sz w:val="20"/>
                <w:szCs w:val="20"/>
                <w:lang w:eastAsia="lv-LV"/>
              </w:rPr>
              <w:t>u</w:t>
            </w:r>
            <w:r w:rsidR="00F716EB" w:rsidRPr="00AE0B9E">
              <w:rPr>
                <w:sz w:val="20"/>
                <w:szCs w:val="20"/>
                <w:lang w:eastAsia="lv-LV"/>
              </w:rPr>
              <w:t>.</w:t>
            </w:r>
          </w:p>
        </w:tc>
        <w:tc>
          <w:tcPr>
            <w:tcW w:w="936" w:type="pct"/>
            <w:tcBorders>
              <w:top w:val="single" w:sz="4" w:space="0" w:color="auto"/>
              <w:left w:val="single" w:sz="4" w:space="0" w:color="auto"/>
              <w:bottom w:val="single" w:sz="4" w:space="0" w:color="auto"/>
              <w:right w:val="single" w:sz="4" w:space="0" w:color="auto"/>
            </w:tcBorders>
          </w:tcPr>
          <w:p w14:paraId="6A78E51A" w14:textId="766221AE" w:rsidR="00F716EB" w:rsidRPr="00AE0B9E" w:rsidRDefault="00761981" w:rsidP="00F716EB">
            <w:pPr>
              <w:pStyle w:val="NoSpacing"/>
              <w:widowControl/>
              <w:rPr>
                <w:rFonts w:eastAsiaTheme="minorHAnsi"/>
                <w:b/>
                <w:bCs/>
                <w:sz w:val="20"/>
                <w:szCs w:val="20"/>
              </w:rPr>
            </w:pPr>
            <w:r>
              <w:rPr>
                <w:rFonts w:eastAsiaTheme="minorHAnsi"/>
                <w:b/>
                <w:bCs/>
                <w:sz w:val="20"/>
                <w:szCs w:val="20"/>
              </w:rPr>
              <w:t>82</w:t>
            </w:r>
            <w:r w:rsidR="00F716EB" w:rsidRPr="00043F2A">
              <w:rPr>
                <w:rFonts w:eastAsiaTheme="minorHAnsi"/>
                <w:b/>
                <w:bCs/>
                <w:sz w:val="20"/>
                <w:szCs w:val="20"/>
              </w:rPr>
              <w:t>.pants. Kreditoru prasījumu segšanas speciālā kārtība</w:t>
            </w:r>
          </w:p>
          <w:p w14:paraId="4AB6FB08" w14:textId="2D0A5BAC" w:rsidR="00F716EB" w:rsidRPr="00F716EB" w:rsidRDefault="00F716EB" w:rsidP="00F716EB">
            <w:pPr>
              <w:pStyle w:val="NoSpacing"/>
              <w:rPr>
                <w:rFonts w:eastAsia="Times New Roman"/>
                <w:sz w:val="20"/>
                <w:szCs w:val="20"/>
                <w:u w:val="single"/>
                <w:lang w:eastAsia="lv-LV"/>
              </w:rPr>
            </w:pPr>
            <w:r w:rsidRPr="00F716EB">
              <w:rPr>
                <w:sz w:val="20"/>
                <w:szCs w:val="20"/>
                <w:u w:val="single"/>
                <w:lang w:eastAsia="lv-LV"/>
              </w:rPr>
              <w:t>(2) Ja parādnieka naudas līdzekļu nepietiek, lai pilnībā apmierinātu visus šā panta pirmās daļas 2.punktā minētos kreditoru prasījumus, likvidatora pienākums ir pieņemt lēmumu par maksātnespējas procesa uzsākšanu un iesniegt tiesā maksātnespējas procesa pieteikumu, ieguldījumu brokeru sabiedrības vārdā lūdzot tiesu pasludināt ieguldījumu brokeru sabiedrību par maksātnespējīgu un pieņemt lēmumu par maksātnespējas procesa uzsākšanu.</w:t>
            </w:r>
          </w:p>
        </w:tc>
      </w:tr>
      <w:tr w:rsidR="00967C7E" w:rsidRPr="00184920" w14:paraId="2B30675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7AB18C08" w14:textId="5B205862" w:rsidR="00967C7E" w:rsidRDefault="00967C7E"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44.</w:t>
            </w:r>
          </w:p>
        </w:tc>
        <w:tc>
          <w:tcPr>
            <w:tcW w:w="692" w:type="pct"/>
            <w:tcBorders>
              <w:top w:val="single" w:sz="6" w:space="0" w:color="000000"/>
              <w:left w:val="single" w:sz="6" w:space="0" w:color="000000"/>
              <w:bottom w:val="single" w:sz="6" w:space="0" w:color="000000"/>
              <w:right w:val="single" w:sz="6" w:space="0" w:color="000000"/>
            </w:tcBorders>
          </w:tcPr>
          <w:p w14:paraId="6517C175" w14:textId="77777777" w:rsidR="00967C7E" w:rsidRPr="00335E10" w:rsidRDefault="00967C7E" w:rsidP="00967C7E">
            <w:pPr>
              <w:pStyle w:val="NoSpacing"/>
              <w:widowControl/>
              <w:rPr>
                <w:rFonts w:eastAsiaTheme="minorHAnsi"/>
                <w:b/>
                <w:bCs/>
                <w:sz w:val="20"/>
                <w:szCs w:val="20"/>
              </w:rPr>
            </w:pPr>
            <w:r w:rsidRPr="00335E10">
              <w:rPr>
                <w:rFonts w:eastAsiaTheme="minorHAnsi"/>
                <w:b/>
                <w:bCs/>
                <w:sz w:val="20"/>
                <w:szCs w:val="20"/>
              </w:rPr>
              <w:t>76.pants. Kreditoru prasījumu segšanas speciālā kārtība</w:t>
            </w:r>
          </w:p>
          <w:p w14:paraId="0855F975" w14:textId="5B659EF7" w:rsidR="00967C7E" w:rsidRPr="00043F2A" w:rsidRDefault="00967C7E" w:rsidP="00967C7E">
            <w:pPr>
              <w:pStyle w:val="NoSpacing"/>
              <w:widowControl/>
              <w:rPr>
                <w:rFonts w:eastAsiaTheme="minorHAnsi"/>
                <w:b/>
                <w:bCs/>
                <w:sz w:val="20"/>
                <w:szCs w:val="20"/>
              </w:rPr>
            </w:pPr>
            <w:r w:rsidRPr="00335E10">
              <w:rPr>
                <w:bCs/>
                <w:sz w:val="20"/>
                <w:szCs w:val="20"/>
              </w:rPr>
              <w:t>(3) Pēc tam kad pilnībā segtas šā panta pirmajā daļā minētās izmaksas un kreditoru prasījumi, pārējie nenodrošināto kreditoru prasījumi tiek segti </w:t>
            </w:r>
            <w:hyperlink r:id="rId30" w:tgtFrame="_blank" w:history="1">
              <w:r w:rsidRPr="00335E10">
                <w:rPr>
                  <w:bCs/>
                  <w:sz w:val="20"/>
                  <w:szCs w:val="20"/>
                </w:rPr>
                <w:t>Maksātnespējas likumā</w:t>
              </w:r>
            </w:hyperlink>
            <w:r w:rsidRPr="00335E10">
              <w:rPr>
                <w:bCs/>
                <w:sz w:val="20"/>
                <w:szCs w:val="20"/>
              </w:rPr>
              <w:t xml:space="preserve"> noteiktajā kreditoru prasījumu segšanas kārtībā, tostarp prasījumi, kas izriet no emitēta parādu vērtspapīra, kura sākotnējais dzēšanas termiņš saskaņā ar prospektu ir vismaz viens gads, kurš nav uzskatāms par atvasinātu finanšu instrumentu, kurā nav ietverts atvasināts finanšu instruments un attiecībā uz kuru prospektā ir noteikta zemāka prioritāte nekā tiem kreditoru prasījumiem, kas ir līdzīgi šā panta pirmajā daļā noteiktajiem. Emitētu parāda vērtspapīru ar mainīgu procentu likmi, kas nosakāma, pamatojoties uz finanšu tirgū vispāratzīti lietotu bāzes procentu likmi, un emitētu parāda vērtspapīru, kas nav izteikts emitenta valsts valūtā, ar nosacījumu, ka pamatsumma, atmaksas summa un procentu likme ir </w:t>
            </w:r>
            <w:r w:rsidRPr="00335E10">
              <w:rPr>
                <w:bCs/>
                <w:sz w:val="20"/>
                <w:szCs w:val="20"/>
              </w:rPr>
              <w:lastRenderedPageBreak/>
              <w:t>izteikta vienā un tajā pašā valūtā, neuzskata par tādu emitētu parāda vērtspapīru, kurā ietverts atvasināts finanšu instruments tikai šajā teikumā minēto pazīmju dēļ.</w:t>
            </w:r>
          </w:p>
        </w:tc>
        <w:tc>
          <w:tcPr>
            <w:tcW w:w="1309" w:type="pct"/>
            <w:tcBorders>
              <w:top w:val="single" w:sz="6" w:space="0" w:color="000000"/>
              <w:left w:val="single" w:sz="6" w:space="0" w:color="000000"/>
              <w:bottom w:val="single" w:sz="6" w:space="0" w:color="000000"/>
              <w:right w:val="single" w:sz="6" w:space="0" w:color="000000"/>
            </w:tcBorders>
          </w:tcPr>
          <w:p w14:paraId="351C0A46" w14:textId="21F8678B" w:rsidR="00967C7E" w:rsidRDefault="00967C7E" w:rsidP="00967C7E">
            <w:pPr>
              <w:jc w:val="both"/>
              <w:rPr>
                <w:rFonts w:ascii="Times New Roman" w:hAnsi="Times New Roman" w:cs="Times New Roman"/>
                <w:sz w:val="20"/>
                <w:szCs w:val="20"/>
              </w:rPr>
            </w:pPr>
            <w:r w:rsidRPr="00335E10">
              <w:rPr>
                <w:rFonts w:ascii="Times New Roman" w:hAnsi="Times New Roman" w:cs="Times New Roman"/>
                <w:b/>
                <w:bCs/>
                <w:sz w:val="20"/>
                <w:szCs w:val="20"/>
              </w:rPr>
              <w:lastRenderedPageBreak/>
              <w:t>Iebildums.</w:t>
            </w:r>
            <w:r w:rsidRPr="00335E10">
              <w:rPr>
                <w:rFonts w:ascii="Times New Roman" w:hAnsi="Times New Roman" w:cs="Times New Roman"/>
                <w:sz w:val="20"/>
                <w:szCs w:val="20"/>
              </w:rPr>
              <w:t xml:space="preserve"> Likumprojekta 74. panta trešā daļa Tieslietu ministrijas ieskatā neatbilst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108. panta 2. un 3. punktam. Minētais 2. punkts ir ieviests nepilnīgi, jo likumprojekta norma paredz vienāda līmeņa prioritāti, kaut arī direktīva noteic pakārtotu. Savukārt minētās direktīvas 108. panta 3. punkts likumprojektā nav ieviests vispār. Ņemot vērā izklāstīto, lūdzam pārskatīt likumprojekta 74. panta trešo daļu.</w:t>
            </w:r>
          </w:p>
          <w:p w14:paraId="5955CDF0" w14:textId="77777777" w:rsidR="00967C7E" w:rsidRPr="00363854" w:rsidRDefault="00967C7E" w:rsidP="00967C7E">
            <w:pPr>
              <w:spacing w:after="0" w:line="240" w:lineRule="auto"/>
              <w:jc w:val="both"/>
              <w:rPr>
                <w:rFonts w:ascii="Times New Roman" w:eastAsia="Times New Roman" w:hAnsi="Times New Roman" w:cs="Times New Roman"/>
                <w:b/>
                <w:bCs/>
                <w:sz w:val="20"/>
                <w:szCs w:val="20"/>
                <w:lang w:eastAsia="lv-LV"/>
              </w:rPr>
            </w:pPr>
            <w:r w:rsidRPr="00363854">
              <w:rPr>
                <w:rFonts w:ascii="Times New Roman" w:eastAsia="Times New Roman" w:hAnsi="Times New Roman" w:cs="Times New Roman"/>
                <w:b/>
                <w:bCs/>
                <w:sz w:val="20"/>
                <w:szCs w:val="20"/>
                <w:lang w:eastAsia="lv-LV"/>
              </w:rPr>
              <w:t>Š.g. 11.maijā uzturētais iebildums.</w:t>
            </w:r>
          </w:p>
          <w:p w14:paraId="4BCA5CE8"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Tieslietu ministrija uztur iebildumu par likumprojekta 76. panta trešo daļu turpmāk norādīto apsvērumu dēļ. Likumprojekta 76. pantā tiek pārņemtas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Pamatdirektīva) 108. pantu, kā tas grozīts ar Eiropas Parlamenta un Padomes 2017. gada 12. decembra direktīvu (ES) 2017/2399, ar ko groza Direktīvu 2014/59/ES attiecībā uz nenodrošinātu parāda instrumentu prioritāti </w:t>
            </w:r>
            <w:r w:rsidRPr="00363854">
              <w:rPr>
                <w:rFonts w:ascii="Times New Roman" w:eastAsia="Times New Roman" w:hAnsi="Times New Roman" w:cs="Times New Roman"/>
                <w:sz w:val="20"/>
                <w:szCs w:val="20"/>
                <w:lang w:eastAsia="lv-LV"/>
              </w:rPr>
              <w:lastRenderedPageBreak/>
              <w:t>maksātnespējas hierarhijā (turpmāk – 2017. gada direktīva). 2017. gada direktīva pilnībā aizstāj Pamatdirektīvas 108. pantu. Turpmāk šajā iebildumā atsauces uz “108. pantu” nozīmē 108. panta redakciju pēc 2017. gada direktīvas, ja vien nav īpaši norādīts citādi.</w:t>
            </w:r>
          </w:p>
          <w:p w14:paraId="2D5B1FA0" w14:textId="77777777" w:rsidR="00967C7E"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Eiropas Parlamenta un Padomes 2019. gada 27. novembra direktīva Nr. 2019/2034 par ieguldījumu brokeru sabiedrību </w:t>
            </w:r>
            <w:proofErr w:type="spellStart"/>
            <w:r w:rsidRPr="00363854">
              <w:rPr>
                <w:rFonts w:ascii="Times New Roman" w:eastAsia="Times New Roman" w:hAnsi="Times New Roman" w:cs="Times New Roman"/>
                <w:sz w:val="20"/>
                <w:szCs w:val="20"/>
                <w:lang w:eastAsia="lv-LV"/>
              </w:rPr>
              <w:t>prudenciālo</w:t>
            </w:r>
            <w:proofErr w:type="spellEnd"/>
            <w:r w:rsidRPr="00363854">
              <w:rPr>
                <w:rFonts w:ascii="Times New Roman" w:eastAsia="Times New Roman" w:hAnsi="Times New Roman" w:cs="Times New Roman"/>
                <w:sz w:val="20"/>
                <w:szCs w:val="20"/>
                <w:lang w:eastAsia="lv-LV"/>
              </w:rPr>
              <w:t xml:space="preserve"> uzraudzību un ar ko groza Direktīvas 2002/87/EK, 2009/65/EK, 2011/61/ES, 2013/36/ES, 2014/59/ES un 2014/65/ES (turpmāk – 2019. gada direktīva) neskar 108. pantā minēto regulējumu par prioritāti maksātnespējas hierarhijā, līdz ar to likumprojekta 76. panta sakarā nav pamata runāt par 2019. gada direktīvas pārņemšanu. Šajā kontekstā ierosinām precizēt likumprojekta anotācijas I sadaļā minēto likumprojekta būtības skaidrojumu, norādot, ka tiek pārņemtas ne tikai 2019. gada direktīvas, bet arī 2017. gada direktīvas normas.</w:t>
            </w:r>
          </w:p>
          <w:p w14:paraId="1BD913D2"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Saskaņā ar Finanšu ministrijas skaidrojumā norādīto, līdz šim 108. pants pārņemts ar 2019. gada grozījumiem Finanšu instrumentu tirgus likumā (154. panta trešā un ceturtā daļa).</w:t>
            </w:r>
          </w:p>
          <w:p w14:paraId="3DF09533"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Šobrīd saskaņā ar likumprojekta anotācijā (I sadaļā) norādīto Finanšu ministrija “pārceļ” regulējumu par ieguldījumu brokeru savienībām no Finanšu instrumentu tirgus likuma (turpmāk – FITL) uz likumprojektu. FITL grozījumu likumprojektā ir iekļauta norma, kas izslēdz FITL 154. pantu, ar kuru līdz šim bija pārņemts 108. pants. Atbilstoši, likumprojektā iekļauts 76. pants. Likumprojekta 76. panta trešā un ceturtā daļa ir identiska līdzšinējā FITL 154. panta trešajai un ceturtajai daļai, un tādējādi Tieslietu ministrijas ieskatā jau iepriekš 108. pants ir ticis pārņemts nepilnīgi.</w:t>
            </w:r>
          </w:p>
          <w:p w14:paraId="51988D4F" w14:textId="77777777" w:rsidR="00967C7E" w:rsidRPr="00363854" w:rsidRDefault="00967C7E" w:rsidP="00967C7E">
            <w:pPr>
              <w:spacing w:after="0" w:line="240" w:lineRule="auto"/>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Šajā saistībā norādām, ka neraugoties uz to, ka 108. panta pārņemšana ir </w:t>
            </w:r>
            <w:proofErr w:type="spellStart"/>
            <w:r w:rsidRPr="00363854">
              <w:rPr>
                <w:rFonts w:ascii="Times New Roman" w:eastAsia="Times New Roman" w:hAnsi="Times New Roman" w:cs="Times New Roman"/>
                <w:sz w:val="20"/>
                <w:szCs w:val="20"/>
                <w:lang w:eastAsia="lv-LV"/>
              </w:rPr>
              <w:t>notificēta</w:t>
            </w:r>
            <w:proofErr w:type="spellEnd"/>
            <w:r w:rsidRPr="00363854">
              <w:rPr>
                <w:rFonts w:ascii="Times New Roman" w:eastAsia="Times New Roman" w:hAnsi="Times New Roman" w:cs="Times New Roman"/>
                <w:sz w:val="20"/>
                <w:szCs w:val="20"/>
                <w:lang w:eastAsia="lv-LV"/>
              </w:rPr>
              <w:t xml:space="preserve"> Eiropas Savienībai un līdz šim, acīmredzot, komentāri no Eiropas Komisijas par pārņemšanas korektumu nav saņemti, gadījumā, ja Latvija pati konstatē, ka kāda direktīvas prasība pārņemta nepilnīgi, šī nepilnība ir jākoriģē. Nav pamatoti atsaukties (kā norādīts izziņā) uz to, ka savulaik 108. pants ir pārņemts šādi, </w:t>
            </w:r>
            <w:proofErr w:type="spellStart"/>
            <w:r w:rsidRPr="00363854">
              <w:rPr>
                <w:rFonts w:ascii="Times New Roman" w:eastAsia="Times New Roman" w:hAnsi="Times New Roman" w:cs="Times New Roman"/>
                <w:sz w:val="20"/>
                <w:szCs w:val="20"/>
                <w:lang w:eastAsia="lv-LV"/>
              </w:rPr>
              <w:t>notificēts</w:t>
            </w:r>
            <w:proofErr w:type="spellEnd"/>
            <w:r w:rsidRPr="00363854">
              <w:rPr>
                <w:rFonts w:ascii="Times New Roman" w:eastAsia="Times New Roman" w:hAnsi="Times New Roman" w:cs="Times New Roman"/>
                <w:sz w:val="20"/>
                <w:szCs w:val="20"/>
                <w:lang w:eastAsia="lv-LV"/>
              </w:rPr>
              <w:t xml:space="preserve"> Eiropas Savienībai un līdz ar to šī norma ir akmenī cirsta un saturiski vairs nav maināma. </w:t>
            </w:r>
            <w:r w:rsidRPr="00363854">
              <w:rPr>
                <w:rFonts w:ascii="Times New Roman" w:eastAsia="Times New Roman" w:hAnsi="Times New Roman" w:cs="Times New Roman"/>
                <w:sz w:val="20"/>
                <w:szCs w:val="20"/>
                <w:lang w:eastAsia="lv-LV"/>
              </w:rPr>
              <w:lastRenderedPageBreak/>
              <w:t xml:space="preserve">Ņemot vērā, ka FITL 154. pants tiek izslēgts un pārnests uz likumprojektu, šis ir ļoti piemērots brīdis, lai panāktu atbilstību direktīvām. </w:t>
            </w:r>
          </w:p>
          <w:p w14:paraId="51A8F1EC" w14:textId="26032E75" w:rsidR="00967C7E" w:rsidRDefault="00967C7E" w:rsidP="00967C7E">
            <w:pPr>
              <w:jc w:val="both"/>
              <w:rPr>
                <w:rFonts w:ascii="Times New Roman" w:eastAsia="Times New Roman" w:hAnsi="Times New Roman" w:cs="Times New Roman"/>
                <w:sz w:val="20"/>
                <w:szCs w:val="20"/>
                <w:lang w:eastAsia="lv-LV"/>
              </w:rPr>
            </w:pPr>
            <w:r w:rsidRPr="00363854">
              <w:rPr>
                <w:rFonts w:ascii="Times New Roman" w:eastAsia="Times New Roman" w:hAnsi="Times New Roman" w:cs="Times New Roman"/>
                <w:sz w:val="20"/>
                <w:szCs w:val="20"/>
                <w:lang w:eastAsia="lv-LV"/>
              </w:rPr>
              <w:t xml:space="preserve">Turklāt, ņemot vērā arī to, ka no FITL tiek izslēgtas tiesību normas, kurās savulaik tika pārņemts 108. pants, nepieciešams papildināt likumprojekta anotācijas V sadaļas 1. tabulu ar informāciju par 2017. gada direktīvas normu pārņemšanu likumprojektā (šobrīd anotācijas V sadaļa aptver tikai 2019. gada direktīvas pārņemšanu). Tāpat mūsu ieskatā pēc likumprojekta pieņemšanas 2019. gada direktīvas pārņemšana atkārtoti </w:t>
            </w:r>
            <w:proofErr w:type="spellStart"/>
            <w:r w:rsidRPr="00363854">
              <w:rPr>
                <w:rFonts w:ascii="Times New Roman" w:eastAsia="Times New Roman" w:hAnsi="Times New Roman" w:cs="Times New Roman"/>
                <w:sz w:val="20"/>
                <w:szCs w:val="20"/>
                <w:lang w:eastAsia="lv-LV"/>
              </w:rPr>
              <w:t>jānotificē</w:t>
            </w:r>
            <w:proofErr w:type="spellEnd"/>
            <w:r w:rsidRPr="00363854">
              <w:rPr>
                <w:rFonts w:ascii="Times New Roman" w:eastAsia="Times New Roman" w:hAnsi="Times New Roman" w:cs="Times New Roman"/>
                <w:sz w:val="20"/>
                <w:szCs w:val="20"/>
                <w:lang w:eastAsia="lv-LV"/>
              </w:rPr>
              <w:t xml:space="preserve"> ES, jo līdzšinējā notifikācija par FITL pēc tā 154. panta izslēgšanas vairs nebūs korekta.</w:t>
            </w:r>
          </w:p>
          <w:p w14:paraId="7A95001B" w14:textId="77777777" w:rsidR="00967C7E" w:rsidRPr="00BF278D" w:rsidRDefault="00967C7E" w:rsidP="00967C7E">
            <w:pPr>
              <w:spacing w:after="0" w:line="240" w:lineRule="auto"/>
              <w:jc w:val="both"/>
              <w:rPr>
                <w:rFonts w:ascii="Times New Roman" w:eastAsia="Times New Roman" w:hAnsi="Times New Roman" w:cs="Times New Roman"/>
                <w:b/>
                <w:bCs/>
                <w:sz w:val="20"/>
                <w:szCs w:val="20"/>
                <w:lang w:eastAsia="lv-LV"/>
              </w:rPr>
            </w:pPr>
            <w:r w:rsidRPr="00BF278D">
              <w:rPr>
                <w:rFonts w:ascii="Times New Roman" w:eastAsia="Times New Roman" w:hAnsi="Times New Roman" w:cs="Times New Roman"/>
                <w:b/>
                <w:bCs/>
                <w:sz w:val="20"/>
                <w:szCs w:val="20"/>
                <w:lang w:eastAsia="lv-LV"/>
              </w:rPr>
              <w:t>Š.g. 7.jūnijā uzturētais iebildums.</w:t>
            </w:r>
          </w:p>
          <w:p w14:paraId="4131F36F"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Tieslietu ministrija uztur izziņas I sadaļas 44. punktā ietverto iebildumu. Izziņā norādīts, ka Tieslietu ministrijas iebildums ir ņemts vērā, tomēr jāatzīmē, ka likumprojekta 76. panta trešā daļa vēl aizvien neatbilst pilnībā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Direktīva) 108. panta, kā tas grozīts ar Eiropas Parlamenta un Padomes 2017. gada 12. decembra direktīvu (ES) 2017/2399, ar ko groza Direktīvu 2014/59/ES attiecībā uz nenodrošinātu parāda instrumentu prioritāti maksātnespējas hierarhijā, 2. punktam.</w:t>
            </w:r>
          </w:p>
          <w:p w14:paraId="3454CB42"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 xml:space="preserve">Direktīvas 108. panta 2. punktā noteikts, ka dalībvalstis nodrošina, ka attiecībā uz 1. panta 1. punkta pirmās daļas a) līdz d) apakšpunktā minētajām vienībām parastiem nenodrošinātiem prasījumiem dalībvalstu tiesību aktos, kas reglamentē parastās maksātnespējas procedūras, ir augstāka prioritāte nekā nenodrošinātiem prasījumiem, </w:t>
            </w:r>
            <w:r w:rsidRPr="00BF278D">
              <w:rPr>
                <w:rFonts w:ascii="Times New Roman" w:eastAsia="Times New Roman" w:hAnsi="Times New Roman" w:cs="Times New Roman"/>
                <w:sz w:val="20"/>
                <w:szCs w:val="20"/>
                <w:lang w:eastAsia="lv-LV"/>
              </w:rPr>
              <w:lastRenderedPageBreak/>
              <w:t>kas izriet no parāda instrumentiem, kuri atbilst šādiem nosacījumiem: [..].”</w:t>
            </w:r>
          </w:p>
          <w:p w14:paraId="340665F7"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Savukārt likumprojekta 76. panta trešā daļa paredz, ka pēc tam kad pilnībā segtas šā panta pirmajā daļā minētās izmaksas un kreditoru prasījumi, pārējie nenodrošināto kreditoru prasījumi tiek segti Maksātnespējas likumā noteiktajā kreditoru prasījumu segšanas kārtībā, tostarp prasījumi,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noteiktajiem.</w:t>
            </w:r>
          </w:p>
          <w:p w14:paraId="3AB41D4A"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Vēršam uzmanību, ka Maksātnespējas likuma 118. pantā nav paredzēta īpaša segšanas kārtība attiecībā uz prasījumiem, kuri minēti Direktīvas 108. panta 2. punktā un kuri iestrādāti likumprojekta 76. panta trešajā daļā. Tā kā pēdējā minētajā ir paredzēts Direktīvas 108. panta 2. punkta prasījumus nostādīt vienā prioritātē (to nodrošina vārdi “tostarp prasījumi”) ar parastiem nenodrošinātiem prasījumiem, tad pretēji Direktīvas 108. pantā noteiktajiem šie “īpašie prasījumi” būs iekļaujami parasto nenodrošināto kreditoru prasījumu kārtā atbilstoši Maksātnespējas likuma 118. panta piektajā daļā noteiktajam.</w:t>
            </w:r>
          </w:p>
          <w:p w14:paraId="2AD47BD2"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Likumdošanas procesa efektivitātes nolūkos izsakām šādu priekšlikumu likumprojekta 76. panta trešās daļas precizēšanai, to sadalot divās daļās:</w:t>
            </w:r>
          </w:p>
          <w:p w14:paraId="349EFC42" w14:textId="77777777" w:rsidR="00967C7E" w:rsidRPr="00BF278D" w:rsidRDefault="00967C7E" w:rsidP="00967C7E">
            <w:pPr>
              <w:spacing w:after="0" w:line="240" w:lineRule="auto"/>
              <w:jc w:val="both"/>
              <w:rPr>
                <w:rFonts w:ascii="Times New Roman" w:eastAsia="Times New Roman" w:hAnsi="Times New Roman" w:cs="Times New Roman"/>
                <w:sz w:val="20"/>
                <w:szCs w:val="20"/>
                <w:lang w:eastAsia="lv-LV"/>
              </w:rPr>
            </w:pPr>
            <w:bookmarkStart w:id="11" w:name="_Hlk74045006"/>
            <w:r w:rsidRPr="00BF278D">
              <w:rPr>
                <w:rFonts w:ascii="Times New Roman" w:eastAsia="Times New Roman" w:hAnsi="Times New Roman" w:cs="Times New Roman"/>
                <w:sz w:val="20"/>
                <w:szCs w:val="20"/>
                <w:lang w:eastAsia="lv-LV"/>
              </w:rPr>
              <w:t>“(3) Pēc tam kad pilnībā segtas šā panta pirmajā daļā minētās izmaksas un kreditoru prasījumi, pārējie nenodrošināto kreditoru prasījumi tiek segti Maksātnespējas likumā noteiktajā kreditoru prasījumu segšanas kārtībā.</w:t>
            </w:r>
          </w:p>
          <w:p w14:paraId="654FBC5E" w14:textId="52297A7F" w:rsidR="00967C7E" w:rsidRPr="00967C7E" w:rsidRDefault="00967C7E" w:rsidP="00967C7E">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 xml:space="preserve">(4) Prasījumi,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w:t>
            </w:r>
            <w:r w:rsidRPr="00BF278D">
              <w:rPr>
                <w:rFonts w:ascii="Times New Roman" w:eastAsia="Times New Roman" w:hAnsi="Times New Roman" w:cs="Times New Roman"/>
                <w:sz w:val="20"/>
                <w:szCs w:val="20"/>
                <w:lang w:eastAsia="lv-LV"/>
              </w:rPr>
              <w:lastRenderedPageBreak/>
              <w:t>noteiktajiem, tiek segti pēc šā panta trešajā daļā noteikto prasījumu segšanas. Parāda 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bookmarkEnd w:id="11"/>
            <w:r w:rsidRPr="00BF278D">
              <w:rPr>
                <w:rFonts w:ascii="Times New Roman" w:eastAsia="Times New Roman" w:hAnsi="Times New Roman" w:cs="Times New Roman"/>
                <w:sz w:val="20"/>
                <w:szCs w:val="20"/>
                <w:lang w:eastAsia="lv-LV"/>
              </w:rPr>
              <w:t>”</w:t>
            </w:r>
            <w:r>
              <w:rPr>
                <w:rFonts w:ascii="Times New Roman" w:eastAsia="Times New Roman" w:hAnsi="Times New Roman" w:cs="Times New Roman"/>
                <w:sz w:val="20"/>
                <w:szCs w:val="20"/>
                <w:lang w:eastAsia="lv-LV"/>
              </w:rPr>
              <w:t xml:space="preserve"> </w:t>
            </w:r>
            <w:r w:rsidRPr="00BF278D">
              <w:rPr>
                <w:rFonts w:ascii="Times New Roman" w:eastAsia="Times New Roman" w:hAnsi="Times New Roman" w:cs="Times New Roman"/>
                <w:sz w:val="20"/>
                <w:szCs w:val="20"/>
                <w:lang w:eastAsia="lv-LV"/>
              </w:rPr>
              <w:t>Vēršam uzmanību, ka priekšlikuma vērā ņemšanas gadījumā ir jāprecizē turpmākā daļu numerācija, kā arī šajās daļās ietvertās atsauces.</w:t>
            </w:r>
          </w:p>
        </w:tc>
        <w:tc>
          <w:tcPr>
            <w:tcW w:w="848" w:type="pct"/>
            <w:gridSpan w:val="2"/>
            <w:tcBorders>
              <w:top w:val="single" w:sz="6" w:space="0" w:color="000000"/>
              <w:left w:val="single" w:sz="6" w:space="0" w:color="000000"/>
              <w:bottom w:val="single" w:sz="6" w:space="0" w:color="000000"/>
              <w:right w:val="single" w:sz="6" w:space="0" w:color="000000"/>
            </w:tcBorders>
          </w:tcPr>
          <w:p w14:paraId="02A5B8D8" w14:textId="4E967753" w:rsidR="002E2E5B" w:rsidRDefault="00DB54BD" w:rsidP="002E2E5B">
            <w:pPr>
              <w:spacing w:after="0" w:line="240" w:lineRule="auto"/>
              <w:jc w:val="both"/>
              <w:rPr>
                <w:rFonts w:ascii="Times New Roman" w:eastAsia="Times New Roman" w:hAnsi="Times New Roman" w:cs="Times New Roman"/>
                <w:sz w:val="20"/>
                <w:szCs w:val="20"/>
                <w:lang w:eastAsia="lv-LV"/>
              </w:rPr>
            </w:pPr>
            <w:r w:rsidRPr="00DB54BD">
              <w:rPr>
                <w:rFonts w:ascii="Times New Roman" w:eastAsia="Times New Roman" w:hAnsi="Times New Roman" w:cs="Times New Roman"/>
                <w:b/>
                <w:bCs/>
                <w:sz w:val="20"/>
                <w:szCs w:val="20"/>
                <w:lang w:eastAsia="lv-LV"/>
              </w:rPr>
              <w:lastRenderedPageBreak/>
              <w:t>Panākta vienošanās elektroniskajā saskaņošanā</w:t>
            </w:r>
            <w:r>
              <w:rPr>
                <w:b/>
                <w:bCs/>
                <w:sz w:val="20"/>
                <w:szCs w:val="20"/>
              </w:rPr>
              <w:t>.</w:t>
            </w:r>
            <w:r w:rsidRPr="0085739E">
              <w:rPr>
                <w:sz w:val="20"/>
                <w:szCs w:val="20"/>
              </w:rPr>
              <w:t xml:space="preserve"> </w:t>
            </w:r>
            <w:r w:rsidR="002E2E5B" w:rsidRPr="00711012">
              <w:rPr>
                <w:rFonts w:ascii="Times New Roman" w:eastAsia="Times New Roman" w:hAnsi="Times New Roman" w:cs="Times New Roman"/>
                <w:sz w:val="20"/>
                <w:szCs w:val="20"/>
                <w:lang w:eastAsia="lv-LV"/>
              </w:rPr>
              <w:t xml:space="preserve"> </w:t>
            </w:r>
            <w:r w:rsidR="002E2E5B" w:rsidRPr="00FC4779">
              <w:rPr>
                <w:rFonts w:ascii="Times New Roman" w:eastAsia="Times New Roman" w:hAnsi="Times New Roman" w:cs="Times New Roman"/>
                <w:sz w:val="20"/>
                <w:szCs w:val="20"/>
                <w:lang w:eastAsia="lv-LV"/>
              </w:rPr>
              <w:t xml:space="preserve">Vēršam uzmanību, ka likumprojekta </w:t>
            </w:r>
            <w:r w:rsidR="00761981">
              <w:rPr>
                <w:rFonts w:ascii="Times New Roman" w:eastAsia="Times New Roman" w:hAnsi="Times New Roman" w:cs="Times New Roman"/>
                <w:sz w:val="20"/>
                <w:szCs w:val="20"/>
                <w:lang w:eastAsia="lv-LV"/>
              </w:rPr>
              <w:t>82</w:t>
            </w:r>
            <w:r w:rsidR="002E2E5B" w:rsidRPr="00FC4779">
              <w:rPr>
                <w:rFonts w:ascii="Times New Roman" w:eastAsia="Times New Roman" w:hAnsi="Times New Roman" w:cs="Times New Roman"/>
                <w:sz w:val="20"/>
                <w:szCs w:val="20"/>
                <w:lang w:eastAsia="lv-LV"/>
              </w:rPr>
              <w:t xml:space="preserve">.panta trešajā daļā ir pārņemtas Direktīvas Nr. </w:t>
            </w:r>
            <w:r w:rsidR="002E2E5B" w:rsidRPr="00711012">
              <w:rPr>
                <w:rFonts w:ascii="Times New Roman" w:eastAsia="Times New Roman" w:hAnsi="Times New Roman" w:cs="Times New Roman"/>
                <w:sz w:val="20"/>
                <w:szCs w:val="20"/>
                <w:lang w:eastAsia="lv-LV"/>
              </w:rPr>
              <w:t>2017/2399</w:t>
            </w:r>
            <w:r w:rsidR="002E2E5B" w:rsidRPr="00FC4779">
              <w:rPr>
                <w:rFonts w:ascii="Times New Roman" w:eastAsia="Times New Roman" w:hAnsi="Times New Roman" w:cs="Times New Roman"/>
                <w:sz w:val="20"/>
                <w:szCs w:val="20"/>
                <w:lang w:eastAsia="lv-LV"/>
              </w:rPr>
              <w:t xml:space="preserve"> 1.panta 2.punkta Prioritāte maksātnespējas hierarhijā otrās daļas a),b),c) apakšpunkts un sestā daļa.</w:t>
            </w:r>
          </w:p>
          <w:p w14:paraId="2AB0EC92" w14:textId="77777777" w:rsidR="002E2E5B" w:rsidRDefault="002E2E5B" w:rsidP="002E2E5B">
            <w:pPr>
              <w:spacing w:after="0" w:line="240" w:lineRule="auto"/>
              <w:jc w:val="both"/>
              <w:rPr>
                <w:rFonts w:ascii="Times New Roman" w:eastAsia="Times New Roman" w:hAnsi="Times New Roman" w:cs="Times New Roman"/>
                <w:sz w:val="20"/>
                <w:szCs w:val="20"/>
                <w:lang w:eastAsia="lv-LV"/>
              </w:rPr>
            </w:pPr>
          </w:p>
          <w:p w14:paraId="6070560F" w14:textId="09D2E2DE" w:rsidR="002E2E5B" w:rsidRDefault="002E2E5B" w:rsidP="002E2E5B">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 xml:space="preserve">Likumprojekta </w:t>
            </w:r>
            <w:r w:rsidR="00761981">
              <w:rPr>
                <w:rFonts w:ascii="Times New Roman" w:eastAsia="Times New Roman" w:hAnsi="Times New Roman" w:cs="Times New Roman"/>
                <w:sz w:val="20"/>
                <w:szCs w:val="20"/>
                <w:lang w:eastAsia="lv-LV"/>
              </w:rPr>
              <w:t>82</w:t>
            </w:r>
            <w:r>
              <w:rPr>
                <w:rFonts w:ascii="Times New Roman" w:eastAsia="Times New Roman" w:hAnsi="Times New Roman" w:cs="Times New Roman"/>
                <w:sz w:val="20"/>
                <w:szCs w:val="20"/>
                <w:lang w:eastAsia="lv-LV"/>
              </w:rPr>
              <w:t xml:space="preserve">.panta trešā daļa atbilstoši precizēta, sadalot divās daļās, proti, </w:t>
            </w:r>
            <w:proofErr w:type="spellStart"/>
            <w:r>
              <w:rPr>
                <w:rFonts w:ascii="Times New Roman" w:eastAsia="Times New Roman" w:hAnsi="Times New Roman" w:cs="Times New Roman"/>
                <w:sz w:val="20"/>
                <w:szCs w:val="20"/>
                <w:lang w:eastAsia="lv-LV"/>
              </w:rPr>
              <w:t>trešājā</w:t>
            </w:r>
            <w:proofErr w:type="spellEnd"/>
            <w:r>
              <w:rPr>
                <w:rFonts w:ascii="Times New Roman" w:eastAsia="Times New Roman" w:hAnsi="Times New Roman" w:cs="Times New Roman"/>
                <w:sz w:val="20"/>
                <w:szCs w:val="20"/>
                <w:lang w:eastAsia="lv-LV"/>
              </w:rPr>
              <w:t xml:space="preserve"> un ceturtajā daļā atbilstoši precizējot turpmāko daļu numerāciju un iekšējās atsauces.</w:t>
            </w:r>
          </w:p>
          <w:p w14:paraId="50A2770F" w14:textId="77777777" w:rsidR="002E2E5B" w:rsidRDefault="002E2E5B" w:rsidP="002E2E5B">
            <w:pPr>
              <w:spacing w:after="0" w:line="240" w:lineRule="auto"/>
              <w:jc w:val="both"/>
              <w:rPr>
                <w:rFonts w:ascii="Times New Roman" w:eastAsia="Times New Roman" w:hAnsi="Times New Roman" w:cs="Times New Roman"/>
                <w:sz w:val="20"/>
                <w:szCs w:val="20"/>
                <w:lang w:eastAsia="lv-LV"/>
              </w:rPr>
            </w:pPr>
          </w:p>
          <w:p w14:paraId="03BE4CB9" w14:textId="77777777"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Papildus ir papildināta anotācijas V sadaļa par Direktīvas Nr. 2017/2399 1.panta 2.punkta pārņemšanu.</w:t>
            </w:r>
          </w:p>
          <w:p w14:paraId="3EFA4B33" w14:textId="77777777" w:rsidR="00967C7E" w:rsidRPr="00F716EB" w:rsidRDefault="00967C7E" w:rsidP="00F716EB">
            <w:pPr>
              <w:pStyle w:val="NoSpacing"/>
              <w:rPr>
                <w:b/>
                <w:bCs/>
                <w:sz w:val="20"/>
                <w:szCs w:val="20"/>
                <w:lang w:eastAsia="lv-LV"/>
              </w:rPr>
            </w:pPr>
          </w:p>
        </w:tc>
        <w:tc>
          <w:tcPr>
            <w:tcW w:w="936" w:type="pct"/>
            <w:tcBorders>
              <w:top w:val="single" w:sz="4" w:space="0" w:color="auto"/>
              <w:left w:val="single" w:sz="4" w:space="0" w:color="auto"/>
              <w:bottom w:val="single" w:sz="4" w:space="0" w:color="auto"/>
              <w:right w:val="single" w:sz="4" w:space="0" w:color="auto"/>
            </w:tcBorders>
          </w:tcPr>
          <w:p w14:paraId="2F0FC0CB" w14:textId="5B361546"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r w:rsidRPr="00711012">
              <w:rPr>
                <w:rFonts w:ascii="Times New Roman" w:eastAsia="Times New Roman" w:hAnsi="Times New Roman" w:cs="Times New Roman"/>
                <w:sz w:val="20"/>
                <w:szCs w:val="20"/>
                <w:lang w:eastAsia="lv-LV"/>
              </w:rPr>
              <w:t xml:space="preserve">Likumprojekta </w:t>
            </w:r>
            <w:r w:rsidR="00761981">
              <w:rPr>
                <w:rFonts w:ascii="Times New Roman" w:eastAsia="Times New Roman" w:hAnsi="Times New Roman" w:cs="Times New Roman"/>
                <w:sz w:val="20"/>
                <w:szCs w:val="20"/>
                <w:lang w:eastAsia="lv-LV"/>
              </w:rPr>
              <w:t>82</w:t>
            </w:r>
            <w:r w:rsidRPr="00711012">
              <w:rPr>
                <w:rFonts w:ascii="Times New Roman" w:eastAsia="Times New Roman" w:hAnsi="Times New Roman" w:cs="Times New Roman"/>
                <w:sz w:val="20"/>
                <w:szCs w:val="20"/>
                <w:lang w:eastAsia="lv-LV"/>
              </w:rPr>
              <w:t>.panta trešā, ceturtā</w:t>
            </w:r>
            <w:r>
              <w:rPr>
                <w:rFonts w:ascii="Times New Roman" w:eastAsia="Times New Roman" w:hAnsi="Times New Roman" w:cs="Times New Roman"/>
                <w:sz w:val="20"/>
                <w:szCs w:val="20"/>
                <w:lang w:eastAsia="lv-LV"/>
              </w:rPr>
              <w:t xml:space="preserve">, </w:t>
            </w:r>
            <w:r w:rsidRPr="00711012">
              <w:rPr>
                <w:rFonts w:ascii="Times New Roman" w:eastAsia="Times New Roman" w:hAnsi="Times New Roman" w:cs="Times New Roman"/>
                <w:sz w:val="20"/>
                <w:szCs w:val="20"/>
                <w:lang w:eastAsia="lv-LV"/>
              </w:rPr>
              <w:t>piektā</w:t>
            </w:r>
            <w:r>
              <w:rPr>
                <w:rFonts w:ascii="Times New Roman" w:eastAsia="Times New Roman" w:hAnsi="Times New Roman" w:cs="Times New Roman"/>
                <w:sz w:val="20"/>
                <w:szCs w:val="20"/>
                <w:lang w:eastAsia="lv-LV"/>
              </w:rPr>
              <w:t xml:space="preserve"> un sestā</w:t>
            </w:r>
            <w:r w:rsidRPr="00711012">
              <w:rPr>
                <w:rFonts w:ascii="Times New Roman" w:eastAsia="Times New Roman" w:hAnsi="Times New Roman" w:cs="Times New Roman"/>
                <w:sz w:val="20"/>
                <w:szCs w:val="20"/>
                <w:lang w:eastAsia="lv-LV"/>
              </w:rPr>
              <w:t xml:space="preserve"> daļa:</w:t>
            </w:r>
          </w:p>
          <w:p w14:paraId="0A63FD92" w14:textId="77777777"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p>
          <w:p w14:paraId="39038B01" w14:textId="77777777" w:rsidR="002E2E5B" w:rsidRPr="00BF278D"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(3) Pēc tam kad pilnībā segtas šā panta pirmajā daļā minētās izmaksas un kreditoru prasījumi, pārējie nenodrošināto kreditoru prasījumi tiek segti Maksātnespējas likumā noteiktajā kreditoru prasījumu segšanas kārtībā.</w:t>
            </w:r>
          </w:p>
          <w:p w14:paraId="57F86B58" w14:textId="77777777" w:rsidR="002E2E5B" w:rsidRPr="00BF278D"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(4) Prasījumi,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noteiktajiem, tiek segti pēc šā panta trešajā daļā noteikto prasījumu segšanas. Parāda 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p>
          <w:p w14:paraId="703B01D5" w14:textId="77777777" w:rsidR="002E2E5B" w:rsidRPr="00BF278D"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 xml:space="preserve">(5) Kreditoru prasījumi, kas neizriet no otrā līmeņa kapitāla instrumentiem, par līdzekļiem, kurus kreditori aizdevuši ieguldījumu brokeru sabiedrībai uz noteiktu laiku ar nosacījumu, ka pirms </w:t>
            </w:r>
            <w:r w:rsidRPr="00BF278D">
              <w:rPr>
                <w:rFonts w:ascii="Times New Roman" w:eastAsia="Times New Roman" w:hAnsi="Times New Roman" w:cs="Times New Roman"/>
                <w:sz w:val="20"/>
                <w:szCs w:val="20"/>
                <w:lang w:eastAsia="lv-LV"/>
              </w:rPr>
              <w:t>termiņa tos var pieprasīt vienīgi ieguldījumu brokeru sabiedrības likvidācijas gadījumā, tiek segti pēc šā panta trešajā un ceturtajā daļā noteikto prasījumu segšanas.</w:t>
            </w:r>
          </w:p>
          <w:p w14:paraId="22C233AE" w14:textId="77777777" w:rsidR="002E2E5B" w:rsidRPr="00711012" w:rsidRDefault="002E2E5B" w:rsidP="002E2E5B">
            <w:pPr>
              <w:spacing w:after="0" w:line="240" w:lineRule="auto"/>
              <w:jc w:val="both"/>
              <w:rPr>
                <w:rFonts w:ascii="Times New Roman" w:eastAsia="Times New Roman" w:hAnsi="Times New Roman" w:cs="Times New Roman"/>
                <w:sz w:val="20"/>
                <w:szCs w:val="20"/>
                <w:lang w:eastAsia="lv-LV"/>
              </w:rPr>
            </w:pPr>
            <w:r w:rsidRPr="00BF278D">
              <w:rPr>
                <w:rFonts w:ascii="Times New Roman" w:eastAsia="Times New Roman" w:hAnsi="Times New Roman" w:cs="Times New Roman"/>
                <w:sz w:val="20"/>
                <w:szCs w:val="20"/>
                <w:lang w:eastAsia="lv-LV"/>
              </w:rPr>
              <w:t>(6) Prasījumi, kas izriet no saistībām, kuras ieguldījumu brokeru sabiedrība, uz kuru attiecas Kredītiestāžu un ieguldījumu brokeru sabiedrību darbības atjaunošanas un noregulējuma likuma 61. pantā noteiktais, emitējusi noregulējamai vienībai un kuras noregulējamā vienība nopirkusi, tieši vai netieši ar citu tās pašas noregulējamās grupas vienību starpniecību, vai kuras ieguldījumu brokeru sabiedrība emitējusi tā brīža akcionāram, kurš neietilpst tajā pašā noregulējamā grupā, un kuras akcionārs ir nopircis, tiek segti pēc šā panta piektajā daļā noteikto prasījumu segšanas.</w:t>
            </w:r>
          </w:p>
          <w:p w14:paraId="2323B055" w14:textId="77777777" w:rsidR="00967C7E" w:rsidRPr="00043F2A" w:rsidRDefault="00967C7E" w:rsidP="00F716EB">
            <w:pPr>
              <w:pStyle w:val="NoSpacing"/>
              <w:widowControl/>
              <w:rPr>
                <w:rFonts w:eastAsiaTheme="minorHAnsi"/>
                <w:b/>
                <w:bCs/>
                <w:sz w:val="20"/>
                <w:szCs w:val="20"/>
              </w:rPr>
            </w:pPr>
          </w:p>
        </w:tc>
      </w:tr>
      <w:tr w:rsidR="007D6D6F" w:rsidRPr="00184920" w14:paraId="197C3E93"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619521BB" w14:textId="4338B0DA"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lastRenderedPageBreak/>
              <w:t>45.</w:t>
            </w:r>
          </w:p>
        </w:tc>
        <w:tc>
          <w:tcPr>
            <w:tcW w:w="692" w:type="pct"/>
            <w:tcBorders>
              <w:top w:val="single" w:sz="6" w:space="0" w:color="000000"/>
              <w:left w:val="single" w:sz="6" w:space="0" w:color="000000"/>
              <w:bottom w:val="single" w:sz="6" w:space="0" w:color="000000"/>
              <w:right w:val="single" w:sz="6" w:space="0" w:color="000000"/>
            </w:tcBorders>
          </w:tcPr>
          <w:p w14:paraId="040370EB" w14:textId="77777777" w:rsidR="007D6D6F" w:rsidRPr="00F00643" w:rsidRDefault="007D6D6F" w:rsidP="007D6D6F">
            <w:pPr>
              <w:pStyle w:val="NoSpacing"/>
              <w:widowControl/>
              <w:rPr>
                <w:rFonts w:eastAsiaTheme="minorHAnsi"/>
                <w:b/>
                <w:bCs/>
                <w:sz w:val="20"/>
                <w:szCs w:val="20"/>
              </w:rPr>
            </w:pPr>
            <w:r w:rsidRPr="00F00643">
              <w:rPr>
                <w:rFonts w:eastAsiaTheme="minorHAnsi"/>
                <w:b/>
                <w:bCs/>
                <w:sz w:val="20"/>
                <w:szCs w:val="20"/>
              </w:rPr>
              <w:t>76.pants. Kreditoru prasījumu segšanas speciālā kārtība</w:t>
            </w:r>
          </w:p>
          <w:p w14:paraId="313BDEA6" w14:textId="130F8DBD" w:rsidR="007D6D6F" w:rsidRPr="00184920" w:rsidRDefault="007D6D6F" w:rsidP="007D6D6F">
            <w:pPr>
              <w:spacing w:after="0" w:line="240" w:lineRule="auto"/>
              <w:jc w:val="both"/>
              <w:rPr>
                <w:rFonts w:ascii="Times New Roman" w:eastAsia="Times New Roman" w:hAnsi="Times New Roman" w:cs="Times New Roman"/>
                <w:sz w:val="20"/>
                <w:lang w:eastAsia="lv-LV"/>
              </w:rPr>
            </w:pPr>
            <w:r w:rsidRPr="00F00643">
              <w:rPr>
                <w:rFonts w:ascii="Times New Roman" w:hAnsi="Times New Roman" w:cs="Times New Roman"/>
                <w:bCs/>
                <w:sz w:val="20"/>
                <w:szCs w:val="20"/>
              </w:rPr>
              <w:t>(4) Kreditoru prasījumi par līdzekļiem, kurus kreditori aizdevuši ieguldījumu brokeru sabiedrībai uz noteiktu laiku ar nosacījumu, ka pirms termiņa tos var pieprasīt vienīgi ieguldījumu brokeru sabiedrības likvidācijas gadījumā, tiek segti pēc šā panta trešajā daļā noteikto prasījumu segšanas.</w:t>
            </w:r>
          </w:p>
        </w:tc>
        <w:tc>
          <w:tcPr>
            <w:tcW w:w="1309" w:type="pct"/>
            <w:tcBorders>
              <w:top w:val="single" w:sz="6" w:space="0" w:color="000000"/>
              <w:left w:val="single" w:sz="6" w:space="0" w:color="000000"/>
              <w:bottom w:val="single" w:sz="6" w:space="0" w:color="000000"/>
              <w:right w:val="single" w:sz="6" w:space="0" w:color="000000"/>
            </w:tcBorders>
          </w:tcPr>
          <w:p w14:paraId="60D9465E" w14:textId="52405DF8" w:rsidR="007D6D6F" w:rsidRPr="00F00643" w:rsidRDefault="007D6D6F" w:rsidP="007D6D6F">
            <w:pPr>
              <w:spacing w:after="0" w:line="240" w:lineRule="auto"/>
              <w:jc w:val="both"/>
              <w:rPr>
                <w:rFonts w:ascii="Times New Roman" w:eastAsia="Times New Roman" w:hAnsi="Times New Roman" w:cs="Times New Roman"/>
                <w:sz w:val="20"/>
                <w:szCs w:val="20"/>
                <w:lang w:eastAsia="lv-LV"/>
              </w:rPr>
            </w:pPr>
            <w:r w:rsidRPr="00F00643">
              <w:rPr>
                <w:rFonts w:ascii="Times New Roman" w:hAnsi="Times New Roman" w:cs="Times New Roman"/>
                <w:b/>
                <w:bCs/>
                <w:sz w:val="20"/>
                <w:szCs w:val="20"/>
              </w:rPr>
              <w:t>Iebildums.</w:t>
            </w:r>
            <w:r w:rsidRPr="00F00643">
              <w:rPr>
                <w:rFonts w:ascii="Times New Roman" w:hAnsi="Times New Roman" w:cs="Times New Roman"/>
                <w:sz w:val="20"/>
                <w:szCs w:val="20"/>
              </w:rPr>
              <w:t xml:space="preserve"> Lūdzam pārskatīt likumprojekta 74. pantu ceturto daļu, ievērojot, ka arī juridiskās personas maksātnespējas procesa rezultātā ieguldījumu brokeru sabiedrība pēc būtības tiks likvidēta.</w:t>
            </w:r>
            <w:r w:rsidRPr="00F00643">
              <w:rPr>
                <w:rStyle w:val="FootnoteReference"/>
                <w:rFonts w:ascii="Times New Roman" w:hAnsi="Times New Roman" w:cs="Times New Roman"/>
                <w:sz w:val="20"/>
                <w:szCs w:val="20"/>
              </w:rPr>
              <w:footnoteReference w:id="21"/>
            </w:r>
          </w:p>
        </w:tc>
        <w:tc>
          <w:tcPr>
            <w:tcW w:w="848" w:type="pct"/>
            <w:gridSpan w:val="2"/>
            <w:tcBorders>
              <w:top w:val="single" w:sz="6" w:space="0" w:color="000000"/>
              <w:left w:val="single" w:sz="6" w:space="0" w:color="000000"/>
              <w:bottom w:val="single" w:sz="6" w:space="0" w:color="000000"/>
              <w:right w:val="single" w:sz="6" w:space="0" w:color="000000"/>
            </w:tcBorders>
          </w:tcPr>
          <w:p w14:paraId="7DDC5002" w14:textId="3B4D6A8A" w:rsidR="007D6D6F" w:rsidRDefault="007D6D6F" w:rsidP="007D6D6F">
            <w:pPr>
              <w:spacing w:after="0" w:line="240" w:lineRule="auto"/>
              <w:jc w:val="both"/>
              <w:rPr>
                <w:rFonts w:ascii="Times New Roman" w:eastAsia="Times New Roman" w:hAnsi="Times New Roman" w:cs="Times New Roman"/>
                <w:sz w:val="20"/>
                <w:szCs w:val="20"/>
                <w:lang w:eastAsia="lv-LV"/>
              </w:rPr>
            </w:pPr>
            <w:r w:rsidRPr="00A434B1">
              <w:rPr>
                <w:rFonts w:ascii="Times New Roman" w:eastAsia="Times New Roman" w:hAnsi="Times New Roman" w:cs="Times New Roman"/>
                <w:b/>
                <w:bCs/>
                <w:sz w:val="20"/>
                <w:szCs w:val="20"/>
                <w:lang w:eastAsia="lv-LV"/>
              </w:rPr>
              <w:t>Sniedzam skaidrojumu.</w:t>
            </w:r>
            <w:r>
              <w:rPr>
                <w:rFonts w:ascii="Times New Roman" w:eastAsia="Times New Roman" w:hAnsi="Times New Roman" w:cs="Times New Roman"/>
                <w:b/>
                <w:bCs/>
                <w:sz w:val="20"/>
                <w:szCs w:val="20"/>
                <w:lang w:eastAsia="lv-LV"/>
              </w:rPr>
              <w:t xml:space="preserve"> </w:t>
            </w:r>
            <w:r w:rsidRPr="00CE222E">
              <w:rPr>
                <w:rFonts w:ascii="Times New Roman" w:eastAsia="Times New Roman" w:hAnsi="Times New Roman" w:cs="Times New Roman"/>
                <w:sz w:val="20"/>
                <w:szCs w:val="20"/>
                <w:lang w:eastAsia="lv-LV"/>
              </w:rPr>
              <w:t xml:space="preserve">Nevaram nepiekrist, ka ieguldījumu brokeru sabiedrība maksātnespējas procesa rezultātā tiks likvidēta, taču likumprojekta </w:t>
            </w:r>
            <w:r w:rsidR="00761981">
              <w:rPr>
                <w:rFonts w:ascii="Times New Roman" w:eastAsia="Times New Roman" w:hAnsi="Times New Roman" w:cs="Times New Roman"/>
                <w:sz w:val="20"/>
                <w:szCs w:val="20"/>
                <w:lang w:eastAsia="lv-LV"/>
              </w:rPr>
              <w:t>82</w:t>
            </w:r>
            <w:r w:rsidRPr="00CE222E">
              <w:rPr>
                <w:rFonts w:ascii="Times New Roman" w:eastAsia="Times New Roman" w:hAnsi="Times New Roman" w:cs="Times New Roman"/>
                <w:sz w:val="20"/>
                <w:szCs w:val="20"/>
                <w:lang w:eastAsia="lv-LV"/>
              </w:rPr>
              <w:t>.panta ceturtās daļas regulējums attiecas uz kreditoru aizdevumu ieguldījumu brokeru sabiedrībai, kuru pirms termiņa var pieprasīt vienīgi</w:t>
            </w:r>
            <w:r>
              <w:rPr>
                <w:rFonts w:ascii="Times New Roman" w:eastAsia="Times New Roman" w:hAnsi="Times New Roman" w:cs="Times New Roman"/>
                <w:sz w:val="20"/>
                <w:szCs w:val="20"/>
                <w:lang w:eastAsia="lv-LV"/>
              </w:rPr>
              <w:t xml:space="preserve"> tās</w:t>
            </w:r>
            <w:r w:rsidRPr="00CE222E">
              <w:rPr>
                <w:rFonts w:ascii="Times New Roman" w:eastAsia="Times New Roman" w:hAnsi="Times New Roman" w:cs="Times New Roman"/>
                <w:sz w:val="20"/>
                <w:szCs w:val="20"/>
                <w:lang w:eastAsia="lv-LV"/>
              </w:rPr>
              <w:t xml:space="preserve"> likvidācijas gadījumā, proti,</w:t>
            </w:r>
            <w:r>
              <w:rPr>
                <w:rFonts w:ascii="Times New Roman" w:eastAsia="Times New Roman" w:hAnsi="Times New Roman" w:cs="Times New Roman"/>
                <w:sz w:val="20"/>
                <w:szCs w:val="20"/>
                <w:lang w:eastAsia="lv-LV"/>
              </w:rPr>
              <w:t xml:space="preserve"> mūsu ieskatā nebūtu vēlams normu papildināt ar maksātnespējas procesu, kas pēc būtības ļautu šo kreditoru aizdevumu pieprasīt vēl ātrāk.</w:t>
            </w:r>
            <w:r w:rsidRPr="00CE222E">
              <w:rPr>
                <w:rFonts w:ascii="Times New Roman" w:eastAsia="Times New Roman" w:hAnsi="Times New Roman" w:cs="Times New Roman"/>
                <w:sz w:val="20"/>
                <w:szCs w:val="20"/>
                <w:lang w:eastAsia="lv-LV"/>
              </w:rPr>
              <w:t xml:space="preserve"> </w:t>
            </w:r>
          </w:p>
          <w:p w14:paraId="0A6D699B" w14:textId="07F645DB" w:rsidR="007D6D6F" w:rsidRPr="00DA64D2"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eastAsia="Times New Roman" w:hAnsi="Times New Roman" w:cs="Times New Roman"/>
                <w:sz w:val="20"/>
                <w:szCs w:val="20"/>
                <w:lang w:eastAsia="lv-LV"/>
              </w:rPr>
              <w:t>Lūdzam ņemt vērā Maksātnespējas likuma 2.panta ceturtajā daļā noteikto un to, ka likumprojekta XIV nodaļas noteikumi ir speciālie noteikumi attiecībā uz ieguldījumu brokeru sabiedrības maksātnespējas procesu un likvidāciju.</w:t>
            </w:r>
          </w:p>
        </w:tc>
        <w:tc>
          <w:tcPr>
            <w:tcW w:w="936" w:type="pct"/>
            <w:tcBorders>
              <w:top w:val="single" w:sz="4" w:space="0" w:color="auto"/>
              <w:left w:val="single" w:sz="4" w:space="0" w:color="auto"/>
              <w:bottom w:val="single" w:sz="4" w:space="0" w:color="auto"/>
              <w:right w:val="single" w:sz="4" w:space="0" w:color="auto"/>
            </w:tcBorders>
          </w:tcPr>
          <w:p w14:paraId="2279108A" w14:textId="0D8B3796"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p>
        </w:tc>
      </w:tr>
      <w:tr w:rsidR="007D6D6F" w:rsidRPr="00184920" w14:paraId="54547B34" w14:textId="77777777" w:rsidTr="00F307C4">
        <w:trPr>
          <w:gridAfter w:val="2"/>
          <w:wAfter w:w="984" w:type="pct"/>
          <w:trHeight w:val="140"/>
        </w:trPr>
        <w:tc>
          <w:tcPr>
            <w:tcW w:w="231" w:type="pct"/>
            <w:tcBorders>
              <w:top w:val="single" w:sz="6" w:space="0" w:color="000000"/>
              <w:left w:val="single" w:sz="6" w:space="0" w:color="000000"/>
              <w:bottom w:val="single" w:sz="6" w:space="0" w:color="000000"/>
              <w:right w:val="single" w:sz="6" w:space="0" w:color="000000"/>
            </w:tcBorders>
          </w:tcPr>
          <w:p w14:paraId="4E7948F8" w14:textId="403877C9" w:rsidR="007D6D6F" w:rsidRPr="00184920" w:rsidRDefault="007D6D6F" w:rsidP="007D6D6F">
            <w:pPr>
              <w:spacing w:after="0" w:line="240" w:lineRule="auto"/>
              <w:jc w:val="center"/>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46.</w:t>
            </w:r>
          </w:p>
        </w:tc>
        <w:tc>
          <w:tcPr>
            <w:tcW w:w="692" w:type="pct"/>
            <w:tcBorders>
              <w:top w:val="single" w:sz="6" w:space="0" w:color="000000"/>
              <w:left w:val="single" w:sz="6" w:space="0" w:color="000000"/>
              <w:bottom w:val="single" w:sz="6" w:space="0" w:color="000000"/>
              <w:right w:val="single" w:sz="6" w:space="0" w:color="000000"/>
            </w:tcBorders>
          </w:tcPr>
          <w:p w14:paraId="2B52F332" w14:textId="77777777" w:rsidR="007D6D6F" w:rsidRPr="003F69C2" w:rsidRDefault="007D6D6F" w:rsidP="007D6D6F">
            <w:pPr>
              <w:pStyle w:val="NoSpacing"/>
              <w:widowControl/>
              <w:rPr>
                <w:rFonts w:eastAsiaTheme="minorHAnsi"/>
                <w:b/>
                <w:bCs/>
                <w:sz w:val="20"/>
                <w:szCs w:val="20"/>
              </w:rPr>
            </w:pPr>
            <w:r w:rsidRPr="003F69C2">
              <w:rPr>
                <w:rFonts w:eastAsiaTheme="minorHAnsi"/>
                <w:b/>
                <w:bCs/>
                <w:sz w:val="20"/>
                <w:szCs w:val="20"/>
              </w:rPr>
              <w:t>77. pants. Ierobežotas pieejamības informācijas apmaiņa</w:t>
            </w:r>
          </w:p>
          <w:p w14:paraId="284884A2" w14:textId="77777777" w:rsidR="007D6D6F" w:rsidRPr="003F69C2" w:rsidRDefault="007D6D6F" w:rsidP="007D6D6F">
            <w:pPr>
              <w:pStyle w:val="NoSpacing"/>
              <w:widowControl/>
              <w:rPr>
                <w:rFonts w:eastAsiaTheme="minorHAnsi"/>
                <w:bCs/>
                <w:sz w:val="20"/>
                <w:szCs w:val="20"/>
              </w:rPr>
            </w:pPr>
            <w:r w:rsidRPr="003F69C2">
              <w:rPr>
                <w:rFonts w:eastAsiaTheme="minorHAnsi"/>
                <w:bCs/>
                <w:sz w:val="20"/>
                <w:szCs w:val="20"/>
              </w:rPr>
              <w:t xml:space="preserve">(2) Ierobežotas pieejamības informāciju, kas apkopota un </w:t>
            </w:r>
            <w:r w:rsidRPr="003F69C2">
              <w:rPr>
                <w:rFonts w:eastAsiaTheme="minorHAnsi"/>
                <w:bCs/>
                <w:sz w:val="20"/>
                <w:szCs w:val="20"/>
              </w:rPr>
              <w:lastRenderedPageBreak/>
              <w:t>sniegta vai saņemta, ievērojot šajā likumā un Regulā Nr. 2019/2033 noteikto, Komisija ir tiesīga izmantot, lai veiktu savas funkcijas, un jo īpaši šādiem mērķiem:</w:t>
            </w:r>
          </w:p>
          <w:p w14:paraId="1DF13B72" w14:textId="0114F6F3" w:rsidR="007D6D6F" w:rsidRPr="003F69C2" w:rsidRDefault="007D6D6F" w:rsidP="007D6D6F">
            <w:pPr>
              <w:spacing w:after="0" w:line="240" w:lineRule="auto"/>
              <w:jc w:val="both"/>
              <w:rPr>
                <w:rFonts w:ascii="Times New Roman" w:eastAsia="Times New Roman" w:hAnsi="Times New Roman" w:cs="Times New Roman"/>
                <w:sz w:val="20"/>
                <w:lang w:eastAsia="lv-LV"/>
              </w:rPr>
            </w:pPr>
            <w:r w:rsidRPr="003F69C2">
              <w:rPr>
                <w:rFonts w:ascii="Times New Roman" w:hAnsi="Times New Roman" w:cs="Times New Roman"/>
                <w:bCs/>
                <w:sz w:val="20"/>
                <w:szCs w:val="20"/>
              </w:rPr>
              <w:t xml:space="preserve">4) tiesvedības procesos, kuros tiek </w:t>
            </w:r>
            <w:r w:rsidRPr="003F69C2">
              <w:rPr>
                <w:rFonts w:ascii="Times New Roman" w:hAnsi="Times New Roman" w:cs="Times New Roman"/>
                <w:bCs/>
                <w:sz w:val="20"/>
                <w:szCs w:val="20"/>
                <w:u w:val="single"/>
              </w:rPr>
              <w:t>apstrīdēti</w:t>
            </w:r>
            <w:r w:rsidRPr="003F69C2">
              <w:rPr>
                <w:rFonts w:ascii="Times New Roman" w:hAnsi="Times New Roman" w:cs="Times New Roman"/>
                <w:bCs/>
                <w:sz w:val="20"/>
                <w:szCs w:val="20"/>
              </w:rPr>
              <w:t xml:space="preserve"> Komisijas izdotie administratīvie akti vai tās faktiskā rīcība.</w:t>
            </w:r>
          </w:p>
        </w:tc>
        <w:tc>
          <w:tcPr>
            <w:tcW w:w="1309" w:type="pct"/>
            <w:tcBorders>
              <w:top w:val="single" w:sz="6" w:space="0" w:color="000000"/>
              <w:left w:val="single" w:sz="6" w:space="0" w:color="000000"/>
              <w:bottom w:val="single" w:sz="6" w:space="0" w:color="000000"/>
              <w:right w:val="single" w:sz="6" w:space="0" w:color="000000"/>
            </w:tcBorders>
          </w:tcPr>
          <w:p w14:paraId="4A8246BA" w14:textId="35B0E788"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2F08B9">
              <w:rPr>
                <w:rFonts w:ascii="Times New Roman" w:hAnsi="Times New Roman" w:cs="Times New Roman"/>
                <w:b/>
                <w:bCs/>
                <w:sz w:val="20"/>
                <w:szCs w:val="20"/>
              </w:rPr>
              <w:lastRenderedPageBreak/>
              <w:t>Iebildums.</w:t>
            </w:r>
            <w:r>
              <w:rPr>
                <w:rFonts w:ascii="Times New Roman" w:hAnsi="Times New Roman" w:cs="Times New Roman"/>
                <w:sz w:val="20"/>
                <w:szCs w:val="20"/>
              </w:rPr>
              <w:t xml:space="preserve"> </w:t>
            </w:r>
            <w:r w:rsidRPr="002F08B9">
              <w:rPr>
                <w:rFonts w:ascii="Times New Roman" w:hAnsi="Times New Roman" w:cs="Times New Roman"/>
                <w:sz w:val="20"/>
                <w:szCs w:val="20"/>
              </w:rPr>
              <w:t>Lūdzam precizēt likumprojekta 75. panta otrās daļas 4. punktu atbilstoši Administratīvā procesa likumā lietotajai terminoloģijai, proti, tiesā administratīvie akti tiek pārsūdzēti, nevis apstrīdēti.</w:t>
            </w:r>
          </w:p>
        </w:tc>
        <w:tc>
          <w:tcPr>
            <w:tcW w:w="848" w:type="pct"/>
            <w:gridSpan w:val="2"/>
            <w:tcBorders>
              <w:top w:val="single" w:sz="6" w:space="0" w:color="000000"/>
              <w:left w:val="single" w:sz="6" w:space="0" w:color="000000"/>
              <w:bottom w:val="single" w:sz="6" w:space="0" w:color="000000"/>
              <w:right w:val="single" w:sz="6" w:space="0" w:color="000000"/>
            </w:tcBorders>
          </w:tcPr>
          <w:p w14:paraId="02E01DE6" w14:textId="7AAEDC81"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Pr>
                <w:rFonts w:ascii="Times New Roman" w:hAnsi="Times New Roman" w:cs="Times New Roman"/>
                <w:b/>
                <w:bCs/>
                <w:sz w:val="20"/>
                <w:szCs w:val="20"/>
              </w:rPr>
              <w:t xml:space="preserve">Iebildums ņemts vērā. </w:t>
            </w:r>
            <w:r w:rsidRPr="007E3E97">
              <w:rPr>
                <w:rFonts w:ascii="Times New Roman" w:hAnsi="Times New Roman" w:cs="Times New Roman"/>
                <w:sz w:val="20"/>
                <w:szCs w:val="20"/>
              </w:rPr>
              <w:t xml:space="preserve">Likumprojekta </w:t>
            </w:r>
            <w:r w:rsidR="00761981">
              <w:rPr>
                <w:rFonts w:ascii="Times New Roman" w:hAnsi="Times New Roman" w:cs="Times New Roman"/>
                <w:sz w:val="20"/>
                <w:szCs w:val="20"/>
              </w:rPr>
              <w:t>83</w:t>
            </w:r>
            <w:r w:rsidRPr="007E3E97">
              <w:rPr>
                <w:rFonts w:ascii="Times New Roman" w:hAnsi="Times New Roman" w:cs="Times New Roman"/>
                <w:sz w:val="20"/>
                <w:szCs w:val="20"/>
              </w:rPr>
              <w:t>.panta otrās daļas 4.punktā vārds “apstrīdēti” aizstāts ar vārdu “pārsūdzēti”.</w:t>
            </w:r>
          </w:p>
        </w:tc>
        <w:tc>
          <w:tcPr>
            <w:tcW w:w="936" w:type="pct"/>
            <w:tcBorders>
              <w:top w:val="single" w:sz="4" w:space="0" w:color="auto"/>
              <w:left w:val="single" w:sz="4" w:space="0" w:color="auto"/>
              <w:bottom w:val="single" w:sz="4" w:space="0" w:color="auto"/>
              <w:right w:val="single" w:sz="4" w:space="0" w:color="auto"/>
            </w:tcBorders>
          </w:tcPr>
          <w:p w14:paraId="2FB08092" w14:textId="269A8D2E" w:rsidR="007D6D6F" w:rsidRPr="002F08B9" w:rsidRDefault="00761981" w:rsidP="007D6D6F">
            <w:pPr>
              <w:pStyle w:val="NoSpacing"/>
              <w:widowControl/>
              <w:rPr>
                <w:rFonts w:eastAsiaTheme="minorHAnsi"/>
                <w:b/>
                <w:bCs/>
                <w:sz w:val="20"/>
                <w:szCs w:val="20"/>
              </w:rPr>
            </w:pPr>
            <w:r>
              <w:rPr>
                <w:rFonts w:eastAsiaTheme="minorHAnsi"/>
                <w:b/>
                <w:bCs/>
                <w:sz w:val="20"/>
                <w:szCs w:val="20"/>
              </w:rPr>
              <w:t>83</w:t>
            </w:r>
            <w:r w:rsidR="007D6D6F" w:rsidRPr="002F08B9">
              <w:rPr>
                <w:rFonts w:eastAsiaTheme="minorHAnsi"/>
                <w:b/>
                <w:bCs/>
                <w:sz w:val="20"/>
                <w:szCs w:val="20"/>
              </w:rPr>
              <w:t>. pants. Ierobežotas pieejamības informācijas apmaiņa</w:t>
            </w:r>
          </w:p>
          <w:p w14:paraId="21412946" w14:textId="77777777" w:rsidR="007D6D6F" w:rsidRPr="002F08B9" w:rsidRDefault="007D6D6F" w:rsidP="007D6D6F">
            <w:pPr>
              <w:pStyle w:val="NoSpacing"/>
              <w:widowControl/>
              <w:rPr>
                <w:rFonts w:eastAsiaTheme="minorHAnsi"/>
                <w:bCs/>
                <w:sz w:val="20"/>
                <w:szCs w:val="20"/>
              </w:rPr>
            </w:pPr>
            <w:r w:rsidRPr="002F08B9">
              <w:rPr>
                <w:rFonts w:eastAsiaTheme="minorHAnsi"/>
                <w:bCs/>
                <w:sz w:val="20"/>
                <w:szCs w:val="20"/>
              </w:rPr>
              <w:t xml:space="preserve">(2) Ierobežotas pieejamības informāciju, kas apkopota un sniegta vai saņemta, ievērojot šajā likumā un Regulā Nr. </w:t>
            </w:r>
            <w:r w:rsidRPr="002F08B9">
              <w:rPr>
                <w:rFonts w:eastAsiaTheme="minorHAnsi"/>
                <w:bCs/>
                <w:sz w:val="20"/>
                <w:szCs w:val="20"/>
              </w:rPr>
              <w:lastRenderedPageBreak/>
              <w:t>2019/2033 noteikto, Komisija ir tiesīga izmantot, lai veiktu savas funkcijas, un jo īpaši šādiem mērķiem:</w:t>
            </w:r>
          </w:p>
          <w:p w14:paraId="6AE7A93D" w14:textId="5BD919CD" w:rsidR="007D6D6F" w:rsidRPr="00184920" w:rsidRDefault="007D6D6F" w:rsidP="007D6D6F">
            <w:pPr>
              <w:spacing w:after="0" w:line="240" w:lineRule="auto"/>
              <w:jc w:val="both"/>
              <w:rPr>
                <w:rFonts w:ascii="Times New Roman" w:eastAsia="Times New Roman" w:hAnsi="Times New Roman" w:cs="Times New Roman"/>
                <w:sz w:val="20"/>
                <w:szCs w:val="20"/>
                <w:lang w:eastAsia="lv-LV"/>
              </w:rPr>
            </w:pPr>
            <w:r w:rsidRPr="007E3E97">
              <w:rPr>
                <w:rFonts w:ascii="Times New Roman" w:hAnsi="Times New Roman" w:cs="Times New Roman"/>
                <w:sz w:val="20"/>
                <w:szCs w:val="20"/>
              </w:rPr>
              <w:t xml:space="preserve">4) tiesvedības procesos, kuros tiek </w:t>
            </w:r>
            <w:r w:rsidRPr="007E3E97">
              <w:rPr>
                <w:rFonts w:ascii="Times New Roman" w:hAnsi="Times New Roman" w:cs="Times New Roman"/>
                <w:sz w:val="20"/>
                <w:szCs w:val="20"/>
                <w:u w:val="single"/>
              </w:rPr>
              <w:t>pārsūdzēti</w:t>
            </w:r>
            <w:r w:rsidRPr="007E3E97">
              <w:rPr>
                <w:rFonts w:ascii="Times New Roman" w:hAnsi="Times New Roman" w:cs="Times New Roman"/>
                <w:sz w:val="20"/>
                <w:szCs w:val="20"/>
              </w:rPr>
              <w:t xml:space="preserve"> Komisijas izdotie administratīvie akti vai tās faktiskā rīcība.</w:t>
            </w:r>
          </w:p>
        </w:tc>
      </w:tr>
      <w:tr w:rsidR="007D6D6F" w:rsidRPr="00184920" w14:paraId="3DD86FB8" w14:textId="77777777" w:rsidTr="00CE07DC">
        <w:trPr>
          <w:trHeight w:val="140"/>
        </w:trPr>
        <w:tc>
          <w:tcPr>
            <w:tcW w:w="2354" w:type="pct"/>
            <w:gridSpan w:val="4"/>
            <w:tcBorders>
              <w:top w:val="nil"/>
              <w:left w:val="nil"/>
              <w:bottom w:val="nil"/>
              <w:right w:val="nil"/>
            </w:tcBorders>
          </w:tcPr>
          <w:p w14:paraId="3BC45590" w14:textId="77777777" w:rsidR="007D6D6F" w:rsidRDefault="007D6D6F" w:rsidP="007D6D6F">
            <w:pPr>
              <w:spacing w:after="0" w:line="240" w:lineRule="auto"/>
              <w:rPr>
                <w:rFonts w:ascii="Times New Roman" w:eastAsia="Times New Roman" w:hAnsi="Times New Roman" w:cs="Times New Roman"/>
                <w:sz w:val="20"/>
                <w:lang w:eastAsia="lv-LV"/>
              </w:rPr>
            </w:pPr>
          </w:p>
          <w:p w14:paraId="71738BD1" w14:textId="05AF93C3" w:rsidR="007D6D6F" w:rsidRPr="00184920" w:rsidRDefault="007D6D6F" w:rsidP="007D6D6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Atbildīgā amatpersona</w:t>
            </w:r>
          </w:p>
        </w:tc>
        <w:tc>
          <w:tcPr>
            <w:tcW w:w="726" w:type="pct"/>
            <w:tcBorders>
              <w:top w:val="nil"/>
              <w:left w:val="nil"/>
              <w:bottom w:val="nil"/>
              <w:right w:val="nil"/>
            </w:tcBorders>
          </w:tcPr>
          <w:p w14:paraId="78C7CC41" w14:textId="77777777" w:rsidR="007D6D6F" w:rsidRPr="00184920" w:rsidRDefault="007D6D6F" w:rsidP="007D6D6F">
            <w:pPr>
              <w:spacing w:after="0" w:line="240" w:lineRule="auto"/>
              <w:rPr>
                <w:rFonts w:ascii="Times New Roman" w:eastAsia="Times New Roman" w:hAnsi="Times New Roman" w:cs="Times New Roman"/>
                <w:sz w:val="20"/>
                <w:lang w:eastAsia="lv-LV"/>
              </w:rPr>
            </w:pPr>
          </w:p>
        </w:tc>
        <w:tc>
          <w:tcPr>
            <w:tcW w:w="1046" w:type="pct"/>
            <w:gridSpan w:val="2"/>
          </w:tcPr>
          <w:p w14:paraId="23F3D938" w14:textId="77777777" w:rsidR="007D6D6F" w:rsidRPr="00184920" w:rsidRDefault="007D6D6F" w:rsidP="007D6D6F">
            <w:pPr>
              <w:spacing w:after="0" w:line="240" w:lineRule="auto"/>
              <w:rPr>
                <w:rFonts w:ascii="Times New Roman" w:eastAsia="Calibri" w:hAnsi="Times New Roman" w:cs="Times New Roman"/>
                <w:sz w:val="20"/>
                <w:lang w:eastAsia="lv-LV"/>
              </w:rPr>
            </w:pPr>
          </w:p>
        </w:tc>
        <w:tc>
          <w:tcPr>
            <w:tcW w:w="874" w:type="pct"/>
          </w:tcPr>
          <w:p w14:paraId="5CE0F9B5" w14:textId="77777777" w:rsidR="007D6D6F" w:rsidRPr="00184920" w:rsidRDefault="007D6D6F" w:rsidP="007D6D6F">
            <w:pPr>
              <w:spacing w:after="0" w:line="240" w:lineRule="auto"/>
              <w:jc w:val="center"/>
              <w:rPr>
                <w:rFonts w:ascii="Times New Roman" w:eastAsia="Times New Roman" w:hAnsi="Times New Roman" w:cs="Times New Roman"/>
                <w:sz w:val="20"/>
                <w:highlight w:val="yellow"/>
                <w:lang w:eastAsia="lv-LV"/>
              </w:rPr>
            </w:pPr>
          </w:p>
        </w:tc>
      </w:tr>
      <w:tr w:rsidR="007D6D6F" w:rsidRPr="00184920" w14:paraId="1A8ED79D" w14:textId="77777777" w:rsidTr="00F307C4">
        <w:trPr>
          <w:gridAfter w:val="3"/>
          <w:wAfter w:w="1920" w:type="pct"/>
          <w:trHeight w:val="140"/>
        </w:trPr>
        <w:tc>
          <w:tcPr>
            <w:tcW w:w="2354" w:type="pct"/>
            <w:gridSpan w:val="4"/>
            <w:tcBorders>
              <w:top w:val="nil"/>
              <w:left w:val="nil"/>
              <w:bottom w:val="nil"/>
              <w:right w:val="nil"/>
            </w:tcBorders>
          </w:tcPr>
          <w:p w14:paraId="3342ACF4" w14:textId="77777777" w:rsidR="007D6D6F" w:rsidRPr="00184920" w:rsidRDefault="007D6D6F" w:rsidP="007D6D6F">
            <w:pPr>
              <w:spacing w:after="0" w:line="240" w:lineRule="auto"/>
              <w:jc w:val="center"/>
              <w:rPr>
                <w:rFonts w:ascii="Times New Roman" w:eastAsia="Times New Roman" w:hAnsi="Times New Roman" w:cs="Times New Roman"/>
                <w:sz w:val="20"/>
                <w:lang w:eastAsia="lv-LV"/>
              </w:rPr>
            </w:pPr>
          </w:p>
        </w:tc>
        <w:tc>
          <w:tcPr>
            <w:tcW w:w="726" w:type="pct"/>
            <w:tcBorders>
              <w:top w:val="single" w:sz="6" w:space="0" w:color="000000"/>
              <w:left w:val="nil"/>
              <w:bottom w:val="single" w:sz="6" w:space="0" w:color="000000"/>
              <w:right w:val="nil"/>
            </w:tcBorders>
            <w:hideMark/>
          </w:tcPr>
          <w:p w14:paraId="1FF1CE94" w14:textId="77777777" w:rsidR="007D6D6F" w:rsidRPr="00184920" w:rsidRDefault="007D6D6F" w:rsidP="007D6D6F">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(paraksts)*</w:t>
            </w:r>
          </w:p>
        </w:tc>
      </w:tr>
    </w:tbl>
    <w:p w14:paraId="1989CB7B" w14:textId="77777777" w:rsidR="007426C6" w:rsidRDefault="007426C6" w:rsidP="00D60CB6">
      <w:pPr>
        <w:spacing w:after="0" w:line="240" w:lineRule="auto"/>
        <w:jc w:val="both"/>
        <w:rPr>
          <w:rFonts w:ascii="Times New Roman" w:eastAsia="Times New Roman" w:hAnsi="Times New Roman" w:cs="Times New Roman"/>
          <w:sz w:val="20"/>
          <w:lang w:eastAsia="lv-LV"/>
        </w:rPr>
      </w:pPr>
    </w:p>
    <w:p w14:paraId="74F25F53" w14:textId="359B1538" w:rsidR="000239F9" w:rsidRPr="00184920" w:rsidRDefault="000239F9" w:rsidP="00D60CB6">
      <w:pPr>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Piezīme. * Dokumenta rekvizītu „paraksts” neaizpilda, ja elektroniskais dokuments ir sagatavots atbilstoši normatīvajiem aktiem par elektronisko dokumentu noformēšanu.</w:t>
      </w:r>
    </w:p>
    <w:p w14:paraId="113FE353" w14:textId="77777777" w:rsidR="000239F9" w:rsidRPr="00184920" w:rsidRDefault="005E0644" w:rsidP="00D60CB6">
      <w:pPr>
        <w:tabs>
          <w:tab w:val="left" w:pos="1125"/>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b/>
      </w:r>
    </w:p>
    <w:p w14:paraId="5B00977B" w14:textId="1524D73A" w:rsidR="000239F9" w:rsidRPr="00184920" w:rsidRDefault="007426C6" w:rsidP="00D60CB6">
      <w:pPr>
        <w:tabs>
          <w:tab w:val="left" w:pos="6330"/>
        </w:tabs>
        <w:spacing w:after="0" w:line="240" w:lineRule="auto"/>
        <w:jc w:val="both"/>
        <w:rPr>
          <w:rFonts w:ascii="Times New Roman" w:eastAsia="Times New Roman" w:hAnsi="Times New Roman" w:cs="Times New Roman"/>
          <w:sz w:val="20"/>
          <w:lang w:eastAsia="lv-LV"/>
        </w:rPr>
      </w:pPr>
      <w:r>
        <w:rPr>
          <w:rFonts w:ascii="Times New Roman" w:eastAsia="Times New Roman" w:hAnsi="Times New Roman" w:cs="Times New Roman"/>
          <w:sz w:val="20"/>
          <w:lang w:eastAsia="lv-LV"/>
        </w:rPr>
        <w:t>Aivis Hammers</w:t>
      </w:r>
      <w:r w:rsidR="004153CD" w:rsidRPr="00184920">
        <w:rPr>
          <w:rFonts w:ascii="Times New Roman" w:eastAsia="Times New Roman" w:hAnsi="Times New Roman" w:cs="Times New Roman"/>
          <w:sz w:val="20"/>
          <w:lang w:eastAsia="lv-LV"/>
        </w:rPr>
        <w:tab/>
      </w:r>
    </w:p>
    <w:tbl>
      <w:tblPr>
        <w:tblpPr w:leftFromText="180" w:rightFromText="180" w:vertAnchor="text" w:tblpY="1"/>
        <w:tblOverlap w:val="never"/>
        <w:tblW w:w="0" w:type="auto"/>
        <w:tblLook w:val="00A0" w:firstRow="1" w:lastRow="0" w:firstColumn="1" w:lastColumn="0" w:noHBand="0" w:noVBand="0"/>
      </w:tblPr>
      <w:tblGrid>
        <w:gridCol w:w="9214"/>
      </w:tblGrid>
      <w:tr w:rsidR="000239F9" w:rsidRPr="00184920" w14:paraId="0A2BE03B" w14:textId="77777777" w:rsidTr="007831E5">
        <w:trPr>
          <w:trHeight w:val="731"/>
        </w:trPr>
        <w:tc>
          <w:tcPr>
            <w:tcW w:w="9214" w:type="dxa"/>
            <w:tcBorders>
              <w:top w:val="nil"/>
              <w:left w:val="nil"/>
              <w:bottom w:val="single" w:sz="4" w:space="0" w:color="000000"/>
              <w:right w:val="nil"/>
            </w:tcBorders>
            <w:hideMark/>
          </w:tcPr>
          <w:p w14:paraId="40C02998" w14:textId="77777777"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w:t>
            </w:r>
            <w:r w:rsidR="000239F9" w:rsidRPr="00184920">
              <w:rPr>
                <w:rFonts w:ascii="Times New Roman" w:eastAsia="Times New Roman" w:hAnsi="Times New Roman" w:cs="Times New Roman"/>
                <w:sz w:val="20"/>
                <w:lang w:eastAsia="lv-LV"/>
              </w:rPr>
              <w:t xml:space="preserve"> ministrijas</w:t>
            </w:r>
          </w:p>
          <w:p w14:paraId="270872E1" w14:textId="00F96B54" w:rsidR="000239F9" w:rsidRPr="00184920" w:rsidRDefault="00EE17EF" w:rsidP="00C9004D">
            <w:pPr>
              <w:tabs>
                <w:tab w:val="left" w:pos="6330"/>
              </w:tabs>
              <w:spacing w:after="0" w:line="240" w:lineRule="auto"/>
              <w:jc w:val="both"/>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Finanšu tirgus politikas</w:t>
            </w:r>
            <w:r w:rsidR="001B77D1" w:rsidRPr="00184920">
              <w:rPr>
                <w:rFonts w:ascii="Times New Roman" w:eastAsia="Times New Roman" w:hAnsi="Times New Roman" w:cs="Times New Roman"/>
                <w:sz w:val="20"/>
                <w:lang w:eastAsia="lv-LV"/>
              </w:rPr>
              <w:t xml:space="preserve"> </w:t>
            </w:r>
            <w:r w:rsidR="000239F9" w:rsidRPr="00184920">
              <w:rPr>
                <w:rFonts w:ascii="Times New Roman" w:eastAsia="Times New Roman" w:hAnsi="Times New Roman" w:cs="Times New Roman"/>
                <w:sz w:val="20"/>
                <w:lang w:eastAsia="lv-LV"/>
              </w:rPr>
              <w:t xml:space="preserve">departamenta </w:t>
            </w:r>
            <w:r w:rsidR="007426C6">
              <w:rPr>
                <w:rFonts w:ascii="Times New Roman" w:eastAsia="Times New Roman" w:hAnsi="Times New Roman" w:cs="Times New Roman"/>
                <w:sz w:val="20"/>
                <w:lang w:eastAsia="lv-LV"/>
              </w:rPr>
              <w:t>juriskonsults</w:t>
            </w:r>
          </w:p>
        </w:tc>
      </w:tr>
      <w:tr w:rsidR="000239F9" w:rsidRPr="00184920" w14:paraId="28205DFD" w14:textId="77777777" w:rsidTr="007831E5">
        <w:trPr>
          <w:trHeight w:val="229"/>
        </w:trPr>
        <w:tc>
          <w:tcPr>
            <w:tcW w:w="9214" w:type="dxa"/>
            <w:tcBorders>
              <w:top w:val="single" w:sz="4" w:space="0" w:color="000000"/>
              <w:left w:val="nil"/>
              <w:bottom w:val="nil"/>
              <w:right w:val="nil"/>
            </w:tcBorders>
            <w:hideMark/>
          </w:tcPr>
          <w:p w14:paraId="5045FDA4"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(amats)</w:t>
            </w:r>
          </w:p>
        </w:tc>
      </w:tr>
      <w:tr w:rsidR="000239F9" w:rsidRPr="00184920" w14:paraId="49A22CD8" w14:textId="77777777" w:rsidTr="007831E5">
        <w:trPr>
          <w:trHeight w:val="243"/>
        </w:trPr>
        <w:tc>
          <w:tcPr>
            <w:tcW w:w="9214" w:type="dxa"/>
            <w:tcBorders>
              <w:top w:val="nil"/>
              <w:left w:val="nil"/>
              <w:bottom w:val="single" w:sz="4" w:space="0" w:color="000000"/>
              <w:right w:val="nil"/>
            </w:tcBorders>
            <w:hideMark/>
          </w:tcPr>
          <w:p w14:paraId="7CC26B7A" w14:textId="625AB63E" w:rsidR="000239F9" w:rsidRPr="00184920" w:rsidRDefault="000239F9" w:rsidP="00EE17EF">
            <w:pPr>
              <w:spacing w:after="0" w:line="240" w:lineRule="auto"/>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 xml:space="preserve">tālr. </w:t>
            </w:r>
            <w:r w:rsidR="00AF20BA" w:rsidRPr="00184920">
              <w:rPr>
                <w:rFonts w:ascii="Times New Roman" w:eastAsia="Times New Roman" w:hAnsi="Times New Roman" w:cs="Times New Roman"/>
                <w:sz w:val="20"/>
                <w:lang w:eastAsia="lv-LV"/>
              </w:rPr>
              <w:t>670</w:t>
            </w:r>
            <w:r w:rsidR="00EE17EF" w:rsidRPr="00184920">
              <w:rPr>
                <w:rFonts w:ascii="Times New Roman" w:eastAsia="Times New Roman" w:hAnsi="Times New Roman" w:cs="Times New Roman"/>
                <w:sz w:val="20"/>
                <w:lang w:eastAsia="lv-LV"/>
              </w:rPr>
              <w:t>95</w:t>
            </w:r>
            <w:r w:rsidR="007426C6">
              <w:rPr>
                <w:rFonts w:ascii="Times New Roman" w:eastAsia="Times New Roman" w:hAnsi="Times New Roman" w:cs="Times New Roman"/>
                <w:sz w:val="20"/>
                <w:lang w:eastAsia="lv-LV"/>
              </w:rPr>
              <w:t>441</w:t>
            </w:r>
          </w:p>
        </w:tc>
      </w:tr>
      <w:tr w:rsidR="000239F9" w:rsidRPr="00184920" w14:paraId="0DDAA111" w14:textId="77777777" w:rsidTr="007831E5">
        <w:trPr>
          <w:trHeight w:val="243"/>
        </w:trPr>
        <w:tc>
          <w:tcPr>
            <w:tcW w:w="9214" w:type="dxa"/>
            <w:tcBorders>
              <w:top w:val="single" w:sz="4" w:space="0" w:color="000000"/>
              <w:left w:val="nil"/>
              <w:bottom w:val="nil"/>
              <w:right w:val="nil"/>
            </w:tcBorders>
            <w:hideMark/>
          </w:tcPr>
          <w:p w14:paraId="6D9F2851"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(tālruņa un faksa numurs)</w:t>
            </w:r>
          </w:p>
        </w:tc>
      </w:tr>
      <w:tr w:rsidR="000239F9" w:rsidRPr="00184920" w14:paraId="1C979872" w14:textId="77777777" w:rsidTr="007831E5">
        <w:trPr>
          <w:trHeight w:val="229"/>
        </w:trPr>
        <w:tc>
          <w:tcPr>
            <w:tcW w:w="9214" w:type="dxa"/>
            <w:tcBorders>
              <w:top w:val="nil"/>
              <w:left w:val="nil"/>
              <w:bottom w:val="single" w:sz="4" w:space="0" w:color="000000"/>
              <w:right w:val="nil"/>
            </w:tcBorders>
            <w:hideMark/>
          </w:tcPr>
          <w:p w14:paraId="1761C38C" w14:textId="7CF97064" w:rsidR="000239F9" w:rsidRPr="00184920" w:rsidRDefault="007426C6" w:rsidP="00EE17EF">
            <w:pPr>
              <w:spacing w:after="0" w:line="240" w:lineRule="auto"/>
              <w:rPr>
                <w:rFonts w:ascii="Times New Roman" w:eastAsia="Times New Roman" w:hAnsi="Times New Roman" w:cs="Times New Roman"/>
                <w:sz w:val="20"/>
                <w:szCs w:val="24"/>
                <w:lang w:eastAsia="lv-LV"/>
              </w:rPr>
            </w:pPr>
            <w:r w:rsidRPr="007426C6">
              <w:rPr>
                <w:rStyle w:val="Hyperlink"/>
                <w:rFonts w:ascii="Times New Roman" w:hAnsi="Times New Roman" w:cs="Times New Roman"/>
                <w:sz w:val="20"/>
                <w:szCs w:val="24"/>
              </w:rPr>
              <w:t>aivis.hammers</w:t>
            </w:r>
            <w:hyperlink r:id="rId31" w:history="1">
              <w:r w:rsidR="00EE17EF" w:rsidRPr="00184920">
                <w:rPr>
                  <w:rStyle w:val="Hyperlink"/>
                  <w:rFonts w:ascii="Times New Roman" w:hAnsi="Times New Roman" w:cs="Times New Roman"/>
                  <w:sz w:val="20"/>
                  <w:szCs w:val="24"/>
                </w:rPr>
                <w:t>@fm.gov.lv</w:t>
              </w:r>
            </w:hyperlink>
            <w:r w:rsidR="00EE17EF" w:rsidRPr="00184920">
              <w:rPr>
                <w:rFonts w:ascii="Times New Roman" w:hAnsi="Times New Roman" w:cs="Times New Roman"/>
                <w:sz w:val="20"/>
                <w:szCs w:val="24"/>
              </w:rPr>
              <w:t xml:space="preserve"> </w:t>
            </w:r>
            <w:r w:rsidR="006F0C0E" w:rsidRPr="00184920">
              <w:rPr>
                <w:rFonts w:ascii="Times New Roman" w:hAnsi="Times New Roman"/>
                <w:sz w:val="20"/>
                <w:szCs w:val="24"/>
              </w:rPr>
              <w:t xml:space="preserve"> </w:t>
            </w:r>
          </w:p>
        </w:tc>
      </w:tr>
      <w:tr w:rsidR="000239F9" w:rsidRPr="00184920" w14:paraId="278A3585" w14:textId="77777777" w:rsidTr="007831E5">
        <w:trPr>
          <w:trHeight w:val="243"/>
        </w:trPr>
        <w:tc>
          <w:tcPr>
            <w:tcW w:w="9214" w:type="dxa"/>
            <w:tcBorders>
              <w:top w:val="single" w:sz="4" w:space="0" w:color="000000"/>
              <w:left w:val="nil"/>
              <w:bottom w:val="nil"/>
              <w:right w:val="nil"/>
            </w:tcBorders>
            <w:hideMark/>
          </w:tcPr>
          <w:p w14:paraId="7EC004EF" w14:textId="77777777" w:rsidR="000239F9" w:rsidRPr="00184920" w:rsidRDefault="000239F9" w:rsidP="00D60CB6">
            <w:pPr>
              <w:spacing w:after="0" w:line="240" w:lineRule="auto"/>
              <w:jc w:val="center"/>
              <w:rPr>
                <w:rFonts w:ascii="Times New Roman" w:eastAsia="Times New Roman" w:hAnsi="Times New Roman" w:cs="Times New Roman"/>
                <w:sz w:val="20"/>
                <w:lang w:eastAsia="lv-LV"/>
              </w:rPr>
            </w:pPr>
            <w:r w:rsidRPr="00184920">
              <w:rPr>
                <w:rFonts w:ascii="Times New Roman" w:eastAsia="Times New Roman" w:hAnsi="Times New Roman" w:cs="Times New Roman"/>
                <w:sz w:val="20"/>
                <w:lang w:eastAsia="lv-LV"/>
              </w:rPr>
              <w:t>(e-pasta adrese)</w:t>
            </w:r>
          </w:p>
        </w:tc>
      </w:tr>
    </w:tbl>
    <w:p w14:paraId="7C33E9FB" w14:textId="2F67A113" w:rsidR="00726C06" w:rsidRPr="00184920" w:rsidRDefault="002F5D9C" w:rsidP="00D60CB6">
      <w:pPr>
        <w:spacing w:after="0" w:line="240" w:lineRule="auto"/>
        <w:jc w:val="both"/>
        <w:rPr>
          <w:rFonts w:ascii="Times New Roman" w:hAnsi="Times New Roman" w:cs="Times New Roman"/>
          <w:sz w:val="20"/>
          <w:szCs w:val="20"/>
        </w:rPr>
      </w:pPr>
      <w:r w:rsidRPr="00184920">
        <w:rPr>
          <w:rFonts w:ascii="Times New Roman" w:eastAsia="Times New Roman" w:hAnsi="Times New Roman" w:cs="Times New Roman"/>
          <w:sz w:val="20"/>
          <w:lang w:eastAsia="lv-LV"/>
        </w:rPr>
        <w:br w:type="textWrapping" w:clear="all"/>
      </w:r>
      <w:r w:rsidR="007426C6">
        <w:rPr>
          <w:rFonts w:ascii="Times New Roman" w:hAnsi="Times New Roman" w:cs="Times New Roman"/>
          <w:sz w:val="20"/>
          <w:szCs w:val="20"/>
        </w:rPr>
        <w:t>Aivis Hammers</w:t>
      </w:r>
    </w:p>
    <w:p w14:paraId="6EA44B00" w14:textId="7D0EA0B3" w:rsidR="00726C06" w:rsidRPr="00184920" w:rsidRDefault="00726C06" w:rsidP="00D60CB6">
      <w:pPr>
        <w:spacing w:after="0" w:line="240" w:lineRule="auto"/>
        <w:rPr>
          <w:rFonts w:ascii="Times New Roman" w:hAnsi="Times New Roman" w:cs="Times New Roman"/>
          <w:sz w:val="20"/>
          <w:szCs w:val="20"/>
        </w:rPr>
      </w:pPr>
      <w:r w:rsidRPr="00184920">
        <w:rPr>
          <w:rFonts w:ascii="Times New Roman" w:hAnsi="Times New Roman" w:cs="Times New Roman"/>
          <w:sz w:val="20"/>
          <w:szCs w:val="20"/>
        </w:rPr>
        <w:t>6</w:t>
      </w:r>
      <w:r w:rsidR="00EE17EF" w:rsidRPr="00184920">
        <w:rPr>
          <w:rFonts w:ascii="Times New Roman" w:hAnsi="Times New Roman" w:cs="Times New Roman"/>
          <w:sz w:val="20"/>
          <w:szCs w:val="20"/>
        </w:rPr>
        <w:t>7095</w:t>
      </w:r>
      <w:r w:rsidR="007426C6">
        <w:rPr>
          <w:rFonts w:ascii="Times New Roman" w:hAnsi="Times New Roman" w:cs="Times New Roman"/>
          <w:sz w:val="20"/>
          <w:szCs w:val="20"/>
        </w:rPr>
        <w:t>441</w:t>
      </w:r>
      <w:r w:rsidRPr="00184920">
        <w:rPr>
          <w:rFonts w:ascii="Times New Roman" w:hAnsi="Times New Roman" w:cs="Times New Roman"/>
          <w:sz w:val="20"/>
          <w:szCs w:val="20"/>
        </w:rPr>
        <w:t xml:space="preserve">, </w:t>
      </w:r>
      <w:r w:rsidR="007426C6" w:rsidRPr="007426C6">
        <w:rPr>
          <w:rStyle w:val="Hyperlink"/>
          <w:rFonts w:ascii="Times New Roman" w:hAnsi="Times New Roman" w:cs="Times New Roman"/>
          <w:sz w:val="20"/>
          <w:szCs w:val="24"/>
        </w:rPr>
        <w:t>aivis.hammers</w:t>
      </w:r>
      <w:hyperlink r:id="rId32" w:history="1">
        <w:r w:rsidR="007426C6" w:rsidRPr="00184920">
          <w:rPr>
            <w:rStyle w:val="Hyperlink"/>
            <w:rFonts w:ascii="Times New Roman" w:hAnsi="Times New Roman" w:cs="Times New Roman"/>
            <w:sz w:val="20"/>
            <w:szCs w:val="24"/>
          </w:rPr>
          <w:t>@fm.gov.lv</w:t>
        </w:r>
      </w:hyperlink>
      <w:r w:rsidRPr="00184920">
        <w:rPr>
          <w:rFonts w:ascii="Times New Roman" w:hAnsi="Times New Roman" w:cs="Times New Roman"/>
          <w:sz w:val="20"/>
          <w:szCs w:val="20"/>
        </w:rPr>
        <w:t xml:space="preserve"> </w:t>
      </w:r>
    </w:p>
    <w:p w14:paraId="2FDE32EA" w14:textId="29FED73F" w:rsidR="00F54172" w:rsidRPr="00184920" w:rsidRDefault="00F54172" w:rsidP="00D60CB6">
      <w:pPr>
        <w:spacing w:after="0" w:line="240" w:lineRule="auto"/>
        <w:rPr>
          <w:rFonts w:ascii="Times New Roman" w:hAnsi="Times New Roman" w:cs="Times New Roman"/>
          <w:sz w:val="20"/>
        </w:rPr>
      </w:pPr>
    </w:p>
    <w:p w14:paraId="036C0D0B" w14:textId="77777777" w:rsidR="00F54172" w:rsidRPr="00184920" w:rsidRDefault="00F54172" w:rsidP="00902F8C">
      <w:pPr>
        <w:rPr>
          <w:rFonts w:ascii="Times New Roman" w:hAnsi="Times New Roman" w:cs="Times New Roman"/>
          <w:sz w:val="20"/>
        </w:rPr>
      </w:pPr>
    </w:p>
    <w:p w14:paraId="37AFEC81" w14:textId="77777777" w:rsidR="00F54172" w:rsidRPr="00184920" w:rsidRDefault="00F54172" w:rsidP="00902F8C">
      <w:pPr>
        <w:rPr>
          <w:rFonts w:ascii="Times New Roman" w:hAnsi="Times New Roman" w:cs="Times New Roman"/>
          <w:sz w:val="20"/>
        </w:rPr>
      </w:pPr>
    </w:p>
    <w:p w14:paraId="674018A5" w14:textId="77777777" w:rsidR="00F54172" w:rsidRPr="00184920" w:rsidRDefault="00F54172" w:rsidP="00902F8C">
      <w:pPr>
        <w:rPr>
          <w:rFonts w:ascii="Times New Roman" w:hAnsi="Times New Roman" w:cs="Times New Roman"/>
          <w:sz w:val="20"/>
        </w:rPr>
      </w:pPr>
    </w:p>
    <w:p w14:paraId="57C7BCA7" w14:textId="77777777" w:rsidR="00F54172" w:rsidRPr="00184920" w:rsidRDefault="00F54172" w:rsidP="00902F8C">
      <w:pPr>
        <w:rPr>
          <w:rFonts w:ascii="Times New Roman" w:hAnsi="Times New Roman" w:cs="Times New Roman"/>
          <w:sz w:val="20"/>
        </w:rPr>
      </w:pPr>
    </w:p>
    <w:sectPr w:rsidR="00F54172" w:rsidRPr="00184920" w:rsidSect="00283C4D">
      <w:headerReference w:type="default" r:id="rId33"/>
      <w:footerReference w:type="default" r:id="rId34"/>
      <w:pgSz w:w="16838" w:h="11906" w:orient="landscape"/>
      <w:pgMar w:top="1152" w:right="821" w:bottom="864" w:left="1296"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D6E66" w14:textId="77777777" w:rsidR="00F443CE" w:rsidRDefault="00F443CE" w:rsidP="003A0F64">
      <w:pPr>
        <w:spacing w:after="0" w:line="240" w:lineRule="auto"/>
      </w:pPr>
      <w:r>
        <w:separator/>
      </w:r>
    </w:p>
  </w:endnote>
  <w:endnote w:type="continuationSeparator" w:id="0">
    <w:p w14:paraId="3D959DB5" w14:textId="77777777" w:rsidR="00F443CE" w:rsidRDefault="00F443CE" w:rsidP="003A0F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9FAAA" w14:textId="4C74DDF6" w:rsidR="00CC51F6" w:rsidRPr="00F66122" w:rsidRDefault="00CC51F6" w:rsidP="0095381B">
    <w:pPr>
      <w:pStyle w:val="Footer"/>
      <w:tabs>
        <w:tab w:val="clear" w:pos="4153"/>
        <w:tab w:val="clear" w:pos="8306"/>
        <w:tab w:val="left" w:pos="1860"/>
        <w:tab w:val="left" w:pos="4230"/>
      </w:tabs>
      <w:rPr>
        <w:sz w:val="20"/>
      </w:rPr>
    </w:pPr>
    <w:r w:rsidRPr="00F66122">
      <w:rPr>
        <w:sz w:val="20"/>
      </w:rPr>
      <w:fldChar w:fldCharType="begin"/>
    </w:r>
    <w:r w:rsidRPr="00F66122">
      <w:rPr>
        <w:sz w:val="20"/>
      </w:rPr>
      <w:instrText xml:space="preserve"> FILENAME   \* MERGEFORMAT </w:instrText>
    </w:r>
    <w:r w:rsidRPr="00F66122">
      <w:rPr>
        <w:sz w:val="20"/>
      </w:rPr>
      <w:fldChar w:fldCharType="separate"/>
    </w:r>
    <w:r>
      <w:rPr>
        <w:noProof/>
        <w:sz w:val="20"/>
        <w:lang w:val="lv-LV"/>
      </w:rPr>
      <w:t>FM</w:t>
    </w:r>
    <w:r>
      <w:rPr>
        <w:noProof/>
        <w:sz w:val="20"/>
      </w:rPr>
      <w:t>Izz_</w:t>
    </w:r>
    <w:r>
      <w:rPr>
        <w:noProof/>
        <w:sz w:val="20"/>
        <w:lang w:val="lv-LV"/>
      </w:rPr>
      <w:t>280721_IBSL</w:t>
    </w:r>
    <w:r w:rsidRPr="00F66122">
      <w:rPr>
        <w:sz w:val="20"/>
      </w:rPr>
      <w:fldChar w:fldCharType="end"/>
    </w:r>
    <w:r>
      <w:rPr>
        <w:sz w:val="20"/>
      </w:rPr>
      <w:tab/>
    </w:r>
    <w:r>
      <w:rPr>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2429D" w14:textId="77777777" w:rsidR="00F443CE" w:rsidRDefault="00F443CE" w:rsidP="003A0F64">
      <w:pPr>
        <w:spacing w:after="0" w:line="240" w:lineRule="auto"/>
      </w:pPr>
      <w:r>
        <w:separator/>
      </w:r>
    </w:p>
  </w:footnote>
  <w:footnote w:type="continuationSeparator" w:id="0">
    <w:p w14:paraId="65BE9EC3" w14:textId="77777777" w:rsidR="00F443CE" w:rsidRDefault="00F443CE" w:rsidP="003A0F64">
      <w:pPr>
        <w:spacing w:after="0" w:line="240" w:lineRule="auto"/>
      </w:pPr>
      <w:r>
        <w:continuationSeparator/>
      </w:r>
    </w:p>
  </w:footnote>
  <w:footnote w:id="1">
    <w:p w14:paraId="1B40BD98" w14:textId="77777777" w:rsidR="00CC51F6" w:rsidRDefault="00CC51F6" w:rsidP="00665A51">
      <w:pPr>
        <w:pStyle w:val="FootnoteText"/>
      </w:pPr>
      <w:r>
        <w:rPr>
          <w:rStyle w:val="FootnoteReference"/>
        </w:rPr>
        <w:footnoteRef/>
      </w:r>
      <w:r>
        <w:t xml:space="preserve"> S</w:t>
      </w:r>
      <w:r w:rsidRPr="00B47887">
        <w:t>k. Satversmes tiesas 2019. gada 5. decembra sprieduma lietā Nr. 2019-01-01 19.2. punktu</w:t>
      </w:r>
      <w:r>
        <w:t>.</w:t>
      </w:r>
    </w:p>
  </w:footnote>
  <w:footnote w:id="2">
    <w:p w14:paraId="1DB63741" w14:textId="77777777" w:rsidR="00CC51F6" w:rsidRDefault="00CC51F6" w:rsidP="00665A51">
      <w:pPr>
        <w:pStyle w:val="FootnoteText"/>
      </w:pPr>
      <w:r>
        <w:rPr>
          <w:rStyle w:val="FootnoteReference"/>
        </w:rPr>
        <w:footnoteRef/>
      </w:r>
      <w:r>
        <w:t xml:space="preserve"> </w:t>
      </w:r>
      <w:r>
        <w:t xml:space="preserve">Sk. </w:t>
      </w:r>
      <w:r w:rsidRPr="00870B64">
        <w:t>Satversmes tiesas 2020. gada 17. decembra spriedumu lietā Nr.2020-18-01</w:t>
      </w:r>
      <w:r>
        <w:t xml:space="preserve"> 23.2. punktu.</w:t>
      </w:r>
    </w:p>
  </w:footnote>
  <w:footnote w:id="3">
    <w:p w14:paraId="72727394" w14:textId="77777777" w:rsidR="00CC51F6" w:rsidRDefault="00CC51F6" w:rsidP="00665A51">
      <w:pPr>
        <w:pStyle w:val="FootnoteText"/>
      </w:pPr>
      <w:r>
        <w:rPr>
          <w:rStyle w:val="FootnoteReference"/>
        </w:rPr>
        <w:footnoteRef/>
      </w:r>
      <w:r>
        <w:t xml:space="preserve"> </w:t>
      </w:r>
      <w:r>
        <w:t xml:space="preserve">Turpat, 24. punkts. </w:t>
      </w:r>
    </w:p>
  </w:footnote>
  <w:footnote w:id="4">
    <w:p w14:paraId="2BC8F319" w14:textId="77777777" w:rsidR="00CC51F6" w:rsidRDefault="00CC51F6" w:rsidP="00665A51">
      <w:pPr>
        <w:pStyle w:val="FootnoteText"/>
      </w:pPr>
      <w:r>
        <w:rPr>
          <w:rStyle w:val="FootnoteReference"/>
        </w:rPr>
        <w:footnoteRef/>
      </w:r>
      <w:r>
        <w:t xml:space="preserve"> </w:t>
      </w:r>
      <w:r>
        <w:t>Sk., piemēram, Izglītības likuma 50. panta pirmās daļas 1. punktā paredzēto izņēmumu: “</w:t>
      </w:r>
      <w:r w:rsidRPr="00F9474D">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5">
    <w:p w14:paraId="5722C326" w14:textId="77777777" w:rsidR="00CC51F6" w:rsidRDefault="00CC51F6" w:rsidP="00665A51">
      <w:pPr>
        <w:pStyle w:val="FootnoteText"/>
      </w:pPr>
      <w:r>
        <w:rPr>
          <w:rStyle w:val="FootnoteReference"/>
        </w:rPr>
        <w:t>[1]</w:t>
      </w:r>
      <w:r>
        <w:t xml:space="preserve"> </w:t>
      </w:r>
      <w:r>
        <w:t>Sk. Satversmes tiesas 2019. gada 5. decembra sprieduma lietā Nr. 2019-01-01 19.2. punktu.</w:t>
      </w:r>
    </w:p>
  </w:footnote>
  <w:footnote w:id="6">
    <w:p w14:paraId="6BA56411" w14:textId="77777777" w:rsidR="00CC51F6" w:rsidRDefault="00CC51F6" w:rsidP="00665A51">
      <w:pPr>
        <w:pStyle w:val="FootnoteText"/>
      </w:pPr>
      <w:r>
        <w:rPr>
          <w:rStyle w:val="FootnoteReference"/>
        </w:rPr>
        <w:t>[2]</w:t>
      </w:r>
      <w:r>
        <w:t xml:space="preserve"> </w:t>
      </w:r>
      <w:r>
        <w:t>Sk. Satversmes tiesas 2020. gada 17. decembra spriedumu lietā Nr.2020-18-01 23.2. punktu.</w:t>
      </w:r>
    </w:p>
  </w:footnote>
  <w:footnote w:id="7">
    <w:p w14:paraId="42FCC328" w14:textId="77777777" w:rsidR="00CC51F6" w:rsidRDefault="00CC51F6" w:rsidP="00665A51">
      <w:pPr>
        <w:pStyle w:val="FootnoteText"/>
      </w:pPr>
      <w:r>
        <w:rPr>
          <w:rStyle w:val="FootnoteReference"/>
        </w:rPr>
        <w:t>[3]</w:t>
      </w:r>
      <w:r>
        <w:t xml:space="preserve"> </w:t>
      </w:r>
      <w:r>
        <w:t xml:space="preserve">Turpat, 24. punkts. </w:t>
      </w:r>
    </w:p>
  </w:footnote>
  <w:footnote w:id="8">
    <w:p w14:paraId="75D7AD6B" w14:textId="77777777" w:rsidR="00CC51F6" w:rsidRDefault="00CC51F6" w:rsidP="00665A51">
      <w:pPr>
        <w:pStyle w:val="FootnoteText"/>
      </w:pPr>
      <w:r>
        <w:rPr>
          <w:rStyle w:val="FootnoteReference"/>
        </w:rPr>
        <w:t>[4]</w:t>
      </w:r>
      <w:r>
        <w:t xml:space="preserve"> </w:t>
      </w:r>
      <w:r>
        <w:t>Sk., piemēram, Izglītības likuma 50. panta pirmās daļas 1. punktā paredzēto izņēmumu: “</w:t>
      </w:r>
      <w:r>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 w:id="9">
    <w:p w14:paraId="4EFB2618" w14:textId="77777777" w:rsidR="00CC51F6" w:rsidRDefault="00CC51F6" w:rsidP="00FF4803">
      <w:pPr>
        <w:pStyle w:val="FootnoteText"/>
      </w:pPr>
      <w:r>
        <w:rPr>
          <w:rStyle w:val="FootnoteReference"/>
        </w:rPr>
        <w:footnoteRef/>
      </w:r>
      <w:r>
        <w:t xml:space="preserve"> </w:t>
      </w:r>
      <w:r>
        <w:t>Sk. Augstākās tiesas Civillietu departamenta 2019. gada 11. oktobra sprieduma lietā Nr.</w:t>
      </w:r>
      <w:r w:rsidRPr="006E2973">
        <w:t xml:space="preserve"> C73356619, SKC</w:t>
      </w:r>
      <w:r>
        <w:t>- </w:t>
      </w:r>
      <w:r w:rsidRPr="006E2973">
        <w:t>1374/2019</w:t>
      </w:r>
      <w:r>
        <w:t xml:space="preserve"> 7. punktu. </w:t>
      </w:r>
    </w:p>
  </w:footnote>
  <w:footnote w:id="10">
    <w:p w14:paraId="4655527C" w14:textId="77777777" w:rsidR="00CC51F6" w:rsidRDefault="00CC51F6" w:rsidP="00FF4803">
      <w:pPr>
        <w:pStyle w:val="FootnoteText"/>
      </w:pPr>
      <w:r>
        <w:rPr>
          <w:rStyle w:val="FootnoteReference"/>
        </w:rPr>
        <w:t>[5]</w:t>
      </w:r>
      <w:r>
        <w:t xml:space="preserve"> </w:t>
      </w:r>
      <w:r>
        <w:t>Sk. Augstākās tiesas Civillietu departamenta 2019. gada 11. oktobra sprieduma lietā Nr. C73356619, SKC- 1374/2019 7. punktu.</w:t>
      </w:r>
    </w:p>
  </w:footnote>
  <w:footnote w:id="11">
    <w:p w14:paraId="56B2F77C" w14:textId="77777777" w:rsidR="00CC51F6" w:rsidRDefault="00CC51F6" w:rsidP="006F34E9">
      <w:pPr>
        <w:pStyle w:val="FootnoteText"/>
      </w:pPr>
      <w:r>
        <w:rPr>
          <w:rStyle w:val="FootnoteReference"/>
        </w:rPr>
        <w:footnoteRef/>
      </w:r>
      <w:r>
        <w:t xml:space="preserve"> </w:t>
      </w:r>
      <w:r>
        <w:t xml:space="preserve">Sk. Likumprojekts “Grozījumi Kredītiestāžu likumā”. Pieejams: </w:t>
      </w:r>
      <w:r w:rsidRPr="009130C6">
        <w:t>https://titania.saeima.lv/LIVS13/saeimalivs13.nsf/0/AE829E5C40F0EDC5C225867F0031D785?OpenDocument</w:t>
      </w:r>
    </w:p>
  </w:footnote>
  <w:footnote w:id="12">
    <w:p w14:paraId="32A4156D" w14:textId="77777777" w:rsidR="00CC51F6" w:rsidRPr="002E5624" w:rsidRDefault="00CC51F6" w:rsidP="00AA59EB">
      <w:pPr>
        <w:pStyle w:val="FootnoteText"/>
      </w:pPr>
      <w:r w:rsidRPr="002E5624">
        <w:rPr>
          <w:rStyle w:val="FootnoteReference"/>
        </w:rPr>
        <w:footnoteRef/>
      </w:r>
      <w:r w:rsidRPr="002E5624">
        <w:t xml:space="preserve"> </w:t>
      </w:r>
      <w:r w:rsidRPr="002E5624">
        <w:t>Likumprojekta 50. panta pirmās daļas pirmās daļas 1. punktā ietverta norāde par ieguldījumu brokeru sabiedrības maksātnespēju vai nonākšanu finansiālās grūtībās kā nosacījumu iespējai piemērot papildu prasības. Minētā norāde tieši izriet no Direktīvas 2019/2034 5. panta 1. punkta a) apakšpunkta un pēc būtības uz to neattiecas šajā iebildumā norādītais.</w:t>
      </w:r>
    </w:p>
  </w:footnote>
  <w:footnote w:id="13">
    <w:p w14:paraId="1654887E" w14:textId="77777777" w:rsidR="00CC51F6" w:rsidRPr="002E5624" w:rsidRDefault="00CC51F6" w:rsidP="00453CBD">
      <w:pPr>
        <w:pStyle w:val="FootnoteText"/>
      </w:pPr>
      <w:r w:rsidRPr="002E5624">
        <w:rPr>
          <w:rStyle w:val="FootnoteReference"/>
        </w:rPr>
        <w:footnoteRef/>
      </w:r>
      <w:r w:rsidRPr="002E5624">
        <w:t xml:space="preserve"> </w:t>
      </w:r>
      <w:r w:rsidRPr="002E5624">
        <w:t>Skat., piemēram, 363.</w:t>
      </w:r>
      <w:r w:rsidRPr="002E5624">
        <w:rPr>
          <w:vertAlign w:val="superscript"/>
        </w:rPr>
        <w:t>2</w:t>
      </w:r>
      <w:r w:rsidRPr="002E5624">
        <w:t> pantu un 363.</w:t>
      </w:r>
      <w:r w:rsidRPr="002E5624">
        <w:rPr>
          <w:vertAlign w:val="superscript"/>
        </w:rPr>
        <w:t>13</w:t>
      </w:r>
      <w:r w:rsidRPr="002E5624">
        <w:t> pantu.</w:t>
      </w:r>
    </w:p>
  </w:footnote>
  <w:footnote w:id="14">
    <w:p w14:paraId="7215D47F" w14:textId="77777777" w:rsidR="00CC51F6" w:rsidRPr="002E5624" w:rsidRDefault="00CC51F6" w:rsidP="00D07217">
      <w:pPr>
        <w:pStyle w:val="FootnoteText"/>
      </w:pPr>
      <w:r w:rsidRPr="002E5624">
        <w:rPr>
          <w:rStyle w:val="FootnoteReference"/>
        </w:rPr>
        <w:footnoteRef/>
      </w:r>
      <w:r w:rsidRPr="002E5624">
        <w:t xml:space="preserve"> </w:t>
      </w:r>
      <w:r w:rsidRPr="002E5624">
        <w:t>Saskaņā ar Finanšu un kapitāla tirgus komisijas likuma 4. pantu.</w:t>
      </w:r>
    </w:p>
  </w:footnote>
  <w:footnote w:id="15">
    <w:p w14:paraId="4A85F3D6" w14:textId="77777777" w:rsidR="00CC51F6" w:rsidRPr="002E5624" w:rsidRDefault="00CC51F6" w:rsidP="00D07217">
      <w:pPr>
        <w:pStyle w:val="FootnoteText"/>
      </w:pPr>
      <w:r w:rsidRPr="002E5624">
        <w:rPr>
          <w:rStyle w:val="FootnoteReference"/>
        </w:rPr>
        <w:footnoteRef/>
      </w:r>
      <w:r w:rsidRPr="002E5624">
        <w:t xml:space="preserve"> </w:t>
      </w:r>
      <w:r w:rsidRPr="002E5624">
        <w:t>Saskaņā ar likumprojekta 1. panta pirmās daļas 17. punktu.</w:t>
      </w:r>
    </w:p>
  </w:footnote>
  <w:footnote w:id="16">
    <w:p w14:paraId="5EAF6E09" w14:textId="77777777" w:rsidR="00CC51F6" w:rsidRPr="00C468E0" w:rsidRDefault="00CC51F6" w:rsidP="006B0E97">
      <w:pPr>
        <w:pStyle w:val="FootnoteText"/>
      </w:pPr>
      <w:r>
        <w:rPr>
          <w:rStyle w:val="FootnoteReference"/>
        </w:rPr>
        <w:footnoteRef/>
      </w:r>
      <w:r>
        <w:t xml:space="preserve"> </w:t>
      </w:r>
      <w:r w:rsidRPr="00E73665">
        <w:t xml:space="preserve">Likumprojekta 73. panta </w:t>
      </w:r>
      <w:r>
        <w:t>astotā</w:t>
      </w:r>
      <w:r w:rsidRPr="00E73665">
        <w:t xml:space="preserve"> daļa paredz</w:t>
      </w:r>
      <w:r>
        <w:rPr>
          <w:rFonts w:eastAsiaTheme="minorHAnsi"/>
          <w:bCs/>
        </w:rPr>
        <w:t>, j</w:t>
      </w:r>
      <w:r w:rsidRPr="00E73665">
        <w:rPr>
          <w:rFonts w:eastAsiaTheme="minorHAnsi"/>
          <w:bCs/>
        </w:rPr>
        <w:t xml:space="preserve">a </w:t>
      </w:r>
      <w:r w:rsidRPr="00AC1F79">
        <w:t>Finanšu un kapitāla tirgus komisij</w:t>
      </w:r>
      <w:r>
        <w:t>a</w:t>
      </w:r>
      <w:r w:rsidRPr="00E73665">
        <w:rPr>
          <w:rFonts w:eastAsiaTheme="minorHAnsi"/>
          <w:bCs/>
        </w:rPr>
        <w:t xml:space="preserve"> pēc šā panta sestajā daļā noteiktās informācijas saņemšanas tiesai ir paziņojusi, ka ieguldījumu brokeru sabiedrība atbilst noregulējuma nosacījumiem un attiecībā uz ieguldījumu brokeru sabiedrību tā plāno veikt noregulējuma darbības, tiesa pieņem nolēmumu par maksātnespējas pieteikuma noraidīšanu.</w:t>
      </w:r>
    </w:p>
  </w:footnote>
  <w:footnote w:id="17">
    <w:p w14:paraId="279D28F8" w14:textId="77777777" w:rsidR="00CC51F6" w:rsidRPr="002E5624" w:rsidRDefault="00CC51F6" w:rsidP="00F716EB">
      <w:pPr>
        <w:pStyle w:val="FootnoteText"/>
      </w:pPr>
      <w:r w:rsidRPr="002E5624">
        <w:rPr>
          <w:rStyle w:val="FootnoteReference"/>
        </w:rPr>
        <w:footnoteRef/>
      </w:r>
      <w:r w:rsidRPr="002E5624">
        <w:t xml:space="preserve"> </w:t>
      </w:r>
      <w:r w:rsidRPr="002E5624">
        <w:t>Maksātnespējas likuma 6. panta 2. punkts.</w:t>
      </w:r>
    </w:p>
  </w:footnote>
  <w:footnote w:id="18">
    <w:p w14:paraId="533983D7" w14:textId="77777777" w:rsidR="00CC51F6" w:rsidRPr="002E5624" w:rsidRDefault="00CC51F6" w:rsidP="00F716EB">
      <w:pPr>
        <w:pStyle w:val="FootnoteText"/>
      </w:pPr>
      <w:r w:rsidRPr="002E5624">
        <w:rPr>
          <w:rStyle w:val="FootnoteReference"/>
        </w:rPr>
        <w:footnoteRef/>
      </w:r>
      <w:r w:rsidRPr="002E5624">
        <w:t xml:space="preserve"> </w:t>
      </w:r>
      <w:r w:rsidRPr="002E5624">
        <w:t>Saskaņā ar Maksātnespējas likuma 73. panta otrajā daļā noteikto, ja kreditors nav īstenojis savas tiesības iesniegt kreditora prasījumu likumā noteiktajā termiņā, iestājas noilgums.</w:t>
      </w:r>
    </w:p>
  </w:footnote>
  <w:footnote w:id="19">
    <w:p w14:paraId="6083AF76" w14:textId="77777777" w:rsidR="00CC51F6" w:rsidRPr="002E5624" w:rsidRDefault="00CC51F6" w:rsidP="00F716EB">
      <w:pPr>
        <w:pStyle w:val="FootnoteText"/>
      </w:pPr>
      <w:r w:rsidRPr="002E5624">
        <w:rPr>
          <w:rStyle w:val="FootnoteReference"/>
        </w:rPr>
        <w:footnoteRef/>
      </w:r>
      <w:r w:rsidRPr="002E5624">
        <w:t xml:space="preserve"> </w:t>
      </w:r>
      <w:r w:rsidRPr="002E5624">
        <w:t>Atbilstoši likuma “Par tiesu varu”</w:t>
      </w:r>
      <w:r>
        <w:t xml:space="preserve"> 16. panta ceturtajai daļai tiesas spriedumam, kas ir stājies spēkā, </w:t>
      </w:r>
      <w:r w:rsidRPr="008823BC">
        <w:t>ir likuma spēks, visiem tas ir obligāts un pret to jāizturas ar tādu pašu cieņu kā pret likumu.</w:t>
      </w:r>
    </w:p>
  </w:footnote>
  <w:footnote w:id="20">
    <w:p w14:paraId="36EF3256" w14:textId="77777777" w:rsidR="00CC51F6" w:rsidRPr="008823BC" w:rsidRDefault="00CC51F6" w:rsidP="00F716EB">
      <w:pPr>
        <w:pStyle w:val="FootnoteText"/>
      </w:pPr>
      <w:r>
        <w:rPr>
          <w:rStyle w:val="FootnoteReference"/>
        </w:rPr>
        <w:footnoteRef/>
      </w:r>
      <w:r>
        <w:t xml:space="preserve"> </w:t>
      </w:r>
      <w:r>
        <w:t>Skat. Maksātnespējas likuma 74. pantu kopsakarā ar minētā likuma 75. panta otro daļu.</w:t>
      </w:r>
    </w:p>
  </w:footnote>
  <w:footnote w:id="21">
    <w:p w14:paraId="0A61D52E" w14:textId="77777777" w:rsidR="00CC51F6" w:rsidRPr="00CD3CB8" w:rsidRDefault="00CC51F6" w:rsidP="00F00643">
      <w:pPr>
        <w:pStyle w:val="FootnoteText"/>
      </w:pPr>
      <w:r>
        <w:rPr>
          <w:rStyle w:val="FootnoteReference"/>
        </w:rPr>
        <w:footnoteRef/>
      </w:r>
      <w:r>
        <w:t xml:space="preserve"> </w:t>
      </w:r>
      <w:r>
        <w:t>Skat. Maksātnespējas likuma 120. pantu.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7935" w14:textId="2612AF8E" w:rsidR="00CC51F6" w:rsidRDefault="00CC51F6">
    <w:pPr>
      <w:pStyle w:val="Header"/>
      <w:jc w:val="center"/>
    </w:pPr>
    <w:r>
      <w:fldChar w:fldCharType="begin"/>
    </w:r>
    <w:r>
      <w:instrText xml:space="preserve"> PAGE   \* MERGEFORMAT </w:instrText>
    </w:r>
    <w:r>
      <w:fldChar w:fldCharType="separate"/>
    </w:r>
    <w:r w:rsidR="00FA0897">
      <w:rPr>
        <w:noProof/>
      </w:rPr>
      <w:t>2</w:t>
    </w:r>
    <w:r>
      <w:rPr>
        <w:noProof/>
      </w:rPr>
      <w:fldChar w:fldCharType="end"/>
    </w:r>
  </w:p>
  <w:p w14:paraId="44BFB47B" w14:textId="77777777" w:rsidR="00CC51F6" w:rsidRDefault="00CC5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35985"/>
    <w:multiLevelType w:val="hybridMultilevel"/>
    <w:tmpl w:val="E772B26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AC000C4"/>
    <w:multiLevelType w:val="hybridMultilevel"/>
    <w:tmpl w:val="DA30F41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2E9C5F3F"/>
    <w:multiLevelType w:val="hybridMultilevel"/>
    <w:tmpl w:val="89144E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2BD2FAD"/>
    <w:multiLevelType w:val="hybridMultilevel"/>
    <w:tmpl w:val="E0CCB1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9430673"/>
    <w:multiLevelType w:val="hybridMultilevel"/>
    <w:tmpl w:val="264ECD26"/>
    <w:lvl w:ilvl="0" w:tplc="5172111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BD15DD"/>
    <w:multiLevelType w:val="hybridMultilevel"/>
    <w:tmpl w:val="3F1C9ADC"/>
    <w:lvl w:ilvl="0" w:tplc="FF725C3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850695A"/>
    <w:multiLevelType w:val="hybridMultilevel"/>
    <w:tmpl w:val="5CCEA326"/>
    <w:lvl w:ilvl="0" w:tplc="CDC69D9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517B1604"/>
    <w:multiLevelType w:val="hybridMultilevel"/>
    <w:tmpl w:val="4A343F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51DF274D"/>
    <w:multiLevelType w:val="hybridMultilevel"/>
    <w:tmpl w:val="EB6E754E"/>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5B4C4017"/>
    <w:multiLevelType w:val="hybridMultilevel"/>
    <w:tmpl w:val="3E92C0D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C9E6E35"/>
    <w:multiLevelType w:val="hybridMultilevel"/>
    <w:tmpl w:val="374A7E80"/>
    <w:lvl w:ilvl="0" w:tplc="9438AA82">
      <w:start w:val="1"/>
      <w:numFmt w:val="decimal"/>
      <w:lvlText w:val="%1."/>
      <w:lvlJc w:val="left"/>
      <w:pPr>
        <w:ind w:left="720" w:hanging="360"/>
      </w:pPr>
      <w:rPr>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1" w15:restartNumberingAfterBreak="0">
    <w:nsid w:val="61B9540F"/>
    <w:multiLevelType w:val="hybridMultilevel"/>
    <w:tmpl w:val="F97EE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8096762"/>
    <w:multiLevelType w:val="hybridMultilevel"/>
    <w:tmpl w:val="2BCCACD0"/>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A8A7B4F"/>
    <w:multiLevelType w:val="hybridMultilevel"/>
    <w:tmpl w:val="B03A44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A7231AE"/>
    <w:multiLevelType w:val="hybridMultilevel"/>
    <w:tmpl w:val="25EE94F4"/>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6"/>
  </w:num>
  <w:num w:numId="2">
    <w:abstractNumId w:val="2"/>
  </w:num>
  <w:num w:numId="3">
    <w:abstractNumId w:val="1"/>
  </w:num>
  <w:num w:numId="4">
    <w:abstractNumId w:val="14"/>
  </w:num>
  <w:num w:numId="5">
    <w:abstractNumId w:val="11"/>
  </w:num>
  <w:num w:numId="6">
    <w:abstractNumId w:val="8"/>
  </w:num>
  <w:num w:numId="7">
    <w:abstractNumId w:val="9"/>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7"/>
  </w:num>
  <w:num w:numId="11">
    <w:abstractNumId w:val="13"/>
  </w:num>
  <w:num w:numId="12">
    <w:abstractNumId w:val="0"/>
  </w:num>
  <w:num w:numId="13">
    <w:abstractNumId w:val="5"/>
  </w:num>
  <w:num w:numId="14">
    <w:abstractNumId w:val="4"/>
  </w:num>
  <w:num w:numId="15">
    <w:abstractNumId w:val="12"/>
  </w:num>
  <w:num w:numId="1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9F9"/>
    <w:rsid w:val="00001C45"/>
    <w:rsid w:val="000037B2"/>
    <w:rsid w:val="00004235"/>
    <w:rsid w:val="0000438C"/>
    <w:rsid w:val="00004391"/>
    <w:rsid w:val="00006B72"/>
    <w:rsid w:val="000072E0"/>
    <w:rsid w:val="000076BF"/>
    <w:rsid w:val="00010C2D"/>
    <w:rsid w:val="00012114"/>
    <w:rsid w:val="000128F4"/>
    <w:rsid w:val="00013FAE"/>
    <w:rsid w:val="00014318"/>
    <w:rsid w:val="000149A0"/>
    <w:rsid w:val="00015B53"/>
    <w:rsid w:val="0001655E"/>
    <w:rsid w:val="00016DB6"/>
    <w:rsid w:val="0001736A"/>
    <w:rsid w:val="000173D9"/>
    <w:rsid w:val="00020398"/>
    <w:rsid w:val="00020499"/>
    <w:rsid w:val="00020ECF"/>
    <w:rsid w:val="000216B7"/>
    <w:rsid w:val="00022A62"/>
    <w:rsid w:val="000238E4"/>
    <w:rsid w:val="000239F9"/>
    <w:rsid w:val="00024275"/>
    <w:rsid w:val="000255B2"/>
    <w:rsid w:val="00025B7C"/>
    <w:rsid w:val="000265A7"/>
    <w:rsid w:val="0002684F"/>
    <w:rsid w:val="00026F67"/>
    <w:rsid w:val="000309AE"/>
    <w:rsid w:val="00031382"/>
    <w:rsid w:val="00031546"/>
    <w:rsid w:val="000319C4"/>
    <w:rsid w:val="00032700"/>
    <w:rsid w:val="000331E7"/>
    <w:rsid w:val="00033286"/>
    <w:rsid w:val="00033B9E"/>
    <w:rsid w:val="00034C30"/>
    <w:rsid w:val="00035669"/>
    <w:rsid w:val="000413EB"/>
    <w:rsid w:val="000417B1"/>
    <w:rsid w:val="0004185E"/>
    <w:rsid w:val="00043F2A"/>
    <w:rsid w:val="000440AD"/>
    <w:rsid w:val="00044557"/>
    <w:rsid w:val="00045B37"/>
    <w:rsid w:val="00045C75"/>
    <w:rsid w:val="000469C6"/>
    <w:rsid w:val="00047619"/>
    <w:rsid w:val="00047E7B"/>
    <w:rsid w:val="0005115E"/>
    <w:rsid w:val="00051840"/>
    <w:rsid w:val="00051883"/>
    <w:rsid w:val="0005250A"/>
    <w:rsid w:val="00052AB1"/>
    <w:rsid w:val="0005387B"/>
    <w:rsid w:val="000544C0"/>
    <w:rsid w:val="00054B74"/>
    <w:rsid w:val="0005548A"/>
    <w:rsid w:val="000556D5"/>
    <w:rsid w:val="000565A6"/>
    <w:rsid w:val="00056830"/>
    <w:rsid w:val="0005797F"/>
    <w:rsid w:val="000606A3"/>
    <w:rsid w:val="00062272"/>
    <w:rsid w:val="00062702"/>
    <w:rsid w:val="00063B77"/>
    <w:rsid w:val="00064339"/>
    <w:rsid w:val="000657C1"/>
    <w:rsid w:val="000661D9"/>
    <w:rsid w:val="000666FF"/>
    <w:rsid w:val="00067911"/>
    <w:rsid w:val="00070EA0"/>
    <w:rsid w:val="0007183A"/>
    <w:rsid w:val="00071E59"/>
    <w:rsid w:val="0007212A"/>
    <w:rsid w:val="00072558"/>
    <w:rsid w:val="0007292A"/>
    <w:rsid w:val="00073EA9"/>
    <w:rsid w:val="000743B5"/>
    <w:rsid w:val="00075666"/>
    <w:rsid w:val="000757A0"/>
    <w:rsid w:val="000764D9"/>
    <w:rsid w:val="00076752"/>
    <w:rsid w:val="00081ABA"/>
    <w:rsid w:val="000821FA"/>
    <w:rsid w:val="00082A4B"/>
    <w:rsid w:val="00082C90"/>
    <w:rsid w:val="000831F5"/>
    <w:rsid w:val="0008413B"/>
    <w:rsid w:val="000850C8"/>
    <w:rsid w:val="00085B3E"/>
    <w:rsid w:val="00086627"/>
    <w:rsid w:val="000869D8"/>
    <w:rsid w:val="00086A01"/>
    <w:rsid w:val="000902C7"/>
    <w:rsid w:val="00091A67"/>
    <w:rsid w:val="00092D7E"/>
    <w:rsid w:val="00094919"/>
    <w:rsid w:val="00094F0E"/>
    <w:rsid w:val="00095453"/>
    <w:rsid w:val="000966F8"/>
    <w:rsid w:val="000971C8"/>
    <w:rsid w:val="00097F38"/>
    <w:rsid w:val="000A00C2"/>
    <w:rsid w:val="000A2FDD"/>
    <w:rsid w:val="000A348F"/>
    <w:rsid w:val="000A3B3C"/>
    <w:rsid w:val="000A4F3B"/>
    <w:rsid w:val="000A514A"/>
    <w:rsid w:val="000A58A5"/>
    <w:rsid w:val="000A6010"/>
    <w:rsid w:val="000B03F6"/>
    <w:rsid w:val="000B1513"/>
    <w:rsid w:val="000B1586"/>
    <w:rsid w:val="000B2084"/>
    <w:rsid w:val="000B2633"/>
    <w:rsid w:val="000B3145"/>
    <w:rsid w:val="000B6293"/>
    <w:rsid w:val="000B7F63"/>
    <w:rsid w:val="000C04D5"/>
    <w:rsid w:val="000C0829"/>
    <w:rsid w:val="000C0E26"/>
    <w:rsid w:val="000C2916"/>
    <w:rsid w:val="000C2B97"/>
    <w:rsid w:val="000C3CDB"/>
    <w:rsid w:val="000C4A2F"/>
    <w:rsid w:val="000C722D"/>
    <w:rsid w:val="000D1B4A"/>
    <w:rsid w:val="000D2B47"/>
    <w:rsid w:val="000D4005"/>
    <w:rsid w:val="000D42F3"/>
    <w:rsid w:val="000D653D"/>
    <w:rsid w:val="000D6EBF"/>
    <w:rsid w:val="000D752D"/>
    <w:rsid w:val="000E0B1D"/>
    <w:rsid w:val="000E1C18"/>
    <w:rsid w:val="000E1C58"/>
    <w:rsid w:val="000E3ACC"/>
    <w:rsid w:val="000E3ED8"/>
    <w:rsid w:val="000E6359"/>
    <w:rsid w:val="000E710D"/>
    <w:rsid w:val="000E792C"/>
    <w:rsid w:val="000E7970"/>
    <w:rsid w:val="000F0200"/>
    <w:rsid w:val="000F0461"/>
    <w:rsid w:val="000F161C"/>
    <w:rsid w:val="000F35F9"/>
    <w:rsid w:val="000F3FD7"/>
    <w:rsid w:val="000F5839"/>
    <w:rsid w:val="000F5E06"/>
    <w:rsid w:val="000F6088"/>
    <w:rsid w:val="000F6D0F"/>
    <w:rsid w:val="000F7939"/>
    <w:rsid w:val="00100E0E"/>
    <w:rsid w:val="00102674"/>
    <w:rsid w:val="00102989"/>
    <w:rsid w:val="00105957"/>
    <w:rsid w:val="00106DE8"/>
    <w:rsid w:val="00107345"/>
    <w:rsid w:val="00107644"/>
    <w:rsid w:val="00107D44"/>
    <w:rsid w:val="00107E0E"/>
    <w:rsid w:val="00107F48"/>
    <w:rsid w:val="00110561"/>
    <w:rsid w:val="0011191B"/>
    <w:rsid w:val="0011331D"/>
    <w:rsid w:val="00114194"/>
    <w:rsid w:val="00116F6A"/>
    <w:rsid w:val="001178CA"/>
    <w:rsid w:val="00117E0C"/>
    <w:rsid w:val="001217A7"/>
    <w:rsid w:val="00124809"/>
    <w:rsid w:val="00124FEF"/>
    <w:rsid w:val="0012591F"/>
    <w:rsid w:val="00130723"/>
    <w:rsid w:val="001318E8"/>
    <w:rsid w:val="00133256"/>
    <w:rsid w:val="001332D4"/>
    <w:rsid w:val="001333AA"/>
    <w:rsid w:val="001334B3"/>
    <w:rsid w:val="00133F45"/>
    <w:rsid w:val="00136A24"/>
    <w:rsid w:val="00137075"/>
    <w:rsid w:val="00137304"/>
    <w:rsid w:val="00137405"/>
    <w:rsid w:val="00137B9C"/>
    <w:rsid w:val="001406A8"/>
    <w:rsid w:val="001407C1"/>
    <w:rsid w:val="00141AA2"/>
    <w:rsid w:val="00141E33"/>
    <w:rsid w:val="00141E46"/>
    <w:rsid w:val="001420BE"/>
    <w:rsid w:val="00143A87"/>
    <w:rsid w:val="00144377"/>
    <w:rsid w:val="00144F85"/>
    <w:rsid w:val="00145131"/>
    <w:rsid w:val="00145700"/>
    <w:rsid w:val="00147866"/>
    <w:rsid w:val="00147EF3"/>
    <w:rsid w:val="00152EA5"/>
    <w:rsid w:val="00153401"/>
    <w:rsid w:val="001536A4"/>
    <w:rsid w:val="00153A88"/>
    <w:rsid w:val="0015613E"/>
    <w:rsid w:val="00157742"/>
    <w:rsid w:val="00157818"/>
    <w:rsid w:val="0016151A"/>
    <w:rsid w:val="0016242F"/>
    <w:rsid w:val="00162B5F"/>
    <w:rsid w:val="00163694"/>
    <w:rsid w:val="00164E9E"/>
    <w:rsid w:val="001652EF"/>
    <w:rsid w:val="0016704B"/>
    <w:rsid w:val="00170174"/>
    <w:rsid w:val="0017079F"/>
    <w:rsid w:val="0017126A"/>
    <w:rsid w:val="0017154B"/>
    <w:rsid w:val="00174428"/>
    <w:rsid w:val="00176AE3"/>
    <w:rsid w:val="00176D2C"/>
    <w:rsid w:val="00176E15"/>
    <w:rsid w:val="00177A8A"/>
    <w:rsid w:val="00180FA4"/>
    <w:rsid w:val="00183CDD"/>
    <w:rsid w:val="00184920"/>
    <w:rsid w:val="00187CF8"/>
    <w:rsid w:val="00190648"/>
    <w:rsid w:val="00191955"/>
    <w:rsid w:val="00191C7A"/>
    <w:rsid w:val="00191D9F"/>
    <w:rsid w:val="00192923"/>
    <w:rsid w:val="0019374E"/>
    <w:rsid w:val="00193E7D"/>
    <w:rsid w:val="00194149"/>
    <w:rsid w:val="001957A0"/>
    <w:rsid w:val="0019699F"/>
    <w:rsid w:val="001969CC"/>
    <w:rsid w:val="00196E78"/>
    <w:rsid w:val="001973D2"/>
    <w:rsid w:val="00197504"/>
    <w:rsid w:val="00197C5D"/>
    <w:rsid w:val="001A03A4"/>
    <w:rsid w:val="001A1323"/>
    <w:rsid w:val="001A151A"/>
    <w:rsid w:val="001A152C"/>
    <w:rsid w:val="001A1D5A"/>
    <w:rsid w:val="001A27AF"/>
    <w:rsid w:val="001A296D"/>
    <w:rsid w:val="001A31D2"/>
    <w:rsid w:val="001A4016"/>
    <w:rsid w:val="001A4587"/>
    <w:rsid w:val="001A47B0"/>
    <w:rsid w:val="001A715F"/>
    <w:rsid w:val="001B0B15"/>
    <w:rsid w:val="001B1E02"/>
    <w:rsid w:val="001B387A"/>
    <w:rsid w:val="001B640E"/>
    <w:rsid w:val="001B6DF6"/>
    <w:rsid w:val="001B7238"/>
    <w:rsid w:val="001B77D1"/>
    <w:rsid w:val="001C0082"/>
    <w:rsid w:val="001C08AC"/>
    <w:rsid w:val="001C09CA"/>
    <w:rsid w:val="001C24FA"/>
    <w:rsid w:val="001C5851"/>
    <w:rsid w:val="001C5DC4"/>
    <w:rsid w:val="001C5EEF"/>
    <w:rsid w:val="001C5FC1"/>
    <w:rsid w:val="001C619F"/>
    <w:rsid w:val="001C68F1"/>
    <w:rsid w:val="001D2424"/>
    <w:rsid w:val="001D255D"/>
    <w:rsid w:val="001D467D"/>
    <w:rsid w:val="001D52FC"/>
    <w:rsid w:val="001D5F97"/>
    <w:rsid w:val="001D7744"/>
    <w:rsid w:val="001D7E85"/>
    <w:rsid w:val="001E29B5"/>
    <w:rsid w:val="001E2C77"/>
    <w:rsid w:val="001E4F01"/>
    <w:rsid w:val="001E530F"/>
    <w:rsid w:val="001E5547"/>
    <w:rsid w:val="001E5673"/>
    <w:rsid w:val="001E7B3F"/>
    <w:rsid w:val="001F0E91"/>
    <w:rsid w:val="001F112A"/>
    <w:rsid w:val="001F3BFD"/>
    <w:rsid w:val="001F3C6E"/>
    <w:rsid w:val="001F505E"/>
    <w:rsid w:val="001F51BE"/>
    <w:rsid w:val="001F6122"/>
    <w:rsid w:val="0020004D"/>
    <w:rsid w:val="00200813"/>
    <w:rsid w:val="00201043"/>
    <w:rsid w:val="00201C55"/>
    <w:rsid w:val="00201CDC"/>
    <w:rsid w:val="00203B25"/>
    <w:rsid w:val="002042A4"/>
    <w:rsid w:val="002042F9"/>
    <w:rsid w:val="00204E04"/>
    <w:rsid w:val="00204E3F"/>
    <w:rsid w:val="00204EB8"/>
    <w:rsid w:val="00205CDD"/>
    <w:rsid w:val="00206B5C"/>
    <w:rsid w:val="00206E73"/>
    <w:rsid w:val="002073EB"/>
    <w:rsid w:val="002078C0"/>
    <w:rsid w:val="00207D0D"/>
    <w:rsid w:val="00210573"/>
    <w:rsid w:val="002105A3"/>
    <w:rsid w:val="00211172"/>
    <w:rsid w:val="0021249B"/>
    <w:rsid w:val="002127A7"/>
    <w:rsid w:val="00212A53"/>
    <w:rsid w:val="00212ADA"/>
    <w:rsid w:val="00212BAE"/>
    <w:rsid w:val="002217A5"/>
    <w:rsid w:val="00221B68"/>
    <w:rsid w:val="00222054"/>
    <w:rsid w:val="002223F5"/>
    <w:rsid w:val="00222E70"/>
    <w:rsid w:val="00223389"/>
    <w:rsid w:val="00224BBA"/>
    <w:rsid w:val="002257A3"/>
    <w:rsid w:val="00225E19"/>
    <w:rsid w:val="00230539"/>
    <w:rsid w:val="00230AC5"/>
    <w:rsid w:val="00231143"/>
    <w:rsid w:val="0023141B"/>
    <w:rsid w:val="00232597"/>
    <w:rsid w:val="00236E42"/>
    <w:rsid w:val="00242094"/>
    <w:rsid w:val="0024396C"/>
    <w:rsid w:val="0024488C"/>
    <w:rsid w:val="002454E4"/>
    <w:rsid w:val="00245E6E"/>
    <w:rsid w:val="002461B2"/>
    <w:rsid w:val="002462A5"/>
    <w:rsid w:val="00247248"/>
    <w:rsid w:val="0024763B"/>
    <w:rsid w:val="00250945"/>
    <w:rsid w:val="002513AF"/>
    <w:rsid w:val="0025189A"/>
    <w:rsid w:val="002536EE"/>
    <w:rsid w:val="002538D2"/>
    <w:rsid w:val="00253A1A"/>
    <w:rsid w:val="00253A44"/>
    <w:rsid w:val="00253B5C"/>
    <w:rsid w:val="002544AA"/>
    <w:rsid w:val="00254F0E"/>
    <w:rsid w:val="00256A45"/>
    <w:rsid w:val="00256F49"/>
    <w:rsid w:val="002603CB"/>
    <w:rsid w:val="00261095"/>
    <w:rsid w:val="00261B51"/>
    <w:rsid w:val="00261E94"/>
    <w:rsid w:val="00262000"/>
    <w:rsid w:val="0026212D"/>
    <w:rsid w:val="002621FD"/>
    <w:rsid w:val="00263352"/>
    <w:rsid w:val="0026519A"/>
    <w:rsid w:val="002664E1"/>
    <w:rsid w:val="0026758B"/>
    <w:rsid w:val="00267655"/>
    <w:rsid w:val="002705C7"/>
    <w:rsid w:val="00270745"/>
    <w:rsid w:val="00271858"/>
    <w:rsid w:val="002720F3"/>
    <w:rsid w:val="00272267"/>
    <w:rsid w:val="0027394B"/>
    <w:rsid w:val="00274913"/>
    <w:rsid w:val="0027536B"/>
    <w:rsid w:val="00275D25"/>
    <w:rsid w:val="0027623E"/>
    <w:rsid w:val="002762BF"/>
    <w:rsid w:val="00276883"/>
    <w:rsid w:val="00277910"/>
    <w:rsid w:val="00281A31"/>
    <w:rsid w:val="002829D4"/>
    <w:rsid w:val="00282E2B"/>
    <w:rsid w:val="00282E95"/>
    <w:rsid w:val="0028353B"/>
    <w:rsid w:val="00283C4D"/>
    <w:rsid w:val="00285C51"/>
    <w:rsid w:val="00285FE2"/>
    <w:rsid w:val="00286D88"/>
    <w:rsid w:val="00287651"/>
    <w:rsid w:val="00291241"/>
    <w:rsid w:val="00291A7C"/>
    <w:rsid w:val="0029309C"/>
    <w:rsid w:val="002933AB"/>
    <w:rsid w:val="0029503A"/>
    <w:rsid w:val="00296068"/>
    <w:rsid w:val="00297DC0"/>
    <w:rsid w:val="002A0DE6"/>
    <w:rsid w:val="002A1654"/>
    <w:rsid w:val="002A1B3B"/>
    <w:rsid w:val="002A3422"/>
    <w:rsid w:val="002A3F65"/>
    <w:rsid w:val="002A4955"/>
    <w:rsid w:val="002A61D5"/>
    <w:rsid w:val="002A634D"/>
    <w:rsid w:val="002A704E"/>
    <w:rsid w:val="002A7878"/>
    <w:rsid w:val="002B1949"/>
    <w:rsid w:val="002B1D18"/>
    <w:rsid w:val="002B20F1"/>
    <w:rsid w:val="002B28E0"/>
    <w:rsid w:val="002B3DB2"/>
    <w:rsid w:val="002B4FD6"/>
    <w:rsid w:val="002B5135"/>
    <w:rsid w:val="002B5646"/>
    <w:rsid w:val="002C023B"/>
    <w:rsid w:val="002C1589"/>
    <w:rsid w:val="002C27F5"/>
    <w:rsid w:val="002C3A79"/>
    <w:rsid w:val="002C4C90"/>
    <w:rsid w:val="002C4EC2"/>
    <w:rsid w:val="002C51F4"/>
    <w:rsid w:val="002C7BB3"/>
    <w:rsid w:val="002D0EA2"/>
    <w:rsid w:val="002D1A6E"/>
    <w:rsid w:val="002D23C7"/>
    <w:rsid w:val="002D2BA6"/>
    <w:rsid w:val="002D52B8"/>
    <w:rsid w:val="002D5A4D"/>
    <w:rsid w:val="002D5C5F"/>
    <w:rsid w:val="002D787D"/>
    <w:rsid w:val="002E0113"/>
    <w:rsid w:val="002E023D"/>
    <w:rsid w:val="002E0A02"/>
    <w:rsid w:val="002E0E19"/>
    <w:rsid w:val="002E15CC"/>
    <w:rsid w:val="002E1D87"/>
    <w:rsid w:val="002E2A39"/>
    <w:rsid w:val="002E2E5B"/>
    <w:rsid w:val="002E324F"/>
    <w:rsid w:val="002E36E6"/>
    <w:rsid w:val="002E4D35"/>
    <w:rsid w:val="002E59B7"/>
    <w:rsid w:val="002F08B9"/>
    <w:rsid w:val="002F1DC9"/>
    <w:rsid w:val="002F2399"/>
    <w:rsid w:val="002F3101"/>
    <w:rsid w:val="002F31A8"/>
    <w:rsid w:val="002F3470"/>
    <w:rsid w:val="002F3D28"/>
    <w:rsid w:val="002F4001"/>
    <w:rsid w:val="002F4727"/>
    <w:rsid w:val="002F57E7"/>
    <w:rsid w:val="002F5D9C"/>
    <w:rsid w:val="002F5F51"/>
    <w:rsid w:val="00301231"/>
    <w:rsid w:val="0030306B"/>
    <w:rsid w:val="0030344D"/>
    <w:rsid w:val="00304EED"/>
    <w:rsid w:val="00305B2D"/>
    <w:rsid w:val="00305FE0"/>
    <w:rsid w:val="00306A91"/>
    <w:rsid w:val="003108FC"/>
    <w:rsid w:val="0031277A"/>
    <w:rsid w:val="00314EA3"/>
    <w:rsid w:val="00315C3F"/>
    <w:rsid w:val="00317389"/>
    <w:rsid w:val="003176EF"/>
    <w:rsid w:val="003177FC"/>
    <w:rsid w:val="003178D0"/>
    <w:rsid w:val="00317BB4"/>
    <w:rsid w:val="0032032B"/>
    <w:rsid w:val="00321C2A"/>
    <w:rsid w:val="00321FB2"/>
    <w:rsid w:val="003226E9"/>
    <w:rsid w:val="003227AF"/>
    <w:rsid w:val="0032335D"/>
    <w:rsid w:val="003235F8"/>
    <w:rsid w:val="00323A33"/>
    <w:rsid w:val="00324618"/>
    <w:rsid w:val="00324C4A"/>
    <w:rsid w:val="003260B5"/>
    <w:rsid w:val="0033143A"/>
    <w:rsid w:val="0033336C"/>
    <w:rsid w:val="00335E10"/>
    <w:rsid w:val="003370C7"/>
    <w:rsid w:val="00337134"/>
    <w:rsid w:val="00337194"/>
    <w:rsid w:val="00337DAC"/>
    <w:rsid w:val="00340A2B"/>
    <w:rsid w:val="00340BE1"/>
    <w:rsid w:val="00345ED9"/>
    <w:rsid w:val="00346638"/>
    <w:rsid w:val="00347533"/>
    <w:rsid w:val="00347555"/>
    <w:rsid w:val="00347D57"/>
    <w:rsid w:val="00347F90"/>
    <w:rsid w:val="00351867"/>
    <w:rsid w:val="003525A6"/>
    <w:rsid w:val="00352A82"/>
    <w:rsid w:val="00352A8E"/>
    <w:rsid w:val="003544D3"/>
    <w:rsid w:val="00354EB2"/>
    <w:rsid w:val="00355939"/>
    <w:rsid w:val="00356C65"/>
    <w:rsid w:val="00357CFF"/>
    <w:rsid w:val="0036005B"/>
    <w:rsid w:val="00360221"/>
    <w:rsid w:val="00363723"/>
    <w:rsid w:val="00363854"/>
    <w:rsid w:val="00363BBA"/>
    <w:rsid w:val="0036433B"/>
    <w:rsid w:val="00364B78"/>
    <w:rsid w:val="003657D6"/>
    <w:rsid w:val="00366FDC"/>
    <w:rsid w:val="00370294"/>
    <w:rsid w:val="00370670"/>
    <w:rsid w:val="00370A1F"/>
    <w:rsid w:val="00370E5E"/>
    <w:rsid w:val="00370F4E"/>
    <w:rsid w:val="00372B82"/>
    <w:rsid w:val="00373EC5"/>
    <w:rsid w:val="00376221"/>
    <w:rsid w:val="00377ED4"/>
    <w:rsid w:val="00377F32"/>
    <w:rsid w:val="003811A2"/>
    <w:rsid w:val="003859AF"/>
    <w:rsid w:val="00385B1B"/>
    <w:rsid w:val="00385E8B"/>
    <w:rsid w:val="0038617E"/>
    <w:rsid w:val="00386581"/>
    <w:rsid w:val="00386771"/>
    <w:rsid w:val="003874C9"/>
    <w:rsid w:val="00387623"/>
    <w:rsid w:val="003878BF"/>
    <w:rsid w:val="00387BB3"/>
    <w:rsid w:val="00387E81"/>
    <w:rsid w:val="003913DB"/>
    <w:rsid w:val="00393511"/>
    <w:rsid w:val="003946DB"/>
    <w:rsid w:val="003956D1"/>
    <w:rsid w:val="0039637F"/>
    <w:rsid w:val="003A0313"/>
    <w:rsid w:val="003A08FE"/>
    <w:rsid w:val="003A0BDE"/>
    <w:rsid w:val="003A0F64"/>
    <w:rsid w:val="003A1D38"/>
    <w:rsid w:val="003A21A8"/>
    <w:rsid w:val="003A2217"/>
    <w:rsid w:val="003A2E05"/>
    <w:rsid w:val="003A2FBC"/>
    <w:rsid w:val="003A384D"/>
    <w:rsid w:val="003A5057"/>
    <w:rsid w:val="003A670D"/>
    <w:rsid w:val="003A6A50"/>
    <w:rsid w:val="003A6C87"/>
    <w:rsid w:val="003A6CBD"/>
    <w:rsid w:val="003A6DE6"/>
    <w:rsid w:val="003A6E96"/>
    <w:rsid w:val="003B191F"/>
    <w:rsid w:val="003B1A15"/>
    <w:rsid w:val="003B2BF5"/>
    <w:rsid w:val="003B2FD8"/>
    <w:rsid w:val="003B4026"/>
    <w:rsid w:val="003B45DF"/>
    <w:rsid w:val="003B6361"/>
    <w:rsid w:val="003B7BF8"/>
    <w:rsid w:val="003C02D4"/>
    <w:rsid w:val="003C0B2E"/>
    <w:rsid w:val="003C0BC2"/>
    <w:rsid w:val="003C19C8"/>
    <w:rsid w:val="003C2199"/>
    <w:rsid w:val="003C3455"/>
    <w:rsid w:val="003C397A"/>
    <w:rsid w:val="003C408A"/>
    <w:rsid w:val="003C45B7"/>
    <w:rsid w:val="003C68B7"/>
    <w:rsid w:val="003C6BA5"/>
    <w:rsid w:val="003C7996"/>
    <w:rsid w:val="003D188D"/>
    <w:rsid w:val="003D1CA2"/>
    <w:rsid w:val="003D1DB1"/>
    <w:rsid w:val="003D4082"/>
    <w:rsid w:val="003D4281"/>
    <w:rsid w:val="003D4AB0"/>
    <w:rsid w:val="003D650A"/>
    <w:rsid w:val="003D739B"/>
    <w:rsid w:val="003D7474"/>
    <w:rsid w:val="003D7955"/>
    <w:rsid w:val="003D7C28"/>
    <w:rsid w:val="003E106A"/>
    <w:rsid w:val="003E10BA"/>
    <w:rsid w:val="003E15CB"/>
    <w:rsid w:val="003E2420"/>
    <w:rsid w:val="003E24FF"/>
    <w:rsid w:val="003E2CE8"/>
    <w:rsid w:val="003E4047"/>
    <w:rsid w:val="003E425D"/>
    <w:rsid w:val="003E4D9A"/>
    <w:rsid w:val="003E621E"/>
    <w:rsid w:val="003E7246"/>
    <w:rsid w:val="003E72B6"/>
    <w:rsid w:val="003E7F3A"/>
    <w:rsid w:val="003F066F"/>
    <w:rsid w:val="003F069F"/>
    <w:rsid w:val="003F07B5"/>
    <w:rsid w:val="003F0AA0"/>
    <w:rsid w:val="003F100E"/>
    <w:rsid w:val="003F1EE7"/>
    <w:rsid w:val="003F203C"/>
    <w:rsid w:val="003F2754"/>
    <w:rsid w:val="003F3600"/>
    <w:rsid w:val="003F5687"/>
    <w:rsid w:val="003F56E3"/>
    <w:rsid w:val="003F69C2"/>
    <w:rsid w:val="003F784C"/>
    <w:rsid w:val="003F7D8F"/>
    <w:rsid w:val="004029AA"/>
    <w:rsid w:val="004050BA"/>
    <w:rsid w:val="00405534"/>
    <w:rsid w:val="004059FD"/>
    <w:rsid w:val="00405C03"/>
    <w:rsid w:val="004063C1"/>
    <w:rsid w:val="004101F0"/>
    <w:rsid w:val="00410F2F"/>
    <w:rsid w:val="00411035"/>
    <w:rsid w:val="004122F5"/>
    <w:rsid w:val="00415117"/>
    <w:rsid w:val="004153CD"/>
    <w:rsid w:val="004168AA"/>
    <w:rsid w:val="00416BB4"/>
    <w:rsid w:val="00417060"/>
    <w:rsid w:val="00417D3D"/>
    <w:rsid w:val="0042154C"/>
    <w:rsid w:val="004221C2"/>
    <w:rsid w:val="0042226D"/>
    <w:rsid w:val="004247FE"/>
    <w:rsid w:val="004270C0"/>
    <w:rsid w:val="0043049F"/>
    <w:rsid w:val="00430739"/>
    <w:rsid w:val="00434C96"/>
    <w:rsid w:val="00434E63"/>
    <w:rsid w:val="00437BCE"/>
    <w:rsid w:val="00440525"/>
    <w:rsid w:val="00443583"/>
    <w:rsid w:val="00444939"/>
    <w:rsid w:val="00446C7C"/>
    <w:rsid w:val="00446D50"/>
    <w:rsid w:val="00446D63"/>
    <w:rsid w:val="004474A0"/>
    <w:rsid w:val="00447BBC"/>
    <w:rsid w:val="0045015E"/>
    <w:rsid w:val="00450528"/>
    <w:rsid w:val="00450931"/>
    <w:rsid w:val="00450C65"/>
    <w:rsid w:val="00451E1F"/>
    <w:rsid w:val="00451E91"/>
    <w:rsid w:val="00451EBA"/>
    <w:rsid w:val="00453CBD"/>
    <w:rsid w:val="00454D6A"/>
    <w:rsid w:val="00455240"/>
    <w:rsid w:val="00456135"/>
    <w:rsid w:val="004564E1"/>
    <w:rsid w:val="00457345"/>
    <w:rsid w:val="004576BE"/>
    <w:rsid w:val="00460511"/>
    <w:rsid w:val="00460B24"/>
    <w:rsid w:val="00465678"/>
    <w:rsid w:val="00467AB5"/>
    <w:rsid w:val="00470581"/>
    <w:rsid w:val="00471459"/>
    <w:rsid w:val="004715F3"/>
    <w:rsid w:val="00471E10"/>
    <w:rsid w:val="004727D8"/>
    <w:rsid w:val="004753C8"/>
    <w:rsid w:val="00475EEB"/>
    <w:rsid w:val="00476DD6"/>
    <w:rsid w:val="0047780E"/>
    <w:rsid w:val="004801F3"/>
    <w:rsid w:val="004827EA"/>
    <w:rsid w:val="00482CB7"/>
    <w:rsid w:val="0048342B"/>
    <w:rsid w:val="00484302"/>
    <w:rsid w:val="00484E46"/>
    <w:rsid w:val="00487A35"/>
    <w:rsid w:val="00490E0E"/>
    <w:rsid w:val="00490F7C"/>
    <w:rsid w:val="00492807"/>
    <w:rsid w:val="00492C23"/>
    <w:rsid w:val="00493C9B"/>
    <w:rsid w:val="004940C0"/>
    <w:rsid w:val="0049449B"/>
    <w:rsid w:val="00494726"/>
    <w:rsid w:val="0049518B"/>
    <w:rsid w:val="00496748"/>
    <w:rsid w:val="00496A6D"/>
    <w:rsid w:val="0049709B"/>
    <w:rsid w:val="00497BB5"/>
    <w:rsid w:val="00497CAE"/>
    <w:rsid w:val="00497CE2"/>
    <w:rsid w:val="004A3921"/>
    <w:rsid w:val="004A490E"/>
    <w:rsid w:val="004A4CE9"/>
    <w:rsid w:val="004A5CC1"/>
    <w:rsid w:val="004A6A57"/>
    <w:rsid w:val="004A73B7"/>
    <w:rsid w:val="004B07C6"/>
    <w:rsid w:val="004B1AEF"/>
    <w:rsid w:val="004B227D"/>
    <w:rsid w:val="004B24A4"/>
    <w:rsid w:val="004B2571"/>
    <w:rsid w:val="004B2EE1"/>
    <w:rsid w:val="004B2FA5"/>
    <w:rsid w:val="004B463E"/>
    <w:rsid w:val="004B4D06"/>
    <w:rsid w:val="004B4EDA"/>
    <w:rsid w:val="004B57D2"/>
    <w:rsid w:val="004B6E67"/>
    <w:rsid w:val="004C0008"/>
    <w:rsid w:val="004C07EB"/>
    <w:rsid w:val="004C0DEF"/>
    <w:rsid w:val="004C2784"/>
    <w:rsid w:val="004C28AB"/>
    <w:rsid w:val="004C3223"/>
    <w:rsid w:val="004C58C5"/>
    <w:rsid w:val="004C622E"/>
    <w:rsid w:val="004D0C3B"/>
    <w:rsid w:val="004D1251"/>
    <w:rsid w:val="004D1A5B"/>
    <w:rsid w:val="004D3771"/>
    <w:rsid w:val="004D3C94"/>
    <w:rsid w:val="004D66B7"/>
    <w:rsid w:val="004D6945"/>
    <w:rsid w:val="004D7395"/>
    <w:rsid w:val="004D7CC5"/>
    <w:rsid w:val="004E00B7"/>
    <w:rsid w:val="004E1D8B"/>
    <w:rsid w:val="004E2290"/>
    <w:rsid w:val="004E22DD"/>
    <w:rsid w:val="004E282D"/>
    <w:rsid w:val="004E32A9"/>
    <w:rsid w:val="004E33B7"/>
    <w:rsid w:val="004E35B1"/>
    <w:rsid w:val="004E36BD"/>
    <w:rsid w:val="004E43A0"/>
    <w:rsid w:val="004E568D"/>
    <w:rsid w:val="004E67CE"/>
    <w:rsid w:val="004F00AC"/>
    <w:rsid w:val="004F04FC"/>
    <w:rsid w:val="004F099C"/>
    <w:rsid w:val="004F2E8E"/>
    <w:rsid w:val="004F300C"/>
    <w:rsid w:val="004F517E"/>
    <w:rsid w:val="004F64B1"/>
    <w:rsid w:val="004F669F"/>
    <w:rsid w:val="004F6704"/>
    <w:rsid w:val="004F7986"/>
    <w:rsid w:val="00500C79"/>
    <w:rsid w:val="00503731"/>
    <w:rsid w:val="005046FE"/>
    <w:rsid w:val="00505553"/>
    <w:rsid w:val="005068CD"/>
    <w:rsid w:val="0050695F"/>
    <w:rsid w:val="00506B61"/>
    <w:rsid w:val="005074E0"/>
    <w:rsid w:val="0050777D"/>
    <w:rsid w:val="00510D04"/>
    <w:rsid w:val="00512765"/>
    <w:rsid w:val="00515BD8"/>
    <w:rsid w:val="00515E68"/>
    <w:rsid w:val="005216EF"/>
    <w:rsid w:val="005225B4"/>
    <w:rsid w:val="00522770"/>
    <w:rsid w:val="005229CE"/>
    <w:rsid w:val="00523C48"/>
    <w:rsid w:val="00524987"/>
    <w:rsid w:val="00524EA4"/>
    <w:rsid w:val="00525501"/>
    <w:rsid w:val="005267E6"/>
    <w:rsid w:val="00526D17"/>
    <w:rsid w:val="0052765D"/>
    <w:rsid w:val="0053044B"/>
    <w:rsid w:val="00531071"/>
    <w:rsid w:val="0053146F"/>
    <w:rsid w:val="0053194A"/>
    <w:rsid w:val="00531B32"/>
    <w:rsid w:val="00533297"/>
    <w:rsid w:val="00534933"/>
    <w:rsid w:val="0053498B"/>
    <w:rsid w:val="00534F52"/>
    <w:rsid w:val="005363E0"/>
    <w:rsid w:val="00536C24"/>
    <w:rsid w:val="0053792C"/>
    <w:rsid w:val="005401F0"/>
    <w:rsid w:val="00540FDB"/>
    <w:rsid w:val="00541AC0"/>
    <w:rsid w:val="005422A1"/>
    <w:rsid w:val="0054310F"/>
    <w:rsid w:val="005464D4"/>
    <w:rsid w:val="005469AD"/>
    <w:rsid w:val="00550B2A"/>
    <w:rsid w:val="0055193E"/>
    <w:rsid w:val="00553923"/>
    <w:rsid w:val="0055749F"/>
    <w:rsid w:val="005625E8"/>
    <w:rsid w:val="00562ADD"/>
    <w:rsid w:val="00562BD4"/>
    <w:rsid w:val="00563C44"/>
    <w:rsid w:val="005647A9"/>
    <w:rsid w:val="0056742D"/>
    <w:rsid w:val="00567CC1"/>
    <w:rsid w:val="00567CC8"/>
    <w:rsid w:val="00567F22"/>
    <w:rsid w:val="00570619"/>
    <w:rsid w:val="0057107D"/>
    <w:rsid w:val="00571F8E"/>
    <w:rsid w:val="00573DFC"/>
    <w:rsid w:val="00574287"/>
    <w:rsid w:val="00575741"/>
    <w:rsid w:val="00575C10"/>
    <w:rsid w:val="0057655B"/>
    <w:rsid w:val="005766AF"/>
    <w:rsid w:val="00580D53"/>
    <w:rsid w:val="00584EFF"/>
    <w:rsid w:val="005855DC"/>
    <w:rsid w:val="0058592F"/>
    <w:rsid w:val="005865AD"/>
    <w:rsid w:val="00586871"/>
    <w:rsid w:val="00586AD6"/>
    <w:rsid w:val="00587E35"/>
    <w:rsid w:val="00590801"/>
    <w:rsid w:val="00591381"/>
    <w:rsid w:val="00591BAF"/>
    <w:rsid w:val="00591CAC"/>
    <w:rsid w:val="0059250A"/>
    <w:rsid w:val="00593240"/>
    <w:rsid w:val="00593409"/>
    <w:rsid w:val="005936BF"/>
    <w:rsid w:val="00593F17"/>
    <w:rsid w:val="00594A85"/>
    <w:rsid w:val="005956E9"/>
    <w:rsid w:val="00595761"/>
    <w:rsid w:val="00596152"/>
    <w:rsid w:val="00596AB5"/>
    <w:rsid w:val="005972B7"/>
    <w:rsid w:val="00597617"/>
    <w:rsid w:val="005A03DB"/>
    <w:rsid w:val="005A2ABD"/>
    <w:rsid w:val="005A2D95"/>
    <w:rsid w:val="005A2FCC"/>
    <w:rsid w:val="005A47D2"/>
    <w:rsid w:val="005A54AA"/>
    <w:rsid w:val="005A741E"/>
    <w:rsid w:val="005A7830"/>
    <w:rsid w:val="005B02C0"/>
    <w:rsid w:val="005B030E"/>
    <w:rsid w:val="005B132B"/>
    <w:rsid w:val="005B1895"/>
    <w:rsid w:val="005B19BA"/>
    <w:rsid w:val="005B2097"/>
    <w:rsid w:val="005B30B9"/>
    <w:rsid w:val="005B3194"/>
    <w:rsid w:val="005B31B7"/>
    <w:rsid w:val="005B4887"/>
    <w:rsid w:val="005B5364"/>
    <w:rsid w:val="005B5630"/>
    <w:rsid w:val="005B7839"/>
    <w:rsid w:val="005B79B1"/>
    <w:rsid w:val="005B7B77"/>
    <w:rsid w:val="005C4D34"/>
    <w:rsid w:val="005C534F"/>
    <w:rsid w:val="005D05D7"/>
    <w:rsid w:val="005D098A"/>
    <w:rsid w:val="005D0AD9"/>
    <w:rsid w:val="005D0DC2"/>
    <w:rsid w:val="005D1639"/>
    <w:rsid w:val="005D182D"/>
    <w:rsid w:val="005D1BDB"/>
    <w:rsid w:val="005D2119"/>
    <w:rsid w:val="005D25C0"/>
    <w:rsid w:val="005D3299"/>
    <w:rsid w:val="005D4E75"/>
    <w:rsid w:val="005D5481"/>
    <w:rsid w:val="005D5AEB"/>
    <w:rsid w:val="005D6EBB"/>
    <w:rsid w:val="005D7C23"/>
    <w:rsid w:val="005E0644"/>
    <w:rsid w:val="005E0888"/>
    <w:rsid w:val="005E0B18"/>
    <w:rsid w:val="005E118A"/>
    <w:rsid w:val="005E1555"/>
    <w:rsid w:val="005E2BE6"/>
    <w:rsid w:val="005E2C35"/>
    <w:rsid w:val="005E3972"/>
    <w:rsid w:val="005E5900"/>
    <w:rsid w:val="005E5E27"/>
    <w:rsid w:val="005F1C40"/>
    <w:rsid w:val="005F1D6E"/>
    <w:rsid w:val="005F1DB5"/>
    <w:rsid w:val="005F28F4"/>
    <w:rsid w:val="005F2D77"/>
    <w:rsid w:val="005F32C7"/>
    <w:rsid w:val="005F36A2"/>
    <w:rsid w:val="005F39A9"/>
    <w:rsid w:val="005F5EAD"/>
    <w:rsid w:val="005F7149"/>
    <w:rsid w:val="005F71F9"/>
    <w:rsid w:val="005F78BF"/>
    <w:rsid w:val="0060054F"/>
    <w:rsid w:val="00600646"/>
    <w:rsid w:val="00600DBD"/>
    <w:rsid w:val="00603296"/>
    <w:rsid w:val="006038F2"/>
    <w:rsid w:val="00603D50"/>
    <w:rsid w:val="00605648"/>
    <w:rsid w:val="00606036"/>
    <w:rsid w:val="00606F7E"/>
    <w:rsid w:val="0060769C"/>
    <w:rsid w:val="0060775B"/>
    <w:rsid w:val="00607885"/>
    <w:rsid w:val="00610233"/>
    <w:rsid w:val="006108ED"/>
    <w:rsid w:val="00610D81"/>
    <w:rsid w:val="00610FC1"/>
    <w:rsid w:val="006114A6"/>
    <w:rsid w:val="00611CDE"/>
    <w:rsid w:val="0061225A"/>
    <w:rsid w:val="00612345"/>
    <w:rsid w:val="0061302E"/>
    <w:rsid w:val="0061382C"/>
    <w:rsid w:val="00613B32"/>
    <w:rsid w:val="0061456E"/>
    <w:rsid w:val="00614A9A"/>
    <w:rsid w:val="00614D09"/>
    <w:rsid w:val="00615AEF"/>
    <w:rsid w:val="00615CA2"/>
    <w:rsid w:val="00616F85"/>
    <w:rsid w:val="006200E6"/>
    <w:rsid w:val="00621F5D"/>
    <w:rsid w:val="006232B2"/>
    <w:rsid w:val="00623E92"/>
    <w:rsid w:val="00624AD1"/>
    <w:rsid w:val="00624F89"/>
    <w:rsid w:val="00626F82"/>
    <w:rsid w:val="00630A43"/>
    <w:rsid w:val="006310D7"/>
    <w:rsid w:val="00631FA4"/>
    <w:rsid w:val="0063376C"/>
    <w:rsid w:val="00634457"/>
    <w:rsid w:val="006400D2"/>
    <w:rsid w:val="006403D1"/>
    <w:rsid w:val="00641C04"/>
    <w:rsid w:val="00642218"/>
    <w:rsid w:val="006439C7"/>
    <w:rsid w:val="00644CE9"/>
    <w:rsid w:val="00646454"/>
    <w:rsid w:val="006466DE"/>
    <w:rsid w:val="0064708D"/>
    <w:rsid w:val="0064799E"/>
    <w:rsid w:val="00651536"/>
    <w:rsid w:val="00651FAE"/>
    <w:rsid w:val="006533B5"/>
    <w:rsid w:val="00653DC5"/>
    <w:rsid w:val="006548D4"/>
    <w:rsid w:val="006549C3"/>
    <w:rsid w:val="00655219"/>
    <w:rsid w:val="006569F5"/>
    <w:rsid w:val="0065725C"/>
    <w:rsid w:val="00657498"/>
    <w:rsid w:val="00657580"/>
    <w:rsid w:val="00657E35"/>
    <w:rsid w:val="00661673"/>
    <w:rsid w:val="006619B7"/>
    <w:rsid w:val="00662A78"/>
    <w:rsid w:val="006636A3"/>
    <w:rsid w:val="006639C7"/>
    <w:rsid w:val="00663AFA"/>
    <w:rsid w:val="00663ED9"/>
    <w:rsid w:val="006649AD"/>
    <w:rsid w:val="00665631"/>
    <w:rsid w:val="00665A51"/>
    <w:rsid w:val="00670AC3"/>
    <w:rsid w:val="006728D6"/>
    <w:rsid w:val="00675267"/>
    <w:rsid w:val="0067609D"/>
    <w:rsid w:val="00680FD5"/>
    <w:rsid w:val="0068178B"/>
    <w:rsid w:val="00681AB9"/>
    <w:rsid w:val="00682302"/>
    <w:rsid w:val="0068277E"/>
    <w:rsid w:val="00683F28"/>
    <w:rsid w:val="006845CB"/>
    <w:rsid w:val="00687339"/>
    <w:rsid w:val="00687971"/>
    <w:rsid w:val="006914AB"/>
    <w:rsid w:val="00691566"/>
    <w:rsid w:val="00691E45"/>
    <w:rsid w:val="00691EE7"/>
    <w:rsid w:val="00692A03"/>
    <w:rsid w:val="00693642"/>
    <w:rsid w:val="00693806"/>
    <w:rsid w:val="0069528D"/>
    <w:rsid w:val="006953F3"/>
    <w:rsid w:val="0069635D"/>
    <w:rsid w:val="006964A5"/>
    <w:rsid w:val="00697B6E"/>
    <w:rsid w:val="006A0227"/>
    <w:rsid w:val="006A1E48"/>
    <w:rsid w:val="006A2D1D"/>
    <w:rsid w:val="006A4638"/>
    <w:rsid w:val="006A53FA"/>
    <w:rsid w:val="006A6380"/>
    <w:rsid w:val="006A71B7"/>
    <w:rsid w:val="006B0E97"/>
    <w:rsid w:val="006B122C"/>
    <w:rsid w:val="006B17FE"/>
    <w:rsid w:val="006B1E30"/>
    <w:rsid w:val="006B3E41"/>
    <w:rsid w:val="006B63CB"/>
    <w:rsid w:val="006B77C7"/>
    <w:rsid w:val="006B7A81"/>
    <w:rsid w:val="006C1ADE"/>
    <w:rsid w:val="006C1EF9"/>
    <w:rsid w:val="006C2417"/>
    <w:rsid w:val="006C24AD"/>
    <w:rsid w:val="006C496F"/>
    <w:rsid w:val="006C5061"/>
    <w:rsid w:val="006C545D"/>
    <w:rsid w:val="006C60C3"/>
    <w:rsid w:val="006D1425"/>
    <w:rsid w:val="006D2305"/>
    <w:rsid w:val="006D2705"/>
    <w:rsid w:val="006D5ACD"/>
    <w:rsid w:val="006D7C37"/>
    <w:rsid w:val="006E02A8"/>
    <w:rsid w:val="006E0EFC"/>
    <w:rsid w:val="006E1241"/>
    <w:rsid w:val="006E1950"/>
    <w:rsid w:val="006E32B3"/>
    <w:rsid w:val="006E4EC9"/>
    <w:rsid w:val="006E77F6"/>
    <w:rsid w:val="006F0082"/>
    <w:rsid w:val="006F04DD"/>
    <w:rsid w:val="006F0C0E"/>
    <w:rsid w:val="006F1245"/>
    <w:rsid w:val="006F1254"/>
    <w:rsid w:val="006F1E6D"/>
    <w:rsid w:val="006F2506"/>
    <w:rsid w:val="006F34E9"/>
    <w:rsid w:val="006F3C83"/>
    <w:rsid w:val="006F5C80"/>
    <w:rsid w:val="006F6DFE"/>
    <w:rsid w:val="006F71B4"/>
    <w:rsid w:val="0070094A"/>
    <w:rsid w:val="00700ACE"/>
    <w:rsid w:val="00701491"/>
    <w:rsid w:val="0070165C"/>
    <w:rsid w:val="00701E1C"/>
    <w:rsid w:val="00703486"/>
    <w:rsid w:val="00703922"/>
    <w:rsid w:val="00703F14"/>
    <w:rsid w:val="007047C9"/>
    <w:rsid w:val="007054E9"/>
    <w:rsid w:val="00705EBF"/>
    <w:rsid w:val="00706590"/>
    <w:rsid w:val="00707370"/>
    <w:rsid w:val="0070770C"/>
    <w:rsid w:val="0070797C"/>
    <w:rsid w:val="0071047E"/>
    <w:rsid w:val="00710C8E"/>
    <w:rsid w:val="00711012"/>
    <w:rsid w:val="00711D14"/>
    <w:rsid w:val="00711F92"/>
    <w:rsid w:val="00712A64"/>
    <w:rsid w:val="007135DF"/>
    <w:rsid w:val="007143B2"/>
    <w:rsid w:val="00714567"/>
    <w:rsid w:val="00715570"/>
    <w:rsid w:val="007155A0"/>
    <w:rsid w:val="00716507"/>
    <w:rsid w:val="007165BA"/>
    <w:rsid w:val="007167CF"/>
    <w:rsid w:val="00716B50"/>
    <w:rsid w:val="007171DE"/>
    <w:rsid w:val="00720E93"/>
    <w:rsid w:val="00720F1D"/>
    <w:rsid w:val="00721136"/>
    <w:rsid w:val="007224B8"/>
    <w:rsid w:val="0072371A"/>
    <w:rsid w:val="00723771"/>
    <w:rsid w:val="00726C06"/>
    <w:rsid w:val="0072722A"/>
    <w:rsid w:val="007274B2"/>
    <w:rsid w:val="00727B4C"/>
    <w:rsid w:val="0073066B"/>
    <w:rsid w:val="0073220C"/>
    <w:rsid w:val="00734A64"/>
    <w:rsid w:val="00734A94"/>
    <w:rsid w:val="00735464"/>
    <w:rsid w:val="00735BBC"/>
    <w:rsid w:val="007375A5"/>
    <w:rsid w:val="00741522"/>
    <w:rsid w:val="00741EFF"/>
    <w:rsid w:val="007424B4"/>
    <w:rsid w:val="0074255A"/>
    <w:rsid w:val="007426C6"/>
    <w:rsid w:val="00742869"/>
    <w:rsid w:val="00742F5F"/>
    <w:rsid w:val="00743900"/>
    <w:rsid w:val="007444E0"/>
    <w:rsid w:val="0074452D"/>
    <w:rsid w:val="00744DDD"/>
    <w:rsid w:val="00745839"/>
    <w:rsid w:val="00745DFE"/>
    <w:rsid w:val="007467EC"/>
    <w:rsid w:val="00746BE9"/>
    <w:rsid w:val="00746C03"/>
    <w:rsid w:val="0074708D"/>
    <w:rsid w:val="00747CFB"/>
    <w:rsid w:val="007502AD"/>
    <w:rsid w:val="0075059B"/>
    <w:rsid w:val="0075074D"/>
    <w:rsid w:val="0075121F"/>
    <w:rsid w:val="0075188B"/>
    <w:rsid w:val="007521A4"/>
    <w:rsid w:val="00752579"/>
    <w:rsid w:val="00752B14"/>
    <w:rsid w:val="00752BE7"/>
    <w:rsid w:val="00754031"/>
    <w:rsid w:val="007547AF"/>
    <w:rsid w:val="0075515D"/>
    <w:rsid w:val="00755226"/>
    <w:rsid w:val="00755667"/>
    <w:rsid w:val="0075577E"/>
    <w:rsid w:val="00761981"/>
    <w:rsid w:val="00763174"/>
    <w:rsid w:val="00763C45"/>
    <w:rsid w:val="00764E03"/>
    <w:rsid w:val="0076573A"/>
    <w:rsid w:val="0076624F"/>
    <w:rsid w:val="00766E03"/>
    <w:rsid w:val="00766EF3"/>
    <w:rsid w:val="00767872"/>
    <w:rsid w:val="00770798"/>
    <w:rsid w:val="00771E25"/>
    <w:rsid w:val="007727DF"/>
    <w:rsid w:val="0077611A"/>
    <w:rsid w:val="007763BF"/>
    <w:rsid w:val="007778E8"/>
    <w:rsid w:val="00777925"/>
    <w:rsid w:val="0078055F"/>
    <w:rsid w:val="007831E5"/>
    <w:rsid w:val="0078371C"/>
    <w:rsid w:val="00784523"/>
    <w:rsid w:val="00784B6E"/>
    <w:rsid w:val="00785408"/>
    <w:rsid w:val="00786089"/>
    <w:rsid w:val="00790052"/>
    <w:rsid w:val="00791F30"/>
    <w:rsid w:val="00793E28"/>
    <w:rsid w:val="007952D3"/>
    <w:rsid w:val="00795F0E"/>
    <w:rsid w:val="00795F14"/>
    <w:rsid w:val="0079781E"/>
    <w:rsid w:val="007979C9"/>
    <w:rsid w:val="00797ABE"/>
    <w:rsid w:val="007A0277"/>
    <w:rsid w:val="007A1BFB"/>
    <w:rsid w:val="007A3EBB"/>
    <w:rsid w:val="007A4D39"/>
    <w:rsid w:val="007A5D1F"/>
    <w:rsid w:val="007A6AAD"/>
    <w:rsid w:val="007A7176"/>
    <w:rsid w:val="007A7F62"/>
    <w:rsid w:val="007B1A04"/>
    <w:rsid w:val="007B241A"/>
    <w:rsid w:val="007B25FD"/>
    <w:rsid w:val="007B3D60"/>
    <w:rsid w:val="007B4933"/>
    <w:rsid w:val="007B6390"/>
    <w:rsid w:val="007C2268"/>
    <w:rsid w:val="007C2415"/>
    <w:rsid w:val="007C2688"/>
    <w:rsid w:val="007C391A"/>
    <w:rsid w:val="007C41A6"/>
    <w:rsid w:val="007C51AA"/>
    <w:rsid w:val="007C54EF"/>
    <w:rsid w:val="007C58BE"/>
    <w:rsid w:val="007C5C6E"/>
    <w:rsid w:val="007C6C3F"/>
    <w:rsid w:val="007D075E"/>
    <w:rsid w:val="007D0938"/>
    <w:rsid w:val="007D0AAC"/>
    <w:rsid w:val="007D1397"/>
    <w:rsid w:val="007D36BE"/>
    <w:rsid w:val="007D48CF"/>
    <w:rsid w:val="007D4EC2"/>
    <w:rsid w:val="007D59FA"/>
    <w:rsid w:val="007D654A"/>
    <w:rsid w:val="007D6D6F"/>
    <w:rsid w:val="007D721A"/>
    <w:rsid w:val="007D7E64"/>
    <w:rsid w:val="007E3426"/>
    <w:rsid w:val="007E3BA5"/>
    <w:rsid w:val="007E3E97"/>
    <w:rsid w:val="007E4545"/>
    <w:rsid w:val="007E47DD"/>
    <w:rsid w:val="007E5A47"/>
    <w:rsid w:val="007E777A"/>
    <w:rsid w:val="007F1048"/>
    <w:rsid w:val="007F24B7"/>
    <w:rsid w:val="007F3072"/>
    <w:rsid w:val="007F3275"/>
    <w:rsid w:val="007F3BA6"/>
    <w:rsid w:val="007F3C2E"/>
    <w:rsid w:val="007F4126"/>
    <w:rsid w:val="007F4219"/>
    <w:rsid w:val="007F4AE6"/>
    <w:rsid w:val="007F5E64"/>
    <w:rsid w:val="007F67BC"/>
    <w:rsid w:val="008020F1"/>
    <w:rsid w:val="0080378D"/>
    <w:rsid w:val="00804561"/>
    <w:rsid w:val="008050B9"/>
    <w:rsid w:val="0080538A"/>
    <w:rsid w:val="008059C5"/>
    <w:rsid w:val="00806DAF"/>
    <w:rsid w:val="00807B3D"/>
    <w:rsid w:val="00807E67"/>
    <w:rsid w:val="0081136C"/>
    <w:rsid w:val="0081143D"/>
    <w:rsid w:val="00812682"/>
    <w:rsid w:val="008145E7"/>
    <w:rsid w:val="00815199"/>
    <w:rsid w:val="008164F2"/>
    <w:rsid w:val="00816FD7"/>
    <w:rsid w:val="008204DC"/>
    <w:rsid w:val="00821BC2"/>
    <w:rsid w:val="00821D2F"/>
    <w:rsid w:val="00821EAA"/>
    <w:rsid w:val="008229A6"/>
    <w:rsid w:val="00823CA9"/>
    <w:rsid w:val="00824BF1"/>
    <w:rsid w:val="0082549E"/>
    <w:rsid w:val="00825871"/>
    <w:rsid w:val="00825E7F"/>
    <w:rsid w:val="00826BAE"/>
    <w:rsid w:val="00826C55"/>
    <w:rsid w:val="00826E9A"/>
    <w:rsid w:val="008272C8"/>
    <w:rsid w:val="00827DB7"/>
    <w:rsid w:val="00830A8D"/>
    <w:rsid w:val="0083143F"/>
    <w:rsid w:val="008327BE"/>
    <w:rsid w:val="00833007"/>
    <w:rsid w:val="00833240"/>
    <w:rsid w:val="00835D11"/>
    <w:rsid w:val="00835DB0"/>
    <w:rsid w:val="00836CA9"/>
    <w:rsid w:val="00836FE9"/>
    <w:rsid w:val="00841895"/>
    <w:rsid w:val="00842A8A"/>
    <w:rsid w:val="0084303B"/>
    <w:rsid w:val="0084387D"/>
    <w:rsid w:val="008443AF"/>
    <w:rsid w:val="00846105"/>
    <w:rsid w:val="00847C9F"/>
    <w:rsid w:val="00850545"/>
    <w:rsid w:val="00850C30"/>
    <w:rsid w:val="00852BF3"/>
    <w:rsid w:val="00852C9D"/>
    <w:rsid w:val="008562AC"/>
    <w:rsid w:val="0085739E"/>
    <w:rsid w:val="00861636"/>
    <w:rsid w:val="0086169C"/>
    <w:rsid w:val="0086169E"/>
    <w:rsid w:val="00861CCE"/>
    <w:rsid w:val="008623EB"/>
    <w:rsid w:val="00863493"/>
    <w:rsid w:val="008638F3"/>
    <w:rsid w:val="00864CA3"/>
    <w:rsid w:val="00865546"/>
    <w:rsid w:val="00866A99"/>
    <w:rsid w:val="00867388"/>
    <w:rsid w:val="00867E01"/>
    <w:rsid w:val="008704A3"/>
    <w:rsid w:val="00870ED2"/>
    <w:rsid w:val="00872BE5"/>
    <w:rsid w:val="00872F87"/>
    <w:rsid w:val="008735CD"/>
    <w:rsid w:val="0087531A"/>
    <w:rsid w:val="008770CC"/>
    <w:rsid w:val="008775F9"/>
    <w:rsid w:val="00877B37"/>
    <w:rsid w:val="00880202"/>
    <w:rsid w:val="00882C3A"/>
    <w:rsid w:val="008832CF"/>
    <w:rsid w:val="00884687"/>
    <w:rsid w:val="008871B9"/>
    <w:rsid w:val="00887929"/>
    <w:rsid w:val="0089245B"/>
    <w:rsid w:val="00893075"/>
    <w:rsid w:val="00894A4A"/>
    <w:rsid w:val="00897079"/>
    <w:rsid w:val="008A1480"/>
    <w:rsid w:val="008A1DDF"/>
    <w:rsid w:val="008A2C3C"/>
    <w:rsid w:val="008A321C"/>
    <w:rsid w:val="008A3232"/>
    <w:rsid w:val="008A61F5"/>
    <w:rsid w:val="008A65B4"/>
    <w:rsid w:val="008A6748"/>
    <w:rsid w:val="008A73EB"/>
    <w:rsid w:val="008B1ADA"/>
    <w:rsid w:val="008B31E7"/>
    <w:rsid w:val="008B4B71"/>
    <w:rsid w:val="008B6867"/>
    <w:rsid w:val="008B6B8E"/>
    <w:rsid w:val="008C0DA9"/>
    <w:rsid w:val="008C2E86"/>
    <w:rsid w:val="008C3FD4"/>
    <w:rsid w:val="008C4FA8"/>
    <w:rsid w:val="008C522B"/>
    <w:rsid w:val="008C55ED"/>
    <w:rsid w:val="008C56F2"/>
    <w:rsid w:val="008C6C65"/>
    <w:rsid w:val="008D0A3C"/>
    <w:rsid w:val="008D1376"/>
    <w:rsid w:val="008D23B2"/>
    <w:rsid w:val="008D5268"/>
    <w:rsid w:val="008D5A62"/>
    <w:rsid w:val="008D6BED"/>
    <w:rsid w:val="008D6EE4"/>
    <w:rsid w:val="008E15FF"/>
    <w:rsid w:val="008E174E"/>
    <w:rsid w:val="008E1842"/>
    <w:rsid w:val="008E36C2"/>
    <w:rsid w:val="008E4CE6"/>
    <w:rsid w:val="008E51CA"/>
    <w:rsid w:val="008E5434"/>
    <w:rsid w:val="008E5D73"/>
    <w:rsid w:val="008E6D79"/>
    <w:rsid w:val="008F025B"/>
    <w:rsid w:val="008F033C"/>
    <w:rsid w:val="008F15A9"/>
    <w:rsid w:val="008F1A4F"/>
    <w:rsid w:val="008F26F6"/>
    <w:rsid w:val="008F3242"/>
    <w:rsid w:val="008F3C74"/>
    <w:rsid w:val="008F43B1"/>
    <w:rsid w:val="008F5017"/>
    <w:rsid w:val="008F5842"/>
    <w:rsid w:val="008F661F"/>
    <w:rsid w:val="009001F9"/>
    <w:rsid w:val="009006EF"/>
    <w:rsid w:val="0090111A"/>
    <w:rsid w:val="009012DE"/>
    <w:rsid w:val="00901631"/>
    <w:rsid w:val="0090190C"/>
    <w:rsid w:val="00901CB6"/>
    <w:rsid w:val="00902F8C"/>
    <w:rsid w:val="0090496E"/>
    <w:rsid w:val="00906E96"/>
    <w:rsid w:val="009071DF"/>
    <w:rsid w:val="009101EE"/>
    <w:rsid w:val="00910B16"/>
    <w:rsid w:val="00911FFF"/>
    <w:rsid w:val="00912968"/>
    <w:rsid w:val="0091487E"/>
    <w:rsid w:val="00920754"/>
    <w:rsid w:val="0092131A"/>
    <w:rsid w:val="009215EC"/>
    <w:rsid w:val="00924053"/>
    <w:rsid w:val="0092554C"/>
    <w:rsid w:val="009259E9"/>
    <w:rsid w:val="00926CA1"/>
    <w:rsid w:val="00927044"/>
    <w:rsid w:val="00927FD3"/>
    <w:rsid w:val="00930288"/>
    <w:rsid w:val="00930730"/>
    <w:rsid w:val="00931257"/>
    <w:rsid w:val="009315EB"/>
    <w:rsid w:val="00931BA4"/>
    <w:rsid w:val="00931FCF"/>
    <w:rsid w:val="00932015"/>
    <w:rsid w:val="009327EC"/>
    <w:rsid w:val="0093332F"/>
    <w:rsid w:val="00933FC4"/>
    <w:rsid w:val="009362A7"/>
    <w:rsid w:val="0093631C"/>
    <w:rsid w:val="0093650F"/>
    <w:rsid w:val="00937D1D"/>
    <w:rsid w:val="00940BE6"/>
    <w:rsid w:val="009419F0"/>
    <w:rsid w:val="00943D6E"/>
    <w:rsid w:val="00943DFF"/>
    <w:rsid w:val="0094413B"/>
    <w:rsid w:val="009442F4"/>
    <w:rsid w:val="009456A2"/>
    <w:rsid w:val="00946085"/>
    <w:rsid w:val="00946499"/>
    <w:rsid w:val="00947100"/>
    <w:rsid w:val="00950106"/>
    <w:rsid w:val="009515D3"/>
    <w:rsid w:val="0095176B"/>
    <w:rsid w:val="0095199B"/>
    <w:rsid w:val="00951B4E"/>
    <w:rsid w:val="00952245"/>
    <w:rsid w:val="00952550"/>
    <w:rsid w:val="00952994"/>
    <w:rsid w:val="00952B16"/>
    <w:rsid w:val="0095381B"/>
    <w:rsid w:val="009538A3"/>
    <w:rsid w:val="00953B2E"/>
    <w:rsid w:val="00953F9E"/>
    <w:rsid w:val="00956292"/>
    <w:rsid w:val="009617C0"/>
    <w:rsid w:val="009626FE"/>
    <w:rsid w:val="00962F1C"/>
    <w:rsid w:val="00963A5A"/>
    <w:rsid w:val="0096469B"/>
    <w:rsid w:val="009651F0"/>
    <w:rsid w:val="00965E70"/>
    <w:rsid w:val="00965EE9"/>
    <w:rsid w:val="00967651"/>
    <w:rsid w:val="00967C7E"/>
    <w:rsid w:val="00967E42"/>
    <w:rsid w:val="00967F2C"/>
    <w:rsid w:val="00970C51"/>
    <w:rsid w:val="00972CC0"/>
    <w:rsid w:val="00972D4A"/>
    <w:rsid w:val="00973484"/>
    <w:rsid w:val="009737A0"/>
    <w:rsid w:val="00974905"/>
    <w:rsid w:val="00974B3F"/>
    <w:rsid w:val="00974BAA"/>
    <w:rsid w:val="009753B8"/>
    <w:rsid w:val="00975728"/>
    <w:rsid w:val="00975D1F"/>
    <w:rsid w:val="00975FC5"/>
    <w:rsid w:val="009760B5"/>
    <w:rsid w:val="009765A7"/>
    <w:rsid w:val="00976D35"/>
    <w:rsid w:val="00980A80"/>
    <w:rsid w:val="009812DE"/>
    <w:rsid w:val="00981890"/>
    <w:rsid w:val="00981EB4"/>
    <w:rsid w:val="009824F1"/>
    <w:rsid w:val="00982A96"/>
    <w:rsid w:val="0098393A"/>
    <w:rsid w:val="00984DBD"/>
    <w:rsid w:val="00984DE3"/>
    <w:rsid w:val="009850DA"/>
    <w:rsid w:val="00985B07"/>
    <w:rsid w:val="009877B5"/>
    <w:rsid w:val="009925C1"/>
    <w:rsid w:val="009927B8"/>
    <w:rsid w:val="00992FB6"/>
    <w:rsid w:val="00993EA7"/>
    <w:rsid w:val="0099549D"/>
    <w:rsid w:val="00996044"/>
    <w:rsid w:val="0099651A"/>
    <w:rsid w:val="00997F9E"/>
    <w:rsid w:val="009A0751"/>
    <w:rsid w:val="009A1FED"/>
    <w:rsid w:val="009A2CF2"/>
    <w:rsid w:val="009A37C4"/>
    <w:rsid w:val="009A41A8"/>
    <w:rsid w:val="009A60F6"/>
    <w:rsid w:val="009A6E34"/>
    <w:rsid w:val="009A734F"/>
    <w:rsid w:val="009B00E6"/>
    <w:rsid w:val="009B0AA1"/>
    <w:rsid w:val="009B3CC5"/>
    <w:rsid w:val="009B47EC"/>
    <w:rsid w:val="009B51A8"/>
    <w:rsid w:val="009B66F0"/>
    <w:rsid w:val="009B6BEB"/>
    <w:rsid w:val="009B6FEE"/>
    <w:rsid w:val="009B7393"/>
    <w:rsid w:val="009C0B6B"/>
    <w:rsid w:val="009C0CF6"/>
    <w:rsid w:val="009C11AE"/>
    <w:rsid w:val="009C2762"/>
    <w:rsid w:val="009C2E75"/>
    <w:rsid w:val="009C4344"/>
    <w:rsid w:val="009C6599"/>
    <w:rsid w:val="009C73B6"/>
    <w:rsid w:val="009D1ADC"/>
    <w:rsid w:val="009D48E4"/>
    <w:rsid w:val="009D4A9C"/>
    <w:rsid w:val="009D53B5"/>
    <w:rsid w:val="009D6E83"/>
    <w:rsid w:val="009D7132"/>
    <w:rsid w:val="009D7FEA"/>
    <w:rsid w:val="009E0ECB"/>
    <w:rsid w:val="009E50A9"/>
    <w:rsid w:val="009E518E"/>
    <w:rsid w:val="009F00FE"/>
    <w:rsid w:val="009F06BA"/>
    <w:rsid w:val="009F14D3"/>
    <w:rsid w:val="009F2897"/>
    <w:rsid w:val="009F4574"/>
    <w:rsid w:val="009F56B1"/>
    <w:rsid w:val="009F6102"/>
    <w:rsid w:val="009F643F"/>
    <w:rsid w:val="009F6647"/>
    <w:rsid w:val="009F6DAD"/>
    <w:rsid w:val="009F72C4"/>
    <w:rsid w:val="009F7C58"/>
    <w:rsid w:val="009F7DE2"/>
    <w:rsid w:val="00A00341"/>
    <w:rsid w:val="00A00FC9"/>
    <w:rsid w:val="00A01269"/>
    <w:rsid w:val="00A01770"/>
    <w:rsid w:val="00A01C2E"/>
    <w:rsid w:val="00A03B45"/>
    <w:rsid w:val="00A03D36"/>
    <w:rsid w:val="00A04F48"/>
    <w:rsid w:val="00A05CC6"/>
    <w:rsid w:val="00A07168"/>
    <w:rsid w:val="00A071FF"/>
    <w:rsid w:val="00A10416"/>
    <w:rsid w:val="00A109D2"/>
    <w:rsid w:val="00A11E4D"/>
    <w:rsid w:val="00A1285F"/>
    <w:rsid w:val="00A132CE"/>
    <w:rsid w:val="00A1349B"/>
    <w:rsid w:val="00A140D4"/>
    <w:rsid w:val="00A145B4"/>
    <w:rsid w:val="00A151CF"/>
    <w:rsid w:val="00A15A34"/>
    <w:rsid w:val="00A15D7C"/>
    <w:rsid w:val="00A169F9"/>
    <w:rsid w:val="00A17D51"/>
    <w:rsid w:val="00A17FE2"/>
    <w:rsid w:val="00A20982"/>
    <w:rsid w:val="00A20CD7"/>
    <w:rsid w:val="00A212B8"/>
    <w:rsid w:val="00A2225F"/>
    <w:rsid w:val="00A2268F"/>
    <w:rsid w:val="00A22B94"/>
    <w:rsid w:val="00A248B1"/>
    <w:rsid w:val="00A24E8F"/>
    <w:rsid w:val="00A255C6"/>
    <w:rsid w:val="00A26722"/>
    <w:rsid w:val="00A268AC"/>
    <w:rsid w:val="00A26C67"/>
    <w:rsid w:val="00A27C5C"/>
    <w:rsid w:val="00A3112F"/>
    <w:rsid w:val="00A31385"/>
    <w:rsid w:val="00A32451"/>
    <w:rsid w:val="00A33F1F"/>
    <w:rsid w:val="00A344B5"/>
    <w:rsid w:val="00A34542"/>
    <w:rsid w:val="00A34CB3"/>
    <w:rsid w:val="00A35625"/>
    <w:rsid w:val="00A35DFD"/>
    <w:rsid w:val="00A376FA"/>
    <w:rsid w:val="00A37749"/>
    <w:rsid w:val="00A37D12"/>
    <w:rsid w:val="00A37E8A"/>
    <w:rsid w:val="00A37F2F"/>
    <w:rsid w:val="00A40F52"/>
    <w:rsid w:val="00A41766"/>
    <w:rsid w:val="00A42707"/>
    <w:rsid w:val="00A434B1"/>
    <w:rsid w:val="00A43E65"/>
    <w:rsid w:val="00A43F62"/>
    <w:rsid w:val="00A447BA"/>
    <w:rsid w:val="00A47064"/>
    <w:rsid w:val="00A51AC9"/>
    <w:rsid w:val="00A51FE9"/>
    <w:rsid w:val="00A52038"/>
    <w:rsid w:val="00A53412"/>
    <w:rsid w:val="00A53EC3"/>
    <w:rsid w:val="00A53EEC"/>
    <w:rsid w:val="00A548B0"/>
    <w:rsid w:val="00A6031C"/>
    <w:rsid w:val="00A6072C"/>
    <w:rsid w:val="00A620AD"/>
    <w:rsid w:val="00A628E3"/>
    <w:rsid w:val="00A62B2C"/>
    <w:rsid w:val="00A62C04"/>
    <w:rsid w:val="00A62EA9"/>
    <w:rsid w:val="00A62EF3"/>
    <w:rsid w:val="00A63AFB"/>
    <w:rsid w:val="00A64F97"/>
    <w:rsid w:val="00A66073"/>
    <w:rsid w:val="00A673F5"/>
    <w:rsid w:val="00A6740F"/>
    <w:rsid w:val="00A7324E"/>
    <w:rsid w:val="00A7330E"/>
    <w:rsid w:val="00A736CF"/>
    <w:rsid w:val="00A74BD0"/>
    <w:rsid w:val="00A74BEB"/>
    <w:rsid w:val="00A758A1"/>
    <w:rsid w:val="00A758B7"/>
    <w:rsid w:val="00A76EE3"/>
    <w:rsid w:val="00A7702B"/>
    <w:rsid w:val="00A776E9"/>
    <w:rsid w:val="00A814D1"/>
    <w:rsid w:val="00A82C04"/>
    <w:rsid w:val="00A831D6"/>
    <w:rsid w:val="00A832BD"/>
    <w:rsid w:val="00A84FF9"/>
    <w:rsid w:val="00A8708E"/>
    <w:rsid w:val="00A87C83"/>
    <w:rsid w:val="00A87CE6"/>
    <w:rsid w:val="00A90A61"/>
    <w:rsid w:val="00A91109"/>
    <w:rsid w:val="00A911D5"/>
    <w:rsid w:val="00A92C3C"/>
    <w:rsid w:val="00A94082"/>
    <w:rsid w:val="00A94729"/>
    <w:rsid w:val="00A96517"/>
    <w:rsid w:val="00A96913"/>
    <w:rsid w:val="00A976AB"/>
    <w:rsid w:val="00A97DA7"/>
    <w:rsid w:val="00AA1AB0"/>
    <w:rsid w:val="00AA214E"/>
    <w:rsid w:val="00AA2523"/>
    <w:rsid w:val="00AA2A55"/>
    <w:rsid w:val="00AA2F3C"/>
    <w:rsid w:val="00AA5219"/>
    <w:rsid w:val="00AA5450"/>
    <w:rsid w:val="00AA59EB"/>
    <w:rsid w:val="00AA5C5D"/>
    <w:rsid w:val="00AA79B5"/>
    <w:rsid w:val="00AB079A"/>
    <w:rsid w:val="00AB0AFE"/>
    <w:rsid w:val="00AB1ED3"/>
    <w:rsid w:val="00AB39A3"/>
    <w:rsid w:val="00AB39DD"/>
    <w:rsid w:val="00AB3D2B"/>
    <w:rsid w:val="00AB400A"/>
    <w:rsid w:val="00AB4496"/>
    <w:rsid w:val="00AB4786"/>
    <w:rsid w:val="00AB47A6"/>
    <w:rsid w:val="00AB60D6"/>
    <w:rsid w:val="00AB7F98"/>
    <w:rsid w:val="00AC05AE"/>
    <w:rsid w:val="00AC0916"/>
    <w:rsid w:val="00AC0C82"/>
    <w:rsid w:val="00AC0DAB"/>
    <w:rsid w:val="00AC1109"/>
    <w:rsid w:val="00AC13EA"/>
    <w:rsid w:val="00AC24DF"/>
    <w:rsid w:val="00AC2AB4"/>
    <w:rsid w:val="00AC356B"/>
    <w:rsid w:val="00AC3F09"/>
    <w:rsid w:val="00AC4283"/>
    <w:rsid w:val="00AC4717"/>
    <w:rsid w:val="00AC497E"/>
    <w:rsid w:val="00AC6612"/>
    <w:rsid w:val="00AC6D1F"/>
    <w:rsid w:val="00AC72D4"/>
    <w:rsid w:val="00AD0C32"/>
    <w:rsid w:val="00AD2DE3"/>
    <w:rsid w:val="00AD3D1D"/>
    <w:rsid w:val="00AD4127"/>
    <w:rsid w:val="00AD4614"/>
    <w:rsid w:val="00AD52A2"/>
    <w:rsid w:val="00AD5546"/>
    <w:rsid w:val="00AD5D2E"/>
    <w:rsid w:val="00AE0B9E"/>
    <w:rsid w:val="00AE179E"/>
    <w:rsid w:val="00AE2BE8"/>
    <w:rsid w:val="00AE38FE"/>
    <w:rsid w:val="00AE42D8"/>
    <w:rsid w:val="00AE4914"/>
    <w:rsid w:val="00AE4E6F"/>
    <w:rsid w:val="00AE5D8E"/>
    <w:rsid w:val="00AE7BF2"/>
    <w:rsid w:val="00AE7C7E"/>
    <w:rsid w:val="00AF0D63"/>
    <w:rsid w:val="00AF1DF6"/>
    <w:rsid w:val="00AF1F8B"/>
    <w:rsid w:val="00AF20BA"/>
    <w:rsid w:val="00AF28B6"/>
    <w:rsid w:val="00AF2CE9"/>
    <w:rsid w:val="00AF305C"/>
    <w:rsid w:val="00AF3BEA"/>
    <w:rsid w:val="00AF4248"/>
    <w:rsid w:val="00AF4697"/>
    <w:rsid w:val="00AF4A1D"/>
    <w:rsid w:val="00AF53D6"/>
    <w:rsid w:val="00AF6275"/>
    <w:rsid w:val="00AF65B3"/>
    <w:rsid w:val="00AF6621"/>
    <w:rsid w:val="00AF6759"/>
    <w:rsid w:val="00AF6A52"/>
    <w:rsid w:val="00AF6ABA"/>
    <w:rsid w:val="00AF6F53"/>
    <w:rsid w:val="00AF6FAD"/>
    <w:rsid w:val="00AF6FAF"/>
    <w:rsid w:val="00AF7CD5"/>
    <w:rsid w:val="00B016AC"/>
    <w:rsid w:val="00B01C19"/>
    <w:rsid w:val="00B02873"/>
    <w:rsid w:val="00B03BA3"/>
    <w:rsid w:val="00B0421A"/>
    <w:rsid w:val="00B043C6"/>
    <w:rsid w:val="00B04BAC"/>
    <w:rsid w:val="00B05123"/>
    <w:rsid w:val="00B05BD6"/>
    <w:rsid w:val="00B11116"/>
    <w:rsid w:val="00B14634"/>
    <w:rsid w:val="00B15773"/>
    <w:rsid w:val="00B15A64"/>
    <w:rsid w:val="00B1605D"/>
    <w:rsid w:val="00B17415"/>
    <w:rsid w:val="00B17A1B"/>
    <w:rsid w:val="00B17A79"/>
    <w:rsid w:val="00B17E72"/>
    <w:rsid w:val="00B20060"/>
    <w:rsid w:val="00B27A52"/>
    <w:rsid w:val="00B27FDA"/>
    <w:rsid w:val="00B30494"/>
    <w:rsid w:val="00B312A1"/>
    <w:rsid w:val="00B31EEF"/>
    <w:rsid w:val="00B33585"/>
    <w:rsid w:val="00B34870"/>
    <w:rsid w:val="00B34D4E"/>
    <w:rsid w:val="00B34E40"/>
    <w:rsid w:val="00B3543C"/>
    <w:rsid w:val="00B40527"/>
    <w:rsid w:val="00B41002"/>
    <w:rsid w:val="00B41AB6"/>
    <w:rsid w:val="00B41CE4"/>
    <w:rsid w:val="00B430D6"/>
    <w:rsid w:val="00B4310E"/>
    <w:rsid w:val="00B4388C"/>
    <w:rsid w:val="00B43D3B"/>
    <w:rsid w:val="00B457FA"/>
    <w:rsid w:val="00B45CC8"/>
    <w:rsid w:val="00B45EF1"/>
    <w:rsid w:val="00B46892"/>
    <w:rsid w:val="00B47A07"/>
    <w:rsid w:val="00B50729"/>
    <w:rsid w:val="00B51EFB"/>
    <w:rsid w:val="00B52140"/>
    <w:rsid w:val="00B53A96"/>
    <w:rsid w:val="00B55154"/>
    <w:rsid w:val="00B55692"/>
    <w:rsid w:val="00B57E4A"/>
    <w:rsid w:val="00B616B4"/>
    <w:rsid w:val="00B6231B"/>
    <w:rsid w:val="00B6260B"/>
    <w:rsid w:val="00B62DF8"/>
    <w:rsid w:val="00B6431C"/>
    <w:rsid w:val="00B665ED"/>
    <w:rsid w:val="00B66BA0"/>
    <w:rsid w:val="00B67A16"/>
    <w:rsid w:val="00B67E2C"/>
    <w:rsid w:val="00B70BFD"/>
    <w:rsid w:val="00B70CFB"/>
    <w:rsid w:val="00B7135E"/>
    <w:rsid w:val="00B71E70"/>
    <w:rsid w:val="00B7269B"/>
    <w:rsid w:val="00B72DD2"/>
    <w:rsid w:val="00B73881"/>
    <w:rsid w:val="00B7421F"/>
    <w:rsid w:val="00B7602E"/>
    <w:rsid w:val="00B802D3"/>
    <w:rsid w:val="00B80743"/>
    <w:rsid w:val="00B8090F"/>
    <w:rsid w:val="00B80D88"/>
    <w:rsid w:val="00B81D92"/>
    <w:rsid w:val="00B82761"/>
    <w:rsid w:val="00B82B01"/>
    <w:rsid w:val="00B84183"/>
    <w:rsid w:val="00B8463F"/>
    <w:rsid w:val="00B856F2"/>
    <w:rsid w:val="00B8598D"/>
    <w:rsid w:val="00B86ABF"/>
    <w:rsid w:val="00B86F24"/>
    <w:rsid w:val="00B910B4"/>
    <w:rsid w:val="00B9223E"/>
    <w:rsid w:val="00B92A74"/>
    <w:rsid w:val="00B9351B"/>
    <w:rsid w:val="00B94268"/>
    <w:rsid w:val="00B9492D"/>
    <w:rsid w:val="00B97DCF"/>
    <w:rsid w:val="00BA0508"/>
    <w:rsid w:val="00BA193F"/>
    <w:rsid w:val="00BA1FBC"/>
    <w:rsid w:val="00BA213A"/>
    <w:rsid w:val="00BA2879"/>
    <w:rsid w:val="00BA5D8A"/>
    <w:rsid w:val="00BA5F10"/>
    <w:rsid w:val="00BA5F8E"/>
    <w:rsid w:val="00BA65C8"/>
    <w:rsid w:val="00BA74B2"/>
    <w:rsid w:val="00BB0BA1"/>
    <w:rsid w:val="00BB0D23"/>
    <w:rsid w:val="00BB0F95"/>
    <w:rsid w:val="00BB1785"/>
    <w:rsid w:val="00BB2048"/>
    <w:rsid w:val="00BB52F7"/>
    <w:rsid w:val="00BB697D"/>
    <w:rsid w:val="00BC11C0"/>
    <w:rsid w:val="00BC24E1"/>
    <w:rsid w:val="00BC28EE"/>
    <w:rsid w:val="00BC341A"/>
    <w:rsid w:val="00BC3C1F"/>
    <w:rsid w:val="00BC5CAC"/>
    <w:rsid w:val="00BC75A2"/>
    <w:rsid w:val="00BD2100"/>
    <w:rsid w:val="00BD2388"/>
    <w:rsid w:val="00BD241A"/>
    <w:rsid w:val="00BD3623"/>
    <w:rsid w:val="00BD4C1A"/>
    <w:rsid w:val="00BD64CA"/>
    <w:rsid w:val="00BD6CB9"/>
    <w:rsid w:val="00BD7197"/>
    <w:rsid w:val="00BD7C5A"/>
    <w:rsid w:val="00BE1781"/>
    <w:rsid w:val="00BE22F1"/>
    <w:rsid w:val="00BE2C54"/>
    <w:rsid w:val="00BE2F6C"/>
    <w:rsid w:val="00BE2FE8"/>
    <w:rsid w:val="00BE3B61"/>
    <w:rsid w:val="00BE3FD8"/>
    <w:rsid w:val="00BE4081"/>
    <w:rsid w:val="00BE4104"/>
    <w:rsid w:val="00BE4393"/>
    <w:rsid w:val="00BE4B86"/>
    <w:rsid w:val="00BE576E"/>
    <w:rsid w:val="00BF077E"/>
    <w:rsid w:val="00BF1344"/>
    <w:rsid w:val="00BF1FE2"/>
    <w:rsid w:val="00BF278D"/>
    <w:rsid w:val="00BF4AC3"/>
    <w:rsid w:val="00BF5543"/>
    <w:rsid w:val="00BF5593"/>
    <w:rsid w:val="00BF6A50"/>
    <w:rsid w:val="00BF6BDC"/>
    <w:rsid w:val="00BF7B9B"/>
    <w:rsid w:val="00C01530"/>
    <w:rsid w:val="00C03981"/>
    <w:rsid w:val="00C05A59"/>
    <w:rsid w:val="00C061DD"/>
    <w:rsid w:val="00C07130"/>
    <w:rsid w:val="00C078F4"/>
    <w:rsid w:val="00C10606"/>
    <w:rsid w:val="00C10EA6"/>
    <w:rsid w:val="00C13072"/>
    <w:rsid w:val="00C149CA"/>
    <w:rsid w:val="00C14DD1"/>
    <w:rsid w:val="00C1675B"/>
    <w:rsid w:val="00C171CE"/>
    <w:rsid w:val="00C17AF8"/>
    <w:rsid w:val="00C17E0E"/>
    <w:rsid w:val="00C20C52"/>
    <w:rsid w:val="00C21216"/>
    <w:rsid w:val="00C21CDF"/>
    <w:rsid w:val="00C21DF3"/>
    <w:rsid w:val="00C23288"/>
    <w:rsid w:val="00C23647"/>
    <w:rsid w:val="00C24EAB"/>
    <w:rsid w:val="00C267AF"/>
    <w:rsid w:val="00C26FC7"/>
    <w:rsid w:val="00C3089E"/>
    <w:rsid w:val="00C30E3E"/>
    <w:rsid w:val="00C31FD8"/>
    <w:rsid w:val="00C327EB"/>
    <w:rsid w:val="00C32E65"/>
    <w:rsid w:val="00C33E32"/>
    <w:rsid w:val="00C34CA1"/>
    <w:rsid w:val="00C34D85"/>
    <w:rsid w:val="00C34E28"/>
    <w:rsid w:val="00C353B1"/>
    <w:rsid w:val="00C36099"/>
    <w:rsid w:val="00C37BB2"/>
    <w:rsid w:val="00C40E33"/>
    <w:rsid w:val="00C42DA8"/>
    <w:rsid w:val="00C46A13"/>
    <w:rsid w:val="00C46C10"/>
    <w:rsid w:val="00C50132"/>
    <w:rsid w:val="00C51070"/>
    <w:rsid w:val="00C528FE"/>
    <w:rsid w:val="00C542A3"/>
    <w:rsid w:val="00C55A24"/>
    <w:rsid w:val="00C55F77"/>
    <w:rsid w:val="00C563A8"/>
    <w:rsid w:val="00C56631"/>
    <w:rsid w:val="00C56A30"/>
    <w:rsid w:val="00C61115"/>
    <w:rsid w:val="00C61B47"/>
    <w:rsid w:val="00C622FB"/>
    <w:rsid w:val="00C62762"/>
    <w:rsid w:val="00C63C5E"/>
    <w:rsid w:val="00C6569B"/>
    <w:rsid w:val="00C65B2C"/>
    <w:rsid w:val="00C6695A"/>
    <w:rsid w:val="00C66B75"/>
    <w:rsid w:val="00C67354"/>
    <w:rsid w:val="00C6748E"/>
    <w:rsid w:val="00C67723"/>
    <w:rsid w:val="00C702CC"/>
    <w:rsid w:val="00C702D3"/>
    <w:rsid w:val="00C710C3"/>
    <w:rsid w:val="00C718FF"/>
    <w:rsid w:val="00C71D61"/>
    <w:rsid w:val="00C71DE2"/>
    <w:rsid w:val="00C73601"/>
    <w:rsid w:val="00C73C45"/>
    <w:rsid w:val="00C750C2"/>
    <w:rsid w:val="00C761E6"/>
    <w:rsid w:val="00C76299"/>
    <w:rsid w:val="00C76926"/>
    <w:rsid w:val="00C76C59"/>
    <w:rsid w:val="00C76EE8"/>
    <w:rsid w:val="00C80799"/>
    <w:rsid w:val="00C8092C"/>
    <w:rsid w:val="00C816F0"/>
    <w:rsid w:val="00C81A95"/>
    <w:rsid w:val="00C82EDD"/>
    <w:rsid w:val="00C82FA8"/>
    <w:rsid w:val="00C843B5"/>
    <w:rsid w:val="00C85789"/>
    <w:rsid w:val="00C8645E"/>
    <w:rsid w:val="00C9004D"/>
    <w:rsid w:val="00C91C19"/>
    <w:rsid w:val="00C9606A"/>
    <w:rsid w:val="00CA071E"/>
    <w:rsid w:val="00CA276B"/>
    <w:rsid w:val="00CA2E88"/>
    <w:rsid w:val="00CA4B23"/>
    <w:rsid w:val="00CA5357"/>
    <w:rsid w:val="00CA58A7"/>
    <w:rsid w:val="00CA6521"/>
    <w:rsid w:val="00CA653F"/>
    <w:rsid w:val="00CA6E5E"/>
    <w:rsid w:val="00CA7D02"/>
    <w:rsid w:val="00CB24EF"/>
    <w:rsid w:val="00CB2DFA"/>
    <w:rsid w:val="00CB31E2"/>
    <w:rsid w:val="00CB4182"/>
    <w:rsid w:val="00CB4E2F"/>
    <w:rsid w:val="00CB5B38"/>
    <w:rsid w:val="00CB60F9"/>
    <w:rsid w:val="00CB75BA"/>
    <w:rsid w:val="00CB7B66"/>
    <w:rsid w:val="00CC02DE"/>
    <w:rsid w:val="00CC0EED"/>
    <w:rsid w:val="00CC12F5"/>
    <w:rsid w:val="00CC184D"/>
    <w:rsid w:val="00CC36CA"/>
    <w:rsid w:val="00CC51F6"/>
    <w:rsid w:val="00CC7DDC"/>
    <w:rsid w:val="00CD0455"/>
    <w:rsid w:val="00CD0BA6"/>
    <w:rsid w:val="00CD0FD7"/>
    <w:rsid w:val="00CD1EA1"/>
    <w:rsid w:val="00CD1FED"/>
    <w:rsid w:val="00CD265A"/>
    <w:rsid w:val="00CD3A7D"/>
    <w:rsid w:val="00CD3C84"/>
    <w:rsid w:val="00CD58AF"/>
    <w:rsid w:val="00CD70A6"/>
    <w:rsid w:val="00CE07DC"/>
    <w:rsid w:val="00CE1908"/>
    <w:rsid w:val="00CE2023"/>
    <w:rsid w:val="00CE222E"/>
    <w:rsid w:val="00CE795C"/>
    <w:rsid w:val="00CF1E32"/>
    <w:rsid w:val="00CF292A"/>
    <w:rsid w:val="00CF366A"/>
    <w:rsid w:val="00CF406C"/>
    <w:rsid w:val="00CF4093"/>
    <w:rsid w:val="00CF47EB"/>
    <w:rsid w:val="00CF5287"/>
    <w:rsid w:val="00CF5C80"/>
    <w:rsid w:val="00CF7167"/>
    <w:rsid w:val="00CF77E5"/>
    <w:rsid w:val="00CF7AEF"/>
    <w:rsid w:val="00D005D8"/>
    <w:rsid w:val="00D00C95"/>
    <w:rsid w:val="00D022B1"/>
    <w:rsid w:val="00D02FFA"/>
    <w:rsid w:val="00D04906"/>
    <w:rsid w:val="00D05BF0"/>
    <w:rsid w:val="00D05E6A"/>
    <w:rsid w:val="00D07217"/>
    <w:rsid w:val="00D10BE8"/>
    <w:rsid w:val="00D11762"/>
    <w:rsid w:val="00D12097"/>
    <w:rsid w:val="00D13902"/>
    <w:rsid w:val="00D15026"/>
    <w:rsid w:val="00D17C15"/>
    <w:rsid w:val="00D200F3"/>
    <w:rsid w:val="00D21A8C"/>
    <w:rsid w:val="00D23F9C"/>
    <w:rsid w:val="00D23FE8"/>
    <w:rsid w:val="00D2404D"/>
    <w:rsid w:val="00D27532"/>
    <w:rsid w:val="00D27FF1"/>
    <w:rsid w:val="00D324D1"/>
    <w:rsid w:val="00D3420F"/>
    <w:rsid w:val="00D352DC"/>
    <w:rsid w:val="00D35DD7"/>
    <w:rsid w:val="00D40A33"/>
    <w:rsid w:val="00D419E9"/>
    <w:rsid w:val="00D41E0C"/>
    <w:rsid w:val="00D41FEB"/>
    <w:rsid w:val="00D42003"/>
    <w:rsid w:val="00D44C80"/>
    <w:rsid w:val="00D44DC5"/>
    <w:rsid w:val="00D452AE"/>
    <w:rsid w:val="00D471B7"/>
    <w:rsid w:val="00D47875"/>
    <w:rsid w:val="00D508BF"/>
    <w:rsid w:val="00D50D64"/>
    <w:rsid w:val="00D512A1"/>
    <w:rsid w:val="00D51CDD"/>
    <w:rsid w:val="00D53595"/>
    <w:rsid w:val="00D53F6A"/>
    <w:rsid w:val="00D54E7F"/>
    <w:rsid w:val="00D556AA"/>
    <w:rsid w:val="00D55CBC"/>
    <w:rsid w:val="00D57C1F"/>
    <w:rsid w:val="00D60CB6"/>
    <w:rsid w:val="00D62534"/>
    <w:rsid w:val="00D62640"/>
    <w:rsid w:val="00D62A79"/>
    <w:rsid w:val="00D62C0E"/>
    <w:rsid w:val="00D630F7"/>
    <w:rsid w:val="00D64632"/>
    <w:rsid w:val="00D6484D"/>
    <w:rsid w:val="00D65329"/>
    <w:rsid w:val="00D653F5"/>
    <w:rsid w:val="00D66872"/>
    <w:rsid w:val="00D67DD8"/>
    <w:rsid w:val="00D70AAD"/>
    <w:rsid w:val="00D71DA1"/>
    <w:rsid w:val="00D73217"/>
    <w:rsid w:val="00D7378F"/>
    <w:rsid w:val="00D7692B"/>
    <w:rsid w:val="00D77E78"/>
    <w:rsid w:val="00D77F5F"/>
    <w:rsid w:val="00D82AFC"/>
    <w:rsid w:val="00D83CEC"/>
    <w:rsid w:val="00D84DC1"/>
    <w:rsid w:val="00D84ECD"/>
    <w:rsid w:val="00D861D9"/>
    <w:rsid w:val="00D86AEE"/>
    <w:rsid w:val="00D86EE7"/>
    <w:rsid w:val="00D87E93"/>
    <w:rsid w:val="00D900E7"/>
    <w:rsid w:val="00D92D2A"/>
    <w:rsid w:val="00D94186"/>
    <w:rsid w:val="00D94731"/>
    <w:rsid w:val="00D95310"/>
    <w:rsid w:val="00D95A2E"/>
    <w:rsid w:val="00D95F61"/>
    <w:rsid w:val="00D96D52"/>
    <w:rsid w:val="00D970E0"/>
    <w:rsid w:val="00D973FA"/>
    <w:rsid w:val="00D97924"/>
    <w:rsid w:val="00DA0AC4"/>
    <w:rsid w:val="00DA1D9C"/>
    <w:rsid w:val="00DA2949"/>
    <w:rsid w:val="00DA2968"/>
    <w:rsid w:val="00DA418A"/>
    <w:rsid w:val="00DA5472"/>
    <w:rsid w:val="00DA55A2"/>
    <w:rsid w:val="00DA56A4"/>
    <w:rsid w:val="00DA64D2"/>
    <w:rsid w:val="00DA6FFC"/>
    <w:rsid w:val="00DB00D2"/>
    <w:rsid w:val="00DB0483"/>
    <w:rsid w:val="00DB1E35"/>
    <w:rsid w:val="00DB3EBB"/>
    <w:rsid w:val="00DB54BD"/>
    <w:rsid w:val="00DB64A3"/>
    <w:rsid w:val="00DB7B3F"/>
    <w:rsid w:val="00DC0D1C"/>
    <w:rsid w:val="00DC32FB"/>
    <w:rsid w:val="00DC438D"/>
    <w:rsid w:val="00DC441B"/>
    <w:rsid w:val="00DC466C"/>
    <w:rsid w:val="00DC4B84"/>
    <w:rsid w:val="00DC4F83"/>
    <w:rsid w:val="00DC623F"/>
    <w:rsid w:val="00DC66F9"/>
    <w:rsid w:val="00DD22B3"/>
    <w:rsid w:val="00DD231E"/>
    <w:rsid w:val="00DD236C"/>
    <w:rsid w:val="00DD24AF"/>
    <w:rsid w:val="00DD373A"/>
    <w:rsid w:val="00DD4E44"/>
    <w:rsid w:val="00DD56D6"/>
    <w:rsid w:val="00DD6279"/>
    <w:rsid w:val="00DE04E2"/>
    <w:rsid w:val="00DE101A"/>
    <w:rsid w:val="00DE22CC"/>
    <w:rsid w:val="00DE3AF4"/>
    <w:rsid w:val="00DF0BCF"/>
    <w:rsid w:val="00DF0E6A"/>
    <w:rsid w:val="00DF2C5E"/>
    <w:rsid w:val="00DF6779"/>
    <w:rsid w:val="00DF6F10"/>
    <w:rsid w:val="00E0025D"/>
    <w:rsid w:val="00E0041D"/>
    <w:rsid w:val="00E00CC3"/>
    <w:rsid w:val="00E01452"/>
    <w:rsid w:val="00E015DF"/>
    <w:rsid w:val="00E031D6"/>
    <w:rsid w:val="00E03E18"/>
    <w:rsid w:val="00E04B9B"/>
    <w:rsid w:val="00E06F93"/>
    <w:rsid w:val="00E079E3"/>
    <w:rsid w:val="00E07AA0"/>
    <w:rsid w:val="00E109FF"/>
    <w:rsid w:val="00E116FC"/>
    <w:rsid w:val="00E12380"/>
    <w:rsid w:val="00E12869"/>
    <w:rsid w:val="00E13C2C"/>
    <w:rsid w:val="00E13D46"/>
    <w:rsid w:val="00E13DF8"/>
    <w:rsid w:val="00E17146"/>
    <w:rsid w:val="00E21233"/>
    <w:rsid w:val="00E21838"/>
    <w:rsid w:val="00E219D6"/>
    <w:rsid w:val="00E22185"/>
    <w:rsid w:val="00E239B7"/>
    <w:rsid w:val="00E245F8"/>
    <w:rsid w:val="00E25A3E"/>
    <w:rsid w:val="00E2689B"/>
    <w:rsid w:val="00E26F98"/>
    <w:rsid w:val="00E275C7"/>
    <w:rsid w:val="00E31E75"/>
    <w:rsid w:val="00E326F8"/>
    <w:rsid w:val="00E342BD"/>
    <w:rsid w:val="00E34727"/>
    <w:rsid w:val="00E35560"/>
    <w:rsid w:val="00E355C8"/>
    <w:rsid w:val="00E3653B"/>
    <w:rsid w:val="00E36F1B"/>
    <w:rsid w:val="00E408D5"/>
    <w:rsid w:val="00E418E1"/>
    <w:rsid w:val="00E41B25"/>
    <w:rsid w:val="00E41C89"/>
    <w:rsid w:val="00E42BAC"/>
    <w:rsid w:val="00E42DFC"/>
    <w:rsid w:val="00E43D28"/>
    <w:rsid w:val="00E45667"/>
    <w:rsid w:val="00E45E10"/>
    <w:rsid w:val="00E45FE7"/>
    <w:rsid w:val="00E46407"/>
    <w:rsid w:val="00E4730E"/>
    <w:rsid w:val="00E4784A"/>
    <w:rsid w:val="00E5007F"/>
    <w:rsid w:val="00E501E5"/>
    <w:rsid w:val="00E5196D"/>
    <w:rsid w:val="00E52FC7"/>
    <w:rsid w:val="00E54E05"/>
    <w:rsid w:val="00E55094"/>
    <w:rsid w:val="00E56013"/>
    <w:rsid w:val="00E5684B"/>
    <w:rsid w:val="00E575F1"/>
    <w:rsid w:val="00E606D3"/>
    <w:rsid w:val="00E60810"/>
    <w:rsid w:val="00E61125"/>
    <w:rsid w:val="00E624B2"/>
    <w:rsid w:val="00E62732"/>
    <w:rsid w:val="00E632C9"/>
    <w:rsid w:val="00E6337C"/>
    <w:rsid w:val="00E63DD0"/>
    <w:rsid w:val="00E65C2B"/>
    <w:rsid w:val="00E665E9"/>
    <w:rsid w:val="00E66993"/>
    <w:rsid w:val="00E6700A"/>
    <w:rsid w:val="00E67A9B"/>
    <w:rsid w:val="00E70034"/>
    <w:rsid w:val="00E72523"/>
    <w:rsid w:val="00E7298F"/>
    <w:rsid w:val="00E73385"/>
    <w:rsid w:val="00E748F7"/>
    <w:rsid w:val="00E80286"/>
    <w:rsid w:val="00E802E2"/>
    <w:rsid w:val="00E82E1D"/>
    <w:rsid w:val="00E84229"/>
    <w:rsid w:val="00E84415"/>
    <w:rsid w:val="00E84888"/>
    <w:rsid w:val="00E85C27"/>
    <w:rsid w:val="00E86CD0"/>
    <w:rsid w:val="00E87069"/>
    <w:rsid w:val="00E90786"/>
    <w:rsid w:val="00E90A0E"/>
    <w:rsid w:val="00E9388A"/>
    <w:rsid w:val="00E946CF"/>
    <w:rsid w:val="00E94C68"/>
    <w:rsid w:val="00E94F4E"/>
    <w:rsid w:val="00E96ACA"/>
    <w:rsid w:val="00E9760C"/>
    <w:rsid w:val="00EA1A1F"/>
    <w:rsid w:val="00EA1AC4"/>
    <w:rsid w:val="00EA2161"/>
    <w:rsid w:val="00EA447E"/>
    <w:rsid w:val="00EA4FC7"/>
    <w:rsid w:val="00EA61F6"/>
    <w:rsid w:val="00EA7BB5"/>
    <w:rsid w:val="00EB0710"/>
    <w:rsid w:val="00EB21FA"/>
    <w:rsid w:val="00EB32ED"/>
    <w:rsid w:val="00EB345B"/>
    <w:rsid w:val="00EB4366"/>
    <w:rsid w:val="00EB43C5"/>
    <w:rsid w:val="00EB6317"/>
    <w:rsid w:val="00EB67D3"/>
    <w:rsid w:val="00EB682C"/>
    <w:rsid w:val="00EC01AE"/>
    <w:rsid w:val="00EC0865"/>
    <w:rsid w:val="00EC18F1"/>
    <w:rsid w:val="00EC29AB"/>
    <w:rsid w:val="00EC325B"/>
    <w:rsid w:val="00EC49D1"/>
    <w:rsid w:val="00EC7513"/>
    <w:rsid w:val="00EC7918"/>
    <w:rsid w:val="00ED02C9"/>
    <w:rsid w:val="00ED066D"/>
    <w:rsid w:val="00ED26EF"/>
    <w:rsid w:val="00ED31E9"/>
    <w:rsid w:val="00ED350F"/>
    <w:rsid w:val="00ED359B"/>
    <w:rsid w:val="00ED4F15"/>
    <w:rsid w:val="00ED5D47"/>
    <w:rsid w:val="00ED6137"/>
    <w:rsid w:val="00ED6F6D"/>
    <w:rsid w:val="00ED7211"/>
    <w:rsid w:val="00ED772E"/>
    <w:rsid w:val="00EE0709"/>
    <w:rsid w:val="00EE17EF"/>
    <w:rsid w:val="00EE229D"/>
    <w:rsid w:val="00EE4A34"/>
    <w:rsid w:val="00EE565A"/>
    <w:rsid w:val="00EE70D4"/>
    <w:rsid w:val="00EE7EF3"/>
    <w:rsid w:val="00EF05E9"/>
    <w:rsid w:val="00EF0E7D"/>
    <w:rsid w:val="00EF28B4"/>
    <w:rsid w:val="00EF371B"/>
    <w:rsid w:val="00EF3ECF"/>
    <w:rsid w:val="00EF42AF"/>
    <w:rsid w:val="00EF4FEA"/>
    <w:rsid w:val="00EF5386"/>
    <w:rsid w:val="00EF5F79"/>
    <w:rsid w:val="00EF6AF8"/>
    <w:rsid w:val="00EF6FC2"/>
    <w:rsid w:val="00EF7424"/>
    <w:rsid w:val="00F00234"/>
    <w:rsid w:val="00F00643"/>
    <w:rsid w:val="00F02372"/>
    <w:rsid w:val="00F06C06"/>
    <w:rsid w:val="00F07037"/>
    <w:rsid w:val="00F07647"/>
    <w:rsid w:val="00F07A80"/>
    <w:rsid w:val="00F07D0B"/>
    <w:rsid w:val="00F12A23"/>
    <w:rsid w:val="00F144F9"/>
    <w:rsid w:val="00F1497F"/>
    <w:rsid w:val="00F15625"/>
    <w:rsid w:val="00F15A88"/>
    <w:rsid w:val="00F15FA8"/>
    <w:rsid w:val="00F1604B"/>
    <w:rsid w:val="00F164E2"/>
    <w:rsid w:val="00F17C09"/>
    <w:rsid w:val="00F204CE"/>
    <w:rsid w:val="00F20781"/>
    <w:rsid w:val="00F211F8"/>
    <w:rsid w:val="00F22E92"/>
    <w:rsid w:val="00F23190"/>
    <w:rsid w:val="00F2346C"/>
    <w:rsid w:val="00F24328"/>
    <w:rsid w:val="00F26113"/>
    <w:rsid w:val="00F26FD7"/>
    <w:rsid w:val="00F30589"/>
    <w:rsid w:val="00F306AA"/>
    <w:rsid w:val="00F307C4"/>
    <w:rsid w:val="00F30A17"/>
    <w:rsid w:val="00F3168D"/>
    <w:rsid w:val="00F319B7"/>
    <w:rsid w:val="00F32462"/>
    <w:rsid w:val="00F3286B"/>
    <w:rsid w:val="00F329C5"/>
    <w:rsid w:val="00F340E8"/>
    <w:rsid w:val="00F36AD7"/>
    <w:rsid w:val="00F36DD4"/>
    <w:rsid w:val="00F4097C"/>
    <w:rsid w:val="00F41F57"/>
    <w:rsid w:val="00F42066"/>
    <w:rsid w:val="00F43A6F"/>
    <w:rsid w:val="00F44223"/>
    <w:rsid w:val="00F443CE"/>
    <w:rsid w:val="00F449B3"/>
    <w:rsid w:val="00F4569E"/>
    <w:rsid w:val="00F45F35"/>
    <w:rsid w:val="00F4707A"/>
    <w:rsid w:val="00F47371"/>
    <w:rsid w:val="00F47782"/>
    <w:rsid w:val="00F477B6"/>
    <w:rsid w:val="00F510C1"/>
    <w:rsid w:val="00F5155A"/>
    <w:rsid w:val="00F51CE3"/>
    <w:rsid w:val="00F5240E"/>
    <w:rsid w:val="00F52A78"/>
    <w:rsid w:val="00F54172"/>
    <w:rsid w:val="00F5697A"/>
    <w:rsid w:val="00F62C9F"/>
    <w:rsid w:val="00F63C54"/>
    <w:rsid w:val="00F64103"/>
    <w:rsid w:val="00F65033"/>
    <w:rsid w:val="00F66122"/>
    <w:rsid w:val="00F66B5A"/>
    <w:rsid w:val="00F66D0A"/>
    <w:rsid w:val="00F70CE6"/>
    <w:rsid w:val="00F716EB"/>
    <w:rsid w:val="00F7286F"/>
    <w:rsid w:val="00F72974"/>
    <w:rsid w:val="00F739CB"/>
    <w:rsid w:val="00F76C88"/>
    <w:rsid w:val="00F7722C"/>
    <w:rsid w:val="00F77260"/>
    <w:rsid w:val="00F77CB8"/>
    <w:rsid w:val="00F814EB"/>
    <w:rsid w:val="00F815D6"/>
    <w:rsid w:val="00F817CB"/>
    <w:rsid w:val="00F82AFA"/>
    <w:rsid w:val="00F83C76"/>
    <w:rsid w:val="00F83F82"/>
    <w:rsid w:val="00F84C18"/>
    <w:rsid w:val="00F855A5"/>
    <w:rsid w:val="00F855E5"/>
    <w:rsid w:val="00F864E0"/>
    <w:rsid w:val="00F865CA"/>
    <w:rsid w:val="00F91109"/>
    <w:rsid w:val="00F9180E"/>
    <w:rsid w:val="00F91A47"/>
    <w:rsid w:val="00F921CF"/>
    <w:rsid w:val="00F92C68"/>
    <w:rsid w:val="00F931AD"/>
    <w:rsid w:val="00F9372C"/>
    <w:rsid w:val="00F95F8A"/>
    <w:rsid w:val="00F977A9"/>
    <w:rsid w:val="00FA0897"/>
    <w:rsid w:val="00FA0CF7"/>
    <w:rsid w:val="00FA1453"/>
    <w:rsid w:val="00FA20DD"/>
    <w:rsid w:val="00FA22A8"/>
    <w:rsid w:val="00FA2AD8"/>
    <w:rsid w:val="00FA5421"/>
    <w:rsid w:val="00FB0B18"/>
    <w:rsid w:val="00FB1EA7"/>
    <w:rsid w:val="00FB22A1"/>
    <w:rsid w:val="00FB3398"/>
    <w:rsid w:val="00FB3952"/>
    <w:rsid w:val="00FB6A60"/>
    <w:rsid w:val="00FB7EFF"/>
    <w:rsid w:val="00FC4779"/>
    <w:rsid w:val="00FC572A"/>
    <w:rsid w:val="00FC6B1B"/>
    <w:rsid w:val="00FC7CE6"/>
    <w:rsid w:val="00FC7FE3"/>
    <w:rsid w:val="00FD0B7B"/>
    <w:rsid w:val="00FD1519"/>
    <w:rsid w:val="00FD2634"/>
    <w:rsid w:val="00FD2736"/>
    <w:rsid w:val="00FD3524"/>
    <w:rsid w:val="00FD5385"/>
    <w:rsid w:val="00FD7666"/>
    <w:rsid w:val="00FD7F83"/>
    <w:rsid w:val="00FE0147"/>
    <w:rsid w:val="00FE056F"/>
    <w:rsid w:val="00FE1C67"/>
    <w:rsid w:val="00FE269C"/>
    <w:rsid w:val="00FE2F49"/>
    <w:rsid w:val="00FE3047"/>
    <w:rsid w:val="00FE30C7"/>
    <w:rsid w:val="00FE3F58"/>
    <w:rsid w:val="00FE5F4A"/>
    <w:rsid w:val="00FF00BE"/>
    <w:rsid w:val="00FF0F95"/>
    <w:rsid w:val="00FF3A63"/>
    <w:rsid w:val="00FF4803"/>
    <w:rsid w:val="00FF5039"/>
    <w:rsid w:val="00FF7152"/>
    <w:rsid w:val="00FF74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D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HeaderChar">
    <w:name w:val="Header Char"/>
    <w:basedOn w:val="DefaultParagraphFont"/>
    <w:link w:val="Header"/>
    <w:uiPriority w:val="99"/>
    <w:rsid w:val="000239F9"/>
    <w:rPr>
      <w:rFonts w:ascii="Times New Roman" w:eastAsia="Times New Roman" w:hAnsi="Times New Roman" w:cs="Times New Roman"/>
      <w:sz w:val="24"/>
      <w:szCs w:val="24"/>
      <w:lang w:val="x-none" w:eastAsia="x-none"/>
    </w:rPr>
  </w:style>
  <w:style w:type="paragraph" w:styleId="Footer">
    <w:name w:val="footer"/>
    <w:basedOn w:val="Normal"/>
    <w:link w:val="FooterChar"/>
    <w:uiPriority w:val="99"/>
    <w:unhideWhenUsed/>
    <w:rsid w:val="000239F9"/>
    <w:pPr>
      <w:tabs>
        <w:tab w:val="center" w:pos="4153"/>
        <w:tab w:val="right" w:pos="8306"/>
      </w:tabs>
      <w:spacing w:after="0" w:line="240" w:lineRule="auto"/>
    </w:pPr>
    <w:rPr>
      <w:rFonts w:ascii="Times New Roman" w:eastAsia="Times New Roman" w:hAnsi="Times New Roman" w:cs="Times New Roman"/>
      <w:sz w:val="24"/>
      <w:szCs w:val="24"/>
      <w:lang w:val="x-none" w:eastAsia="x-none"/>
    </w:rPr>
  </w:style>
  <w:style w:type="character" w:customStyle="1" w:styleId="FooterChar">
    <w:name w:val="Footer Char"/>
    <w:basedOn w:val="DefaultParagraphFont"/>
    <w:link w:val="Footer"/>
    <w:uiPriority w:val="99"/>
    <w:rsid w:val="000239F9"/>
    <w:rPr>
      <w:rFonts w:ascii="Times New Roman" w:eastAsia="Times New Roman" w:hAnsi="Times New Roman" w:cs="Times New Roman"/>
      <w:sz w:val="24"/>
      <w:szCs w:val="24"/>
      <w:lang w:val="x-none" w:eastAsia="x-none"/>
    </w:rPr>
  </w:style>
  <w:style w:type="paragraph" w:styleId="ListParagraph">
    <w:name w:val="List Paragraph"/>
    <w:aliases w:val="2,H&amp;P List Paragraph,Strip"/>
    <w:basedOn w:val="Normal"/>
    <w:link w:val="ListParagraphChar"/>
    <w:uiPriority w:val="34"/>
    <w:qFormat/>
    <w:rsid w:val="00DC441B"/>
    <w:pPr>
      <w:ind w:left="720"/>
      <w:contextualSpacing/>
    </w:pPr>
  </w:style>
  <w:style w:type="character" w:styleId="Hyperlink">
    <w:name w:val="Hyperlink"/>
    <w:basedOn w:val="DefaultParagraphFont"/>
    <w:uiPriority w:val="99"/>
    <w:unhideWhenUsed/>
    <w:rsid w:val="00E46407"/>
    <w:rPr>
      <w:color w:val="0000FF" w:themeColor="hyperlink"/>
      <w:u w:val="single"/>
    </w:rPr>
  </w:style>
  <w:style w:type="paragraph" w:styleId="BalloonText">
    <w:name w:val="Balloon Text"/>
    <w:basedOn w:val="Normal"/>
    <w:link w:val="BalloonTextChar"/>
    <w:uiPriority w:val="99"/>
    <w:semiHidden/>
    <w:unhideWhenUsed/>
    <w:rsid w:val="00CE79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795C"/>
    <w:rPr>
      <w:rFonts w:ascii="Tahoma" w:hAnsi="Tahoma" w:cs="Tahoma"/>
      <w:sz w:val="16"/>
      <w:szCs w:val="16"/>
    </w:rPr>
  </w:style>
  <w:style w:type="character" w:styleId="CommentReference">
    <w:name w:val="annotation reference"/>
    <w:basedOn w:val="DefaultParagraphFont"/>
    <w:uiPriority w:val="99"/>
    <w:semiHidden/>
    <w:unhideWhenUsed/>
    <w:rsid w:val="00204E04"/>
    <w:rPr>
      <w:sz w:val="16"/>
      <w:szCs w:val="16"/>
    </w:rPr>
  </w:style>
  <w:style w:type="paragraph" w:styleId="CommentText">
    <w:name w:val="annotation text"/>
    <w:basedOn w:val="Normal"/>
    <w:link w:val="CommentTextChar"/>
    <w:uiPriority w:val="99"/>
    <w:unhideWhenUsed/>
    <w:rsid w:val="00204E04"/>
    <w:pPr>
      <w:spacing w:line="240" w:lineRule="auto"/>
    </w:pPr>
    <w:rPr>
      <w:sz w:val="20"/>
      <w:szCs w:val="20"/>
    </w:rPr>
  </w:style>
  <w:style w:type="character" w:customStyle="1" w:styleId="CommentTextChar">
    <w:name w:val="Comment Text Char"/>
    <w:basedOn w:val="DefaultParagraphFont"/>
    <w:link w:val="CommentText"/>
    <w:uiPriority w:val="99"/>
    <w:rsid w:val="00204E04"/>
    <w:rPr>
      <w:sz w:val="20"/>
      <w:szCs w:val="20"/>
    </w:rPr>
  </w:style>
  <w:style w:type="paragraph" w:styleId="CommentSubject">
    <w:name w:val="annotation subject"/>
    <w:basedOn w:val="CommentText"/>
    <w:next w:val="CommentText"/>
    <w:link w:val="CommentSubjectChar"/>
    <w:uiPriority w:val="99"/>
    <w:semiHidden/>
    <w:unhideWhenUsed/>
    <w:rsid w:val="00204E04"/>
    <w:rPr>
      <w:b/>
      <w:bCs/>
    </w:rPr>
  </w:style>
  <w:style w:type="character" w:customStyle="1" w:styleId="CommentSubjectChar">
    <w:name w:val="Comment Subject Char"/>
    <w:basedOn w:val="CommentTextChar"/>
    <w:link w:val="CommentSubject"/>
    <w:uiPriority w:val="99"/>
    <w:semiHidden/>
    <w:rsid w:val="00204E04"/>
    <w:rPr>
      <w:b/>
      <w:bCs/>
      <w:sz w:val="20"/>
      <w:szCs w:val="20"/>
    </w:rPr>
  </w:style>
  <w:style w:type="paragraph" w:styleId="FootnoteText">
    <w:name w:val="footnote text"/>
    <w:basedOn w:val="Normal"/>
    <w:link w:val="FootnoteTextChar"/>
    <w:uiPriority w:val="99"/>
    <w:rsid w:val="0020004D"/>
    <w:pPr>
      <w:spacing w:after="0" w:line="240" w:lineRule="auto"/>
      <w:jc w:val="both"/>
    </w:pPr>
    <w:rPr>
      <w:rFonts w:ascii="Times New Roman" w:eastAsiaTheme="minorEastAsia" w:hAnsi="Times New Roman" w:cs="Times New Roman"/>
      <w:sz w:val="20"/>
      <w:szCs w:val="20"/>
    </w:rPr>
  </w:style>
  <w:style w:type="character" w:customStyle="1" w:styleId="FootnoteTextChar">
    <w:name w:val="Footnote Text Char"/>
    <w:basedOn w:val="DefaultParagraphFont"/>
    <w:link w:val="FootnoteText"/>
    <w:uiPriority w:val="99"/>
    <w:rsid w:val="0020004D"/>
    <w:rPr>
      <w:rFonts w:ascii="Times New Roman" w:eastAsiaTheme="minorEastAsia" w:hAnsi="Times New Roman" w:cs="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rsid w:val="0020004D"/>
    <w:rPr>
      <w:vertAlign w:val="superscript"/>
    </w:rPr>
  </w:style>
  <w:style w:type="character" w:customStyle="1" w:styleId="ListParagraphChar">
    <w:name w:val="List Paragraph Char"/>
    <w:aliases w:val="2 Char,H&amp;P List Paragraph Char,Strip Char"/>
    <w:link w:val="ListParagraph"/>
    <w:uiPriority w:val="34"/>
    <w:qFormat/>
    <w:locked/>
    <w:rsid w:val="0020004D"/>
  </w:style>
  <w:style w:type="paragraph" w:styleId="Revision">
    <w:name w:val="Revision"/>
    <w:hidden/>
    <w:uiPriority w:val="99"/>
    <w:semiHidden/>
    <w:rsid w:val="003176EF"/>
    <w:pPr>
      <w:spacing w:after="0" w:line="240" w:lineRule="auto"/>
    </w:pPr>
  </w:style>
  <w:style w:type="character" w:styleId="Emphasis">
    <w:name w:val="Emphasis"/>
    <w:basedOn w:val="DefaultParagraphFont"/>
    <w:uiPriority w:val="20"/>
    <w:qFormat/>
    <w:rsid w:val="00082C90"/>
    <w:rPr>
      <w:b/>
      <w:bCs/>
      <w:i w:val="0"/>
      <w:iCs w:val="0"/>
    </w:rPr>
  </w:style>
  <w:style w:type="character" w:customStyle="1" w:styleId="st1">
    <w:name w:val="st1"/>
    <w:basedOn w:val="DefaultParagraphFont"/>
    <w:rsid w:val="00082C90"/>
  </w:style>
  <w:style w:type="character" w:styleId="FollowedHyperlink">
    <w:name w:val="FollowedHyperlink"/>
    <w:basedOn w:val="DefaultParagraphFont"/>
    <w:uiPriority w:val="99"/>
    <w:semiHidden/>
    <w:unhideWhenUsed/>
    <w:rsid w:val="00F65033"/>
    <w:rPr>
      <w:color w:val="800080" w:themeColor="followedHyperlink"/>
      <w:u w:val="single"/>
    </w:rPr>
  </w:style>
  <w:style w:type="paragraph" w:customStyle="1" w:styleId="c3">
    <w:name w:val="c3"/>
    <w:basedOn w:val="Normal"/>
    <w:rsid w:val="00022A62"/>
    <w:pPr>
      <w:spacing w:before="100" w:beforeAutospacing="1" w:after="100" w:afterAutospacing="1" w:line="240" w:lineRule="auto"/>
      <w:jc w:val="both"/>
    </w:pPr>
    <w:rPr>
      <w:rFonts w:ascii="Times New Roman" w:hAnsi="Times New Roman" w:cs="Times New Roman"/>
      <w:sz w:val="24"/>
      <w:szCs w:val="24"/>
      <w:lang w:eastAsia="lv-LV"/>
    </w:rPr>
  </w:style>
  <w:style w:type="character" w:customStyle="1" w:styleId="c4">
    <w:name w:val="c4"/>
    <w:basedOn w:val="DefaultParagraphFont"/>
    <w:rsid w:val="00022A62"/>
    <w:rPr>
      <w:rFonts w:ascii="Symbol" w:hAnsi="Symbol" w:hint="default"/>
      <w:sz w:val="28"/>
      <w:szCs w:val="28"/>
    </w:rPr>
  </w:style>
  <w:style w:type="paragraph" w:customStyle="1" w:styleId="naisf">
    <w:name w:val="naisf"/>
    <w:basedOn w:val="Normal"/>
    <w:rsid w:val="00022A62"/>
    <w:pPr>
      <w:spacing w:before="75" w:after="75" w:line="240" w:lineRule="auto"/>
      <w:ind w:firstLine="375"/>
      <w:jc w:val="both"/>
    </w:pPr>
    <w:rPr>
      <w:rFonts w:ascii="Times New Roman" w:eastAsia="Times New Roman" w:hAnsi="Times New Roman" w:cs="Times New Roman"/>
      <w:sz w:val="24"/>
      <w:szCs w:val="24"/>
      <w:lang w:eastAsia="lv-LV"/>
    </w:rPr>
  </w:style>
  <w:style w:type="paragraph" w:customStyle="1" w:styleId="Default">
    <w:name w:val="Default"/>
    <w:rsid w:val="00276883"/>
    <w:pPr>
      <w:autoSpaceDE w:val="0"/>
      <w:autoSpaceDN w:val="0"/>
      <w:adjustRightInd w:val="0"/>
      <w:spacing w:after="0" w:line="240" w:lineRule="auto"/>
    </w:pPr>
    <w:rPr>
      <w:rFonts w:ascii="Times New Roman" w:eastAsia="Calibri" w:hAnsi="Times New Roman" w:cs="Times New Roman"/>
      <w:color w:val="000000"/>
      <w:sz w:val="24"/>
      <w:szCs w:val="24"/>
      <w:lang w:eastAsia="lv-LV"/>
    </w:rPr>
  </w:style>
  <w:style w:type="paragraph" w:customStyle="1" w:styleId="naiskr">
    <w:name w:val="naiskr"/>
    <w:basedOn w:val="Normal"/>
    <w:rsid w:val="00754031"/>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DefaultParagraphFont"/>
    <w:rsid w:val="00606F7E"/>
  </w:style>
  <w:style w:type="paragraph" w:customStyle="1" w:styleId="tv2132">
    <w:name w:val="tv2132"/>
    <w:basedOn w:val="Normal"/>
    <w:rsid w:val="005B30B9"/>
    <w:pPr>
      <w:spacing w:after="0" w:line="360" w:lineRule="auto"/>
      <w:ind w:firstLine="300"/>
    </w:pPr>
    <w:rPr>
      <w:rFonts w:ascii="Times New Roman" w:eastAsia="Times New Roman" w:hAnsi="Times New Roman" w:cs="Times New Roman"/>
      <w:color w:val="414142"/>
      <w:sz w:val="20"/>
      <w:szCs w:val="20"/>
      <w:lang w:eastAsia="lv-LV"/>
    </w:rPr>
  </w:style>
  <w:style w:type="paragraph" w:customStyle="1" w:styleId="tv213">
    <w:name w:val="tv213"/>
    <w:basedOn w:val="Normal"/>
    <w:rsid w:val="000417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aisc">
    <w:name w:val="naisc"/>
    <w:basedOn w:val="Normal"/>
    <w:rsid w:val="00A33F1F"/>
    <w:pPr>
      <w:spacing w:before="75" w:after="75" w:line="240" w:lineRule="auto"/>
      <w:jc w:val="center"/>
    </w:pPr>
    <w:rPr>
      <w:rFonts w:ascii="Times New Roman" w:eastAsia="Times New Roman" w:hAnsi="Times New Roman" w:cs="Times New Roman"/>
      <w:sz w:val="24"/>
      <w:szCs w:val="24"/>
      <w:lang w:eastAsia="lv-LV"/>
    </w:rPr>
  </w:style>
  <w:style w:type="paragraph" w:customStyle="1" w:styleId="Normal1">
    <w:name w:val="Normal1"/>
    <w:basedOn w:val="Normal"/>
    <w:rsid w:val="0002684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DefaultParagraphFont"/>
    <w:uiPriority w:val="99"/>
    <w:semiHidden/>
    <w:unhideWhenUsed/>
    <w:rsid w:val="00144377"/>
    <w:rPr>
      <w:color w:val="808080"/>
      <w:shd w:val="clear" w:color="auto" w:fill="E6E6E6"/>
    </w:rPr>
  </w:style>
  <w:style w:type="character" w:customStyle="1" w:styleId="UnresolvedMention2">
    <w:name w:val="Unresolved Mention2"/>
    <w:basedOn w:val="DefaultParagraphFont"/>
    <w:uiPriority w:val="99"/>
    <w:semiHidden/>
    <w:unhideWhenUsed/>
    <w:rsid w:val="006F0C0E"/>
    <w:rPr>
      <w:color w:val="605E5C"/>
      <w:shd w:val="clear" w:color="auto" w:fill="E1DFDD"/>
    </w:rPr>
  </w:style>
  <w:style w:type="paragraph" w:styleId="NormalWeb">
    <w:name w:val="Normal (Web)"/>
    <w:basedOn w:val="Normal"/>
    <w:uiPriority w:val="99"/>
    <w:rsid w:val="00C353B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NoSpacing">
    <w:name w:val="No Spacing"/>
    <w:basedOn w:val="Normal"/>
    <w:next w:val="Normal"/>
    <w:uiPriority w:val="1"/>
    <w:qFormat/>
    <w:rsid w:val="00130723"/>
    <w:pPr>
      <w:widowControl w:val="0"/>
      <w:spacing w:after="0" w:line="240" w:lineRule="auto"/>
      <w:jc w:val="both"/>
    </w:pPr>
    <w:rPr>
      <w:rFonts w:ascii="Times New Roman" w:eastAsia="Calibri" w:hAnsi="Times New Roman" w:cs="Times New Roman"/>
      <w:sz w:val="24"/>
    </w:rPr>
  </w:style>
  <w:style w:type="paragraph" w:customStyle="1" w:styleId="naisvisr">
    <w:name w:val="naisvisr"/>
    <w:basedOn w:val="Normal"/>
    <w:uiPriority w:val="99"/>
    <w:rsid w:val="00015B53"/>
    <w:pPr>
      <w:spacing w:before="150" w:after="150" w:line="240" w:lineRule="auto"/>
      <w:jc w:val="center"/>
    </w:pPr>
    <w:rPr>
      <w:rFonts w:ascii="Times New Roman" w:eastAsia="Times New Roman" w:hAnsi="Times New Roman" w:cs="Times New Roman"/>
      <w:b/>
      <w:bCs/>
      <w:sz w:val="28"/>
      <w:szCs w:val="28"/>
      <w:lang w:eastAsia="lv-LV"/>
    </w:rPr>
  </w:style>
  <w:style w:type="paragraph" w:styleId="BodyTextIndent">
    <w:name w:val="Body Text Indent"/>
    <w:basedOn w:val="Normal"/>
    <w:link w:val="BodyTextIndentChar"/>
    <w:uiPriority w:val="99"/>
    <w:unhideWhenUsed/>
    <w:rsid w:val="00AF1DF6"/>
    <w:pPr>
      <w:spacing w:after="120" w:line="240" w:lineRule="auto"/>
      <w:ind w:left="283"/>
    </w:pPr>
    <w:rPr>
      <w:rFonts w:ascii="Times New Roman" w:eastAsia="Times New Roman" w:hAnsi="Times New Roman" w:cs="Times New Roman"/>
      <w:sz w:val="24"/>
      <w:szCs w:val="24"/>
      <w:lang w:eastAsia="lv-LV"/>
    </w:rPr>
  </w:style>
  <w:style w:type="character" w:customStyle="1" w:styleId="BodyTextIndentChar">
    <w:name w:val="Body Text Indent Char"/>
    <w:basedOn w:val="DefaultParagraphFont"/>
    <w:link w:val="BodyTextIndent"/>
    <w:uiPriority w:val="99"/>
    <w:rsid w:val="00AF1DF6"/>
    <w:rPr>
      <w:rFonts w:ascii="Times New Roman" w:eastAsia="Times New Roman" w:hAnsi="Times New Roman" w:cs="Times New Roman"/>
      <w:sz w:val="24"/>
      <w:szCs w:val="24"/>
      <w:lang w:eastAsia="lv-LV"/>
    </w:rPr>
  </w:style>
  <w:style w:type="paragraph" w:customStyle="1" w:styleId="xmsonormal">
    <w:name w:val="x_msonormal"/>
    <w:basedOn w:val="Normal"/>
    <w:rsid w:val="00AF1DF6"/>
    <w:pPr>
      <w:spacing w:after="0" w:line="240" w:lineRule="auto"/>
    </w:pPr>
    <w:rPr>
      <w:rFonts w:ascii="Calibri" w:eastAsia="Calibri" w:hAnsi="Calibri" w:cs="Calibri"/>
      <w:lang w:eastAsia="lv-LV"/>
    </w:rPr>
  </w:style>
  <w:style w:type="paragraph" w:customStyle="1" w:styleId="h2">
    <w:name w:val="h2"/>
    <w:basedOn w:val="Normal"/>
    <w:uiPriority w:val="99"/>
    <w:rsid w:val="00AF1DF6"/>
    <w:pPr>
      <w:spacing w:before="100" w:beforeAutospacing="1" w:after="100" w:afterAutospacing="1" w:line="240" w:lineRule="auto"/>
    </w:pPr>
    <w:rPr>
      <w:rFonts w:ascii="Times New Roman" w:eastAsia="Times New Roman" w:hAnsi="Times New Roman" w:cs="Times New Roman"/>
      <w:color w:val="306060"/>
      <w:sz w:val="24"/>
      <w:szCs w:val="24"/>
      <w:lang w:eastAsia="lv-LV"/>
    </w:rPr>
  </w:style>
  <w:style w:type="character" w:customStyle="1" w:styleId="UnresolvedMention3">
    <w:name w:val="Unresolved Mention3"/>
    <w:basedOn w:val="DefaultParagraphFont"/>
    <w:uiPriority w:val="99"/>
    <w:semiHidden/>
    <w:unhideWhenUsed/>
    <w:rsid w:val="00E7298F"/>
    <w:rPr>
      <w:color w:val="605E5C"/>
      <w:shd w:val="clear" w:color="auto" w:fill="E1DFDD"/>
    </w:rPr>
  </w:style>
  <w:style w:type="character" w:customStyle="1" w:styleId="cf01">
    <w:name w:val="cf01"/>
    <w:basedOn w:val="DefaultParagraphFont"/>
    <w:rsid w:val="00580D53"/>
    <w:rPr>
      <w:rFonts w:ascii="Segoe UI" w:hAnsi="Segoe UI" w:cs="Segoe UI" w:hint="default"/>
      <w:sz w:val="18"/>
      <w:szCs w:val="18"/>
    </w:rPr>
  </w:style>
  <w:style w:type="paragraph" w:customStyle="1" w:styleId="xmsonospacing">
    <w:name w:val="x_msonospacing"/>
    <w:basedOn w:val="Normal"/>
    <w:rsid w:val="0060775B"/>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m7151801605556204853gmail-msonospacing">
    <w:name w:val="m_7151801605556204853gmail-msonospacing"/>
    <w:basedOn w:val="Normal"/>
    <w:rsid w:val="006E124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m7151801605556204853gmail-naisc">
    <w:name w:val="m_7151801605556204853gmail-naisc"/>
    <w:basedOn w:val="Normal"/>
    <w:rsid w:val="006E124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4">
    <w:name w:val="Unresolved Mention4"/>
    <w:basedOn w:val="DefaultParagraphFont"/>
    <w:uiPriority w:val="99"/>
    <w:semiHidden/>
    <w:unhideWhenUsed/>
    <w:rsid w:val="00176E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43482">
      <w:bodyDiv w:val="1"/>
      <w:marLeft w:val="0"/>
      <w:marRight w:val="0"/>
      <w:marTop w:val="0"/>
      <w:marBottom w:val="0"/>
      <w:divBdr>
        <w:top w:val="none" w:sz="0" w:space="0" w:color="auto"/>
        <w:left w:val="none" w:sz="0" w:space="0" w:color="auto"/>
        <w:bottom w:val="none" w:sz="0" w:space="0" w:color="auto"/>
        <w:right w:val="none" w:sz="0" w:space="0" w:color="auto"/>
      </w:divBdr>
    </w:div>
    <w:div w:id="116526879">
      <w:bodyDiv w:val="1"/>
      <w:marLeft w:val="0"/>
      <w:marRight w:val="0"/>
      <w:marTop w:val="0"/>
      <w:marBottom w:val="0"/>
      <w:divBdr>
        <w:top w:val="none" w:sz="0" w:space="0" w:color="auto"/>
        <w:left w:val="none" w:sz="0" w:space="0" w:color="auto"/>
        <w:bottom w:val="none" w:sz="0" w:space="0" w:color="auto"/>
        <w:right w:val="none" w:sz="0" w:space="0" w:color="auto"/>
      </w:divBdr>
    </w:div>
    <w:div w:id="124011265">
      <w:bodyDiv w:val="1"/>
      <w:marLeft w:val="0"/>
      <w:marRight w:val="0"/>
      <w:marTop w:val="0"/>
      <w:marBottom w:val="0"/>
      <w:divBdr>
        <w:top w:val="none" w:sz="0" w:space="0" w:color="auto"/>
        <w:left w:val="none" w:sz="0" w:space="0" w:color="auto"/>
        <w:bottom w:val="none" w:sz="0" w:space="0" w:color="auto"/>
        <w:right w:val="none" w:sz="0" w:space="0" w:color="auto"/>
      </w:divBdr>
      <w:divsChild>
        <w:div w:id="191919462">
          <w:marLeft w:val="1440"/>
          <w:marRight w:val="0"/>
          <w:marTop w:val="115"/>
          <w:marBottom w:val="0"/>
          <w:divBdr>
            <w:top w:val="none" w:sz="0" w:space="0" w:color="auto"/>
            <w:left w:val="none" w:sz="0" w:space="0" w:color="auto"/>
            <w:bottom w:val="none" w:sz="0" w:space="0" w:color="auto"/>
            <w:right w:val="none" w:sz="0" w:space="0" w:color="auto"/>
          </w:divBdr>
        </w:div>
        <w:div w:id="556278350">
          <w:marLeft w:val="1440"/>
          <w:marRight w:val="0"/>
          <w:marTop w:val="115"/>
          <w:marBottom w:val="0"/>
          <w:divBdr>
            <w:top w:val="none" w:sz="0" w:space="0" w:color="auto"/>
            <w:left w:val="none" w:sz="0" w:space="0" w:color="auto"/>
            <w:bottom w:val="none" w:sz="0" w:space="0" w:color="auto"/>
            <w:right w:val="none" w:sz="0" w:space="0" w:color="auto"/>
          </w:divBdr>
        </w:div>
        <w:div w:id="638268564">
          <w:marLeft w:val="1440"/>
          <w:marRight w:val="0"/>
          <w:marTop w:val="115"/>
          <w:marBottom w:val="0"/>
          <w:divBdr>
            <w:top w:val="none" w:sz="0" w:space="0" w:color="auto"/>
            <w:left w:val="none" w:sz="0" w:space="0" w:color="auto"/>
            <w:bottom w:val="none" w:sz="0" w:space="0" w:color="auto"/>
            <w:right w:val="none" w:sz="0" w:space="0" w:color="auto"/>
          </w:divBdr>
        </w:div>
        <w:div w:id="1772629175">
          <w:marLeft w:val="1440"/>
          <w:marRight w:val="0"/>
          <w:marTop w:val="115"/>
          <w:marBottom w:val="0"/>
          <w:divBdr>
            <w:top w:val="none" w:sz="0" w:space="0" w:color="auto"/>
            <w:left w:val="none" w:sz="0" w:space="0" w:color="auto"/>
            <w:bottom w:val="none" w:sz="0" w:space="0" w:color="auto"/>
            <w:right w:val="none" w:sz="0" w:space="0" w:color="auto"/>
          </w:divBdr>
        </w:div>
      </w:divsChild>
    </w:div>
    <w:div w:id="138497731">
      <w:bodyDiv w:val="1"/>
      <w:marLeft w:val="0"/>
      <w:marRight w:val="0"/>
      <w:marTop w:val="0"/>
      <w:marBottom w:val="0"/>
      <w:divBdr>
        <w:top w:val="none" w:sz="0" w:space="0" w:color="auto"/>
        <w:left w:val="none" w:sz="0" w:space="0" w:color="auto"/>
        <w:bottom w:val="none" w:sz="0" w:space="0" w:color="auto"/>
        <w:right w:val="none" w:sz="0" w:space="0" w:color="auto"/>
      </w:divBdr>
    </w:div>
    <w:div w:id="157499217">
      <w:bodyDiv w:val="1"/>
      <w:marLeft w:val="0"/>
      <w:marRight w:val="0"/>
      <w:marTop w:val="0"/>
      <w:marBottom w:val="0"/>
      <w:divBdr>
        <w:top w:val="none" w:sz="0" w:space="0" w:color="auto"/>
        <w:left w:val="none" w:sz="0" w:space="0" w:color="auto"/>
        <w:bottom w:val="none" w:sz="0" w:space="0" w:color="auto"/>
        <w:right w:val="none" w:sz="0" w:space="0" w:color="auto"/>
      </w:divBdr>
    </w:div>
    <w:div w:id="179470172">
      <w:bodyDiv w:val="1"/>
      <w:marLeft w:val="0"/>
      <w:marRight w:val="0"/>
      <w:marTop w:val="0"/>
      <w:marBottom w:val="0"/>
      <w:divBdr>
        <w:top w:val="none" w:sz="0" w:space="0" w:color="auto"/>
        <w:left w:val="none" w:sz="0" w:space="0" w:color="auto"/>
        <w:bottom w:val="none" w:sz="0" w:space="0" w:color="auto"/>
        <w:right w:val="none" w:sz="0" w:space="0" w:color="auto"/>
      </w:divBdr>
      <w:divsChild>
        <w:div w:id="261376744">
          <w:marLeft w:val="0"/>
          <w:marRight w:val="0"/>
          <w:marTop w:val="0"/>
          <w:marBottom w:val="0"/>
          <w:divBdr>
            <w:top w:val="none" w:sz="0" w:space="0" w:color="auto"/>
            <w:left w:val="none" w:sz="0" w:space="0" w:color="auto"/>
            <w:bottom w:val="none" w:sz="0" w:space="0" w:color="auto"/>
            <w:right w:val="none" w:sz="0" w:space="0" w:color="auto"/>
          </w:divBdr>
        </w:div>
        <w:div w:id="439838530">
          <w:marLeft w:val="0"/>
          <w:marRight w:val="0"/>
          <w:marTop w:val="0"/>
          <w:marBottom w:val="0"/>
          <w:divBdr>
            <w:top w:val="none" w:sz="0" w:space="0" w:color="auto"/>
            <w:left w:val="none" w:sz="0" w:space="0" w:color="auto"/>
            <w:bottom w:val="none" w:sz="0" w:space="0" w:color="auto"/>
            <w:right w:val="none" w:sz="0" w:space="0" w:color="auto"/>
          </w:divBdr>
        </w:div>
        <w:div w:id="445537594">
          <w:marLeft w:val="0"/>
          <w:marRight w:val="0"/>
          <w:marTop w:val="0"/>
          <w:marBottom w:val="0"/>
          <w:divBdr>
            <w:top w:val="none" w:sz="0" w:space="0" w:color="auto"/>
            <w:left w:val="none" w:sz="0" w:space="0" w:color="auto"/>
            <w:bottom w:val="none" w:sz="0" w:space="0" w:color="auto"/>
            <w:right w:val="none" w:sz="0" w:space="0" w:color="auto"/>
          </w:divBdr>
        </w:div>
        <w:div w:id="451632360">
          <w:marLeft w:val="0"/>
          <w:marRight w:val="0"/>
          <w:marTop w:val="0"/>
          <w:marBottom w:val="0"/>
          <w:divBdr>
            <w:top w:val="none" w:sz="0" w:space="0" w:color="auto"/>
            <w:left w:val="none" w:sz="0" w:space="0" w:color="auto"/>
            <w:bottom w:val="none" w:sz="0" w:space="0" w:color="auto"/>
            <w:right w:val="none" w:sz="0" w:space="0" w:color="auto"/>
          </w:divBdr>
        </w:div>
        <w:div w:id="640035535">
          <w:marLeft w:val="0"/>
          <w:marRight w:val="0"/>
          <w:marTop w:val="0"/>
          <w:marBottom w:val="0"/>
          <w:divBdr>
            <w:top w:val="none" w:sz="0" w:space="0" w:color="auto"/>
            <w:left w:val="none" w:sz="0" w:space="0" w:color="auto"/>
            <w:bottom w:val="none" w:sz="0" w:space="0" w:color="auto"/>
            <w:right w:val="none" w:sz="0" w:space="0" w:color="auto"/>
          </w:divBdr>
        </w:div>
        <w:div w:id="916135896">
          <w:marLeft w:val="0"/>
          <w:marRight w:val="0"/>
          <w:marTop w:val="0"/>
          <w:marBottom w:val="0"/>
          <w:divBdr>
            <w:top w:val="none" w:sz="0" w:space="0" w:color="auto"/>
            <w:left w:val="none" w:sz="0" w:space="0" w:color="auto"/>
            <w:bottom w:val="none" w:sz="0" w:space="0" w:color="auto"/>
            <w:right w:val="none" w:sz="0" w:space="0" w:color="auto"/>
          </w:divBdr>
        </w:div>
        <w:div w:id="963147968">
          <w:marLeft w:val="0"/>
          <w:marRight w:val="0"/>
          <w:marTop w:val="0"/>
          <w:marBottom w:val="0"/>
          <w:divBdr>
            <w:top w:val="none" w:sz="0" w:space="0" w:color="auto"/>
            <w:left w:val="none" w:sz="0" w:space="0" w:color="auto"/>
            <w:bottom w:val="none" w:sz="0" w:space="0" w:color="auto"/>
            <w:right w:val="none" w:sz="0" w:space="0" w:color="auto"/>
          </w:divBdr>
        </w:div>
        <w:div w:id="1013647352">
          <w:marLeft w:val="0"/>
          <w:marRight w:val="0"/>
          <w:marTop w:val="0"/>
          <w:marBottom w:val="0"/>
          <w:divBdr>
            <w:top w:val="none" w:sz="0" w:space="0" w:color="auto"/>
            <w:left w:val="none" w:sz="0" w:space="0" w:color="auto"/>
            <w:bottom w:val="none" w:sz="0" w:space="0" w:color="auto"/>
            <w:right w:val="none" w:sz="0" w:space="0" w:color="auto"/>
          </w:divBdr>
        </w:div>
        <w:div w:id="1297684363">
          <w:marLeft w:val="0"/>
          <w:marRight w:val="0"/>
          <w:marTop w:val="0"/>
          <w:marBottom w:val="0"/>
          <w:divBdr>
            <w:top w:val="none" w:sz="0" w:space="0" w:color="auto"/>
            <w:left w:val="none" w:sz="0" w:space="0" w:color="auto"/>
            <w:bottom w:val="none" w:sz="0" w:space="0" w:color="auto"/>
            <w:right w:val="none" w:sz="0" w:space="0" w:color="auto"/>
          </w:divBdr>
        </w:div>
        <w:div w:id="1324549613">
          <w:marLeft w:val="0"/>
          <w:marRight w:val="0"/>
          <w:marTop w:val="0"/>
          <w:marBottom w:val="0"/>
          <w:divBdr>
            <w:top w:val="none" w:sz="0" w:space="0" w:color="auto"/>
            <w:left w:val="none" w:sz="0" w:space="0" w:color="auto"/>
            <w:bottom w:val="none" w:sz="0" w:space="0" w:color="auto"/>
            <w:right w:val="none" w:sz="0" w:space="0" w:color="auto"/>
          </w:divBdr>
        </w:div>
        <w:div w:id="1359701553">
          <w:marLeft w:val="0"/>
          <w:marRight w:val="0"/>
          <w:marTop w:val="0"/>
          <w:marBottom w:val="0"/>
          <w:divBdr>
            <w:top w:val="none" w:sz="0" w:space="0" w:color="auto"/>
            <w:left w:val="none" w:sz="0" w:space="0" w:color="auto"/>
            <w:bottom w:val="none" w:sz="0" w:space="0" w:color="auto"/>
            <w:right w:val="none" w:sz="0" w:space="0" w:color="auto"/>
          </w:divBdr>
        </w:div>
        <w:div w:id="1400205804">
          <w:marLeft w:val="0"/>
          <w:marRight w:val="0"/>
          <w:marTop w:val="0"/>
          <w:marBottom w:val="0"/>
          <w:divBdr>
            <w:top w:val="none" w:sz="0" w:space="0" w:color="auto"/>
            <w:left w:val="none" w:sz="0" w:space="0" w:color="auto"/>
            <w:bottom w:val="none" w:sz="0" w:space="0" w:color="auto"/>
            <w:right w:val="none" w:sz="0" w:space="0" w:color="auto"/>
          </w:divBdr>
        </w:div>
        <w:div w:id="1506362199">
          <w:marLeft w:val="0"/>
          <w:marRight w:val="0"/>
          <w:marTop w:val="0"/>
          <w:marBottom w:val="0"/>
          <w:divBdr>
            <w:top w:val="none" w:sz="0" w:space="0" w:color="auto"/>
            <w:left w:val="none" w:sz="0" w:space="0" w:color="auto"/>
            <w:bottom w:val="none" w:sz="0" w:space="0" w:color="auto"/>
            <w:right w:val="none" w:sz="0" w:space="0" w:color="auto"/>
          </w:divBdr>
        </w:div>
        <w:div w:id="1591507459">
          <w:marLeft w:val="0"/>
          <w:marRight w:val="0"/>
          <w:marTop w:val="0"/>
          <w:marBottom w:val="0"/>
          <w:divBdr>
            <w:top w:val="none" w:sz="0" w:space="0" w:color="auto"/>
            <w:left w:val="none" w:sz="0" w:space="0" w:color="auto"/>
            <w:bottom w:val="none" w:sz="0" w:space="0" w:color="auto"/>
            <w:right w:val="none" w:sz="0" w:space="0" w:color="auto"/>
          </w:divBdr>
        </w:div>
        <w:div w:id="1663924949">
          <w:marLeft w:val="0"/>
          <w:marRight w:val="0"/>
          <w:marTop w:val="0"/>
          <w:marBottom w:val="0"/>
          <w:divBdr>
            <w:top w:val="none" w:sz="0" w:space="0" w:color="auto"/>
            <w:left w:val="none" w:sz="0" w:space="0" w:color="auto"/>
            <w:bottom w:val="none" w:sz="0" w:space="0" w:color="auto"/>
            <w:right w:val="none" w:sz="0" w:space="0" w:color="auto"/>
          </w:divBdr>
        </w:div>
        <w:div w:id="1867868931">
          <w:marLeft w:val="0"/>
          <w:marRight w:val="0"/>
          <w:marTop w:val="0"/>
          <w:marBottom w:val="0"/>
          <w:divBdr>
            <w:top w:val="none" w:sz="0" w:space="0" w:color="auto"/>
            <w:left w:val="none" w:sz="0" w:space="0" w:color="auto"/>
            <w:bottom w:val="none" w:sz="0" w:space="0" w:color="auto"/>
            <w:right w:val="none" w:sz="0" w:space="0" w:color="auto"/>
          </w:divBdr>
        </w:div>
        <w:div w:id="1887522865">
          <w:marLeft w:val="0"/>
          <w:marRight w:val="0"/>
          <w:marTop w:val="0"/>
          <w:marBottom w:val="0"/>
          <w:divBdr>
            <w:top w:val="none" w:sz="0" w:space="0" w:color="auto"/>
            <w:left w:val="none" w:sz="0" w:space="0" w:color="auto"/>
            <w:bottom w:val="none" w:sz="0" w:space="0" w:color="auto"/>
            <w:right w:val="none" w:sz="0" w:space="0" w:color="auto"/>
          </w:divBdr>
        </w:div>
        <w:div w:id="1974016151">
          <w:marLeft w:val="0"/>
          <w:marRight w:val="0"/>
          <w:marTop w:val="0"/>
          <w:marBottom w:val="0"/>
          <w:divBdr>
            <w:top w:val="none" w:sz="0" w:space="0" w:color="auto"/>
            <w:left w:val="none" w:sz="0" w:space="0" w:color="auto"/>
            <w:bottom w:val="none" w:sz="0" w:space="0" w:color="auto"/>
            <w:right w:val="none" w:sz="0" w:space="0" w:color="auto"/>
          </w:divBdr>
        </w:div>
        <w:div w:id="1977711640">
          <w:marLeft w:val="0"/>
          <w:marRight w:val="0"/>
          <w:marTop w:val="0"/>
          <w:marBottom w:val="0"/>
          <w:divBdr>
            <w:top w:val="none" w:sz="0" w:space="0" w:color="auto"/>
            <w:left w:val="none" w:sz="0" w:space="0" w:color="auto"/>
            <w:bottom w:val="none" w:sz="0" w:space="0" w:color="auto"/>
            <w:right w:val="none" w:sz="0" w:space="0" w:color="auto"/>
          </w:divBdr>
        </w:div>
        <w:div w:id="2008286230">
          <w:marLeft w:val="0"/>
          <w:marRight w:val="0"/>
          <w:marTop w:val="0"/>
          <w:marBottom w:val="0"/>
          <w:divBdr>
            <w:top w:val="none" w:sz="0" w:space="0" w:color="auto"/>
            <w:left w:val="none" w:sz="0" w:space="0" w:color="auto"/>
            <w:bottom w:val="none" w:sz="0" w:space="0" w:color="auto"/>
            <w:right w:val="none" w:sz="0" w:space="0" w:color="auto"/>
          </w:divBdr>
        </w:div>
        <w:div w:id="2027247439">
          <w:marLeft w:val="0"/>
          <w:marRight w:val="0"/>
          <w:marTop w:val="0"/>
          <w:marBottom w:val="0"/>
          <w:divBdr>
            <w:top w:val="none" w:sz="0" w:space="0" w:color="auto"/>
            <w:left w:val="none" w:sz="0" w:space="0" w:color="auto"/>
            <w:bottom w:val="none" w:sz="0" w:space="0" w:color="auto"/>
            <w:right w:val="none" w:sz="0" w:space="0" w:color="auto"/>
          </w:divBdr>
        </w:div>
        <w:div w:id="2045790616">
          <w:marLeft w:val="0"/>
          <w:marRight w:val="0"/>
          <w:marTop w:val="0"/>
          <w:marBottom w:val="0"/>
          <w:divBdr>
            <w:top w:val="none" w:sz="0" w:space="0" w:color="auto"/>
            <w:left w:val="none" w:sz="0" w:space="0" w:color="auto"/>
            <w:bottom w:val="none" w:sz="0" w:space="0" w:color="auto"/>
            <w:right w:val="none" w:sz="0" w:space="0" w:color="auto"/>
          </w:divBdr>
        </w:div>
      </w:divsChild>
    </w:div>
    <w:div w:id="190728687">
      <w:bodyDiv w:val="1"/>
      <w:marLeft w:val="0"/>
      <w:marRight w:val="0"/>
      <w:marTop w:val="0"/>
      <w:marBottom w:val="0"/>
      <w:divBdr>
        <w:top w:val="none" w:sz="0" w:space="0" w:color="auto"/>
        <w:left w:val="none" w:sz="0" w:space="0" w:color="auto"/>
        <w:bottom w:val="none" w:sz="0" w:space="0" w:color="auto"/>
        <w:right w:val="none" w:sz="0" w:space="0" w:color="auto"/>
      </w:divBdr>
    </w:div>
    <w:div w:id="192353494">
      <w:bodyDiv w:val="1"/>
      <w:marLeft w:val="0"/>
      <w:marRight w:val="0"/>
      <w:marTop w:val="0"/>
      <w:marBottom w:val="0"/>
      <w:divBdr>
        <w:top w:val="none" w:sz="0" w:space="0" w:color="auto"/>
        <w:left w:val="none" w:sz="0" w:space="0" w:color="auto"/>
        <w:bottom w:val="none" w:sz="0" w:space="0" w:color="auto"/>
        <w:right w:val="none" w:sz="0" w:space="0" w:color="auto"/>
      </w:divBdr>
    </w:div>
    <w:div w:id="196964507">
      <w:bodyDiv w:val="1"/>
      <w:marLeft w:val="0"/>
      <w:marRight w:val="0"/>
      <w:marTop w:val="0"/>
      <w:marBottom w:val="0"/>
      <w:divBdr>
        <w:top w:val="none" w:sz="0" w:space="0" w:color="auto"/>
        <w:left w:val="none" w:sz="0" w:space="0" w:color="auto"/>
        <w:bottom w:val="none" w:sz="0" w:space="0" w:color="auto"/>
        <w:right w:val="none" w:sz="0" w:space="0" w:color="auto"/>
      </w:divBdr>
    </w:div>
    <w:div w:id="202376340">
      <w:bodyDiv w:val="1"/>
      <w:marLeft w:val="0"/>
      <w:marRight w:val="0"/>
      <w:marTop w:val="0"/>
      <w:marBottom w:val="0"/>
      <w:divBdr>
        <w:top w:val="none" w:sz="0" w:space="0" w:color="auto"/>
        <w:left w:val="none" w:sz="0" w:space="0" w:color="auto"/>
        <w:bottom w:val="none" w:sz="0" w:space="0" w:color="auto"/>
        <w:right w:val="none" w:sz="0" w:space="0" w:color="auto"/>
      </w:divBdr>
    </w:div>
    <w:div w:id="235944133">
      <w:bodyDiv w:val="1"/>
      <w:marLeft w:val="0"/>
      <w:marRight w:val="0"/>
      <w:marTop w:val="0"/>
      <w:marBottom w:val="0"/>
      <w:divBdr>
        <w:top w:val="none" w:sz="0" w:space="0" w:color="auto"/>
        <w:left w:val="none" w:sz="0" w:space="0" w:color="auto"/>
        <w:bottom w:val="none" w:sz="0" w:space="0" w:color="auto"/>
        <w:right w:val="none" w:sz="0" w:space="0" w:color="auto"/>
      </w:divBdr>
    </w:div>
    <w:div w:id="267205144">
      <w:bodyDiv w:val="1"/>
      <w:marLeft w:val="0"/>
      <w:marRight w:val="0"/>
      <w:marTop w:val="0"/>
      <w:marBottom w:val="0"/>
      <w:divBdr>
        <w:top w:val="none" w:sz="0" w:space="0" w:color="auto"/>
        <w:left w:val="none" w:sz="0" w:space="0" w:color="auto"/>
        <w:bottom w:val="none" w:sz="0" w:space="0" w:color="auto"/>
        <w:right w:val="none" w:sz="0" w:space="0" w:color="auto"/>
      </w:divBdr>
    </w:div>
    <w:div w:id="314797278">
      <w:bodyDiv w:val="1"/>
      <w:marLeft w:val="0"/>
      <w:marRight w:val="0"/>
      <w:marTop w:val="0"/>
      <w:marBottom w:val="0"/>
      <w:divBdr>
        <w:top w:val="none" w:sz="0" w:space="0" w:color="auto"/>
        <w:left w:val="none" w:sz="0" w:space="0" w:color="auto"/>
        <w:bottom w:val="none" w:sz="0" w:space="0" w:color="auto"/>
        <w:right w:val="none" w:sz="0" w:space="0" w:color="auto"/>
      </w:divBdr>
    </w:div>
    <w:div w:id="359360820">
      <w:bodyDiv w:val="1"/>
      <w:marLeft w:val="0"/>
      <w:marRight w:val="0"/>
      <w:marTop w:val="0"/>
      <w:marBottom w:val="0"/>
      <w:divBdr>
        <w:top w:val="none" w:sz="0" w:space="0" w:color="auto"/>
        <w:left w:val="none" w:sz="0" w:space="0" w:color="auto"/>
        <w:bottom w:val="none" w:sz="0" w:space="0" w:color="auto"/>
        <w:right w:val="none" w:sz="0" w:space="0" w:color="auto"/>
      </w:divBdr>
    </w:div>
    <w:div w:id="407700047">
      <w:bodyDiv w:val="1"/>
      <w:marLeft w:val="0"/>
      <w:marRight w:val="0"/>
      <w:marTop w:val="0"/>
      <w:marBottom w:val="0"/>
      <w:divBdr>
        <w:top w:val="none" w:sz="0" w:space="0" w:color="auto"/>
        <w:left w:val="none" w:sz="0" w:space="0" w:color="auto"/>
        <w:bottom w:val="none" w:sz="0" w:space="0" w:color="auto"/>
        <w:right w:val="none" w:sz="0" w:space="0" w:color="auto"/>
      </w:divBdr>
    </w:div>
    <w:div w:id="485172408">
      <w:bodyDiv w:val="1"/>
      <w:marLeft w:val="0"/>
      <w:marRight w:val="0"/>
      <w:marTop w:val="0"/>
      <w:marBottom w:val="0"/>
      <w:divBdr>
        <w:top w:val="none" w:sz="0" w:space="0" w:color="auto"/>
        <w:left w:val="none" w:sz="0" w:space="0" w:color="auto"/>
        <w:bottom w:val="none" w:sz="0" w:space="0" w:color="auto"/>
        <w:right w:val="none" w:sz="0" w:space="0" w:color="auto"/>
      </w:divBdr>
    </w:div>
    <w:div w:id="497572517">
      <w:bodyDiv w:val="1"/>
      <w:marLeft w:val="0"/>
      <w:marRight w:val="0"/>
      <w:marTop w:val="0"/>
      <w:marBottom w:val="0"/>
      <w:divBdr>
        <w:top w:val="none" w:sz="0" w:space="0" w:color="auto"/>
        <w:left w:val="none" w:sz="0" w:space="0" w:color="auto"/>
        <w:bottom w:val="none" w:sz="0" w:space="0" w:color="auto"/>
        <w:right w:val="none" w:sz="0" w:space="0" w:color="auto"/>
      </w:divBdr>
    </w:div>
    <w:div w:id="592711869">
      <w:bodyDiv w:val="1"/>
      <w:marLeft w:val="0"/>
      <w:marRight w:val="0"/>
      <w:marTop w:val="0"/>
      <w:marBottom w:val="0"/>
      <w:divBdr>
        <w:top w:val="none" w:sz="0" w:space="0" w:color="auto"/>
        <w:left w:val="none" w:sz="0" w:space="0" w:color="auto"/>
        <w:bottom w:val="none" w:sz="0" w:space="0" w:color="auto"/>
        <w:right w:val="none" w:sz="0" w:space="0" w:color="auto"/>
      </w:divBdr>
    </w:div>
    <w:div w:id="615647262">
      <w:bodyDiv w:val="1"/>
      <w:marLeft w:val="0"/>
      <w:marRight w:val="0"/>
      <w:marTop w:val="0"/>
      <w:marBottom w:val="0"/>
      <w:divBdr>
        <w:top w:val="none" w:sz="0" w:space="0" w:color="auto"/>
        <w:left w:val="none" w:sz="0" w:space="0" w:color="auto"/>
        <w:bottom w:val="none" w:sz="0" w:space="0" w:color="auto"/>
        <w:right w:val="none" w:sz="0" w:space="0" w:color="auto"/>
      </w:divBdr>
    </w:div>
    <w:div w:id="620036404">
      <w:bodyDiv w:val="1"/>
      <w:marLeft w:val="0"/>
      <w:marRight w:val="0"/>
      <w:marTop w:val="0"/>
      <w:marBottom w:val="0"/>
      <w:divBdr>
        <w:top w:val="none" w:sz="0" w:space="0" w:color="auto"/>
        <w:left w:val="none" w:sz="0" w:space="0" w:color="auto"/>
        <w:bottom w:val="none" w:sz="0" w:space="0" w:color="auto"/>
        <w:right w:val="none" w:sz="0" w:space="0" w:color="auto"/>
      </w:divBdr>
    </w:div>
    <w:div w:id="622619012">
      <w:bodyDiv w:val="1"/>
      <w:marLeft w:val="0"/>
      <w:marRight w:val="0"/>
      <w:marTop w:val="0"/>
      <w:marBottom w:val="0"/>
      <w:divBdr>
        <w:top w:val="none" w:sz="0" w:space="0" w:color="auto"/>
        <w:left w:val="none" w:sz="0" w:space="0" w:color="auto"/>
        <w:bottom w:val="none" w:sz="0" w:space="0" w:color="auto"/>
        <w:right w:val="none" w:sz="0" w:space="0" w:color="auto"/>
      </w:divBdr>
    </w:div>
    <w:div w:id="642197988">
      <w:bodyDiv w:val="1"/>
      <w:marLeft w:val="0"/>
      <w:marRight w:val="0"/>
      <w:marTop w:val="0"/>
      <w:marBottom w:val="0"/>
      <w:divBdr>
        <w:top w:val="none" w:sz="0" w:space="0" w:color="auto"/>
        <w:left w:val="none" w:sz="0" w:space="0" w:color="auto"/>
        <w:bottom w:val="none" w:sz="0" w:space="0" w:color="auto"/>
        <w:right w:val="none" w:sz="0" w:space="0" w:color="auto"/>
      </w:divBdr>
    </w:div>
    <w:div w:id="643313958">
      <w:bodyDiv w:val="1"/>
      <w:marLeft w:val="0"/>
      <w:marRight w:val="0"/>
      <w:marTop w:val="0"/>
      <w:marBottom w:val="0"/>
      <w:divBdr>
        <w:top w:val="none" w:sz="0" w:space="0" w:color="auto"/>
        <w:left w:val="none" w:sz="0" w:space="0" w:color="auto"/>
        <w:bottom w:val="none" w:sz="0" w:space="0" w:color="auto"/>
        <w:right w:val="none" w:sz="0" w:space="0" w:color="auto"/>
      </w:divBdr>
    </w:div>
    <w:div w:id="682323710">
      <w:bodyDiv w:val="1"/>
      <w:marLeft w:val="0"/>
      <w:marRight w:val="0"/>
      <w:marTop w:val="0"/>
      <w:marBottom w:val="0"/>
      <w:divBdr>
        <w:top w:val="none" w:sz="0" w:space="0" w:color="auto"/>
        <w:left w:val="none" w:sz="0" w:space="0" w:color="auto"/>
        <w:bottom w:val="none" w:sz="0" w:space="0" w:color="auto"/>
        <w:right w:val="none" w:sz="0" w:space="0" w:color="auto"/>
      </w:divBdr>
    </w:div>
    <w:div w:id="781539227">
      <w:bodyDiv w:val="1"/>
      <w:marLeft w:val="0"/>
      <w:marRight w:val="0"/>
      <w:marTop w:val="0"/>
      <w:marBottom w:val="0"/>
      <w:divBdr>
        <w:top w:val="none" w:sz="0" w:space="0" w:color="auto"/>
        <w:left w:val="none" w:sz="0" w:space="0" w:color="auto"/>
        <w:bottom w:val="none" w:sz="0" w:space="0" w:color="auto"/>
        <w:right w:val="none" w:sz="0" w:space="0" w:color="auto"/>
      </w:divBdr>
    </w:div>
    <w:div w:id="891772854">
      <w:bodyDiv w:val="1"/>
      <w:marLeft w:val="0"/>
      <w:marRight w:val="0"/>
      <w:marTop w:val="0"/>
      <w:marBottom w:val="0"/>
      <w:divBdr>
        <w:top w:val="none" w:sz="0" w:space="0" w:color="auto"/>
        <w:left w:val="none" w:sz="0" w:space="0" w:color="auto"/>
        <w:bottom w:val="none" w:sz="0" w:space="0" w:color="auto"/>
        <w:right w:val="none" w:sz="0" w:space="0" w:color="auto"/>
      </w:divBdr>
      <w:divsChild>
        <w:div w:id="1471097343">
          <w:marLeft w:val="0"/>
          <w:marRight w:val="0"/>
          <w:marTop w:val="0"/>
          <w:marBottom w:val="0"/>
          <w:divBdr>
            <w:top w:val="none" w:sz="0" w:space="0" w:color="auto"/>
            <w:left w:val="none" w:sz="0" w:space="0" w:color="auto"/>
            <w:bottom w:val="none" w:sz="0" w:space="0" w:color="auto"/>
            <w:right w:val="none" w:sz="0" w:space="0" w:color="auto"/>
          </w:divBdr>
          <w:divsChild>
            <w:div w:id="1239711482">
              <w:marLeft w:val="0"/>
              <w:marRight w:val="0"/>
              <w:marTop w:val="0"/>
              <w:marBottom w:val="0"/>
              <w:divBdr>
                <w:top w:val="none" w:sz="0" w:space="0" w:color="auto"/>
                <w:left w:val="none" w:sz="0" w:space="0" w:color="auto"/>
                <w:bottom w:val="none" w:sz="0" w:space="0" w:color="auto"/>
                <w:right w:val="none" w:sz="0" w:space="0" w:color="auto"/>
              </w:divBdr>
              <w:divsChild>
                <w:div w:id="791051528">
                  <w:marLeft w:val="0"/>
                  <w:marRight w:val="0"/>
                  <w:marTop w:val="0"/>
                  <w:marBottom w:val="0"/>
                  <w:divBdr>
                    <w:top w:val="none" w:sz="0" w:space="0" w:color="auto"/>
                    <w:left w:val="none" w:sz="0" w:space="0" w:color="auto"/>
                    <w:bottom w:val="none" w:sz="0" w:space="0" w:color="auto"/>
                    <w:right w:val="none" w:sz="0" w:space="0" w:color="auto"/>
                  </w:divBdr>
                  <w:divsChild>
                    <w:div w:id="140705893">
                      <w:marLeft w:val="0"/>
                      <w:marRight w:val="0"/>
                      <w:marTop w:val="0"/>
                      <w:marBottom w:val="0"/>
                      <w:divBdr>
                        <w:top w:val="none" w:sz="0" w:space="0" w:color="auto"/>
                        <w:left w:val="none" w:sz="0" w:space="0" w:color="auto"/>
                        <w:bottom w:val="none" w:sz="0" w:space="0" w:color="auto"/>
                        <w:right w:val="none" w:sz="0" w:space="0" w:color="auto"/>
                      </w:divBdr>
                      <w:divsChild>
                        <w:div w:id="600144581">
                          <w:marLeft w:val="0"/>
                          <w:marRight w:val="0"/>
                          <w:marTop w:val="0"/>
                          <w:marBottom w:val="0"/>
                          <w:divBdr>
                            <w:top w:val="none" w:sz="0" w:space="0" w:color="auto"/>
                            <w:left w:val="none" w:sz="0" w:space="0" w:color="auto"/>
                            <w:bottom w:val="none" w:sz="0" w:space="0" w:color="auto"/>
                            <w:right w:val="none" w:sz="0" w:space="0" w:color="auto"/>
                          </w:divBdr>
                          <w:divsChild>
                            <w:div w:id="1931236412">
                              <w:marLeft w:val="0"/>
                              <w:marRight w:val="0"/>
                              <w:marTop w:val="0"/>
                              <w:marBottom w:val="0"/>
                              <w:divBdr>
                                <w:top w:val="none" w:sz="0" w:space="0" w:color="auto"/>
                                <w:left w:val="none" w:sz="0" w:space="0" w:color="auto"/>
                                <w:bottom w:val="none" w:sz="0" w:space="0" w:color="auto"/>
                                <w:right w:val="none" w:sz="0" w:space="0" w:color="auto"/>
                              </w:divBdr>
                              <w:divsChild>
                                <w:div w:id="127035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447589">
      <w:bodyDiv w:val="1"/>
      <w:marLeft w:val="0"/>
      <w:marRight w:val="0"/>
      <w:marTop w:val="0"/>
      <w:marBottom w:val="0"/>
      <w:divBdr>
        <w:top w:val="none" w:sz="0" w:space="0" w:color="auto"/>
        <w:left w:val="none" w:sz="0" w:space="0" w:color="auto"/>
        <w:bottom w:val="none" w:sz="0" w:space="0" w:color="auto"/>
        <w:right w:val="none" w:sz="0" w:space="0" w:color="auto"/>
      </w:divBdr>
    </w:div>
    <w:div w:id="933827074">
      <w:bodyDiv w:val="1"/>
      <w:marLeft w:val="0"/>
      <w:marRight w:val="0"/>
      <w:marTop w:val="0"/>
      <w:marBottom w:val="0"/>
      <w:divBdr>
        <w:top w:val="none" w:sz="0" w:space="0" w:color="auto"/>
        <w:left w:val="none" w:sz="0" w:space="0" w:color="auto"/>
        <w:bottom w:val="none" w:sz="0" w:space="0" w:color="auto"/>
        <w:right w:val="none" w:sz="0" w:space="0" w:color="auto"/>
      </w:divBdr>
    </w:div>
    <w:div w:id="948855274">
      <w:bodyDiv w:val="1"/>
      <w:marLeft w:val="0"/>
      <w:marRight w:val="0"/>
      <w:marTop w:val="0"/>
      <w:marBottom w:val="0"/>
      <w:divBdr>
        <w:top w:val="none" w:sz="0" w:space="0" w:color="auto"/>
        <w:left w:val="none" w:sz="0" w:space="0" w:color="auto"/>
        <w:bottom w:val="none" w:sz="0" w:space="0" w:color="auto"/>
        <w:right w:val="none" w:sz="0" w:space="0" w:color="auto"/>
      </w:divBdr>
    </w:div>
    <w:div w:id="950670628">
      <w:bodyDiv w:val="1"/>
      <w:marLeft w:val="0"/>
      <w:marRight w:val="0"/>
      <w:marTop w:val="0"/>
      <w:marBottom w:val="0"/>
      <w:divBdr>
        <w:top w:val="none" w:sz="0" w:space="0" w:color="auto"/>
        <w:left w:val="none" w:sz="0" w:space="0" w:color="auto"/>
        <w:bottom w:val="none" w:sz="0" w:space="0" w:color="auto"/>
        <w:right w:val="none" w:sz="0" w:space="0" w:color="auto"/>
      </w:divBdr>
    </w:div>
    <w:div w:id="976227320">
      <w:bodyDiv w:val="1"/>
      <w:marLeft w:val="0"/>
      <w:marRight w:val="0"/>
      <w:marTop w:val="0"/>
      <w:marBottom w:val="0"/>
      <w:divBdr>
        <w:top w:val="none" w:sz="0" w:space="0" w:color="auto"/>
        <w:left w:val="none" w:sz="0" w:space="0" w:color="auto"/>
        <w:bottom w:val="none" w:sz="0" w:space="0" w:color="auto"/>
        <w:right w:val="none" w:sz="0" w:space="0" w:color="auto"/>
      </w:divBdr>
    </w:div>
    <w:div w:id="985549441">
      <w:bodyDiv w:val="1"/>
      <w:marLeft w:val="0"/>
      <w:marRight w:val="0"/>
      <w:marTop w:val="0"/>
      <w:marBottom w:val="0"/>
      <w:divBdr>
        <w:top w:val="none" w:sz="0" w:space="0" w:color="auto"/>
        <w:left w:val="none" w:sz="0" w:space="0" w:color="auto"/>
        <w:bottom w:val="none" w:sz="0" w:space="0" w:color="auto"/>
        <w:right w:val="none" w:sz="0" w:space="0" w:color="auto"/>
      </w:divBdr>
    </w:div>
    <w:div w:id="1051463030">
      <w:bodyDiv w:val="1"/>
      <w:marLeft w:val="0"/>
      <w:marRight w:val="0"/>
      <w:marTop w:val="0"/>
      <w:marBottom w:val="0"/>
      <w:divBdr>
        <w:top w:val="none" w:sz="0" w:space="0" w:color="auto"/>
        <w:left w:val="none" w:sz="0" w:space="0" w:color="auto"/>
        <w:bottom w:val="none" w:sz="0" w:space="0" w:color="auto"/>
        <w:right w:val="none" w:sz="0" w:space="0" w:color="auto"/>
      </w:divBdr>
    </w:div>
    <w:div w:id="1158810909">
      <w:bodyDiv w:val="1"/>
      <w:marLeft w:val="0"/>
      <w:marRight w:val="0"/>
      <w:marTop w:val="0"/>
      <w:marBottom w:val="0"/>
      <w:divBdr>
        <w:top w:val="none" w:sz="0" w:space="0" w:color="auto"/>
        <w:left w:val="none" w:sz="0" w:space="0" w:color="auto"/>
        <w:bottom w:val="none" w:sz="0" w:space="0" w:color="auto"/>
        <w:right w:val="none" w:sz="0" w:space="0" w:color="auto"/>
      </w:divBdr>
    </w:div>
    <w:div w:id="1186409399">
      <w:bodyDiv w:val="1"/>
      <w:marLeft w:val="0"/>
      <w:marRight w:val="0"/>
      <w:marTop w:val="0"/>
      <w:marBottom w:val="0"/>
      <w:divBdr>
        <w:top w:val="none" w:sz="0" w:space="0" w:color="auto"/>
        <w:left w:val="none" w:sz="0" w:space="0" w:color="auto"/>
        <w:bottom w:val="none" w:sz="0" w:space="0" w:color="auto"/>
        <w:right w:val="none" w:sz="0" w:space="0" w:color="auto"/>
      </w:divBdr>
    </w:div>
    <w:div w:id="1205753449">
      <w:bodyDiv w:val="1"/>
      <w:marLeft w:val="0"/>
      <w:marRight w:val="0"/>
      <w:marTop w:val="0"/>
      <w:marBottom w:val="0"/>
      <w:divBdr>
        <w:top w:val="none" w:sz="0" w:space="0" w:color="auto"/>
        <w:left w:val="none" w:sz="0" w:space="0" w:color="auto"/>
        <w:bottom w:val="none" w:sz="0" w:space="0" w:color="auto"/>
        <w:right w:val="none" w:sz="0" w:space="0" w:color="auto"/>
      </w:divBdr>
    </w:div>
    <w:div w:id="1218930888">
      <w:bodyDiv w:val="1"/>
      <w:marLeft w:val="0"/>
      <w:marRight w:val="0"/>
      <w:marTop w:val="0"/>
      <w:marBottom w:val="0"/>
      <w:divBdr>
        <w:top w:val="none" w:sz="0" w:space="0" w:color="auto"/>
        <w:left w:val="none" w:sz="0" w:space="0" w:color="auto"/>
        <w:bottom w:val="none" w:sz="0" w:space="0" w:color="auto"/>
        <w:right w:val="none" w:sz="0" w:space="0" w:color="auto"/>
      </w:divBdr>
    </w:div>
    <w:div w:id="1232933238">
      <w:bodyDiv w:val="1"/>
      <w:marLeft w:val="0"/>
      <w:marRight w:val="0"/>
      <w:marTop w:val="0"/>
      <w:marBottom w:val="0"/>
      <w:divBdr>
        <w:top w:val="none" w:sz="0" w:space="0" w:color="auto"/>
        <w:left w:val="none" w:sz="0" w:space="0" w:color="auto"/>
        <w:bottom w:val="none" w:sz="0" w:space="0" w:color="auto"/>
        <w:right w:val="none" w:sz="0" w:space="0" w:color="auto"/>
      </w:divBdr>
    </w:div>
    <w:div w:id="1241988720">
      <w:bodyDiv w:val="1"/>
      <w:marLeft w:val="0"/>
      <w:marRight w:val="0"/>
      <w:marTop w:val="0"/>
      <w:marBottom w:val="0"/>
      <w:divBdr>
        <w:top w:val="none" w:sz="0" w:space="0" w:color="auto"/>
        <w:left w:val="none" w:sz="0" w:space="0" w:color="auto"/>
        <w:bottom w:val="none" w:sz="0" w:space="0" w:color="auto"/>
        <w:right w:val="none" w:sz="0" w:space="0" w:color="auto"/>
      </w:divBdr>
    </w:div>
    <w:div w:id="1253860350">
      <w:bodyDiv w:val="1"/>
      <w:marLeft w:val="0"/>
      <w:marRight w:val="0"/>
      <w:marTop w:val="0"/>
      <w:marBottom w:val="0"/>
      <w:divBdr>
        <w:top w:val="none" w:sz="0" w:space="0" w:color="auto"/>
        <w:left w:val="none" w:sz="0" w:space="0" w:color="auto"/>
        <w:bottom w:val="none" w:sz="0" w:space="0" w:color="auto"/>
        <w:right w:val="none" w:sz="0" w:space="0" w:color="auto"/>
      </w:divBdr>
      <w:divsChild>
        <w:div w:id="1773283279">
          <w:marLeft w:val="0"/>
          <w:marRight w:val="0"/>
          <w:marTop w:val="0"/>
          <w:marBottom w:val="0"/>
          <w:divBdr>
            <w:top w:val="none" w:sz="0" w:space="0" w:color="auto"/>
            <w:left w:val="none" w:sz="0" w:space="0" w:color="auto"/>
            <w:bottom w:val="none" w:sz="0" w:space="0" w:color="auto"/>
            <w:right w:val="none" w:sz="0" w:space="0" w:color="auto"/>
          </w:divBdr>
          <w:divsChild>
            <w:div w:id="998772716">
              <w:marLeft w:val="0"/>
              <w:marRight w:val="0"/>
              <w:marTop w:val="0"/>
              <w:marBottom w:val="0"/>
              <w:divBdr>
                <w:top w:val="none" w:sz="0" w:space="0" w:color="auto"/>
                <w:left w:val="none" w:sz="0" w:space="0" w:color="auto"/>
                <w:bottom w:val="none" w:sz="0" w:space="0" w:color="auto"/>
                <w:right w:val="none" w:sz="0" w:space="0" w:color="auto"/>
              </w:divBdr>
              <w:divsChild>
                <w:div w:id="1772507120">
                  <w:marLeft w:val="0"/>
                  <w:marRight w:val="0"/>
                  <w:marTop w:val="0"/>
                  <w:marBottom w:val="0"/>
                  <w:divBdr>
                    <w:top w:val="none" w:sz="0" w:space="0" w:color="auto"/>
                    <w:left w:val="none" w:sz="0" w:space="0" w:color="auto"/>
                    <w:bottom w:val="none" w:sz="0" w:space="0" w:color="auto"/>
                    <w:right w:val="none" w:sz="0" w:space="0" w:color="auto"/>
                  </w:divBdr>
                  <w:divsChild>
                    <w:div w:id="511116668">
                      <w:marLeft w:val="0"/>
                      <w:marRight w:val="0"/>
                      <w:marTop w:val="0"/>
                      <w:marBottom w:val="0"/>
                      <w:divBdr>
                        <w:top w:val="none" w:sz="0" w:space="0" w:color="auto"/>
                        <w:left w:val="none" w:sz="0" w:space="0" w:color="auto"/>
                        <w:bottom w:val="none" w:sz="0" w:space="0" w:color="auto"/>
                        <w:right w:val="none" w:sz="0" w:space="0" w:color="auto"/>
                      </w:divBdr>
                      <w:divsChild>
                        <w:div w:id="124932149">
                          <w:marLeft w:val="0"/>
                          <w:marRight w:val="0"/>
                          <w:marTop w:val="0"/>
                          <w:marBottom w:val="0"/>
                          <w:divBdr>
                            <w:top w:val="none" w:sz="0" w:space="0" w:color="auto"/>
                            <w:left w:val="none" w:sz="0" w:space="0" w:color="auto"/>
                            <w:bottom w:val="none" w:sz="0" w:space="0" w:color="auto"/>
                            <w:right w:val="none" w:sz="0" w:space="0" w:color="auto"/>
                          </w:divBdr>
                          <w:divsChild>
                            <w:div w:id="224069886">
                              <w:marLeft w:val="0"/>
                              <w:marRight w:val="0"/>
                              <w:marTop w:val="0"/>
                              <w:marBottom w:val="0"/>
                              <w:divBdr>
                                <w:top w:val="none" w:sz="0" w:space="0" w:color="auto"/>
                                <w:left w:val="none" w:sz="0" w:space="0" w:color="auto"/>
                                <w:bottom w:val="none" w:sz="0" w:space="0" w:color="auto"/>
                                <w:right w:val="none" w:sz="0" w:space="0" w:color="auto"/>
                              </w:divBdr>
                              <w:divsChild>
                                <w:div w:id="2137484940">
                                  <w:marLeft w:val="0"/>
                                  <w:marRight w:val="0"/>
                                  <w:marTop w:val="0"/>
                                  <w:marBottom w:val="0"/>
                                  <w:divBdr>
                                    <w:top w:val="none" w:sz="0" w:space="0" w:color="auto"/>
                                    <w:left w:val="none" w:sz="0" w:space="0" w:color="auto"/>
                                    <w:bottom w:val="none" w:sz="0" w:space="0" w:color="auto"/>
                                    <w:right w:val="none" w:sz="0" w:space="0" w:color="auto"/>
                                  </w:divBdr>
                                  <w:divsChild>
                                    <w:div w:id="1068459906">
                                      <w:marLeft w:val="0"/>
                                      <w:marRight w:val="0"/>
                                      <w:marTop w:val="0"/>
                                      <w:marBottom w:val="0"/>
                                      <w:divBdr>
                                        <w:top w:val="none" w:sz="0" w:space="0" w:color="auto"/>
                                        <w:left w:val="none" w:sz="0" w:space="0" w:color="auto"/>
                                        <w:bottom w:val="none" w:sz="0" w:space="0" w:color="auto"/>
                                        <w:right w:val="none" w:sz="0" w:space="0" w:color="auto"/>
                                      </w:divBdr>
                                      <w:divsChild>
                                        <w:div w:id="1161236533">
                                          <w:marLeft w:val="0"/>
                                          <w:marRight w:val="0"/>
                                          <w:marTop w:val="0"/>
                                          <w:marBottom w:val="0"/>
                                          <w:divBdr>
                                            <w:top w:val="none" w:sz="0" w:space="0" w:color="auto"/>
                                            <w:left w:val="none" w:sz="0" w:space="0" w:color="auto"/>
                                            <w:bottom w:val="none" w:sz="0" w:space="0" w:color="auto"/>
                                            <w:right w:val="none" w:sz="0" w:space="0" w:color="auto"/>
                                          </w:divBdr>
                                          <w:divsChild>
                                            <w:div w:id="302541573">
                                              <w:marLeft w:val="0"/>
                                              <w:marRight w:val="0"/>
                                              <w:marTop w:val="0"/>
                                              <w:marBottom w:val="0"/>
                                              <w:divBdr>
                                                <w:top w:val="none" w:sz="0" w:space="0" w:color="auto"/>
                                                <w:left w:val="none" w:sz="0" w:space="0" w:color="auto"/>
                                                <w:bottom w:val="none" w:sz="0" w:space="0" w:color="auto"/>
                                                <w:right w:val="none" w:sz="0" w:space="0" w:color="auto"/>
                                              </w:divBdr>
                                              <w:divsChild>
                                                <w:div w:id="123426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7346355">
      <w:bodyDiv w:val="1"/>
      <w:marLeft w:val="0"/>
      <w:marRight w:val="0"/>
      <w:marTop w:val="0"/>
      <w:marBottom w:val="0"/>
      <w:divBdr>
        <w:top w:val="none" w:sz="0" w:space="0" w:color="auto"/>
        <w:left w:val="none" w:sz="0" w:space="0" w:color="auto"/>
        <w:bottom w:val="none" w:sz="0" w:space="0" w:color="auto"/>
        <w:right w:val="none" w:sz="0" w:space="0" w:color="auto"/>
      </w:divBdr>
      <w:divsChild>
        <w:div w:id="313485918">
          <w:marLeft w:val="0"/>
          <w:marRight w:val="0"/>
          <w:marTop w:val="0"/>
          <w:marBottom w:val="0"/>
          <w:divBdr>
            <w:top w:val="none" w:sz="0" w:space="0" w:color="auto"/>
            <w:left w:val="none" w:sz="0" w:space="0" w:color="auto"/>
            <w:bottom w:val="none" w:sz="0" w:space="0" w:color="auto"/>
            <w:right w:val="none" w:sz="0" w:space="0" w:color="auto"/>
          </w:divBdr>
        </w:div>
      </w:divsChild>
    </w:div>
    <w:div w:id="1267346542">
      <w:bodyDiv w:val="1"/>
      <w:marLeft w:val="0"/>
      <w:marRight w:val="0"/>
      <w:marTop w:val="0"/>
      <w:marBottom w:val="0"/>
      <w:divBdr>
        <w:top w:val="none" w:sz="0" w:space="0" w:color="auto"/>
        <w:left w:val="none" w:sz="0" w:space="0" w:color="auto"/>
        <w:bottom w:val="none" w:sz="0" w:space="0" w:color="auto"/>
        <w:right w:val="none" w:sz="0" w:space="0" w:color="auto"/>
      </w:divBdr>
    </w:div>
    <w:div w:id="1286156153">
      <w:bodyDiv w:val="1"/>
      <w:marLeft w:val="0"/>
      <w:marRight w:val="0"/>
      <w:marTop w:val="0"/>
      <w:marBottom w:val="0"/>
      <w:divBdr>
        <w:top w:val="none" w:sz="0" w:space="0" w:color="auto"/>
        <w:left w:val="none" w:sz="0" w:space="0" w:color="auto"/>
        <w:bottom w:val="none" w:sz="0" w:space="0" w:color="auto"/>
        <w:right w:val="none" w:sz="0" w:space="0" w:color="auto"/>
      </w:divBdr>
    </w:div>
    <w:div w:id="1334798139">
      <w:bodyDiv w:val="1"/>
      <w:marLeft w:val="0"/>
      <w:marRight w:val="0"/>
      <w:marTop w:val="0"/>
      <w:marBottom w:val="0"/>
      <w:divBdr>
        <w:top w:val="none" w:sz="0" w:space="0" w:color="auto"/>
        <w:left w:val="none" w:sz="0" w:space="0" w:color="auto"/>
        <w:bottom w:val="none" w:sz="0" w:space="0" w:color="auto"/>
        <w:right w:val="none" w:sz="0" w:space="0" w:color="auto"/>
      </w:divBdr>
    </w:div>
    <w:div w:id="1477065290">
      <w:bodyDiv w:val="1"/>
      <w:marLeft w:val="0"/>
      <w:marRight w:val="0"/>
      <w:marTop w:val="0"/>
      <w:marBottom w:val="0"/>
      <w:divBdr>
        <w:top w:val="none" w:sz="0" w:space="0" w:color="auto"/>
        <w:left w:val="none" w:sz="0" w:space="0" w:color="auto"/>
        <w:bottom w:val="none" w:sz="0" w:space="0" w:color="auto"/>
        <w:right w:val="none" w:sz="0" w:space="0" w:color="auto"/>
      </w:divBdr>
    </w:div>
    <w:div w:id="1480539797">
      <w:bodyDiv w:val="1"/>
      <w:marLeft w:val="0"/>
      <w:marRight w:val="0"/>
      <w:marTop w:val="0"/>
      <w:marBottom w:val="0"/>
      <w:divBdr>
        <w:top w:val="none" w:sz="0" w:space="0" w:color="auto"/>
        <w:left w:val="none" w:sz="0" w:space="0" w:color="auto"/>
        <w:bottom w:val="none" w:sz="0" w:space="0" w:color="auto"/>
        <w:right w:val="none" w:sz="0" w:space="0" w:color="auto"/>
      </w:divBdr>
    </w:div>
    <w:div w:id="1482237366">
      <w:bodyDiv w:val="1"/>
      <w:marLeft w:val="0"/>
      <w:marRight w:val="0"/>
      <w:marTop w:val="0"/>
      <w:marBottom w:val="0"/>
      <w:divBdr>
        <w:top w:val="none" w:sz="0" w:space="0" w:color="auto"/>
        <w:left w:val="none" w:sz="0" w:space="0" w:color="auto"/>
        <w:bottom w:val="none" w:sz="0" w:space="0" w:color="auto"/>
        <w:right w:val="none" w:sz="0" w:space="0" w:color="auto"/>
      </w:divBdr>
    </w:div>
    <w:div w:id="1484814514">
      <w:bodyDiv w:val="1"/>
      <w:marLeft w:val="0"/>
      <w:marRight w:val="0"/>
      <w:marTop w:val="0"/>
      <w:marBottom w:val="0"/>
      <w:divBdr>
        <w:top w:val="none" w:sz="0" w:space="0" w:color="auto"/>
        <w:left w:val="none" w:sz="0" w:space="0" w:color="auto"/>
        <w:bottom w:val="none" w:sz="0" w:space="0" w:color="auto"/>
        <w:right w:val="none" w:sz="0" w:space="0" w:color="auto"/>
      </w:divBdr>
    </w:div>
    <w:div w:id="1510221437">
      <w:bodyDiv w:val="1"/>
      <w:marLeft w:val="0"/>
      <w:marRight w:val="0"/>
      <w:marTop w:val="0"/>
      <w:marBottom w:val="0"/>
      <w:divBdr>
        <w:top w:val="none" w:sz="0" w:space="0" w:color="auto"/>
        <w:left w:val="none" w:sz="0" w:space="0" w:color="auto"/>
        <w:bottom w:val="none" w:sz="0" w:space="0" w:color="auto"/>
        <w:right w:val="none" w:sz="0" w:space="0" w:color="auto"/>
      </w:divBdr>
    </w:div>
    <w:div w:id="1521746375">
      <w:bodyDiv w:val="1"/>
      <w:marLeft w:val="0"/>
      <w:marRight w:val="0"/>
      <w:marTop w:val="0"/>
      <w:marBottom w:val="0"/>
      <w:divBdr>
        <w:top w:val="none" w:sz="0" w:space="0" w:color="auto"/>
        <w:left w:val="none" w:sz="0" w:space="0" w:color="auto"/>
        <w:bottom w:val="none" w:sz="0" w:space="0" w:color="auto"/>
        <w:right w:val="none" w:sz="0" w:space="0" w:color="auto"/>
      </w:divBdr>
    </w:div>
    <w:div w:id="1533882180">
      <w:bodyDiv w:val="1"/>
      <w:marLeft w:val="0"/>
      <w:marRight w:val="0"/>
      <w:marTop w:val="0"/>
      <w:marBottom w:val="0"/>
      <w:divBdr>
        <w:top w:val="none" w:sz="0" w:space="0" w:color="auto"/>
        <w:left w:val="none" w:sz="0" w:space="0" w:color="auto"/>
        <w:bottom w:val="none" w:sz="0" w:space="0" w:color="auto"/>
        <w:right w:val="none" w:sz="0" w:space="0" w:color="auto"/>
      </w:divBdr>
    </w:div>
    <w:div w:id="1545822574">
      <w:bodyDiv w:val="1"/>
      <w:marLeft w:val="0"/>
      <w:marRight w:val="0"/>
      <w:marTop w:val="0"/>
      <w:marBottom w:val="0"/>
      <w:divBdr>
        <w:top w:val="none" w:sz="0" w:space="0" w:color="auto"/>
        <w:left w:val="none" w:sz="0" w:space="0" w:color="auto"/>
        <w:bottom w:val="none" w:sz="0" w:space="0" w:color="auto"/>
        <w:right w:val="none" w:sz="0" w:space="0" w:color="auto"/>
      </w:divBdr>
    </w:div>
    <w:div w:id="1631665155">
      <w:bodyDiv w:val="1"/>
      <w:marLeft w:val="0"/>
      <w:marRight w:val="0"/>
      <w:marTop w:val="0"/>
      <w:marBottom w:val="0"/>
      <w:divBdr>
        <w:top w:val="none" w:sz="0" w:space="0" w:color="auto"/>
        <w:left w:val="none" w:sz="0" w:space="0" w:color="auto"/>
        <w:bottom w:val="none" w:sz="0" w:space="0" w:color="auto"/>
        <w:right w:val="none" w:sz="0" w:space="0" w:color="auto"/>
      </w:divBdr>
    </w:div>
    <w:div w:id="1638072490">
      <w:bodyDiv w:val="1"/>
      <w:marLeft w:val="0"/>
      <w:marRight w:val="0"/>
      <w:marTop w:val="0"/>
      <w:marBottom w:val="0"/>
      <w:divBdr>
        <w:top w:val="none" w:sz="0" w:space="0" w:color="auto"/>
        <w:left w:val="none" w:sz="0" w:space="0" w:color="auto"/>
        <w:bottom w:val="none" w:sz="0" w:space="0" w:color="auto"/>
        <w:right w:val="none" w:sz="0" w:space="0" w:color="auto"/>
      </w:divBdr>
      <w:divsChild>
        <w:div w:id="764233365">
          <w:marLeft w:val="0"/>
          <w:marRight w:val="0"/>
          <w:marTop w:val="0"/>
          <w:marBottom w:val="567"/>
          <w:divBdr>
            <w:top w:val="none" w:sz="0" w:space="0" w:color="auto"/>
            <w:left w:val="none" w:sz="0" w:space="0" w:color="auto"/>
            <w:bottom w:val="none" w:sz="0" w:space="0" w:color="auto"/>
            <w:right w:val="none" w:sz="0" w:space="0" w:color="auto"/>
          </w:divBdr>
        </w:div>
        <w:div w:id="929317373">
          <w:marLeft w:val="0"/>
          <w:marRight w:val="0"/>
          <w:marTop w:val="480"/>
          <w:marBottom w:val="240"/>
          <w:divBdr>
            <w:top w:val="none" w:sz="0" w:space="0" w:color="auto"/>
            <w:left w:val="none" w:sz="0" w:space="0" w:color="auto"/>
            <w:bottom w:val="none" w:sz="0" w:space="0" w:color="auto"/>
            <w:right w:val="none" w:sz="0" w:space="0" w:color="auto"/>
          </w:divBdr>
        </w:div>
      </w:divsChild>
    </w:div>
    <w:div w:id="1658722364">
      <w:bodyDiv w:val="1"/>
      <w:marLeft w:val="0"/>
      <w:marRight w:val="0"/>
      <w:marTop w:val="0"/>
      <w:marBottom w:val="0"/>
      <w:divBdr>
        <w:top w:val="none" w:sz="0" w:space="0" w:color="auto"/>
        <w:left w:val="none" w:sz="0" w:space="0" w:color="auto"/>
        <w:bottom w:val="none" w:sz="0" w:space="0" w:color="auto"/>
        <w:right w:val="none" w:sz="0" w:space="0" w:color="auto"/>
      </w:divBdr>
    </w:div>
    <w:div w:id="1666861990">
      <w:bodyDiv w:val="1"/>
      <w:marLeft w:val="0"/>
      <w:marRight w:val="0"/>
      <w:marTop w:val="0"/>
      <w:marBottom w:val="0"/>
      <w:divBdr>
        <w:top w:val="none" w:sz="0" w:space="0" w:color="auto"/>
        <w:left w:val="none" w:sz="0" w:space="0" w:color="auto"/>
        <w:bottom w:val="none" w:sz="0" w:space="0" w:color="auto"/>
        <w:right w:val="none" w:sz="0" w:space="0" w:color="auto"/>
      </w:divBdr>
    </w:div>
    <w:div w:id="1712804739">
      <w:bodyDiv w:val="1"/>
      <w:marLeft w:val="0"/>
      <w:marRight w:val="0"/>
      <w:marTop w:val="0"/>
      <w:marBottom w:val="0"/>
      <w:divBdr>
        <w:top w:val="none" w:sz="0" w:space="0" w:color="auto"/>
        <w:left w:val="none" w:sz="0" w:space="0" w:color="auto"/>
        <w:bottom w:val="none" w:sz="0" w:space="0" w:color="auto"/>
        <w:right w:val="none" w:sz="0" w:space="0" w:color="auto"/>
      </w:divBdr>
    </w:div>
    <w:div w:id="1797873766">
      <w:bodyDiv w:val="1"/>
      <w:marLeft w:val="0"/>
      <w:marRight w:val="0"/>
      <w:marTop w:val="0"/>
      <w:marBottom w:val="0"/>
      <w:divBdr>
        <w:top w:val="none" w:sz="0" w:space="0" w:color="auto"/>
        <w:left w:val="none" w:sz="0" w:space="0" w:color="auto"/>
        <w:bottom w:val="none" w:sz="0" w:space="0" w:color="auto"/>
        <w:right w:val="none" w:sz="0" w:space="0" w:color="auto"/>
      </w:divBdr>
    </w:div>
    <w:div w:id="1853958877">
      <w:bodyDiv w:val="1"/>
      <w:marLeft w:val="0"/>
      <w:marRight w:val="0"/>
      <w:marTop w:val="0"/>
      <w:marBottom w:val="0"/>
      <w:divBdr>
        <w:top w:val="none" w:sz="0" w:space="0" w:color="auto"/>
        <w:left w:val="none" w:sz="0" w:space="0" w:color="auto"/>
        <w:bottom w:val="none" w:sz="0" w:space="0" w:color="auto"/>
        <w:right w:val="none" w:sz="0" w:space="0" w:color="auto"/>
      </w:divBdr>
    </w:div>
    <w:div w:id="1862236377">
      <w:bodyDiv w:val="1"/>
      <w:marLeft w:val="0"/>
      <w:marRight w:val="0"/>
      <w:marTop w:val="0"/>
      <w:marBottom w:val="0"/>
      <w:divBdr>
        <w:top w:val="none" w:sz="0" w:space="0" w:color="auto"/>
        <w:left w:val="none" w:sz="0" w:space="0" w:color="auto"/>
        <w:bottom w:val="none" w:sz="0" w:space="0" w:color="auto"/>
        <w:right w:val="none" w:sz="0" w:space="0" w:color="auto"/>
      </w:divBdr>
    </w:div>
    <w:div w:id="1873028741">
      <w:bodyDiv w:val="1"/>
      <w:marLeft w:val="0"/>
      <w:marRight w:val="0"/>
      <w:marTop w:val="0"/>
      <w:marBottom w:val="0"/>
      <w:divBdr>
        <w:top w:val="none" w:sz="0" w:space="0" w:color="auto"/>
        <w:left w:val="none" w:sz="0" w:space="0" w:color="auto"/>
        <w:bottom w:val="none" w:sz="0" w:space="0" w:color="auto"/>
        <w:right w:val="none" w:sz="0" w:space="0" w:color="auto"/>
      </w:divBdr>
    </w:div>
    <w:div w:id="1909994051">
      <w:bodyDiv w:val="1"/>
      <w:marLeft w:val="0"/>
      <w:marRight w:val="0"/>
      <w:marTop w:val="0"/>
      <w:marBottom w:val="0"/>
      <w:divBdr>
        <w:top w:val="none" w:sz="0" w:space="0" w:color="auto"/>
        <w:left w:val="none" w:sz="0" w:space="0" w:color="auto"/>
        <w:bottom w:val="none" w:sz="0" w:space="0" w:color="auto"/>
        <w:right w:val="none" w:sz="0" w:space="0" w:color="auto"/>
      </w:divBdr>
    </w:div>
    <w:div w:id="1948653552">
      <w:bodyDiv w:val="1"/>
      <w:marLeft w:val="0"/>
      <w:marRight w:val="0"/>
      <w:marTop w:val="0"/>
      <w:marBottom w:val="0"/>
      <w:divBdr>
        <w:top w:val="none" w:sz="0" w:space="0" w:color="auto"/>
        <w:left w:val="none" w:sz="0" w:space="0" w:color="auto"/>
        <w:bottom w:val="none" w:sz="0" w:space="0" w:color="auto"/>
        <w:right w:val="none" w:sz="0" w:space="0" w:color="auto"/>
      </w:divBdr>
    </w:div>
    <w:div w:id="1981304511">
      <w:bodyDiv w:val="1"/>
      <w:marLeft w:val="0"/>
      <w:marRight w:val="0"/>
      <w:marTop w:val="0"/>
      <w:marBottom w:val="0"/>
      <w:divBdr>
        <w:top w:val="none" w:sz="0" w:space="0" w:color="auto"/>
        <w:left w:val="none" w:sz="0" w:space="0" w:color="auto"/>
        <w:bottom w:val="none" w:sz="0" w:space="0" w:color="auto"/>
        <w:right w:val="none" w:sz="0" w:space="0" w:color="auto"/>
      </w:divBdr>
    </w:div>
    <w:div w:id="2036348524">
      <w:bodyDiv w:val="1"/>
      <w:marLeft w:val="0"/>
      <w:marRight w:val="0"/>
      <w:marTop w:val="0"/>
      <w:marBottom w:val="0"/>
      <w:divBdr>
        <w:top w:val="none" w:sz="0" w:space="0" w:color="auto"/>
        <w:left w:val="none" w:sz="0" w:space="0" w:color="auto"/>
        <w:bottom w:val="none" w:sz="0" w:space="0" w:color="auto"/>
        <w:right w:val="none" w:sz="0" w:space="0" w:color="auto"/>
      </w:divBdr>
    </w:div>
    <w:div w:id="2041319575">
      <w:bodyDiv w:val="1"/>
      <w:marLeft w:val="0"/>
      <w:marRight w:val="0"/>
      <w:marTop w:val="0"/>
      <w:marBottom w:val="0"/>
      <w:divBdr>
        <w:top w:val="none" w:sz="0" w:space="0" w:color="auto"/>
        <w:left w:val="none" w:sz="0" w:space="0" w:color="auto"/>
        <w:bottom w:val="none" w:sz="0" w:space="0" w:color="auto"/>
        <w:right w:val="none" w:sz="0" w:space="0" w:color="auto"/>
      </w:divBdr>
    </w:div>
    <w:div w:id="2101297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titania.saeima.lv/LIVS13/saeimalivs13.nsf/0/055C19386B32A6C9C225840700273BDE?OpenDocument" TargetMode="External"/><Relationship Id="rId18" Type="http://schemas.openxmlformats.org/officeDocument/2006/relationships/hyperlink" Target="https://likumi.lv/ta/id/275045-kreditiestazu-un-ieguldijumu-brokeru-sabiedribu-darbibas-atjaunosanas-un-noregulejuma-likums" TargetMode="External"/><Relationship Id="rId26" Type="http://schemas.openxmlformats.org/officeDocument/2006/relationships/hyperlink" Target="https://likumi.lv/ta/id/55829-iegulditaju-aizsardzibas-likums" TargetMode="External"/><Relationship Id="rId3" Type="http://schemas.openxmlformats.org/officeDocument/2006/relationships/styles" Target="styles.xml"/><Relationship Id="rId21" Type="http://schemas.openxmlformats.org/officeDocument/2006/relationships/hyperlink" Target="https://likumi.lv/ta/id/275045-kreditiestazu-un-ieguldijumu-brokeru-sabiedribu-darbibas-atjaunosanas-un-noregulejuma-likums"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titania.saeima.lv/LIVS13/saeimalivs13.nsf/0/055C19386B32A6C9C225840700273BDE?OpenDocument" TargetMode="External"/><Relationship Id="rId17" Type="http://schemas.openxmlformats.org/officeDocument/2006/relationships/hyperlink" Target="https://likumi.lv/ta/id/214590-maksatnespejas-likums" TargetMode="External"/><Relationship Id="rId25" Type="http://schemas.openxmlformats.org/officeDocument/2006/relationships/hyperlink" Target="https://likumi.lv/ta/id/275045-kreditiestazu-un-ieguldijumu-brokeru-sabiedribu-darbibas-atjaunosanas-un-noregulejuma-likums"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likumi.lv/ta/id/5490-komerclikums" TargetMode="External"/><Relationship Id="rId20" Type="http://schemas.openxmlformats.org/officeDocument/2006/relationships/hyperlink" Target="https://likumi.lv/ta/id/275045-kreditiestazu-un-ieguldijumu-brokeru-sabiedribu-darbibas-atjaunosanas-un-noregulejuma-likums" TargetMode="External"/><Relationship Id="rId29" Type="http://schemas.openxmlformats.org/officeDocument/2006/relationships/hyperlink" Target="https://likumi.lv/ta/id/55829-iegulditaju-aizsardzibas-likum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kumi.lv/ta/id/81995" TargetMode="External"/><Relationship Id="rId24" Type="http://schemas.openxmlformats.org/officeDocument/2006/relationships/hyperlink" Target="https://likumi.lv/ta/id/275045-kreditiestazu-un-ieguldijumu-brokeru-sabiedribu-darbibas-atjaunosanas-un-noregulejuma-likums" TargetMode="External"/><Relationship Id="rId32" Type="http://schemas.openxmlformats.org/officeDocument/2006/relationships/hyperlink" Target="mailto:Imants.Tiesnieks@fm.gov.lv" TargetMode="External"/><Relationship Id="rId5" Type="http://schemas.openxmlformats.org/officeDocument/2006/relationships/webSettings" Target="webSettings.xml"/><Relationship Id="rId15" Type="http://schemas.openxmlformats.org/officeDocument/2006/relationships/hyperlink" Target="https://likumi.lv/ta/id/8172-finansu-un-kapitala-tirgus-komisijas-likums" TargetMode="External"/><Relationship Id="rId23" Type="http://schemas.openxmlformats.org/officeDocument/2006/relationships/hyperlink" Target="https://likumi.lv/ta/id/275045-kreditiestazu-un-ieguldijumu-brokeru-sabiedribu-darbibas-atjaunosanas-un-noregulejuma-likums" TargetMode="External"/><Relationship Id="rId28" Type="http://schemas.openxmlformats.org/officeDocument/2006/relationships/hyperlink" Target="https://likumi.lv/ta/id/55829-iegulditaju-aizsardzibas-likums" TargetMode="External"/><Relationship Id="rId36" Type="http://schemas.openxmlformats.org/officeDocument/2006/relationships/theme" Target="theme/theme1.xml"/><Relationship Id="rId10" Type="http://schemas.openxmlformats.org/officeDocument/2006/relationships/hyperlink" Target="https://likumi.lv/ta/id/81995" TargetMode="External"/><Relationship Id="rId19" Type="http://schemas.openxmlformats.org/officeDocument/2006/relationships/hyperlink" Target="https://likumi.lv/ta/id/275045-kreditiestazu-un-ieguldijumu-brokeru-sabiedribu-darbibas-atjaunosanas-un-noregulejuma-likums" TargetMode="External"/><Relationship Id="rId31" Type="http://schemas.openxmlformats.org/officeDocument/2006/relationships/hyperlink" Target="mailto:Imants.Tiesnieks@fm.gov.lv" TargetMode="External"/><Relationship Id="rId4" Type="http://schemas.openxmlformats.org/officeDocument/2006/relationships/settings" Target="settings.xml"/><Relationship Id="rId9" Type="http://schemas.openxmlformats.org/officeDocument/2006/relationships/hyperlink" Target="http://eur-lex.europa.eu/eli/reg/2013/575/oj/?locale=LV" TargetMode="External"/><Relationship Id="rId14" Type="http://schemas.openxmlformats.org/officeDocument/2006/relationships/hyperlink" Target="https://info.ur.gov.lv" TargetMode="External"/><Relationship Id="rId22" Type="http://schemas.openxmlformats.org/officeDocument/2006/relationships/hyperlink" Target="https://likumi.lv/ta/id/275045-kreditiestazu-un-ieguldijumu-brokeru-sabiedribu-darbibas-atjaunosanas-un-noregulejuma-likums" TargetMode="External"/><Relationship Id="rId27" Type="http://schemas.openxmlformats.org/officeDocument/2006/relationships/hyperlink" Target="https://likumi.lv/ta/id/55829-iegulditaju-aizsardzibas-likums" TargetMode="External"/><Relationship Id="rId30" Type="http://schemas.openxmlformats.org/officeDocument/2006/relationships/hyperlink" Target="https://likumi.lv/ta/id/214590-maksatnespejas-likums" TargetMode="External"/><Relationship Id="rId35" Type="http://schemas.openxmlformats.org/officeDocument/2006/relationships/fontTable" Target="fontTable.xml"/><Relationship Id="rId8" Type="http://schemas.openxmlformats.org/officeDocument/2006/relationships/hyperlink" Target="http://eur-lex.europa.eu/eli/reg/2013/575/oj/?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D9CEEE-5D59-4235-93F4-50F17A39B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72</Pages>
  <Words>137696</Words>
  <Characters>78488</Characters>
  <Application>Microsoft Office Word</Application>
  <DocSecurity>0</DocSecurity>
  <Lines>654</Lines>
  <Paragraphs>431</Paragraphs>
  <ScaleCrop>false</ScaleCrop>
  <HeadingPairs>
    <vt:vector size="2" baseType="variant">
      <vt:variant>
        <vt:lpstr>Title</vt:lpstr>
      </vt:variant>
      <vt:variant>
        <vt:i4>1</vt:i4>
      </vt:variant>
    </vt:vector>
  </HeadingPairs>
  <TitlesOfParts>
    <vt:vector size="1" baseType="lpstr">
      <vt:lpstr>Likumprojekts "Ieguldījumu brokeru sabiedrību likums"</vt:lpstr>
    </vt:vector>
  </TitlesOfParts>
  <Manager/>
  <Company/>
  <LinksUpToDate>false</LinksUpToDate>
  <CharactersWithSpaces>215753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 "Ieguldījumu brokeru sabiedrību likums"</dc:title>
  <dc:subject>Izziņa</dc:subject>
  <dc:creator/>
  <cp:keywords/>
  <dc:description>67095441, aivis.hammers@fm.gov.lv</dc:description>
  <cp:lastModifiedBy/>
  <cp:revision>1</cp:revision>
  <dcterms:created xsi:type="dcterms:W3CDTF">2020-09-07T12:24:00Z</dcterms:created>
  <dcterms:modified xsi:type="dcterms:W3CDTF">2021-10-05T07:52:00Z</dcterms:modified>
  <cp:contentStatus/>
</cp:coreProperties>
</file>