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0654815" w:displacedByCustomXml="next"/>
    <w:bookmarkEnd w:id="0" w:displacedByCustomXml="next"/>
    <w:sdt>
      <w:sdtPr>
        <w:rPr>
          <w:highlight w:val="yellow"/>
        </w:rPr>
        <w:id w:val="-1673177141"/>
        <w:docPartObj>
          <w:docPartGallery w:val="Cover Pages"/>
          <w:docPartUnique/>
        </w:docPartObj>
      </w:sdtPr>
      <w:sdtEndPr>
        <w:rPr>
          <w:rFonts w:ascii="Times New Roman" w:hAnsi="Times New Roman" w:cs="Times New Roman"/>
          <w:b/>
          <w:sz w:val="40"/>
          <w:highlight w:val="none"/>
        </w:rPr>
      </w:sdtEndPr>
      <w:sdtContent>
        <w:p w14:paraId="42EAD3DB" w14:textId="4B0D303A" w:rsidR="00444AD7" w:rsidRPr="001054F7" w:rsidRDefault="00444AD7">
          <w:pPr>
            <w:rPr>
              <w:highlight w:val="yellow"/>
            </w:rPr>
          </w:pPr>
          <w:r w:rsidRPr="001054F7">
            <w:rPr>
              <w:noProof/>
              <w:highlight w:val="yellow"/>
              <w:lang w:eastAsia="lv-LV"/>
            </w:rPr>
            <mc:AlternateContent>
              <mc:Choice Requires="wpg">
                <w:drawing>
                  <wp:anchor distT="0" distB="0" distL="114300" distR="114300" simplePos="0" relativeHeight="251666432" behindDoc="1" locked="0" layoutInCell="1" allowOverlap="1" wp14:anchorId="19414D73" wp14:editId="7A93798E">
                    <wp:simplePos x="0" y="0"/>
                    <wp:positionH relativeFrom="page">
                      <wp:align>center</wp:align>
                    </wp:positionH>
                    <wp:positionV relativeFrom="page">
                      <wp:align>center</wp:align>
                    </wp:positionV>
                    <wp:extent cx="6864824" cy="9123528"/>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3" name="Rectangle 3"/>
                            <wps:cNvSpPr/>
                            <wps:spPr>
                              <a:xfrm>
                                <a:off x="0" y="0"/>
                                <a:ext cx="6858000" cy="13716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4094328"/>
                                <a:ext cx="6858000" cy="5029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BBDD9" w14:textId="77777777" w:rsidR="00CA7612" w:rsidRDefault="00CA7612">
                                  <w:pPr>
                                    <w:pStyle w:val="NoSpacing"/>
                                    <w:spacing w:before="120"/>
                                    <w:jc w:val="center"/>
                                    <w:rPr>
                                      <w:color w:val="FFFFFF" w:themeColor="background1"/>
                                    </w:rPr>
                                  </w:pPr>
                                </w:p>
                                <w:p w14:paraId="7D8F384C" w14:textId="3CF15639" w:rsidR="00CA7612" w:rsidRPr="007B0EDA" w:rsidRDefault="008F4570">
                                  <w:pPr>
                                    <w:pStyle w:val="NoSpacing"/>
                                    <w:spacing w:before="120"/>
                                    <w:jc w:val="center"/>
                                    <w:rPr>
                                      <w:color w:val="000000" w:themeColor="text1"/>
                                    </w:rPr>
                                  </w:pPr>
                                  <w:sdt>
                                    <w:sdtPr>
                                      <w:rPr>
                                        <w:rFonts w:ascii="Times New Roman" w:hAnsi="Times New Roman" w:cs="Times New Roman"/>
                                        <w:caps/>
                                        <w:color w:val="FFFFFF" w:themeColor="background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9D114E" w:rsidRPr="0058124B">
                                        <w:rPr>
                                          <w:rFonts w:ascii="Times New Roman" w:hAnsi="Times New Roman" w:cs="Times New Roman"/>
                                          <w:caps/>
                                          <w:color w:val="FFFFFF" w:themeColor="background1"/>
                                          <w:sz w:val="24"/>
                                        </w:rPr>
                                        <w:t>RĪGA, 202</w:t>
                                      </w:r>
                                      <w:r w:rsidR="00D06618" w:rsidRPr="0058124B">
                                        <w:rPr>
                                          <w:rFonts w:ascii="Times New Roman" w:hAnsi="Times New Roman" w:cs="Times New Roman"/>
                                          <w:caps/>
                                          <w:color w:val="FFFFFF" w:themeColor="background1"/>
                                          <w:sz w:val="24"/>
                                        </w:rPr>
                                        <w:t>3</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5" name="Text Box 5"/>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b/>
                                      <w:caps/>
                                      <w:color w:val="1F4E79" w:themeColor="accent1" w:themeShade="80"/>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58124B" w:rsidRDefault="008D789A">
                                      <w:pPr>
                                        <w:pStyle w:val="NoSpacing"/>
                                        <w:jc w:val="center"/>
                                        <w:rPr>
                                          <w:rFonts w:asciiTheme="majorHAnsi" w:eastAsiaTheme="majorEastAsia" w:hAnsiTheme="majorHAnsi" w:cstheme="majorBidi"/>
                                          <w:caps/>
                                          <w:color w:val="1F4E79" w:themeColor="accent1" w:themeShade="80"/>
                                          <w:sz w:val="96"/>
                                          <w:szCs w:val="72"/>
                                        </w:rPr>
                                      </w:pPr>
                                      <w:r w:rsidRPr="0058124B">
                                        <w:rPr>
                                          <w:rFonts w:ascii="Times New Roman" w:eastAsiaTheme="majorEastAsia" w:hAnsi="Times New Roman" w:cs="Times New Roman"/>
                                          <w:b/>
                                          <w:caps/>
                                          <w:color w:val="1F4E79" w:themeColor="accent1" w:themeShade="80"/>
                                          <w:sz w:val="54"/>
                                          <w:szCs w:val="54"/>
                                        </w:rPr>
                                        <w:t>Informatīvais ziņojums "Fiskālo risku deklarācija"</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9414D73" id="Group 1" o:spid="_x0000_s1026" style="position:absolute;margin-left:0;margin-top:0;width:540.55pt;height:718.4pt;z-index:-25165004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">
                    <v:rect id="Rectangle 3"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" fillcolor="#1f4d78 [1604]" stroked="f" strokeweight="1pt"/>
                    <v:rect id="Rectangle 4"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" fillcolor="#1f4d78 [1604]" stroked="f" strokeweight="1pt">
                      <v:textbox inset="36pt,57.6pt,36pt,36pt">
                        <w:txbxContent>
                          <w:p w14:paraId="7F5BBDD9" w14:textId="77777777" w:rsidR="00CA7612" w:rsidRDefault="00CA7612">
                            <w:pPr>
                              <w:pStyle w:val="NoSpacing"/>
                              <w:spacing w:before="120"/>
                              <w:jc w:val="center"/>
                              <w:rPr>
                                <w:color w:val="FFFFFF" w:themeColor="background1"/>
                              </w:rPr>
                            </w:pPr>
                          </w:p>
                          <w:p w14:paraId="7D8F384C" w14:textId="3CF15639" w:rsidR="00CA7612" w:rsidRPr="007B0EDA" w:rsidRDefault="008A58BA">
                            <w:pPr>
                              <w:pStyle w:val="NoSpacing"/>
                              <w:spacing w:before="120"/>
                              <w:jc w:val="center"/>
                              <w:rPr>
                                <w:color w:val="000000" w:themeColor="text1"/>
                              </w:rPr>
                            </w:pPr>
                            <w:sdt>
                              <w:sdtPr>
                                <w:rPr>
                                  <w:rFonts w:ascii="Times New Roman" w:hAnsi="Times New Roman" w:cs="Times New Roman"/>
                                  <w:caps/>
                                  <w:color w:val="FFFFFF" w:themeColor="background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9D114E" w:rsidRPr="0058124B">
                                  <w:rPr>
                                    <w:rFonts w:ascii="Times New Roman" w:hAnsi="Times New Roman" w:cs="Times New Roman"/>
                                    <w:caps/>
                                    <w:color w:val="FFFFFF" w:themeColor="background1"/>
                                    <w:sz w:val="24"/>
                                  </w:rPr>
                                  <w:t>RĪGA, 202</w:t>
                                </w:r>
                                <w:r w:rsidR="00D06618" w:rsidRPr="0058124B">
                                  <w:rPr>
                                    <w:rFonts w:ascii="Times New Roman" w:hAnsi="Times New Roman" w:cs="Times New Roman"/>
                                    <w:caps/>
                                    <w:color w:val="FFFFFF" w:themeColor="background1"/>
                                    <w:sz w:val="24"/>
                                  </w:rPr>
                                  <w:t>3</w:t>
                                </w:r>
                              </w:sdtContent>
                            </w:sdt>
                          </w:p>
                        </w:txbxContent>
                      </v:textbox>
                    </v:rect>
                    <v:shapetype id="_x0000_t202" coordsize="21600,21600" o:spt="202" path="m,l,21600r21600,l21600,xe">
                      <v:stroke joinstyle="miter"/>
                      <v:path gradientshapeok="t" o:connecttype="rect"/>
                    </v:shapetype>
                    <v:shape id="Text Box 5"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" fillcolor="white [3212]" stroked="f" strokeweight=".5pt">
                      <v:textbox inset="36pt,7.2pt,36pt,7.2pt">
                        <w:txbxContent>
                          <w:sdt>
                            <w:sdtPr>
                              <w:rPr>
                                <w:rFonts w:ascii="Times New Roman" w:eastAsiaTheme="majorEastAsia" w:hAnsi="Times New Roman" w:cs="Times New Roman"/>
                                <w:b/>
                                <w:caps/>
                                <w:color w:val="1F4E79" w:themeColor="accent1" w:themeShade="80"/>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58124B" w:rsidRDefault="008D789A">
                                <w:pPr>
                                  <w:pStyle w:val="NoSpacing"/>
                                  <w:jc w:val="center"/>
                                  <w:rPr>
                                    <w:rFonts w:asciiTheme="majorHAnsi" w:eastAsiaTheme="majorEastAsia" w:hAnsiTheme="majorHAnsi" w:cstheme="majorBidi"/>
                                    <w:caps/>
                                    <w:color w:val="1F4E79" w:themeColor="accent1" w:themeShade="80"/>
                                    <w:sz w:val="96"/>
                                    <w:szCs w:val="72"/>
                                  </w:rPr>
                                </w:pPr>
                                <w:r w:rsidRPr="0058124B">
                                  <w:rPr>
                                    <w:rFonts w:ascii="Times New Roman" w:eastAsiaTheme="majorEastAsia" w:hAnsi="Times New Roman" w:cs="Times New Roman"/>
                                    <w:b/>
                                    <w:caps/>
                                    <w:color w:val="1F4E79" w:themeColor="accent1" w:themeShade="80"/>
                                    <w:sz w:val="54"/>
                                    <w:szCs w:val="54"/>
                                  </w:rPr>
                                  <w:t>Informatīvais ziņojums "Fiskālo risku deklarācija"</w:t>
                                </w:r>
                              </w:p>
                            </w:sdtContent>
                          </w:sdt>
                        </w:txbxContent>
                      </v:textbox>
                    </v:shape>
                    <w10:wrap anchorx="page" anchory="page"/>
                  </v:group>
                </w:pict>
              </mc:Fallback>
            </mc:AlternateContent>
          </w:r>
        </w:p>
        <w:p w14:paraId="3AF5C715" w14:textId="69CD3236" w:rsidR="00444AD7" w:rsidRPr="00F951DB" w:rsidRDefault="00444AD7">
          <w:pPr>
            <w:rPr>
              <w:rFonts w:ascii="Times New Roman" w:hAnsi="Times New Roman" w:cs="Times New Roman"/>
              <w:b/>
              <w:sz w:val="40"/>
            </w:rPr>
          </w:pPr>
          <w:r w:rsidRPr="00F951DB">
            <w:rPr>
              <w:rFonts w:ascii="Times New Roman" w:hAnsi="Times New Roman" w:cs="Times New Roman"/>
              <w:b/>
              <w:sz w:val="40"/>
            </w:rPr>
            <w:br w:type="page"/>
          </w:r>
        </w:p>
      </w:sdtContent>
    </w:sdt>
    <w:sdt>
      <w:sdtPr>
        <w:rPr>
          <w:rFonts w:asciiTheme="minorHAnsi" w:eastAsiaTheme="minorEastAsia" w:hAnsiTheme="minorHAnsi" w:cstheme="minorBidi"/>
          <w:b w:val="0"/>
          <w:bCs w:val="0"/>
          <w:smallCaps w:val="0"/>
          <w:color w:val="auto"/>
          <w:sz w:val="22"/>
          <w:szCs w:val="22"/>
          <w:highlight w:val="yellow"/>
        </w:rPr>
        <w:id w:val="494848509"/>
        <w:docPartObj>
          <w:docPartGallery w:val="Table of Contents"/>
          <w:docPartUnique/>
        </w:docPartObj>
      </w:sdtPr>
      <w:sdtEndPr>
        <w:rPr>
          <w:rFonts w:ascii="Times New Roman" w:hAnsi="Times New Roman" w:cs="Times New Roman"/>
          <w:noProof/>
        </w:rPr>
      </w:sdtEndPr>
      <w:sdtContent>
        <w:p w14:paraId="01E351E4" w14:textId="000C2FEA" w:rsidR="002A186B" w:rsidRPr="00075814" w:rsidRDefault="002A186B" w:rsidP="008237F2">
          <w:pPr>
            <w:pStyle w:val="TOCHeading"/>
            <w:numPr>
              <w:ilvl w:val="0"/>
              <w:numId w:val="0"/>
            </w:numPr>
            <w:ind w:left="432" w:hanging="612"/>
            <w:jc w:val="center"/>
            <w:rPr>
              <w:rFonts w:ascii="Times New Roman" w:hAnsi="Times New Roman" w:cs="Times New Roman"/>
            </w:rPr>
          </w:pPr>
          <w:r w:rsidRPr="00075814">
            <w:rPr>
              <w:rFonts w:ascii="Times New Roman" w:hAnsi="Times New Roman" w:cs="Times New Roman"/>
            </w:rPr>
            <w:t>Saturs</w:t>
          </w:r>
        </w:p>
        <w:p w14:paraId="58F17C6B" w14:textId="08885AF1" w:rsidR="00EA2003" w:rsidRPr="00BA3F6D" w:rsidRDefault="002A186B" w:rsidP="00BA58D9">
          <w:pPr>
            <w:pStyle w:val="TOC1"/>
            <w:rPr>
              <w:rFonts w:ascii="Times New Roman" w:hAnsi="Times New Roman" w:cs="Times New Roman"/>
              <w:noProof/>
              <w:kern w:val="2"/>
              <w:lang w:eastAsia="lv-LV"/>
              <w14:ligatures w14:val="standardContextual"/>
            </w:rPr>
          </w:pPr>
          <w:r w:rsidRPr="00BA3F6D">
            <w:rPr>
              <w:rFonts w:ascii="Times New Roman" w:hAnsi="Times New Roman" w:cs="Times New Roman"/>
              <w:highlight w:val="yellow"/>
            </w:rPr>
            <w:fldChar w:fldCharType="begin"/>
          </w:r>
          <w:r w:rsidRPr="00BA3F6D">
            <w:rPr>
              <w:rFonts w:ascii="Times New Roman" w:hAnsi="Times New Roman" w:cs="Times New Roman"/>
              <w:highlight w:val="yellow"/>
            </w:rPr>
            <w:instrText xml:space="preserve"> TOC \o "1-3" \h \z \u </w:instrText>
          </w:r>
          <w:r w:rsidRPr="00BA3F6D">
            <w:rPr>
              <w:rFonts w:ascii="Times New Roman" w:hAnsi="Times New Roman" w:cs="Times New Roman"/>
              <w:highlight w:val="yellow"/>
            </w:rPr>
            <w:fldChar w:fldCharType="separate"/>
          </w:r>
          <w:hyperlink w:anchor="_Toc142388020" w:history="1">
            <w:r w:rsidR="00EA2003" w:rsidRPr="00BA3F6D">
              <w:rPr>
                <w:rStyle w:val="Hyperlink"/>
                <w:rFonts w:ascii="Times New Roman" w:hAnsi="Times New Roman" w:cs="Times New Roman"/>
                <w:noProof/>
              </w:rPr>
              <w:t>Saīsinājumu saraksts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3</w:t>
            </w:r>
            <w:r w:rsidR="00EA2003" w:rsidRPr="00BA3F6D">
              <w:rPr>
                <w:rFonts w:ascii="Times New Roman" w:hAnsi="Times New Roman" w:cs="Times New Roman"/>
                <w:noProof/>
                <w:webHidden/>
              </w:rPr>
              <w:fldChar w:fldCharType="end"/>
            </w:r>
          </w:hyperlink>
        </w:p>
        <w:p w14:paraId="433EF741" w14:textId="1F19FB81"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21" w:history="1">
            <w:r w:rsidR="00EA2003" w:rsidRPr="00BA3F6D">
              <w:rPr>
                <w:rStyle w:val="Hyperlink"/>
                <w:rFonts w:ascii="Times New Roman" w:hAnsi="Times New Roman" w:cs="Times New Roman"/>
                <w:noProof/>
              </w:rPr>
              <w:t>Ievads.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5</w:t>
            </w:r>
            <w:r w:rsidR="00EA2003" w:rsidRPr="00BA3F6D">
              <w:rPr>
                <w:rFonts w:ascii="Times New Roman" w:hAnsi="Times New Roman" w:cs="Times New Roman"/>
                <w:noProof/>
                <w:webHidden/>
              </w:rPr>
              <w:fldChar w:fldCharType="end"/>
            </w:r>
          </w:hyperlink>
        </w:p>
        <w:p w14:paraId="61A03F0B" w14:textId="1642CF0A"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22" w:history="1">
            <w:r w:rsidR="00EA2003" w:rsidRPr="00BA3F6D">
              <w:rPr>
                <w:rStyle w:val="Hyperlink"/>
                <w:rFonts w:ascii="Times New Roman" w:hAnsi="Times New Roman" w:cs="Times New Roman"/>
                <w:noProof/>
              </w:rPr>
              <w:t>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vispārējā vadība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7</w:t>
            </w:r>
            <w:r w:rsidR="00EA2003" w:rsidRPr="00BA3F6D">
              <w:rPr>
                <w:rFonts w:ascii="Times New Roman" w:hAnsi="Times New Roman" w:cs="Times New Roman"/>
                <w:noProof/>
                <w:webHidden/>
              </w:rPr>
              <w:fldChar w:fldCharType="end"/>
            </w:r>
          </w:hyperlink>
        </w:p>
        <w:p w14:paraId="5B9F7F4E" w14:textId="48EAD3A7" w:rsidR="00EA2003" w:rsidRPr="00BA3F6D" w:rsidRDefault="008F4570">
          <w:pPr>
            <w:pStyle w:val="TOC2"/>
            <w:rPr>
              <w:rFonts w:ascii="Times New Roman" w:hAnsi="Times New Roman" w:cs="Times New Roman"/>
              <w:noProof/>
              <w:kern w:val="2"/>
              <w:lang w:eastAsia="lv-LV"/>
              <w14:ligatures w14:val="standardContextual"/>
            </w:rPr>
          </w:pPr>
          <w:hyperlink w:anchor="_Toc142388023" w:history="1">
            <w:r w:rsidR="00EA2003" w:rsidRPr="00BA3F6D">
              <w:rPr>
                <w:rStyle w:val="Hyperlink"/>
                <w:rFonts w:ascii="Times New Roman" w:hAnsi="Times New Roman" w:cs="Times New Roman"/>
                <w:noProof/>
              </w:rPr>
              <w:t>1.1.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vispārējās vadības mehānisms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_Toc142388023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7</w:t>
            </w:r>
            <w:r w:rsidR="00EA2003" w:rsidRPr="00BA3F6D">
              <w:rPr>
                <w:rFonts w:ascii="Times New Roman" w:hAnsi="Times New Roman" w:cs="Times New Roman"/>
                <w:noProof/>
                <w:webHidden/>
              </w:rPr>
              <w:fldChar w:fldCharType="end"/>
            </w:r>
          </w:hyperlink>
        </w:p>
        <w:p w14:paraId="10E3CC46" w14:textId="251DB74F" w:rsidR="00EA2003" w:rsidRPr="00BA3F6D" w:rsidRDefault="008F4570">
          <w:pPr>
            <w:pStyle w:val="TOC2"/>
            <w:rPr>
              <w:rFonts w:ascii="Times New Roman" w:hAnsi="Times New Roman" w:cs="Times New Roman"/>
              <w:noProof/>
              <w:kern w:val="2"/>
              <w:lang w:eastAsia="lv-LV"/>
              <w14:ligatures w14:val="standardContextual"/>
            </w:rPr>
          </w:pPr>
          <w:hyperlink w:anchor="_Toc142388024" w:history="1">
            <w:r w:rsidR="00EA2003" w:rsidRPr="00BA3F6D">
              <w:rPr>
                <w:rStyle w:val="Hyperlink"/>
                <w:rFonts w:ascii="Times New Roman" w:hAnsi="Times New Roman" w:cs="Times New Roman"/>
                <w:noProof/>
              </w:rPr>
              <w:t>1.2.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klasifikācija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_Toc142388024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7</w:t>
            </w:r>
            <w:r w:rsidR="00EA2003" w:rsidRPr="00BA3F6D">
              <w:rPr>
                <w:rFonts w:ascii="Times New Roman" w:hAnsi="Times New Roman" w:cs="Times New Roman"/>
                <w:noProof/>
                <w:webHidden/>
              </w:rPr>
              <w:fldChar w:fldCharType="end"/>
            </w:r>
          </w:hyperlink>
        </w:p>
        <w:p w14:paraId="0E20535A" w14:textId="3A3623FA" w:rsidR="00EA2003" w:rsidRPr="00BA3F6D" w:rsidRDefault="008F4570">
          <w:pPr>
            <w:pStyle w:val="TOC2"/>
            <w:rPr>
              <w:rFonts w:ascii="Times New Roman" w:hAnsi="Times New Roman" w:cs="Times New Roman"/>
              <w:noProof/>
              <w:kern w:val="2"/>
              <w:lang w:eastAsia="lv-LV"/>
              <w14:ligatures w14:val="standardContextual"/>
            </w:rPr>
          </w:pPr>
          <w:hyperlink w:anchor="_Toc142388025" w:history="1">
            <w:r w:rsidR="00EA2003" w:rsidRPr="00BA3F6D">
              <w:rPr>
                <w:rStyle w:val="Hyperlink"/>
                <w:rFonts w:ascii="Times New Roman" w:hAnsi="Times New Roman" w:cs="Times New Roman"/>
                <w:noProof/>
              </w:rPr>
              <w:t>1.3.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ietekmes un iestāšanās varbūtības novērtēšanas metodes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_Toc142388025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8</w:t>
            </w:r>
            <w:r w:rsidR="00EA2003" w:rsidRPr="00BA3F6D">
              <w:rPr>
                <w:rFonts w:ascii="Times New Roman" w:hAnsi="Times New Roman" w:cs="Times New Roman"/>
                <w:noProof/>
                <w:webHidden/>
              </w:rPr>
              <w:fldChar w:fldCharType="end"/>
            </w:r>
          </w:hyperlink>
        </w:p>
        <w:p w14:paraId="092A66D6" w14:textId="3F496AD2"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26" w:history="1">
            <w:r w:rsidR="00EA2003" w:rsidRPr="00BA3F6D">
              <w:rPr>
                <w:rStyle w:val="Hyperlink"/>
                <w:rFonts w:ascii="Times New Roman" w:hAnsi="Times New Roman" w:cs="Times New Roman"/>
                <w:noProof/>
              </w:rPr>
              <w:t>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Kvantificējamie fiskālie riski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_Toc142388026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10</w:t>
            </w:r>
            <w:r w:rsidR="00EA2003" w:rsidRPr="00BA3F6D">
              <w:rPr>
                <w:rFonts w:ascii="Times New Roman" w:hAnsi="Times New Roman" w:cs="Times New Roman"/>
                <w:noProof/>
                <w:webHidden/>
              </w:rPr>
              <w:fldChar w:fldCharType="end"/>
            </w:r>
          </w:hyperlink>
        </w:p>
        <w:p w14:paraId="3AB7C9A1" w14:textId="0A546F9C" w:rsidR="00EA2003" w:rsidRPr="00BA3F6D" w:rsidRDefault="008F4570">
          <w:pPr>
            <w:pStyle w:val="TOC2"/>
            <w:rPr>
              <w:rFonts w:ascii="Times New Roman" w:hAnsi="Times New Roman" w:cs="Times New Roman"/>
              <w:noProof/>
              <w:kern w:val="2"/>
              <w:lang w:eastAsia="lv-LV"/>
              <w14:ligatures w14:val="standardContextual"/>
            </w:rPr>
          </w:pPr>
          <w:hyperlink w:anchor="_Toc142388027" w:history="1">
            <w:r w:rsidR="00EA2003" w:rsidRPr="00BA3F6D">
              <w:rPr>
                <w:rStyle w:val="Hyperlink"/>
                <w:rFonts w:ascii="Times New Roman" w:hAnsi="Times New Roman" w:cs="Times New Roman"/>
                <w:noProof/>
              </w:rPr>
              <w:t>2.1.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un pašvaldību galvojumi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_Toc142388027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10</w:t>
            </w:r>
            <w:r w:rsidR="00EA2003" w:rsidRPr="00BA3F6D">
              <w:rPr>
                <w:rFonts w:ascii="Times New Roman" w:hAnsi="Times New Roman" w:cs="Times New Roman"/>
                <w:noProof/>
                <w:webHidden/>
              </w:rPr>
              <w:fldChar w:fldCharType="end"/>
            </w:r>
          </w:hyperlink>
        </w:p>
        <w:p w14:paraId="37BEED92" w14:textId="156F6DF6" w:rsidR="00EA2003" w:rsidRPr="00BA3F6D" w:rsidRDefault="008F4570">
          <w:pPr>
            <w:pStyle w:val="TOC2"/>
            <w:rPr>
              <w:rFonts w:ascii="Times New Roman" w:hAnsi="Times New Roman" w:cs="Times New Roman"/>
              <w:noProof/>
              <w:kern w:val="2"/>
              <w:lang w:eastAsia="lv-LV"/>
              <w14:ligatures w14:val="standardContextual"/>
            </w:rPr>
          </w:pPr>
          <w:hyperlink w:anchor="_Toc142388028" w:history="1">
            <w:r w:rsidR="00EA2003" w:rsidRPr="00BA3F6D">
              <w:rPr>
                <w:rStyle w:val="Hyperlink"/>
                <w:rFonts w:ascii="Times New Roman" w:hAnsi="Times New Roman" w:cs="Times New Roman"/>
                <w:noProof/>
              </w:rPr>
              <w:t>2.2.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galvojums studiju un studējošo kreditēšanai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_Toc142388028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12</w:t>
            </w:r>
            <w:r w:rsidR="00EA2003" w:rsidRPr="00BA3F6D">
              <w:rPr>
                <w:rFonts w:ascii="Times New Roman" w:hAnsi="Times New Roman" w:cs="Times New Roman"/>
                <w:noProof/>
                <w:webHidden/>
              </w:rPr>
              <w:fldChar w:fldCharType="end"/>
            </w:r>
          </w:hyperlink>
        </w:p>
        <w:p w14:paraId="32ACC9D7" w14:textId="45BA3027" w:rsidR="00EA2003" w:rsidRPr="00BA3F6D" w:rsidRDefault="008F4570">
          <w:pPr>
            <w:pStyle w:val="TOC2"/>
            <w:rPr>
              <w:rFonts w:ascii="Times New Roman" w:hAnsi="Times New Roman" w:cs="Times New Roman"/>
              <w:noProof/>
              <w:kern w:val="2"/>
              <w:lang w:eastAsia="lv-LV"/>
              <w14:ligatures w14:val="standardContextual"/>
            </w:rPr>
          </w:pPr>
          <w:hyperlink w:anchor="_Toc142388029" w:history="1">
            <w:r w:rsidR="00EA2003" w:rsidRPr="00BA3F6D">
              <w:rPr>
                <w:rStyle w:val="Hyperlink"/>
                <w:rFonts w:ascii="Times New Roman" w:hAnsi="Times New Roman" w:cs="Times New Roman"/>
                <w:noProof/>
              </w:rPr>
              <w:t>2.3.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aizdevumi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_Toc142388029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12</w:t>
            </w:r>
            <w:r w:rsidR="00EA2003" w:rsidRPr="00BA3F6D">
              <w:rPr>
                <w:rFonts w:ascii="Times New Roman" w:hAnsi="Times New Roman" w:cs="Times New Roman"/>
                <w:noProof/>
                <w:webHidden/>
              </w:rPr>
              <w:fldChar w:fldCharType="end"/>
            </w:r>
          </w:hyperlink>
        </w:p>
        <w:p w14:paraId="29C801BE" w14:textId="3D6A66D0" w:rsidR="00EA2003" w:rsidRPr="00BA3F6D" w:rsidRDefault="008F4570">
          <w:pPr>
            <w:pStyle w:val="TOC2"/>
            <w:rPr>
              <w:rFonts w:ascii="Times New Roman" w:hAnsi="Times New Roman" w:cs="Times New Roman"/>
              <w:noProof/>
              <w:kern w:val="2"/>
              <w:lang w:eastAsia="lv-LV"/>
              <w14:ligatures w14:val="standardContextual"/>
            </w:rPr>
          </w:pPr>
          <w:hyperlink w:anchor="_Toc142388030" w:history="1">
            <w:r w:rsidR="00EA2003" w:rsidRPr="00BA3F6D">
              <w:rPr>
                <w:rStyle w:val="Hyperlink"/>
                <w:rFonts w:ascii="Times New Roman" w:hAnsi="Times New Roman" w:cs="Times New Roman"/>
                <w:noProof/>
              </w:rPr>
              <w:t>2.4.</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Kvantificējamie riski labklājības nozarē</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13</w:t>
            </w:r>
            <w:r w:rsidR="00EA2003" w:rsidRPr="00BA3F6D">
              <w:rPr>
                <w:rFonts w:ascii="Times New Roman" w:hAnsi="Times New Roman" w:cs="Times New Roman"/>
                <w:noProof/>
                <w:webHidden/>
              </w:rPr>
              <w:fldChar w:fldCharType="end"/>
            </w:r>
          </w:hyperlink>
        </w:p>
        <w:p w14:paraId="78F7982F" w14:textId="5F1E1137" w:rsidR="00EA2003" w:rsidRPr="00BA3F6D" w:rsidRDefault="008F4570">
          <w:pPr>
            <w:pStyle w:val="TOC2"/>
            <w:rPr>
              <w:rFonts w:ascii="Times New Roman" w:hAnsi="Times New Roman" w:cs="Times New Roman"/>
              <w:noProof/>
              <w:kern w:val="2"/>
              <w:lang w:eastAsia="lv-LV"/>
              <w14:ligatures w14:val="standardContextual"/>
            </w:rPr>
          </w:pPr>
          <w:hyperlink w:anchor="_Toc142388031" w:history="1">
            <w:r w:rsidR="00EA2003" w:rsidRPr="00BA3F6D">
              <w:rPr>
                <w:rStyle w:val="Hyperlink"/>
                <w:rFonts w:ascii="Times New Roman" w:hAnsi="Times New Roman" w:cs="Times New Roman"/>
                <w:noProof/>
              </w:rPr>
              <w:t>2.5.</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Kārtējo maksājumu Eiropas Savienības budžetā un starptautiskai sadarbībai pieaugums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15</w:t>
            </w:r>
            <w:r w:rsidR="00EA2003" w:rsidRPr="00BA3F6D">
              <w:rPr>
                <w:rFonts w:ascii="Times New Roman" w:hAnsi="Times New Roman" w:cs="Times New Roman"/>
                <w:noProof/>
                <w:webHidden/>
              </w:rPr>
              <w:fldChar w:fldCharType="end"/>
            </w:r>
          </w:hyperlink>
        </w:p>
        <w:p w14:paraId="4D962BD3" w14:textId="24427422" w:rsidR="00EA2003" w:rsidRPr="00BA3F6D" w:rsidRDefault="008F4570">
          <w:pPr>
            <w:pStyle w:val="TOC2"/>
            <w:rPr>
              <w:rFonts w:ascii="Times New Roman" w:hAnsi="Times New Roman" w:cs="Times New Roman"/>
              <w:noProof/>
              <w:kern w:val="2"/>
              <w:lang w:eastAsia="lv-LV"/>
              <w14:ligatures w14:val="standardContextual"/>
            </w:rPr>
          </w:pPr>
          <w:hyperlink w:anchor="_Toc142388032" w:history="1">
            <w:r w:rsidR="00EA2003" w:rsidRPr="00BA3F6D">
              <w:rPr>
                <w:rStyle w:val="Hyperlink"/>
                <w:rFonts w:ascii="Times New Roman" w:hAnsi="Times New Roman" w:cs="Times New Roman"/>
                <w:noProof/>
              </w:rPr>
              <w:t>2.6.</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Eiropas Savienības politiku instrumentu un citu ārvalstu finanšu palīdzības programmas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18</w:t>
            </w:r>
            <w:r w:rsidR="00EA2003" w:rsidRPr="00BA3F6D">
              <w:rPr>
                <w:rFonts w:ascii="Times New Roman" w:hAnsi="Times New Roman" w:cs="Times New Roman"/>
                <w:noProof/>
                <w:webHidden/>
              </w:rPr>
              <w:fldChar w:fldCharType="end"/>
            </w:r>
          </w:hyperlink>
        </w:p>
        <w:p w14:paraId="151C1519" w14:textId="2D53731D" w:rsidR="00EA2003" w:rsidRPr="00BA3F6D" w:rsidRDefault="008F4570">
          <w:pPr>
            <w:pStyle w:val="TOC2"/>
            <w:rPr>
              <w:rFonts w:ascii="Times New Roman" w:hAnsi="Times New Roman" w:cs="Times New Roman"/>
              <w:noProof/>
              <w:kern w:val="2"/>
              <w:lang w:eastAsia="lv-LV"/>
              <w14:ligatures w14:val="standardContextual"/>
            </w:rPr>
          </w:pPr>
          <w:hyperlink w:anchor="_Toc142388033" w:history="1">
            <w:r w:rsidR="00EA2003" w:rsidRPr="00BA3F6D">
              <w:rPr>
                <w:rStyle w:val="Hyperlink"/>
                <w:rFonts w:ascii="Times New Roman" w:hAnsi="Times New Roman" w:cs="Times New Roman"/>
                <w:noProof/>
              </w:rPr>
              <w:t>2.7.</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Ieņēmumu no sniegtajiem maksas pakalpojumiem un citu pašu ieņēmumu atlikums un apropriācijas rezerve</w:t>
            </w:r>
            <w:r w:rsidR="00BA3F6D">
              <w:rPr>
                <w:rStyle w:val="Hyperlink"/>
                <w:rFonts w:ascii="Times New Roman" w:hAnsi="Times New Roman" w:cs="Times New Roman"/>
                <w:noProof/>
              </w:rPr>
              <w:t>.</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_Toc142388033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22</w:t>
            </w:r>
            <w:r w:rsidR="00EA2003" w:rsidRPr="00BA3F6D">
              <w:rPr>
                <w:rFonts w:ascii="Times New Roman" w:hAnsi="Times New Roman" w:cs="Times New Roman"/>
                <w:noProof/>
                <w:webHidden/>
              </w:rPr>
              <w:fldChar w:fldCharType="end"/>
            </w:r>
          </w:hyperlink>
        </w:p>
        <w:p w14:paraId="71621295" w14:textId="7B38C04E" w:rsidR="00EA2003" w:rsidRPr="00BA3F6D" w:rsidRDefault="008F4570">
          <w:pPr>
            <w:pStyle w:val="TOC2"/>
            <w:rPr>
              <w:rFonts w:ascii="Times New Roman" w:hAnsi="Times New Roman" w:cs="Times New Roman"/>
              <w:noProof/>
              <w:kern w:val="2"/>
              <w:lang w:eastAsia="lv-LV"/>
              <w14:ligatures w14:val="standardContextual"/>
            </w:rPr>
          </w:pPr>
          <w:hyperlink w:anchor="_Toc142388034" w:history="1">
            <w:r w:rsidR="00EA2003" w:rsidRPr="00BA3F6D">
              <w:rPr>
                <w:rStyle w:val="Hyperlink"/>
                <w:rFonts w:ascii="Times New Roman" w:hAnsi="Times New Roman" w:cs="Times New Roman"/>
                <w:noProof/>
              </w:rPr>
              <w:t>2.8.</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Fiskālie riski saistībā ar “būvnieku karteļa” lietu</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_Toc142388034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24</w:t>
            </w:r>
            <w:r w:rsidR="00EA2003" w:rsidRPr="00BA3F6D">
              <w:rPr>
                <w:rFonts w:ascii="Times New Roman" w:hAnsi="Times New Roman" w:cs="Times New Roman"/>
                <w:noProof/>
                <w:webHidden/>
              </w:rPr>
              <w:fldChar w:fldCharType="end"/>
            </w:r>
          </w:hyperlink>
        </w:p>
        <w:p w14:paraId="5A6FC84D" w14:textId="01F2B69C" w:rsidR="00EA2003" w:rsidRPr="00BA3F6D" w:rsidRDefault="008F4570">
          <w:pPr>
            <w:pStyle w:val="TOC2"/>
            <w:rPr>
              <w:rFonts w:ascii="Times New Roman" w:hAnsi="Times New Roman" w:cs="Times New Roman"/>
              <w:noProof/>
              <w:kern w:val="2"/>
              <w:lang w:eastAsia="lv-LV"/>
              <w14:ligatures w14:val="standardContextual"/>
            </w:rPr>
          </w:pPr>
          <w:hyperlink w:anchor="_Toc142388035" w:history="1">
            <w:r w:rsidR="00EA2003" w:rsidRPr="00BA3F6D">
              <w:rPr>
                <w:rStyle w:val="Hyperlink"/>
                <w:rFonts w:ascii="Times New Roman" w:hAnsi="Times New Roman" w:cs="Times New Roman"/>
                <w:noProof/>
              </w:rPr>
              <w:t>2.9.</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Kapitāls uz pieprasījumu</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_Toc142388035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25</w:t>
            </w:r>
            <w:r w:rsidR="00EA2003" w:rsidRPr="00BA3F6D">
              <w:rPr>
                <w:rFonts w:ascii="Times New Roman" w:hAnsi="Times New Roman" w:cs="Times New Roman"/>
                <w:noProof/>
                <w:webHidden/>
              </w:rPr>
              <w:fldChar w:fldCharType="end"/>
            </w:r>
          </w:hyperlink>
        </w:p>
        <w:p w14:paraId="0D641AA7" w14:textId="52AD5DA5" w:rsidR="00EA2003" w:rsidRPr="00BA3F6D" w:rsidRDefault="008F4570">
          <w:pPr>
            <w:pStyle w:val="TOC2"/>
            <w:rPr>
              <w:rFonts w:ascii="Times New Roman" w:hAnsi="Times New Roman" w:cs="Times New Roman"/>
              <w:noProof/>
              <w:kern w:val="2"/>
              <w:lang w:eastAsia="lv-LV"/>
              <w14:ligatures w14:val="standardContextual"/>
            </w:rPr>
          </w:pPr>
          <w:hyperlink w:anchor="_Toc142388036" w:history="1">
            <w:r w:rsidR="00EA2003" w:rsidRPr="00BA3F6D">
              <w:rPr>
                <w:rStyle w:val="Hyperlink"/>
                <w:rFonts w:ascii="Times New Roman" w:hAnsi="Times New Roman" w:cs="Times New Roman"/>
                <w:noProof/>
              </w:rPr>
              <w:t>2.10.</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un pašvaldību kapitālsabiedrības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_Toc142388036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26</w:t>
            </w:r>
            <w:r w:rsidR="00EA2003" w:rsidRPr="00BA3F6D">
              <w:rPr>
                <w:rFonts w:ascii="Times New Roman" w:hAnsi="Times New Roman" w:cs="Times New Roman"/>
                <w:noProof/>
                <w:webHidden/>
              </w:rPr>
              <w:fldChar w:fldCharType="end"/>
            </w:r>
          </w:hyperlink>
        </w:p>
        <w:p w14:paraId="545F22A0" w14:textId="5681354B" w:rsidR="00EA2003" w:rsidRPr="00BA3F6D" w:rsidRDefault="008F4570">
          <w:pPr>
            <w:pStyle w:val="TOC2"/>
            <w:rPr>
              <w:rFonts w:ascii="Times New Roman" w:hAnsi="Times New Roman" w:cs="Times New Roman"/>
              <w:noProof/>
              <w:kern w:val="2"/>
              <w:lang w:eastAsia="lv-LV"/>
              <w14:ligatures w14:val="standardContextual"/>
            </w:rPr>
          </w:pPr>
          <w:hyperlink w:anchor="_Toc142388037" w:history="1">
            <w:r w:rsidR="00EA2003" w:rsidRPr="00BA3F6D">
              <w:rPr>
                <w:rStyle w:val="Hyperlink"/>
                <w:rFonts w:ascii="Times New Roman" w:hAnsi="Times New Roman" w:cs="Times New Roman"/>
                <w:noProof/>
              </w:rPr>
              <w:t>2.11.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Superdividendes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_Toc142388037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30</w:t>
            </w:r>
            <w:r w:rsidR="00EA2003" w:rsidRPr="00BA3F6D">
              <w:rPr>
                <w:rFonts w:ascii="Times New Roman" w:hAnsi="Times New Roman" w:cs="Times New Roman"/>
                <w:noProof/>
                <w:webHidden/>
              </w:rPr>
              <w:fldChar w:fldCharType="end"/>
            </w:r>
          </w:hyperlink>
        </w:p>
        <w:p w14:paraId="60C04989" w14:textId="618BCD20" w:rsidR="00EA2003" w:rsidRPr="00BA3F6D" w:rsidRDefault="008F4570">
          <w:pPr>
            <w:pStyle w:val="TOC2"/>
            <w:rPr>
              <w:rFonts w:ascii="Times New Roman" w:hAnsi="Times New Roman" w:cs="Times New Roman"/>
              <w:noProof/>
              <w:kern w:val="2"/>
              <w:lang w:eastAsia="lv-LV"/>
              <w14:ligatures w14:val="standardContextual"/>
            </w:rPr>
          </w:pPr>
          <w:hyperlink w:anchor="_Toc142388038" w:history="1">
            <w:r w:rsidR="00EA2003" w:rsidRPr="00BA3F6D">
              <w:rPr>
                <w:rStyle w:val="Hyperlink"/>
                <w:rFonts w:ascii="Times New Roman" w:hAnsi="Times New Roman" w:cs="Times New Roman"/>
                <w:noProof/>
              </w:rPr>
              <w:t>2.12.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Publiskās un privātās partnerības (t.sk. koncesijas) projekti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_Toc142388038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31</w:t>
            </w:r>
            <w:r w:rsidR="00EA2003" w:rsidRPr="00BA3F6D">
              <w:rPr>
                <w:rFonts w:ascii="Times New Roman" w:hAnsi="Times New Roman" w:cs="Times New Roman"/>
                <w:noProof/>
                <w:webHidden/>
              </w:rPr>
              <w:fldChar w:fldCharType="end"/>
            </w:r>
          </w:hyperlink>
        </w:p>
        <w:p w14:paraId="4BD1FECF" w14:textId="544CD169" w:rsidR="00EA2003" w:rsidRPr="00BA3F6D" w:rsidRDefault="008F4570">
          <w:pPr>
            <w:pStyle w:val="TOC2"/>
            <w:rPr>
              <w:rFonts w:ascii="Times New Roman" w:hAnsi="Times New Roman" w:cs="Times New Roman"/>
              <w:noProof/>
              <w:kern w:val="2"/>
              <w:lang w:eastAsia="lv-LV"/>
              <w14:ligatures w14:val="standardContextual"/>
            </w:rPr>
          </w:pPr>
          <w:hyperlink w:anchor="_Toc142388039" w:history="1">
            <w:r w:rsidR="00EA2003" w:rsidRPr="00BA3F6D">
              <w:rPr>
                <w:rStyle w:val="Hyperlink"/>
                <w:rFonts w:ascii="Times New Roman" w:hAnsi="Times New Roman" w:cs="Times New Roman"/>
                <w:noProof/>
              </w:rPr>
              <w:t>2.13.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Enerģijas publiskais tirgotājs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_Toc142388039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32</w:t>
            </w:r>
            <w:r w:rsidR="00EA2003" w:rsidRPr="00BA3F6D">
              <w:rPr>
                <w:rFonts w:ascii="Times New Roman" w:hAnsi="Times New Roman" w:cs="Times New Roman"/>
                <w:noProof/>
                <w:webHidden/>
              </w:rPr>
              <w:fldChar w:fldCharType="end"/>
            </w:r>
          </w:hyperlink>
        </w:p>
        <w:p w14:paraId="52293692" w14:textId="0B9CE933" w:rsidR="00EA2003" w:rsidRPr="00BA3F6D" w:rsidRDefault="008F4570">
          <w:pPr>
            <w:pStyle w:val="TOC2"/>
            <w:rPr>
              <w:rFonts w:ascii="Times New Roman" w:hAnsi="Times New Roman" w:cs="Times New Roman"/>
              <w:noProof/>
              <w:kern w:val="2"/>
              <w:lang w:eastAsia="lv-LV"/>
              <w14:ligatures w14:val="standardContextual"/>
            </w:rPr>
          </w:pPr>
          <w:hyperlink w:anchor="_Toc142388040" w:history="1">
            <w:r w:rsidR="00EA2003" w:rsidRPr="00BA3F6D">
              <w:rPr>
                <w:rStyle w:val="Hyperlink"/>
                <w:rFonts w:ascii="Times New Roman" w:hAnsi="Times New Roman" w:cs="Times New Roman"/>
                <w:noProof/>
              </w:rPr>
              <w:t>2.14.</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Finanšu sektors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35</w:t>
            </w:r>
            <w:r w:rsidR="00EA2003" w:rsidRPr="00BA3F6D">
              <w:rPr>
                <w:rFonts w:ascii="Times New Roman" w:hAnsi="Times New Roman" w:cs="Times New Roman"/>
                <w:noProof/>
                <w:webHidden/>
              </w:rPr>
              <w:fldChar w:fldCharType="end"/>
            </w:r>
          </w:hyperlink>
        </w:p>
        <w:p w14:paraId="121F640C" w14:textId="460EC623"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41" w:history="1">
            <w:r w:rsidR="00EA2003" w:rsidRPr="00BA3F6D">
              <w:rPr>
                <w:rStyle w:val="Hyperlink"/>
                <w:rFonts w:ascii="Times New Roman" w:hAnsi="Times New Roman" w:cs="Times New Roman"/>
                <w:noProof/>
              </w:rPr>
              <w:t>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Nekvantificējamie fiskālie riski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38</w:t>
            </w:r>
            <w:r w:rsidR="00EA2003" w:rsidRPr="00BA3F6D">
              <w:rPr>
                <w:rFonts w:ascii="Times New Roman" w:hAnsi="Times New Roman" w:cs="Times New Roman"/>
                <w:noProof/>
                <w:webHidden/>
              </w:rPr>
              <w:fldChar w:fldCharType="end"/>
            </w:r>
          </w:hyperlink>
        </w:p>
        <w:p w14:paraId="594DCE24" w14:textId="42011ECC" w:rsidR="00EA2003" w:rsidRPr="00BA3F6D" w:rsidRDefault="008F4570">
          <w:pPr>
            <w:pStyle w:val="TOC2"/>
            <w:rPr>
              <w:rFonts w:ascii="Times New Roman" w:hAnsi="Times New Roman" w:cs="Times New Roman"/>
              <w:noProof/>
              <w:kern w:val="2"/>
              <w:lang w:eastAsia="lv-LV"/>
              <w14:ligatures w14:val="standardContextual"/>
            </w:rPr>
          </w:pPr>
          <w:hyperlink w:anchor="_Toc142388042" w:history="1">
            <w:r w:rsidR="00EA2003" w:rsidRPr="00BA3F6D">
              <w:rPr>
                <w:rStyle w:val="Hyperlink"/>
                <w:rFonts w:ascii="Times New Roman" w:hAnsi="Times New Roman" w:cs="Times New Roman"/>
                <w:noProof/>
              </w:rPr>
              <w:t>3.1.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Starptautisko tiesu un Satversmes tiesas spriedumu izpilde</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38</w:t>
            </w:r>
            <w:r w:rsidR="00EA2003" w:rsidRPr="00BA3F6D">
              <w:rPr>
                <w:rFonts w:ascii="Times New Roman" w:hAnsi="Times New Roman" w:cs="Times New Roman"/>
                <w:noProof/>
                <w:webHidden/>
              </w:rPr>
              <w:fldChar w:fldCharType="end"/>
            </w:r>
          </w:hyperlink>
        </w:p>
        <w:p w14:paraId="18EA143F" w14:textId="71394778" w:rsidR="00EA2003" w:rsidRPr="00BA3F6D" w:rsidRDefault="008F4570">
          <w:pPr>
            <w:pStyle w:val="TOC2"/>
            <w:rPr>
              <w:rFonts w:ascii="Times New Roman" w:hAnsi="Times New Roman" w:cs="Times New Roman"/>
              <w:noProof/>
              <w:kern w:val="2"/>
              <w:lang w:eastAsia="lv-LV"/>
              <w14:ligatures w14:val="standardContextual"/>
            </w:rPr>
          </w:pPr>
          <w:hyperlink w:anchor="_Toc142388043" w:history="1">
            <w:r w:rsidR="00EA2003" w:rsidRPr="00BA3F6D">
              <w:rPr>
                <w:rStyle w:val="Hyperlink"/>
                <w:rFonts w:ascii="Times New Roman" w:hAnsi="Times New Roman" w:cs="Times New Roman"/>
                <w:noProof/>
              </w:rPr>
              <w:t>3.2.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Fiskālie riski saistībā ar valsts līdzdalību airBaltic</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_Toc142388043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40</w:t>
            </w:r>
            <w:r w:rsidR="00EA2003" w:rsidRPr="00BA3F6D">
              <w:rPr>
                <w:rFonts w:ascii="Times New Roman" w:hAnsi="Times New Roman" w:cs="Times New Roman"/>
                <w:noProof/>
                <w:webHidden/>
              </w:rPr>
              <w:fldChar w:fldCharType="end"/>
            </w:r>
          </w:hyperlink>
        </w:p>
        <w:p w14:paraId="67176E34" w14:textId="3346BD92"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44" w:history="1">
            <w:r w:rsidR="00EA2003" w:rsidRPr="00BA3F6D">
              <w:rPr>
                <w:rStyle w:val="Hyperlink"/>
                <w:rFonts w:ascii="Times New Roman" w:hAnsi="Times New Roman" w:cs="Times New Roman"/>
                <w:noProof/>
              </w:rPr>
              <w:t>4.</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Ekonomikas šoku transmisijas kanāli uz valsts fiskālajiem rādītājiem un parāda ilgtspēja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_Toc142388044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42</w:t>
            </w:r>
            <w:r w:rsidR="00EA2003" w:rsidRPr="00BA3F6D">
              <w:rPr>
                <w:rFonts w:ascii="Times New Roman" w:hAnsi="Times New Roman" w:cs="Times New Roman"/>
                <w:noProof/>
                <w:webHidden/>
              </w:rPr>
              <w:fldChar w:fldCharType="end"/>
            </w:r>
          </w:hyperlink>
        </w:p>
        <w:p w14:paraId="08EBBF60" w14:textId="1A7C02F1" w:rsidR="00EA2003" w:rsidRPr="00BA3F6D" w:rsidRDefault="008F4570">
          <w:pPr>
            <w:pStyle w:val="TOC2"/>
            <w:rPr>
              <w:rFonts w:ascii="Times New Roman" w:hAnsi="Times New Roman" w:cs="Times New Roman"/>
              <w:noProof/>
              <w:kern w:val="2"/>
              <w:lang w:eastAsia="lv-LV"/>
              <w14:ligatures w14:val="standardContextual"/>
            </w:rPr>
          </w:pPr>
          <w:hyperlink w:anchor="_Toc142388045" w:history="1">
            <w:r w:rsidR="00EA2003" w:rsidRPr="00BA3F6D">
              <w:rPr>
                <w:rStyle w:val="Hyperlink"/>
                <w:rFonts w:ascii="Times New Roman" w:hAnsi="Times New Roman" w:cs="Times New Roman"/>
                <w:noProof/>
              </w:rPr>
              <w:t>4.1.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kapitālsabiedrības, kuras nav pieklasificētas S.13 sektoram</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_Toc142388045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42</w:t>
            </w:r>
            <w:r w:rsidR="00EA2003" w:rsidRPr="00BA3F6D">
              <w:rPr>
                <w:rFonts w:ascii="Times New Roman" w:hAnsi="Times New Roman" w:cs="Times New Roman"/>
                <w:noProof/>
                <w:webHidden/>
              </w:rPr>
              <w:fldChar w:fldCharType="end"/>
            </w:r>
          </w:hyperlink>
        </w:p>
        <w:p w14:paraId="57196A5D" w14:textId="158150DC" w:rsidR="00EA2003" w:rsidRPr="00BA3F6D" w:rsidRDefault="008F4570">
          <w:pPr>
            <w:pStyle w:val="TOC2"/>
            <w:rPr>
              <w:rFonts w:ascii="Times New Roman" w:hAnsi="Times New Roman" w:cs="Times New Roman"/>
              <w:noProof/>
              <w:kern w:val="2"/>
              <w:lang w:eastAsia="lv-LV"/>
              <w14:ligatures w14:val="standardContextual"/>
            </w:rPr>
          </w:pPr>
          <w:hyperlink w:anchor="_Toc142388046" w:history="1">
            <w:r w:rsidR="00EA2003" w:rsidRPr="00BA3F6D">
              <w:rPr>
                <w:rStyle w:val="Hyperlink"/>
                <w:rFonts w:ascii="Times New Roman" w:hAnsi="Times New Roman" w:cs="Times New Roman"/>
                <w:noProof/>
              </w:rPr>
              <w:t>4.2.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Vispārējās valdības sektora galvojumi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_Toc142388046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44</w:t>
            </w:r>
            <w:r w:rsidR="00EA2003" w:rsidRPr="00BA3F6D">
              <w:rPr>
                <w:rFonts w:ascii="Times New Roman" w:hAnsi="Times New Roman" w:cs="Times New Roman"/>
                <w:noProof/>
                <w:webHidden/>
              </w:rPr>
              <w:fldChar w:fldCharType="end"/>
            </w:r>
          </w:hyperlink>
        </w:p>
        <w:p w14:paraId="05125D3C" w14:textId="4D7EE049" w:rsidR="00EA2003" w:rsidRPr="00BA3F6D" w:rsidRDefault="008F4570">
          <w:pPr>
            <w:pStyle w:val="TOC2"/>
            <w:rPr>
              <w:rFonts w:ascii="Times New Roman" w:hAnsi="Times New Roman" w:cs="Times New Roman"/>
              <w:noProof/>
              <w:kern w:val="2"/>
              <w:lang w:eastAsia="lv-LV"/>
              <w14:ligatures w14:val="standardContextual"/>
            </w:rPr>
          </w:pPr>
          <w:hyperlink w:anchor="_Toc142388047" w:history="1">
            <w:r w:rsidR="00EA2003" w:rsidRPr="00BA3F6D">
              <w:rPr>
                <w:rStyle w:val="Hyperlink"/>
                <w:rFonts w:ascii="Times New Roman" w:hAnsi="Times New Roman" w:cs="Times New Roman"/>
                <w:noProof/>
              </w:rPr>
              <w:t>4.3.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parāda vadība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_Toc142388047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45</w:t>
            </w:r>
            <w:r w:rsidR="00EA2003" w:rsidRPr="00BA3F6D">
              <w:rPr>
                <w:rFonts w:ascii="Times New Roman" w:hAnsi="Times New Roman" w:cs="Times New Roman"/>
                <w:noProof/>
                <w:webHidden/>
              </w:rPr>
              <w:fldChar w:fldCharType="end"/>
            </w:r>
          </w:hyperlink>
        </w:p>
        <w:p w14:paraId="2C8F8C68" w14:textId="1F907366" w:rsidR="00EA2003" w:rsidRPr="00BA3F6D" w:rsidRDefault="008F4570">
          <w:pPr>
            <w:pStyle w:val="TOC2"/>
            <w:rPr>
              <w:rFonts w:ascii="Times New Roman" w:hAnsi="Times New Roman" w:cs="Times New Roman"/>
              <w:noProof/>
              <w:kern w:val="2"/>
              <w:lang w:eastAsia="lv-LV"/>
              <w14:ligatures w14:val="standardContextual"/>
            </w:rPr>
          </w:pPr>
          <w:hyperlink w:anchor="_Toc142388048" w:history="1">
            <w:r w:rsidR="00EA2003" w:rsidRPr="00BA3F6D">
              <w:rPr>
                <w:rStyle w:val="Hyperlink"/>
                <w:rFonts w:ascii="Times New Roman" w:hAnsi="Times New Roman" w:cs="Times New Roman"/>
                <w:noProof/>
              </w:rPr>
              <w:t>4.4. Vispārējās valdības parāda ilgtspēja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_Toc142388048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46</w:t>
            </w:r>
            <w:r w:rsidR="00EA2003" w:rsidRPr="00BA3F6D">
              <w:rPr>
                <w:rFonts w:ascii="Times New Roman" w:hAnsi="Times New Roman" w:cs="Times New Roman"/>
                <w:noProof/>
                <w:webHidden/>
              </w:rPr>
              <w:fldChar w:fldCharType="end"/>
            </w:r>
          </w:hyperlink>
        </w:p>
        <w:p w14:paraId="1A0A41CF" w14:textId="55A06E9A"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49" w:history="1">
            <w:r w:rsidR="00EA2003" w:rsidRPr="00BA3F6D">
              <w:rPr>
                <w:rStyle w:val="Hyperlink"/>
                <w:rFonts w:ascii="Times New Roman" w:hAnsi="Times New Roman" w:cs="Times New Roman"/>
                <w:noProof/>
              </w:rPr>
              <w:t>5.</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Energoresursu cenu ārkārtējā pieauguma ietekme uz publiskajām finansēm</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_Toc142388049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49</w:t>
            </w:r>
            <w:r w:rsidR="00EA2003" w:rsidRPr="00BA3F6D">
              <w:rPr>
                <w:rFonts w:ascii="Times New Roman" w:hAnsi="Times New Roman" w:cs="Times New Roman"/>
                <w:noProof/>
                <w:webHidden/>
              </w:rPr>
              <w:fldChar w:fldCharType="end"/>
            </w:r>
          </w:hyperlink>
        </w:p>
        <w:p w14:paraId="168B5561" w14:textId="0EDF562A"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50" w:history="1">
            <w:r w:rsidR="00EA2003" w:rsidRPr="00BA3F6D">
              <w:rPr>
                <w:rStyle w:val="Hyperlink"/>
                <w:rFonts w:ascii="Times New Roman" w:hAnsi="Times New Roman" w:cs="Times New Roman"/>
                <w:noProof/>
              </w:rPr>
              <w:t>6.</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Klimata pārmaiņu ietekme</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_Toc142388050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52</w:t>
            </w:r>
            <w:r w:rsidR="00EA2003" w:rsidRPr="00BA3F6D">
              <w:rPr>
                <w:rFonts w:ascii="Times New Roman" w:hAnsi="Times New Roman" w:cs="Times New Roman"/>
                <w:noProof/>
                <w:webHidden/>
              </w:rPr>
              <w:fldChar w:fldCharType="end"/>
            </w:r>
          </w:hyperlink>
        </w:p>
        <w:p w14:paraId="7A572009" w14:textId="7BB8B42F"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51" w:history="1">
            <w:r w:rsidR="00EA2003" w:rsidRPr="00BA3F6D">
              <w:rPr>
                <w:rStyle w:val="Hyperlink"/>
                <w:rFonts w:ascii="Times New Roman" w:hAnsi="Times New Roman" w:cs="Times New Roman"/>
                <w:noProof/>
              </w:rPr>
              <w:t>7. Iepriekšējā laika perioda fiskālo rādītāju iznākumu un prognožu salīdzinājums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_Toc142388051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55</w:t>
            </w:r>
            <w:r w:rsidR="00EA2003" w:rsidRPr="00BA3F6D">
              <w:rPr>
                <w:rFonts w:ascii="Times New Roman" w:hAnsi="Times New Roman" w:cs="Times New Roman"/>
                <w:noProof/>
                <w:webHidden/>
              </w:rPr>
              <w:fldChar w:fldCharType="end"/>
            </w:r>
          </w:hyperlink>
        </w:p>
        <w:p w14:paraId="7B74E324" w14:textId="34E58B68" w:rsidR="00EA2003" w:rsidRPr="00BA3F6D" w:rsidRDefault="008F4570" w:rsidP="00BA58D9">
          <w:pPr>
            <w:pStyle w:val="TOC1"/>
            <w:rPr>
              <w:rFonts w:ascii="Times New Roman" w:hAnsi="Times New Roman" w:cs="Times New Roman"/>
              <w:noProof/>
              <w:kern w:val="2"/>
              <w:lang w:eastAsia="lv-LV"/>
              <w14:ligatures w14:val="standardContextual"/>
            </w:rPr>
          </w:pPr>
          <w:hyperlink w:anchor="_Toc142388052" w:history="1">
            <w:r w:rsidR="00EA2003" w:rsidRPr="00BA3F6D">
              <w:rPr>
                <w:rStyle w:val="Hyperlink"/>
                <w:rFonts w:ascii="Times New Roman" w:hAnsi="Times New Roman" w:cs="Times New Roman"/>
                <w:noProof/>
              </w:rPr>
              <w:t>8. Fiskālā nodrošinājuma rezerves aprēķins un papildu nepieciešamie pasākumi fiskālo risku mazināšanai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_Toc142388052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F87DA6">
              <w:rPr>
                <w:rFonts w:ascii="Times New Roman" w:hAnsi="Times New Roman" w:cs="Times New Roman"/>
                <w:noProof/>
                <w:webHidden/>
              </w:rPr>
              <w:t>61</w:t>
            </w:r>
            <w:r w:rsidR="00EA2003" w:rsidRPr="00BA3F6D">
              <w:rPr>
                <w:rFonts w:ascii="Times New Roman" w:hAnsi="Times New Roman" w:cs="Times New Roman"/>
                <w:noProof/>
                <w:webHidden/>
              </w:rPr>
              <w:fldChar w:fldCharType="end"/>
            </w:r>
          </w:hyperlink>
        </w:p>
        <w:p w14:paraId="42FF7F69" w14:textId="77777777" w:rsidR="00D21A2A" w:rsidRPr="00BA3F6D" w:rsidRDefault="002A186B">
          <w:pPr>
            <w:rPr>
              <w:rFonts w:ascii="Times New Roman" w:hAnsi="Times New Roman" w:cs="Times New Roman"/>
              <w:noProof/>
              <w:highlight w:val="yellow"/>
            </w:rPr>
          </w:pPr>
          <w:r w:rsidRPr="00BA3F6D">
            <w:rPr>
              <w:rFonts w:ascii="Times New Roman" w:hAnsi="Times New Roman" w:cs="Times New Roman"/>
              <w:b/>
              <w:bCs/>
              <w:noProof/>
              <w:highlight w:val="yellow"/>
            </w:rPr>
            <w:fldChar w:fldCharType="end"/>
          </w:r>
        </w:p>
      </w:sdtContent>
    </w:sdt>
    <w:p w14:paraId="7680F826" w14:textId="5003F5F4" w:rsidR="008F58C9" w:rsidRPr="001054F7" w:rsidRDefault="008F58C9">
      <w:pPr>
        <w:rPr>
          <w:szCs w:val="24"/>
          <w:highlight w:val="yellow"/>
        </w:rPr>
      </w:pPr>
      <w:r w:rsidRPr="001054F7">
        <w:rPr>
          <w:szCs w:val="24"/>
          <w:highlight w:val="yellow"/>
        </w:rPr>
        <w:br w:type="page"/>
      </w:r>
    </w:p>
    <w:p w14:paraId="4A97FE77" w14:textId="01681DAA" w:rsidR="00125141" w:rsidRDefault="00125141" w:rsidP="008237F2">
      <w:pPr>
        <w:pStyle w:val="Heading1"/>
        <w:numPr>
          <w:ilvl w:val="0"/>
          <w:numId w:val="0"/>
        </w:numPr>
        <w:ind w:left="432" w:hanging="432"/>
        <w:jc w:val="center"/>
        <w:rPr>
          <w:rFonts w:ascii="Times New Roman" w:hAnsi="Times New Roman" w:cs="Times New Roman"/>
          <w:sz w:val="32"/>
        </w:rPr>
      </w:pPr>
      <w:bookmarkStart w:id="1" w:name="_Toc142388020"/>
      <w:bookmarkStart w:id="2" w:name="_Toc536779054"/>
      <w:r>
        <w:rPr>
          <w:rFonts w:ascii="Times New Roman" w:hAnsi="Times New Roman" w:cs="Times New Roman"/>
          <w:sz w:val="32"/>
        </w:rPr>
        <w:lastRenderedPageBreak/>
        <w:t>Saīsinājumu saraksts</w:t>
      </w:r>
      <w:bookmarkEnd w:id="1"/>
    </w:p>
    <w:p w14:paraId="01B11E55" w14:textId="016BA64F" w:rsidR="003D5725" w:rsidRPr="0058124B" w:rsidRDefault="003D5725" w:rsidP="003D5725">
      <w:pPr>
        <w:rPr>
          <w:rFonts w:ascii="Times New Roman" w:hAnsi="Times New Roman" w:cs="Times New Roman"/>
          <w:color w:val="000000"/>
          <w:sz w:val="16"/>
          <w:szCs w:val="16"/>
        </w:rPr>
      </w:pPr>
    </w:p>
    <w:p w14:paraId="76F18473" w14:textId="492C2A78" w:rsidR="00433142" w:rsidRPr="00F64903" w:rsidRDefault="00433142" w:rsidP="0058124B">
      <w:pPr>
        <w:tabs>
          <w:tab w:val="left" w:pos="2410"/>
        </w:tabs>
        <w:rPr>
          <w:rFonts w:ascii="Times New Roman" w:hAnsi="Times New Roman" w:cs="Times New Roman"/>
          <w:color w:val="000000"/>
          <w:sz w:val="24"/>
          <w:szCs w:val="24"/>
        </w:rPr>
      </w:pPr>
      <w:proofErr w:type="spellStart"/>
      <w:r w:rsidRPr="00F64903">
        <w:rPr>
          <w:rFonts w:ascii="Times New Roman" w:hAnsi="Times New Roman" w:cs="Times New Roman"/>
          <w:color w:val="000000"/>
          <w:sz w:val="24"/>
          <w:szCs w:val="24"/>
        </w:rPr>
        <w:t>airBaltic</w:t>
      </w:r>
      <w:proofErr w:type="spellEnd"/>
      <w:r w:rsidR="00E03265" w:rsidRPr="00F64903">
        <w:rPr>
          <w:rFonts w:ascii="Times New Roman" w:hAnsi="Times New Roman" w:cs="Times New Roman"/>
          <w:color w:val="000000"/>
          <w:sz w:val="24"/>
          <w:szCs w:val="24"/>
        </w:rPr>
        <w:tab/>
        <w:t>A</w:t>
      </w:r>
      <w:r w:rsidRPr="00F64903">
        <w:rPr>
          <w:rFonts w:ascii="Times New Roman" w:hAnsi="Times New Roman" w:cs="Times New Roman"/>
          <w:color w:val="000000"/>
          <w:sz w:val="24"/>
          <w:szCs w:val="24"/>
        </w:rPr>
        <w:t xml:space="preserve">kciju </w:t>
      </w:r>
      <w:r w:rsidR="00B15D4F" w:rsidRPr="00F64903">
        <w:rPr>
          <w:rFonts w:ascii="Times New Roman" w:hAnsi="Times New Roman" w:cs="Times New Roman"/>
          <w:color w:val="000000"/>
          <w:sz w:val="24"/>
          <w:szCs w:val="24"/>
        </w:rPr>
        <w:t>sabiedrība</w:t>
      </w:r>
      <w:r w:rsidRPr="00F64903">
        <w:rPr>
          <w:rFonts w:ascii="Times New Roman" w:hAnsi="Times New Roman" w:cs="Times New Roman"/>
          <w:color w:val="000000"/>
          <w:sz w:val="24"/>
          <w:szCs w:val="24"/>
        </w:rPr>
        <w:t xml:space="preserve"> “</w:t>
      </w:r>
      <w:proofErr w:type="spellStart"/>
      <w:r w:rsidRPr="00F64903">
        <w:rPr>
          <w:rFonts w:ascii="Times New Roman" w:hAnsi="Times New Roman" w:cs="Times New Roman"/>
          <w:color w:val="000000"/>
          <w:sz w:val="24"/>
          <w:szCs w:val="24"/>
        </w:rPr>
        <w:t>Air</w:t>
      </w:r>
      <w:proofErr w:type="spellEnd"/>
      <w:r w:rsidRPr="00F64903">
        <w:rPr>
          <w:rFonts w:ascii="Times New Roman" w:hAnsi="Times New Roman" w:cs="Times New Roman"/>
          <w:color w:val="000000"/>
          <w:sz w:val="24"/>
          <w:szCs w:val="24"/>
        </w:rPr>
        <w:t xml:space="preserve"> </w:t>
      </w:r>
      <w:proofErr w:type="spellStart"/>
      <w:r w:rsidRPr="00F64903">
        <w:rPr>
          <w:rFonts w:ascii="Times New Roman" w:hAnsi="Times New Roman" w:cs="Times New Roman"/>
          <w:color w:val="000000"/>
          <w:sz w:val="24"/>
          <w:szCs w:val="24"/>
        </w:rPr>
        <w:t>Baltic</w:t>
      </w:r>
      <w:proofErr w:type="spellEnd"/>
      <w:r w:rsidRPr="00F64903">
        <w:rPr>
          <w:rFonts w:ascii="Times New Roman" w:hAnsi="Times New Roman" w:cs="Times New Roman"/>
          <w:color w:val="000000"/>
          <w:sz w:val="24"/>
          <w:szCs w:val="24"/>
        </w:rPr>
        <w:t xml:space="preserve"> </w:t>
      </w:r>
      <w:proofErr w:type="spellStart"/>
      <w:r w:rsidRPr="00F64903">
        <w:rPr>
          <w:rFonts w:ascii="Times New Roman" w:hAnsi="Times New Roman" w:cs="Times New Roman"/>
          <w:color w:val="000000"/>
          <w:sz w:val="24"/>
          <w:szCs w:val="24"/>
        </w:rPr>
        <w:t>Corporation</w:t>
      </w:r>
      <w:proofErr w:type="spellEnd"/>
      <w:r w:rsidRPr="00F64903">
        <w:rPr>
          <w:rFonts w:ascii="Times New Roman" w:hAnsi="Times New Roman" w:cs="Times New Roman"/>
          <w:color w:val="000000"/>
          <w:sz w:val="24"/>
          <w:szCs w:val="24"/>
        </w:rPr>
        <w:t>”</w:t>
      </w:r>
    </w:p>
    <w:p w14:paraId="41B859F7" w14:textId="0202B117" w:rsidR="003D5725" w:rsidRPr="00F64903" w:rsidRDefault="00433142" w:rsidP="0058124B">
      <w:pPr>
        <w:tabs>
          <w:tab w:val="left" w:pos="2410"/>
        </w:tabs>
        <w:rPr>
          <w:rFonts w:ascii="Times New Roman" w:hAnsi="Times New Roman"/>
          <w:color w:val="000000"/>
          <w:sz w:val="24"/>
          <w:szCs w:val="24"/>
        </w:rPr>
      </w:pPr>
      <w:proofErr w:type="spellStart"/>
      <w:r w:rsidRPr="00F64903">
        <w:rPr>
          <w:rFonts w:ascii="Times New Roman" w:hAnsi="Times New Roman"/>
          <w:color w:val="000000"/>
          <w:sz w:val="24"/>
          <w:szCs w:val="24"/>
        </w:rPr>
        <w:t>A</w:t>
      </w:r>
      <w:r w:rsidR="003D5725" w:rsidRPr="00F64903">
        <w:rPr>
          <w:rFonts w:ascii="Times New Roman" w:hAnsi="Times New Roman"/>
          <w:color w:val="000000"/>
          <w:sz w:val="24"/>
          <w:szCs w:val="24"/>
        </w:rPr>
        <w:t>ltum</w:t>
      </w:r>
      <w:proofErr w:type="spellEnd"/>
      <w:r w:rsidR="00E03265" w:rsidRPr="00F64903">
        <w:rPr>
          <w:rFonts w:ascii="Times New Roman" w:hAnsi="Times New Roman"/>
          <w:color w:val="000000"/>
          <w:sz w:val="24"/>
          <w:szCs w:val="24"/>
        </w:rPr>
        <w:tab/>
        <w:t>A</w:t>
      </w:r>
      <w:r w:rsidR="003D5725" w:rsidRPr="00F64903">
        <w:rPr>
          <w:rFonts w:ascii="Times New Roman" w:hAnsi="Times New Roman"/>
          <w:color w:val="000000"/>
          <w:sz w:val="24"/>
          <w:szCs w:val="24"/>
        </w:rPr>
        <w:t xml:space="preserve">kciju sabiedrība “Attīstības finanšu institūcija </w:t>
      </w:r>
      <w:proofErr w:type="spellStart"/>
      <w:r w:rsidR="003D5725" w:rsidRPr="00F64903">
        <w:rPr>
          <w:rFonts w:ascii="Times New Roman" w:hAnsi="Times New Roman"/>
          <w:color w:val="000000"/>
          <w:sz w:val="24"/>
          <w:szCs w:val="24"/>
        </w:rPr>
        <w:t>Altum</w:t>
      </w:r>
      <w:proofErr w:type="spellEnd"/>
      <w:r w:rsidR="003D5725" w:rsidRPr="00F64903">
        <w:rPr>
          <w:rFonts w:ascii="Times New Roman" w:hAnsi="Times New Roman"/>
          <w:color w:val="000000"/>
          <w:sz w:val="24"/>
          <w:szCs w:val="24"/>
        </w:rPr>
        <w:t>”</w:t>
      </w:r>
    </w:p>
    <w:p w14:paraId="586036B0" w14:textId="66DA58A2"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ANO</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Apvienoto Nāciju Organizācija</w:t>
      </w:r>
    </w:p>
    <w:p w14:paraId="7E1EF598" w14:textId="3B6F4C27"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ĀFP</w:t>
      </w:r>
      <w:r w:rsidR="00E03265" w:rsidRPr="00F64903">
        <w:rPr>
          <w:rFonts w:ascii="Times New Roman" w:hAnsi="Times New Roman" w:cs="Times New Roman"/>
          <w:color w:val="000000"/>
          <w:sz w:val="24"/>
          <w:szCs w:val="24"/>
        </w:rPr>
        <w:tab/>
      </w:r>
      <w:r w:rsidR="00AF2B39" w:rsidRPr="00FC3DF6">
        <w:rPr>
          <w:rFonts w:ascii="Times New Roman" w:hAnsi="Times New Roman" w:cs="Times New Roman"/>
          <w:color w:val="000000"/>
          <w:sz w:val="24"/>
          <w:szCs w:val="24"/>
        </w:rPr>
        <w:t>Ārvalstu</w:t>
      </w:r>
      <w:r w:rsidR="00AF2B39" w:rsidRPr="00F64903">
        <w:rPr>
          <w:rFonts w:ascii="Times New Roman" w:hAnsi="Times New Roman" w:cs="Times New Roman"/>
          <w:color w:val="000000"/>
          <w:sz w:val="24"/>
          <w:szCs w:val="24"/>
        </w:rPr>
        <w:t xml:space="preserve"> finanšu palīdzība</w:t>
      </w:r>
      <w:r w:rsidR="00AF2B39" w:rsidRPr="00F64903" w:rsidDel="00AF2B39">
        <w:rPr>
          <w:rFonts w:ascii="Times New Roman" w:hAnsi="Times New Roman" w:cs="Times New Roman"/>
          <w:color w:val="000000"/>
          <w:sz w:val="24"/>
          <w:szCs w:val="24"/>
        </w:rPr>
        <w:t xml:space="preserve"> </w:t>
      </w:r>
    </w:p>
    <w:p w14:paraId="734B839A" w14:textId="3BF09FF0"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CFLA</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Centrālā finanšu un līgumu aģentūra</w:t>
      </w:r>
    </w:p>
    <w:p w14:paraId="33049B30" w14:textId="1D6EE648"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CSP</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Centrālā statistikas pārvalde</w:t>
      </w:r>
    </w:p>
    <w:p w14:paraId="52C25E2C" w14:textId="37DB08D9" w:rsidR="003D5725" w:rsidRPr="00F64903" w:rsidRDefault="003D5725" w:rsidP="0058124B">
      <w:pPr>
        <w:tabs>
          <w:tab w:val="left" w:pos="2410"/>
        </w:tabs>
        <w:rPr>
          <w:rFonts w:ascii="Times New Roman" w:hAnsi="Times New Roman" w:cs="Times New Roman"/>
          <w:sz w:val="24"/>
          <w:szCs w:val="24"/>
        </w:rPr>
      </w:pPr>
      <w:r w:rsidRPr="00F64903">
        <w:rPr>
          <w:rFonts w:ascii="Times New Roman" w:hAnsi="Times New Roman" w:cs="Times New Roman"/>
          <w:sz w:val="24"/>
          <w:szCs w:val="24"/>
        </w:rPr>
        <w:t>Deklarācija</w:t>
      </w:r>
      <w:r w:rsidR="00E03265" w:rsidRPr="00F64903">
        <w:rPr>
          <w:rFonts w:ascii="Times New Roman" w:hAnsi="Times New Roman" w:cs="Times New Roman"/>
          <w:sz w:val="24"/>
          <w:szCs w:val="24"/>
        </w:rPr>
        <w:t xml:space="preserve"> </w:t>
      </w:r>
      <w:r w:rsidR="00E03265" w:rsidRPr="00F64903">
        <w:rPr>
          <w:rFonts w:ascii="Times New Roman" w:hAnsi="Times New Roman" w:cs="Times New Roman"/>
          <w:sz w:val="24"/>
          <w:szCs w:val="24"/>
        </w:rPr>
        <w:tab/>
        <w:t>I</w:t>
      </w:r>
      <w:r w:rsidRPr="00F64903">
        <w:rPr>
          <w:rFonts w:ascii="Times New Roman" w:hAnsi="Times New Roman" w:cs="Times New Roman"/>
          <w:sz w:val="24"/>
          <w:szCs w:val="24"/>
        </w:rPr>
        <w:t>nformatīvais ziņojums “</w:t>
      </w:r>
      <w:r w:rsidRPr="00220967">
        <w:rPr>
          <w:rFonts w:ascii="Times New Roman" w:hAnsi="Times New Roman" w:cs="Times New Roman"/>
          <w:sz w:val="24"/>
          <w:szCs w:val="24"/>
        </w:rPr>
        <w:t>Fiskālo risku deklarācija</w:t>
      </w:r>
      <w:r w:rsidRPr="00F64903">
        <w:rPr>
          <w:rFonts w:ascii="Times New Roman" w:hAnsi="Times New Roman" w:cs="Times New Roman"/>
          <w:sz w:val="24"/>
          <w:szCs w:val="24"/>
        </w:rPr>
        <w:t>”</w:t>
      </w:r>
    </w:p>
    <w:p w14:paraId="05A3A0BE" w14:textId="65AAE8BD"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Eiropas Komisija</w:t>
      </w:r>
    </w:p>
    <w:p w14:paraId="715A5BEF" w14:textId="5D0FE82F"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EKS</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 xml:space="preserve">Eiropas nacionālo un reģionālo kontu sistēma Eiropas Savienībā </w:t>
      </w:r>
    </w:p>
    <w:p w14:paraId="3285C188" w14:textId="0E382D71"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EPT</w:t>
      </w:r>
      <w:r w:rsidR="00E03265" w:rsidRPr="00F64903">
        <w:rPr>
          <w:rFonts w:ascii="Times New Roman" w:hAnsi="Times New Roman" w:cs="Times New Roman"/>
          <w:color w:val="000000"/>
          <w:sz w:val="24"/>
          <w:szCs w:val="24"/>
        </w:rPr>
        <w:tab/>
        <w:t>S</w:t>
      </w:r>
      <w:r w:rsidRPr="00F64903">
        <w:rPr>
          <w:rFonts w:ascii="Times New Roman" w:hAnsi="Times New Roman" w:cs="Times New Roman"/>
          <w:color w:val="000000"/>
          <w:sz w:val="24"/>
          <w:szCs w:val="24"/>
        </w:rPr>
        <w:t>abiedrība ar ierobežotu atbildību “Enerģijas publiskais tirgotājs”</w:t>
      </w:r>
    </w:p>
    <w:p w14:paraId="505E52DA" w14:textId="2BD0AD76"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ES</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Eiropas Savienība</w:t>
      </w:r>
    </w:p>
    <w:p w14:paraId="4D9D43DF" w14:textId="0C3E421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FDL</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Fiskālās disciplīnas likums</w:t>
      </w:r>
    </w:p>
    <w:p w14:paraId="25419136" w14:textId="675CE04E"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FKTK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Finanšu un kapitāla tirgus komisija</w:t>
      </w:r>
    </w:p>
    <w:p w14:paraId="5F6C9E3B" w14:textId="116B4A51" w:rsidR="003D5725" w:rsidRPr="00F64903" w:rsidRDefault="003D5725" w:rsidP="0058124B">
      <w:pPr>
        <w:tabs>
          <w:tab w:val="left" w:pos="2410"/>
        </w:tabs>
        <w:rPr>
          <w:rFonts w:ascii="Times New Roman" w:hAnsi="Times New Roman" w:cs="Times New Roman"/>
          <w:iCs/>
          <w:sz w:val="24"/>
          <w:szCs w:val="24"/>
        </w:rPr>
      </w:pPr>
      <w:r w:rsidRPr="00F64903">
        <w:rPr>
          <w:rFonts w:ascii="Times New Roman" w:hAnsi="Times New Roman" w:cs="Times New Roman"/>
          <w:iCs/>
          <w:sz w:val="24"/>
          <w:szCs w:val="24"/>
        </w:rPr>
        <w:t>FM</w:t>
      </w:r>
      <w:r w:rsidR="00E03265" w:rsidRPr="00F64903">
        <w:rPr>
          <w:rFonts w:ascii="Times New Roman" w:hAnsi="Times New Roman" w:cs="Times New Roman"/>
          <w:iCs/>
          <w:sz w:val="24"/>
          <w:szCs w:val="24"/>
        </w:rPr>
        <w:tab/>
      </w:r>
      <w:r w:rsidRPr="00F64903">
        <w:rPr>
          <w:rFonts w:ascii="Times New Roman" w:hAnsi="Times New Roman" w:cs="Times New Roman"/>
          <w:iCs/>
          <w:sz w:val="24"/>
          <w:szCs w:val="24"/>
        </w:rPr>
        <w:t>Finanšu ministrija</w:t>
      </w:r>
    </w:p>
    <w:p w14:paraId="64FF2090" w14:textId="30A831E0"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IKP</w:t>
      </w:r>
      <w:r w:rsidR="00E03265" w:rsidRPr="00F64903">
        <w:rPr>
          <w:rFonts w:ascii="Times New Roman" w:hAnsi="Times New Roman" w:cs="Times New Roman"/>
          <w:color w:val="000000"/>
          <w:sz w:val="24"/>
          <w:szCs w:val="24"/>
        </w:rPr>
        <w:tab/>
        <w:t>I</w:t>
      </w:r>
      <w:r w:rsidRPr="00F64903">
        <w:rPr>
          <w:rFonts w:ascii="Times New Roman" w:hAnsi="Times New Roman" w:cs="Times New Roman"/>
          <w:color w:val="000000"/>
          <w:sz w:val="24"/>
          <w:szCs w:val="24"/>
        </w:rPr>
        <w:t>ekšzemes kopprodukts</w:t>
      </w:r>
    </w:p>
    <w:p w14:paraId="2A911A11" w14:textId="167A75A0"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KP</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Konkurences padome</w:t>
      </w:r>
    </w:p>
    <w:p w14:paraId="40B99F25" w14:textId="386B65D4" w:rsidR="006D6A17" w:rsidRPr="00F64903" w:rsidRDefault="006D6A17" w:rsidP="006D6A17">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LBFV</w:t>
      </w:r>
      <w:r w:rsidRPr="00F64903">
        <w:rPr>
          <w:rFonts w:ascii="Times New Roman" w:hAnsi="Times New Roman" w:cs="Times New Roman"/>
          <w:color w:val="000000"/>
          <w:sz w:val="24"/>
          <w:szCs w:val="24"/>
        </w:rPr>
        <w:tab/>
        <w:t>Likums par budžeta un finanšu vadību</w:t>
      </w:r>
    </w:p>
    <w:p w14:paraId="6EFC2C66" w14:textId="42D62734" w:rsidR="000C40CF" w:rsidRPr="00F64903" w:rsidRDefault="003D5725" w:rsidP="0058124B">
      <w:pPr>
        <w:tabs>
          <w:tab w:val="left" w:pos="2410"/>
        </w:tabs>
        <w:rPr>
          <w:rFonts w:ascii="Times New Roman" w:hAnsi="Times New Roman" w:cs="Times New Roman"/>
          <w:color w:val="000000"/>
          <w:sz w:val="24"/>
          <w:szCs w:val="24"/>
        </w:rPr>
      </w:pPr>
      <w:proofErr w:type="spellStart"/>
      <w:r w:rsidRPr="00F64903">
        <w:rPr>
          <w:rFonts w:ascii="Times New Roman" w:hAnsi="Times New Roman" w:cs="Times New Roman"/>
          <w:color w:val="000000"/>
          <w:sz w:val="24"/>
          <w:szCs w:val="24"/>
        </w:rPr>
        <w:t>LDz</w:t>
      </w:r>
      <w:proofErr w:type="spellEnd"/>
      <w:r w:rsidR="00E03265" w:rsidRPr="00F64903">
        <w:rPr>
          <w:rFonts w:ascii="Times New Roman" w:hAnsi="Times New Roman" w:cs="Times New Roman"/>
          <w:color w:val="000000"/>
          <w:sz w:val="24"/>
          <w:szCs w:val="24"/>
        </w:rPr>
        <w:tab/>
        <w:t>V</w:t>
      </w:r>
      <w:r w:rsidRPr="00F64903">
        <w:rPr>
          <w:rFonts w:ascii="Times New Roman" w:hAnsi="Times New Roman" w:cs="Times New Roman"/>
          <w:color w:val="000000"/>
          <w:sz w:val="24"/>
          <w:szCs w:val="24"/>
        </w:rPr>
        <w:t>alsts akciju sabiedrība “Latvijas Dzelzceļš”</w:t>
      </w:r>
    </w:p>
    <w:p w14:paraId="2900391D" w14:textId="0A49390B"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LM</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Labklājības ministrija</w:t>
      </w:r>
    </w:p>
    <w:p w14:paraId="089BCA9B" w14:textId="4DAC898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MK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Ministru kabinets</w:t>
      </w:r>
    </w:p>
    <w:p w14:paraId="5BB85135" w14:textId="67A09125" w:rsidR="003D5725" w:rsidRPr="00F64903" w:rsidRDefault="003D5725" w:rsidP="0058124B">
      <w:pPr>
        <w:tabs>
          <w:tab w:val="left" w:pos="2410"/>
        </w:tabs>
        <w:ind w:left="2410" w:hanging="2410"/>
        <w:rPr>
          <w:rFonts w:ascii="Times New Roman" w:hAnsi="Times New Roman"/>
          <w:sz w:val="24"/>
          <w:szCs w:val="24"/>
        </w:rPr>
      </w:pPr>
      <w:r w:rsidRPr="00F64903">
        <w:rPr>
          <w:rFonts w:ascii="Times New Roman" w:hAnsi="Times New Roman"/>
          <w:sz w:val="24"/>
          <w:szCs w:val="24"/>
        </w:rPr>
        <w:t>MK noteikumi Nr.221</w:t>
      </w:r>
      <w:r w:rsidR="00E03265" w:rsidRPr="00F64903">
        <w:rPr>
          <w:rFonts w:ascii="Times New Roman" w:hAnsi="Times New Roman"/>
          <w:sz w:val="24"/>
          <w:szCs w:val="24"/>
        </w:rPr>
        <w:tab/>
      </w:r>
      <w:bookmarkStart w:id="3" w:name="_Hlk142298244"/>
      <w:r w:rsidRPr="00F64903">
        <w:rPr>
          <w:rFonts w:ascii="Times New Roman" w:hAnsi="Times New Roman"/>
          <w:sz w:val="24"/>
          <w:szCs w:val="24"/>
        </w:rPr>
        <w:t>Ministru kabineta 2009.gada 10.marta noteikumi Nr.221 “</w:t>
      </w:r>
      <w:r w:rsidRPr="00F64903">
        <w:rPr>
          <w:rFonts w:ascii="Times New Roman" w:hAnsi="Times New Roman"/>
          <w:i/>
          <w:iCs/>
          <w:sz w:val="24"/>
          <w:szCs w:val="24"/>
        </w:rPr>
        <w:t>Noteikumi par elektroenerģijas ražošanu un cenu noteikšanu, ražojot elektroenerģiju koģenerācijā</w:t>
      </w:r>
      <w:r w:rsidRPr="00F64903">
        <w:rPr>
          <w:rFonts w:ascii="Times New Roman" w:hAnsi="Times New Roman"/>
          <w:sz w:val="24"/>
          <w:szCs w:val="24"/>
        </w:rPr>
        <w:t>”</w:t>
      </w:r>
    </w:p>
    <w:bookmarkEnd w:id="3"/>
    <w:p w14:paraId="4910413C" w14:textId="58859B78" w:rsidR="003D5725" w:rsidRPr="00F64903" w:rsidRDefault="003D5725" w:rsidP="0058124B">
      <w:pPr>
        <w:tabs>
          <w:tab w:val="left" w:pos="2410"/>
        </w:tabs>
        <w:ind w:left="2410" w:hanging="2410"/>
        <w:rPr>
          <w:rFonts w:ascii="Times New Roman" w:hAnsi="Times New Roman" w:cs="Times New Roman"/>
          <w:iCs/>
          <w:sz w:val="24"/>
          <w:szCs w:val="24"/>
        </w:rPr>
      </w:pPr>
      <w:r w:rsidRPr="00F64903">
        <w:rPr>
          <w:rFonts w:ascii="Times New Roman" w:hAnsi="Times New Roman" w:cs="Times New Roman"/>
          <w:iCs/>
          <w:sz w:val="24"/>
          <w:szCs w:val="24"/>
        </w:rPr>
        <w:t>MK noteikumi Nr.229</w:t>
      </w:r>
      <w:r w:rsidR="00E03265" w:rsidRPr="00F64903">
        <w:rPr>
          <w:rFonts w:ascii="Times New Roman" w:hAnsi="Times New Roman" w:cs="Times New Roman"/>
          <w:iCs/>
          <w:sz w:val="24"/>
          <w:szCs w:val="24"/>
        </w:rPr>
        <w:tab/>
      </w:r>
      <w:r w:rsidRPr="00F64903">
        <w:rPr>
          <w:rFonts w:ascii="Times New Roman" w:hAnsi="Times New Roman" w:cs="Times New Roman"/>
          <w:iCs/>
          <w:sz w:val="24"/>
          <w:szCs w:val="24"/>
        </w:rPr>
        <w:t xml:space="preserve">Ministru kabineta 2014.gada 29.aprīļa </w:t>
      </w:r>
      <w:r w:rsidRPr="00F64903">
        <w:rPr>
          <w:rFonts w:ascii="Times New Roman" w:hAnsi="Times New Roman" w:cs="Times New Roman"/>
          <w:color w:val="000000"/>
          <w:sz w:val="24"/>
          <w:szCs w:val="24"/>
        </w:rPr>
        <w:t>noteikumi</w:t>
      </w:r>
      <w:r w:rsidRPr="00F64903">
        <w:t xml:space="preserve"> </w:t>
      </w:r>
      <w:r w:rsidRPr="00F64903">
        <w:rPr>
          <w:rFonts w:ascii="Times New Roman" w:hAnsi="Times New Roman" w:cs="Times New Roman"/>
          <w:color w:val="000000"/>
          <w:sz w:val="24"/>
          <w:szCs w:val="24"/>
        </w:rPr>
        <w:t>Nr.229 „</w:t>
      </w:r>
      <w:r w:rsidRPr="00F64903">
        <w:rPr>
          <w:rFonts w:ascii="Times New Roman" w:hAnsi="Times New Roman" w:cs="Times New Roman"/>
          <w:i/>
          <w:iCs/>
          <w:color w:val="000000"/>
          <w:sz w:val="24"/>
          <w:szCs w:val="24"/>
        </w:rPr>
        <w:t xml:space="preserve">Noteikumi par fiskālo risku vispārējo vadību un par fiskālās nodrošinājuma rezerves apjoma noteikšanas </w:t>
      </w:r>
      <w:r w:rsidRPr="00F64903">
        <w:rPr>
          <w:rFonts w:ascii="Times New Roman" w:hAnsi="Times New Roman" w:cs="Times New Roman"/>
          <w:i/>
          <w:iCs/>
          <w:sz w:val="24"/>
          <w:szCs w:val="24"/>
        </w:rPr>
        <w:t>metodoloģiju</w:t>
      </w:r>
      <w:r w:rsidRPr="00F64903">
        <w:rPr>
          <w:rFonts w:ascii="Times New Roman" w:hAnsi="Times New Roman" w:cs="Times New Roman"/>
          <w:iCs/>
          <w:sz w:val="24"/>
          <w:szCs w:val="24"/>
        </w:rPr>
        <w:t xml:space="preserve">” </w:t>
      </w:r>
    </w:p>
    <w:p w14:paraId="0FA3729E" w14:textId="2AB47E2F"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NDC</w:t>
      </w:r>
      <w:r w:rsidR="00E03265" w:rsidRPr="00F64903">
        <w:rPr>
          <w:rFonts w:ascii="Times New Roman" w:hAnsi="Times New Roman" w:cs="Times New Roman"/>
          <w:color w:val="000000"/>
          <w:sz w:val="24"/>
          <w:szCs w:val="24"/>
        </w:rPr>
        <w:tab/>
        <w:t>N</w:t>
      </w:r>
      <w:r w:rsidRPr="00F64903">
        <w:rPr>
          <w:rFonts w:ascii="Times New Roman" w:hAnsi="Times New Roman" w:cs="Times New Roman"/>
          <w:color w:val="000000"/>
          <w:sz w:val="24"/>
          <w:szCs w:val="24"/>
        </w:rPr>
        <w:t>acionāli noteiktais devums</w:t>
      </w:r>
    </w:p>
    <w:p w14:paraId="0C70C662" w14:textId="2FF32533" w:rsidR="003D5725" w:rsidRPr="00F64903" w:rsidRDefault="003D5725" w:rsidP="0058124B">
      <w:pPr>
        <w:tabs>
          <w:tab w:val="left" w:pos="2410"/>
        </w:tabs>
        <w:rPr>
          <w:rFonts w:ascii="Times New Roman" w:hAnsi="Times New Roman"/>
          <w:sz w:val="24"/>
          <w:szCs w:val="24"/>
        </w:rPr>
      </w:pPr>
      <w:r w:rsidRPr="00F64903">
        <w:rPr>
          <w:rFonts w:ascii="Times New Roman" w:hAnsi="Times New Roman"/>
          <w:sz w:val="24"/>
          <w:szCs w:val="24"/>
        </w:rPr>
        <w:t>NGF</w:t>
      </w:r>
      <w:r w:rsidR="00E03265" w:rsidRPr="00F64903">
        <w:rPr>
          <w:rFonts w:ascii="Times New Roman" w:hAnsi="Times New Roman"/>
          <w:sz w:val="24"/>
          <w:szCs w:val="24"/>
        </w:rPr>
        <w:tab/>
        <w:t>N</w:t>
      </w:r>
      <w:r w:rsidRPr="00F64903">
        <w:rPr>
          <w:rFonts w:ascii="Times New Roman" w:hAnsi="Times New Roman"/>
          <w:sz w:val="24"/>
          <w:szCs w:val="24"/>
        </w:rPr>
        <w:t>oguldījumu garantiju fonds</w:t>
      </w:r>
    </w:p>
    <w:p w14:paraId="5D774CCE" w14:textId="3255FC0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NGL</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Noguldījumu garantiju likums</w:t>
      </w:r>
    </w:p>
    <w:p w14:paraId="44CA654F" w14:textId="53F569F1"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NKI</w:t>
      </w:r>
      <w:r w:rsidR="00E03265" w:rsidRPr="00F64903">
        <w:rPr>
          <w:rFonts w:ascii="Times New Roman" w:hAnsi="Times New Roman" w:cs="Times New Roman"/>
          <w:color w:val="000000"/>
          <w:sz w:val="24"/>
          <w:szCs w:val="24"/>
        </w:rPr>
        <w:tab/>
        <w:t>N</w:t>
      </w:r>
      <w:r w:rsidRPr="00F64903">
        <w:rPr>
          <w:rFonts w:ascii="Times New Roman" w:hAnsi="Times New Roman" w:cs="Times New Roman"/>
          <w:color w:val="000000"/>
          <w:sz w:val="24"/>
          <w:szCs w:val="24"/>
        </w:rPr>
        <w:t>acionālais kopienākums</w:t>
      </w:r>
    </w:p>
    <w:p w14:paraId="239D65D0" w14:textId="5C8DD5D2"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lastRenderedPageBreak/>
        <w:t>OIK</w:t>
      </w:r>
      <w:r w:rsidR="00E03265" w:rsidRPr="00F64903">
        <w:rPr>
          <w:rFonts w:ascii="Times New Roman" w:hAnsi="Times New Roman" w:cs="Times New Roman"/>
          <w:color w:val="000000"/>
          <w:sz w:val="24"/>
          <w:szCs w:val="24"/>
        </w:rPr>
        <w:tab/>
        <w:t>O</w:t>
      </w:r>
      <w:r w:rsidRPr="00F64903">
        <w:rPr>
          <w:rFonts w:ascii="Times New Roman" w:hAnsi="Times New Roman" w:cs="Times New Roman"/>
          <w:color w:val="000000"/>
          <w:sz w:val="24"/>
          <w:szCs w:val="24"/>
        </w:rPr>
        <w:t>bligātā iepirkuma komponente</w:t>
      </w:r>
    </w:p>
    <w:p w14:paraId="030C97FF" w14:textId="504711E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PPP</w:t>
      </w:r>
      <w:r w:rsidR="00E03265" w:rsidRPr="00F64903">
        <w:rPr>
          <w:rFonts w:ascii="Times New Roman" w:hAnsi="Times New Roman" w:cs="Times New Roman"/>
          <w:color w:val="000000"/>
          <w:sz w:val="24"/>
          <w:szCs w:val="24"/>
        </w:rPr>
        <w:tab/>
        <w:t>P</w:t>
      </w:r>
      <w:r w:rsidRPr="00F64903">
        <w:rPr>
          <w:rFonts w:ascii="Times New Roman" w:hAnsi="Times New Roman" w:cs="Times New Roman"/>
          <w:color w:val="000000"/>
          <w:sz w:val="24"/>
          <w:szCs w:val="24"/>
        </w:rPr>
        <w:t>ubliskā un privātā partnerība</w:t>
      </w:r>
    </w:p>
    <w:p w14:paraId="152FCEDB" w14:textId="599CE79D"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PVN</w:t>
      </w:r>
      <w:r w:rsidR="00E03265" w:rsidRPr="00F64903">
        <w:rPr>
          <w:rFonts w:ascii="Times New Roman" w:hAnsi="Times New Roman" w:cs="Times New Roman"/>
          <w:color w:val="000000"/>
          <w:sz w:val="24"/>
          <w:szCs w:val="24"/>
        </w:rPr>
        <w:tab/>
        <w:t>P</w:t>
      </w:r>
      <w:r w:rsidRPr="00F64903">
        <w:rPr>
          <w:rFonts w:ascii="Times New Roman" w:hAnsi="Times New Roman" w:cs="Times New Roman"/>
          <w:color w:val="000000"/>
          <w:sz w:val="24"/>
          <w:szCs w:val="24"/>
        </w:rPr>
        <w:t>ievienotās vērtības nodoklis</w:t>
      </w:r>
    </w:p>
    <w:p w14:paraId="661F6A65" w14:textId="48304561"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SEG</w:t>
      </w:r>
      <w:r w:rsidR="00E03265" w:rsidRPr="00F64903">
        <w:rPr>
          <w:rFonts w:ascii="Times New Roman" w:hAnsi="Times New Roman" w:cs="Times New Roman"/>
          <w:color w:val="000000"/>
          <w:sz w:val="24"/>
          <w:szCs w:val="24"/>
        </w:rPr>
        <w:tab/>
        <w:t>S</w:t>
      </w:r>
      <w:r w:rsidRPr="00F64903">
        <w:rPr>
          <w:rFonts w:ascii="Times New Roman" w:hAnsi="Times New Roman" w:cs="Times New Roman"/>
          <w:color w:val="000000"/>
          <w:sz w:val="24"/>
          <w:szCs w:val="24"/>
        </w:rPr>
        <w:t>iltumnīcefekta gāzes</w:t>
      </w:r>
    </w:p>
    <w:p w14:paraId="5E41966E" w14:textId="793F74F7"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SFI</w:t>
      </w:r>
      <w:r w:rsidR="00E03265" w:rsidRPr="00F64903">
        <w:rPr>
          <w:rFonts w:ascii="Times New Roman" w:hAnsi="Times New Roman" w:cs="Times New Roman"/>
          <w:color w:val="000000"/>
          <w:sz w:val="24"/>
          <w:szCs w:val="24"/>
        </w:rPr>
        <w:tab/>
        <w:t>S</w:t>
      </w:r>
      <w:r w:rsidRPr="00F64903">
        <w:rPr>
          <w:rFonts w:ascii="Times New Roman" w:hAnsi="Times New Roman" w:cs="Times New Roman"/>
          <w:color w:val="000000"/>
          <w:sz w:val="24"/>
          <w:szCs w:val="24"/>
        </w:rPr>
        <w:t>tarptautiskās finanšu institūcijas</w:t>
      </w:r>
    </w:p>
    <w:p w14:paraId="1534EFD3" w14:textId="006238B4"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TEN-T</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Eiropas transporta tīkls</w:t>
      </w:r>
    </w:p>
    <w:p w14:paraId="2AE140C7" w14:textId="27D3151F"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TP</w:t>
      </w:r>
      <w:r w:rsidR="00E03265" w:rsidRPr="00F64903">
        <w:rPr>
          <w:rFonts w:ascii="Times New Roman" w:hAnsi="Times New Roman" w:cs="Times New Roman"/>
          <w:color w:val="000000"/>
          <w:sz w:val="24"/>
          <w:szCs w:val="24"/>
        </w:rPr>
        <w:t>R</w:t>
      </w:r>
      <w:r w:rsidR="00E03265" w:rsidRPr="00F64903">
        <w:rPr>
          <w:rFonts w:ascii="Times New Roman" w:hAnsi="Times New Roman" w:cs="Times New Roman"/>
          <w:color w:val="000000"/>
          <w:sz w:val="24"/>
          <w:szCs w:val="24"/>
        </w:rPr>
        <w:tab/>
      </w:r>
      <w:bookmarkStart w:id="4" w:name="_Hlk142299260"/>
      <w:r w:rsidR="00E03265" w:rsidRPr="00F64903">
        <w:rPr>
          <w:rFonts w:ascii="Times New Roman" w:hAnsi="Times New Roman" w:cs="Times New Roman"/>
          <w:color w:val="000000"/>
          <w:sz w:val="24"/>
          <w:szCs w:val="24"/>
        </w:rPr>
        <w:t>T</w:t>
      </w:r>
      <w:r w:rsidRPr="00F64903">
        <w:rPr>
          <w:rFonts w:ascii="Times New Roman" w:hAnsi="Times New Roman" w:cs="Times New Roman"/>
          <w:color w:val="000000"/>
          <w:sz w:val="24"/>
          <w:szCs w:val="24"/>
        </w:rPr>
        <w:t>radicionālie pašu resursi</w:t>
      </w:r>
      <w:bookmarkEnd w:id="4"/>
    </w:p>
    <w:p w14:paraId="1E7EE4F1" w14:textId="49C1D896"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VK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Valsts kase</w:t>
      </w:r>
    </w:p>
    <w:p w14:paraId="0521B271" w14:textId="62587735" w:rsidR="003D5725" w:rsidRPr="006B6A9A"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sz w:val="24"/>
          <w:szCs w:val="24"/>
        </w:rPr>
        <w:t>VTBIL</w:t>
      </w:r>
      <w:r w:rsidR="00E03265" w:rsidRPr="00F64903">
        <w:rPr>
          <w:rFonts w:ascii="Times New Roman" w:hAnsi="Times New Roman" w:cs="Times New Roman"/>
          <w:sz w:val="24"/>
          <w:szCs w:val="24"/>
        </w:rPr>
        <w:tab/>
        <w:t>V</w:t>
      </w:r>
      <w:r w:rsidRPr="00F64903">
        <w:rPr>
          <w:rFonts w:ascii="Times New Roman" w:hAnsi="Times New Roman" w:cs="Times New Roman"/>
          <w:color w:val="000000"/>
          <w:sz w:val="24"/>
          <w:szCs w:val="24"/>
        </w:rPr>
        <w:t>idēja termiņa budžeta ietvara likums</w:t>
      </w:r>
    </w:p>
    <w:p w14:paraId="60DAA451" w14:textId="77777777" w:rsidR="00125141" w:rsidRDefault="00125141">
      <w:pPr>
        <w:rPr>
          <w:rFonts w:ascii="Times New Roman" w:hAnsi="Times New Roman" w:cs="Times New Roman"/>
          <w:sz w:val="32"/>
        </w:rPr>
      </w:pPr>
    </w:p>
    <w:p w14:paraId="273C2CFC" w14:textId="4FBEAC09" w:rsidR="00125141" w:rsidRDefault="00125141">
      <w:pPr>
        <w:rPr>
          <w:rFonts w:ascii="Times New Roman" w:hAnsi="Times New Roman" w:cs="Times New Roman"/>
          <w:sz w:val="32"/>
        </w:rPr>
      </w:pPr>
      <w:r>
        <w:rPr>
          <w:rFonts w:ascii="Times New Roman" w:hAnsi="Times New Roman" w:cs="Times New Roman"/>
          <w:sz w:val="32"/>
        </w:rPr>
        <w:br w:type="page"/>
      </w:r>
    </w:p>
    <w:p w14:paraId="4CBCBA7F" w14:textId="69A9840F" w:rsidR="008F58C9" w:rsidRPr="00835CFD" w:rsidRDefault="008F58C9" w:rsidP="0058124B">
      <w:pPr>
        <w:pStyle w:val="Heading1"/>
        <w:numPr>
          <w:ilvl w:val="0"/>
          <w:numId w:val="0"/>
        </w:numPr>
        <w:jc w:val="center"/>
        <w:rPr>
          <w:rFonts w:ascii="Times New Roman" w:hAnsi="Times New Roman" w:cs="Times New Roman"/>
          <w:sz w:val="32"/>
        </w:rPr>
      </w:pPr>
      <w:bookmarkStart w:id="5" w:name="_Toc142388021"/>
      <w:r w:rsidRPr="000F0FC1">
        <w:rPr>
          <w:rFonts w:ascii="Times New Roman" w:hAnsi="Times New Roman" w:cs="Times New Roman"/>
          <w:sz w:val="32"/>
        </w:rPr>
        <w:lastRenderedPageBreak/>
        <w:t>Ievads</w:t>
      </w:r>
      <w:bookmarkEnd w:id="2"/>
      <w:bookmarkEnd w:id="5"/>
    </w:p>
    <w:p w14:paraId="28138BB6" w14:textId="4F6C15CD" w:rsidR="003C7117" w:rsidRDefault="003C7117" w:rsidP="003C7117">
      <w:pPr>
        <w:spacing w:after="0" w:line="240" w:lineRule="auto"/>
        <w:ind w:firstLine="720"/>
        <w:jc w:val="both"/>
        <w:rPr>
          <w:rFonts w:ascii="Times New Roman" w:hAnsi="Times New Roman" w:cs="Times New Roman"/>
          <w:sz w:val="24"/>
          <w:szCs w:val="24"/>
        </w:rPr>
      </w:pPr>
      <w:r w:rsidRPr="00933CD6">
        <w:rPr>
          <w:rFonts w:ascii="Times New Roman" w:hAnsi="Times New Roman" w:cs="Times New Roman"/>
          <w:sz w:val="24"/>
          <w:szCs w:val="24"/>
        </w:rPr>
        <w:t>Latvijas ekonomikai atgūstoties no Covid-19 krīzes</w:t>
      </w:r>
      <w:r>
        <w:rPr>
          <w:rFonts w:ascii="Times New Roman" w:hAnsi="Times New Roman" w:cs="Times New Roman"/>
          <w:sz w:val="24"/>
          <w:szCs w:val="24"/>
        </w:rPr>
        <w:t xml:space="preserve"> 2021.gadā</w:t>
      </w:r>
      <w:r w:rsidRPr="00933CD6">
        <w:rPr>
          <w:rFonts w:ascii="Times New Roman" w:hAnsi="Times New Roman" w:cs="Times New Roman"/>
          <w:sz w:val="24"/>
          <w:szCs w:val="24"/>
        </w:rPr>
        <w:t>,</w:t>
      </w:r>
      <w:r>
        <w:rPr>
          <w:rFonts w:ascii="Times New Roman" w:hAnsi="Times New Roman" w:cs="Times New Roman"/>
          <w:sz w:val="24"/>
          <w:szCs w:val="24"/>
        </w:rPr>
        <w:t xml:space="preserve"> tika piedzīvots kārtējais satricinājums, </w:t>
      </w:r>
      <w:r w:rsidRPr="00933CD6">
        <w:rPr>
          <w:rFonts w:ascii="Times New Roman" w:hAnsi="Times New Roman" w:cs="Times New Roman"/>
          <w:sz w:val="24"/>
          <w:szCs w:val="24"/>
        </w:rPr>
        <w:t xml:space="preserve">Krievijai </w:t>
      </w:r>
      <w:r>
        <w:rPr>
          <w:rFonts w:ascii="Times New Roman" w:hAnsi="Times New Roman" w:cs="Times New Roman"/>
          <w:sz w:val="24"/>
          <w:szCs w:val="24"/>
        </w:rPr>
        <w:t>2022.gadā</w:t>
      </w:r>
      <w:r w:rsidRPr="00933CD6">
        <w:rPr>
          <w:rFonts w:ascii="Times New Roman" w:hAnsi="Times New Roman" w:cs="Times New Roman"/>
          <w:sz w:val="24"/>
          <w:szCs w:val="24"/>
        </w:rPr>
        <w:t xml:space="preserve"> uzsākot pilna mēroga karu Ukrainā,</w:t>
      </w:r>
      <w:r>
        <w:rPr>
          <w:rFonts w:ascii="Times New Roman" w:hAnsi="Times New Roman" w:cs="Times New Roman"/>
          <w:sz w:val="24"/>
          <w:szCs w:val="24"/>
        </w:rPr>
        <w:t xml:space="preserve"> sekmējot</w:t>
      </w:r>
      <w:r w:rsidRPr="00933CD6">
        <w:rPr>
          <w:rFonts w:ascii="Times New Roman" w:hAnsi="Times New Roman" w:cs="Times New Roman"/>
          <w:sz w:val="24"/>
          <w:szCs w:val="24"/>
        </w:rPr>
        <w:t xml:space="preserve"> </w:t>
      </w:r>
      <w:r>
        <w:rPr>
          <w:rFonts w:ascii="Times New Roman" w:hAnsi="Times New Roman" w:cs="Times New Roman"/>
          <w:sz w:val="24"/>
          <w:szCs w:val="24"/>
        </w:rPr>
        <w:t xml:space="preserve">energoresursu cenu ārkārtējo pieaugumu, strauji augošo inflāciju, izejvielu trūkumu, piegādes ķēžu pārrāvumus </w:t>
      </w:r>
      <w:proofErr w:type="spellStart"/>
      <w:r>
        <w:rPr>
          <w:rFonts w:ascii="Times New Roman" w:hAnsi="Times New Roman" w:cs="Times New Roman"/>
          <w:sz w:val="24"/>
          <w:szCs w:val="24"/>
        </w:rPr>
        <w:t>u.c</w:t>
      </w:r>
      <w:proofErr w:type="spellEnd"/>
      <w:r>
        <w:rPr>
          <w:rFonts w:ascii="Times New Roman" w:hAnsi="Times New Roman" w:cs="Times New Roman"/>
          <w:sz w:val="24"/>
          <w:szCs w:val="24"/>
        </w:rPr>
        <w:t xml:space="preserve">, kas izraisīja būtiskas izmaiņas fiskālajās prognozēs, negatīvi ietekmēja vispārējās valdības budžeta bilanci, kā arī radīja spiedienu uz valsts parādu. Situācijai attīstoties, energoresursu cenas ir stabilizējušās, tomēr inflācijas un joprojām pieaugošo </w:t>
      </w:r>
      <w:proofErr w:type="spellStart"/>
      <w:r>
        <w:rPr>
          <w:rFonts w:ascii="Times New Roman" w:hAnsi="Times New Roman" w:cs="Times New Roman"/>
          <w:sz w:val="24"/>
          <w:szCs w:val="24"/>
        </w:rPr>
        <w:t>procentmaksājumu</w:t>
      </w:r>
      <w:proofErr w:type="spellEnd"/>
      <w:r>
        <w:rPr>
          <w:rFonts w:ascii="Times New Roman" w:hAnsi="Times New Roman" w:cs="Times New Roman"/>
          <w:sz w:val="24"/>
          <w:szCs w:val="24"/>
        </w:rPr>
        <w:t xml:space="preserve"> likmju ietekme būs jūtama kā minimums vidēja termiņa perspektīvā. </w:t>
      </w:r>
    </w:p>
    <w:p w14:paraId="47EEB598" w14:textId="4756EE80" w:rsidR="003C7117" w:rsidRDefault="00933CD6" w:rsidP="00933C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Jāatzīmē, ka </w:t>
      </w:r>
      <w:r>
        <w:rPr>
          <w:rFonts w:ascii="Times New Roman" w:hAnsi="Times New Roman" w:cs="Times New Roman"/>
          <w:color w:val="000000"/>
          <w:sz w:val="24"/>
          <w:szCs w:val="24"/>
        </w:rPr>
        <w:t>f</w:t>
      </w:r>
      <w:r w:rsidR="00556D1F" w:rsidRPr="00835CFD">
        <w:rPr>
          <w:rFonts w:ascii="Times New Roman" w:hAnsi="Times New Roman" w:cs="Times New Roman"/>
          <w:color w:val="000000"/>
          <w:sz w:val="24"/>
          <w:szCs w:val="24"/>
        </w:rPr>
        <w:t xml:space="preserve">iskālo risku </w:t>
      </w:r>
      <w:r w:rsidR="0004429B">
        <w:rPr>
          <w:rFonts w:ascii="Times New Roman" w:hAnsi="Times New Roman" w:cs="Times New Roman"/>
          <w:color w:val="000000"/>
          <w:sz w:val="24"/>
          <w:szCs w:val="24"/>
        </w:rPr>
        <w:t>vadības mehānisms</w:t>
      </w:r>
      <w:r w:rsidR="00556D1F" w:rsidRPr="00835CFD">
        <w:rPr>
          <w:rFonts w:ascii="Times New Roman" w:hAnsi="Times New Roman" w:cs="Times New Roman"/>
          <w:color w:val="000000"/>
          <w:sz w:val="24"/>
          <w:szCs w:val="24"/>
        </w:rPr>
        <w:t xml:space="preserve"> </w:t>
      </w:r>
      <w:r w:rsidR="00556D1F">
        <w:rPr>
          <w:rFonts w:ascii="Times New Roman" w:hAnsi="Times New Roman" w:cs="Times New Roman"/>
          <w:sz w:val="24"/>
          <w:szCs w:val="24"/>
        </w:rPr>
        <w:t>šādu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visaptverošu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un lie</w:t>
      </w:r>
      <w:r w:rsidR="006B32BE">
        <w:rPr>
          <w:rFonts w:ascii="Times New Roman" w:hAnsi="Times New Roman" w:cs="Times New Roman"/>
          <w:sz w:val="24"/>
          <w:szCs w:val="24"/>
        </w:rPr>
        <w:t>l</w:t>
      </w:r>
      <w:r w:rsidR="00085A25">
        <w:rPr>
          <w:rFonts w:ascii="Times New Roman" w:hAnsi="Times New Roman" w:cs="Times New Roman"/>
          <w:sz w:val="24"/>
          <w:szCs w:val="24"/>
        </w:rPr>
        <w:t>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makroekonomisko</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šoku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neaptver</w:t>
      </w:r>
      <w:r w:rsidR="00556D1F">
        <w:rPr>
          <w:rFonts w:ascii="Times New Roman" w:hAnsi="Times New Roman" w:cs="Times New Roman"/>
          <w:sz w:val="24"/>
          <w:szCs w:val="24"/>
        </w:rPr>
        <w:t xml:space="preserve">. </w:t>
      </w:r>
      <w:r w:rsidR="00F0641B" w:rsidRPr="00F0641B">
        <w:rPr>
          <w:rFonts w:ascii="Times New Roman" w:hAnsi="Times New Roman" w:cs="Times New Roman"/>
          <w:sz w:val="24"/>
          <w:szCs w:val="24"/>
        </w:rPr>
        <w:t>Informatīvais ziņojums “Fiskālo risku deklarācija”</w:t>
      </w:r>
      <w:r w:rsidR="00F0641B">
        <w:rPr>
          <w:rFonts w:ascii="Times New Roman" w:hAnsi="Times New Roman" w:cs="Times New Roman"/>
          <w:sz w:val="24"/>
          <w:szCs w:val="24"/>
        </w:rPr>
        <w:t xml:space="preserve"> (turpmāk </w:t>
      </w:r>
      <w:r w:rsidR="00F0641B">
        <w:rPr>
          <w:rFonts w:ascii="Times New Roman" w:hAnsi="Times New Roman" w:cs="Times New Roman"/>
          <w:color w:val="000000"/>
          <w:sz w:val="24"/>
          <w:szCs w:val="24"/>
        </w:rPr>
        <w:t>d</w:t>
      </w:r>
      <w:r w:rsidR="0004429B" w:rsidRPr="00BB69DC">
        <w:rPr>
          <w:rFonts w:ascii="Times New Roman" w:hAnsi="Times New Roman" w:cs="Times New Roman"/>
          <w:color w:val="000000"/>
          <w:sz w:val="24"/>
          <w:szCs w:val="24"/>
        </w:rPr>
        <w:t>eklarācija</w:t>
      </w:r>
      <w:r w:rsidR="00F0641B">
        <w:rPr>
          <w:rFonts w:ascii="Times New Roman" w:hAnsi="Times New Roman" w:cs="Times New Roman"/>
          <w:color w:val="000000"/>
          <w:sz w:val="24"/>
          <w:szCs w:val="24"/>
        </w:rPr>
        <w:t>)</w:t>
      </w:r>
      <w:r w:rsidR="0004429B">
        <w:rPr>
          <w:rFonts w:ascii="Times New Roman" w:hAnsi="Times New Roman" w:cs="Times New Roman"/>
          <w:sz w:val="24"/>
          <w:szCs w:val="24"/>
        </w:rPr>
        <w:t xml:space="preserve"> </w:t>
      </w:r>
      <w:r w:rsidR="00556D1F">
        <w:rPr>
          <w:rFonts w:ascii="Times New Roman" w:hAnsi="Times New Roman" w:cs="Times New Roman"/>
          <w:sz w:val="24"/>
          <w:szCs w:val="24"/>
        </w:rPr>
        <w:t>ir paredzēt</w:t>
      </w:r>
      <w:r w:rsidR="00E65287">
        <w:rPr>
          <w:rFonts w:ascii="Times New Roman" w:hAnsi="Times New Roman" w:cs="Times New Roman"/>
          <w:sz w:val="24"/>
          <w:szCs w:val="24"/>
        </w:rPr>
        <w:t>a</w:t>
      </w:r>
      <w:r w:rsidR="00556D1F">
        <w:rPr>
          <w:rFonts w:ascii="Times New Roman" w:hAnsi="Times New Roman" w:cs="Times New Roman"/>
          <w:sz w:val="24"/>
          <w:szCs w:val="24"/>
        </w:rPr>
        <w:t xml:space="preserve"> </w:t>
      </w:r>
      <w:r w:rsidR="00493327">
        <w:rPr>
          <w:rFonts w:ascii="Times New Roman" w:hAnsi="Times New Roman" w:cs="Times New Roman"/>
          <w:sz w:val="24"/>
          <w:szCs w:val="24"/>
        </w:rPr>
        <w:t xml:space="preserve">tādu </w:t>
      </w:r>
      <w:r w:rsidR="00556D1F">
        <w:rPr>
          <w:rFonts w:ascii="Times New Roman" w:hAnsi="Times New Roman" w:cs="Times New Roman"/>
          <w:sz w:val="24"/>
          <w:szCs w:val="24"/>
        </w:rPr>
        <w:t>fiskālo risku identificēšan</w:t>
      </w:r>
      <w:r w:rsidR="004A130B">
        <w:rPr>
          <w:rFonts w:ascii="Times New Roman" w:hAnsi="Times New Roman" w:cs="Times New Roman"/>
          <w:sz w:val="24"/>
          <w:szCs w:val="24"/>
        </w:rPr>
        <w:t>ai</w:t>
      </w:r>
      <w:r w:rsidR="00556D1F">
        <w:rPr>
          <w:rFonts w:ascii="Times New Roman" w:hAnsi="Times New Roman" w:cs="Times New Roman"/>
          <w:sz w:val="24"/>
          <w:szCs w:val="24"/>
        </w:rPr>
        <w:t xml:space="preserve">, kas iestājas standarta situācijās. </w:t>
      </w:r>
      <w:r w:rsidR="00027268">
        <w:rPr>
          <w:rFonts w:ascii="Times New Roman" w:hAnsi="Times New Roman" w:cs="Times New Roman"/>
          <w:sz w:val="24"/>
          <w:szCs w:val="24"/>
        </w:rPr>
        <w:t>Notiekošais karš Ukrainā</w:t>
      </w:r>
      <w:r w:rsidR="0064010C">
        <w:rPr>
          <w:rFonts w:ascii="Times New Roman" w:hAnsi="Times New Roman" w:cs="Times New Roman"/>
          <w:sz w:val="24"/>
          <w:szCs w:val="24"/>
        </w:rPr>
        <w:t xml:space="preserve"> </w:t>
      </w:r>
      <w:r w:rsidR="00493327">
        <w:rPr>
          <w:rFonts w:ascii="Times New Roman" w:hAnsi="Times New Roman" w:cs="Times New Roman"/>
          <w:sz w:val="24"/>
          <w:szCs w:val="24"/>
        </w:rPr>
        <w:t>un</w:t>
      </w:r>
      <w:r w:rsidR="0064010C">
        <w:rPr>
          <w:rFonts w:ascii="Times New Roman" w:hAnsi="Times New Roman" w:cs="Times New Roman"/>
          <w:sz w:val="24"/>
          <w:szCs w:val="24"/>
        </w:rPr>
        <w:t xml:space="preserve"> to</w:t>
      </w:r>
      <w:r w:rsidR="00493327">
        <w:rPr>
          <w:rFonts w:ascii="Times New Roman" w:hAnsi="Times New Roman" w:cs="Times New Roman"/>
          <w:sz w:val="24"/>
          <w:szCs w:val="24"/>
        </w:rPr>
        <w:t xml:space="preserve"> izraisītās</w:t>
      </w:r>
      <w:r w:rsidR="006B32BE">
        <w:rPr>
          <w:rFonts w:ascii="Times New Roman" w:hAnsi="Times New Roman" w:cs="Times New Roman"/>
          <w:sz w:val="24"/>
          <w:szCs w:val="24"/>
        </w:rPr>
        <w:t xml:space="preserve"> sekas </w:t>
      </w:r>
      <w:r w:rsidR="00556D1F">
        <w:rPr>
          <w:rFonts w:ascii="Times New Roman" w:hAnsi="Times New Roman" w:cs="Times New Roman"/>
          <w:sz w:val="24"/>
          <w:szCs w:val="24"/>
        </w:rPr>
        <w:t>nav uzskatāma</w:t>
      </w:r>
      <w:r w:rsidR="00493327">
        <w:rPr>
          <w:rFonts w:ascii="Times New Roman" w:hAnsi="Times New Roman" w:cs="Times New Roman"/>
          <w:sz w:val="24"/>
          <w:szCs w:val="24"/>
        </w:rPr>
        <w:t>s</w:t>
      </w:r>
      <w:r w:rsidR="00556D1F">
        <w:rPr>
          <w:rFonts w:ascii="Times New Roman" w:hAnsi="Times New Roman" w:cs="Times New Roman"/>
          <w:sz w:val="24"/>
          <w:szCs w:val="24"/>
        </w:rPr>
        <w:t xml:space="preserve"> par standarta situāciju un fiskālo rīcību šādos apstākļos nav iespējams un nav nepieciešams formalizēt. </w:t>
      </w:r>
      <w:r w:rsidR="0064010C">
        <w:rPr>
          <w:rFonts w:ascii="Times New Roman" w:hAnsi="Times New Roman" w:cs="Times New Roman"/>
          <w:sz w:val="24"/>
          <w:szCs w:val="24"/>
        </w:rPr>
        <w:t>Vienlaikus nav</w:t>
      </w:r>
      <w:r w:rsidR="00556D1F">
        <w:rPr>
          <w:rFonts w:ascii="Times New Roman" w:hAnsi="Times New Roman" w:cs="Times New Roman"/>
          <w:sz w:val="24"/>
          <w:szCs w:val="24"/>
        </w:rPr>
        <w:t xml:space="preserve"> pamata katru gadu veidot fiskālā nodrošinājuma rezervi, lai ilgtermiņā amortizētu </w:t>
      </w:r>
      <w:r w:rsidR="00E65287">
        <w:rPr>
          <w:rFonts w:ascii="Times New Roman" w:hAnsi="Times New Roman" w:cs="Times New Roman"/>
          <w:sz w:val="24"/>
          <w:szCs w:val="24"/>
        </w:rPr>
        <w:t xml:space="preserve">minēto </w:t>
      </w:r>
      <w:r w:rsidR="00556D1F">
        <w:rPr>
          <w:rFonts w:ascii="Times New Roman" w:hAnsi="Times New Roman" w:cs="Times New Roman"/>
          <w:sz w:val="24"/>
          <w:szCs w:val="24"/>
        </w:rPr>
        <w:t>ārkārtas situācij</w:t>
      </w:r>
      <w:r w:rsidR="006B32BE">
        <w:rPr>
          <w:rFonts w:ascii="Times New Roman" w:hAnsi="Times New Roman" w:cs="Times New Roman"/>
          <w:sz w:val="24"/>
          <w:szCs w:val="24"/>
        </w:rPr>
        <w:t>u</w:t>
      </w:r>
      <w:r w:rsidR="00556D1F">
        <w:rPr>
          <w:rFonts w:ascii="Times New Roman" w:hAnsi="Times New Roman" w:cs="Times New Roman"/>
          <w:sz w:val="24"/>
          <w:szCs w:val="24"/>
        </w:rPr>
        <w:t xml:space="preserve"> izraisīt</w:t>
      </w:r>
      <w:r w:rsidR="007F1DA8">
        <w:rPr>
          <w:rFonts w:ascii="Times New Roman" w:hAnsi="Times New Roman" w:cs="Times New Roman"/>
          <w:sz w:val="24"/>
          <w:szCs w:val="24"/>
        </w:rPr>
        <w:t>os</w:t>
      </w:r>
      <w:r w:rsidR="00556D1F">
        <w:rPr>
          <w:rFonts w:ascii="Times New Roman" w:hAnsi="Times New Roman" w:cs="Times New Roman"/>
          <w:sz w:val="24"/>
          <w:szCs w:val="24"/>
        </w:rPr>
        <w:t xml:space="preserve"> fiskālo</w:t>
      </w:r>
      <w:r w:rsidR="007F1DA8">
        <w:rPr>
          <w:rFonts w:ascii="Times New Roman" w:hAnsi="Times New Roman" w:cs="Times New Roman"/>
          <w:sz w:val="24"/>
          <w:szCs w:val="24"/>
        </w:rPr>
        <w:t>s</w:t>
      </w:r>
      <w:r w:rsidR="00556D1F">
        <w:rPr>
          <w:rFonts w:ascii="Times New Roman" w:hAnsi="Times New Roman" w:cs="Times New Roman"/>
          <w:sz w:val="24"/>
          <w:szCs w:val="24"/>
        </w:rPr>
        <w:t xml:space="preserve"> šoku</w:t>
      </w:r>
      <w:r w:rsidR="007F1DA8">
        <w:rPr>
          <w:rFonts w:ascii="Times New Roman" w:hAnsi="Times New Roman" w:cs="Times New Roman"/>
          <w:sz w:val="24"/>
          <w:szCs w:val="24"/>
        </w:rPr>
        <w:t>s</w:t>
      </w:r>
      <w:r w:rsidR="00556D1F">
        <w:rPr>
          <w:rFonts w:ascii="Times New Roman" w:hAnsi="Times New Roman" w:cs="Times New Roman"/>
          <w:sz w:val="24"/>
          <w:szCs w:val="24"/>
        </w:rPr>
        <w:t xml:space="preserve">. </w:t>
      </w:r>
      <w:r w:rsidR="003C7117">
        <w:rPr>
          <w:rFonts w:ascii="Times New Roman" w:hAnsi="Times New Roman" w:cs="Times New Roman"/>
          <w:sz w:val="24"/>
          <w:szCs w:val="24"/>
        </w:rPr>
        <w:t xml:space="preserve">Šāda mēroga šoku amortizācija ir pēc-krīzes atbildīgas fiskālās politikas jautājums, un tas tiek ņemts vērā, izvēloties deficīta un valsts parāda stabilizēšanas un samazināšanas trajektorijas. Deklarācijas mērķis ir mazināt negatīvās novirzes no fiskālajiem rādītājiem pēc tam, kad attiecīgā gada fiskālie rādītāji ir noteikti kā līdz šim </w:t>
      </w:r>
      <w:r w:rsidR="00F64903">
        <w:rPr>
          <w:rFonts w:ascii="Times New Roman" w:hAnsi="Times New Roman" w:cs="Times New Roman"/>
          <w:sz w:val="24"/>
          <w:szCs w:val="24"/>
        </w:rPr>
        <w:t>v</w:t>
      </w:r>
      <w:r w:rsidR="00F64903" w:rsidRPr="006B6A9A">
        <w:rPr>
          <w:rFonts w:ascii="Times New Roman" w:hAnsi="Times New Roman" w:cs="Times New Roman"/>
          <w:color w:val="000000"/>
          <w:sz w:val="24"/>
          <w:szCs w:val="24"/>
        </w:rPr>
        <w:t>idēja termiņa budžeta ietvara likum</w:t>
      </w:r>
      <w:r w:rsidR="00F64903">
        <w:rPr>
          <w:rFonts w:ascii="Times New Roman" w:hAnsi="Times New Roman" w:cs="Times New Roman"/>
          <w:color w:val="000000"/>
          <w:sz w:val="24"/>
          <w:szCs w:val="24"/>
        </w:rPr>
        <w:t xml:space="preserve">ā (turpmāk </w:t>
      </w:r>
      <w:r w:rsidR="003C7117">
        <w:rPr>
          <w:rFonts w:ascii="Times New Roman" w:hAnsi="Times New Roman" w:cs="Times New Roman"/>
          <w:color w:val="000000"/>
          <w:sz w:val="24"/>
          <w:szCs w:val="24"/>
        </w:rPr>
        <w:t>VTBIL</w:t>
      </w:r>
      <w:r w:rsidR="00F64903">
        <w:rPr>
          <w:rFonts w:ascii="Times New Roman" w:hAnsi="Times New Roman" w:cs="Times New Roman"/>
          <w:color w:val="000000"/>
          <w:sz w:val="24"/>
          <w:szCs w:val="24"/>
        </w:rPr>
        <w:t>)</w:t>
      </w:r>
      <w:r w:rsidR="003C7117" w:rsidRPr="00835CFD">
        <w:rPr>
          <w:rFonts w:ascii="Times New Roman" w:hAnsi="Times New Roman" w:cs="Times New Roman"/>
          <w:color w:val="000000"/>
          <w:sz w:val="24"/>
          <w:szCs w:val="24"/>
        </w:rPr>
        <w:t xml:space="preserve"> </w:t>
      </w:r>
      <w:r w:rsidR="003C7117">
        <w:rPr>
          <w:rFonts w:ascii="Times New Roman" w:hAnsi="Times New Roman" w:cs="Times New Roman"/>
          <w:color w:val="000000"/>
          <w:sz w:val="24"/>
          <w:szCs w:val="24"/>
        </w:rPr>
        <w:t xml:space="preserve">un turpmāk ar 2023.gadu likumā par valsts budžetu kārtējam gadam un vidēja termiņa </w:t>
      </w:r>
      <w:r w:rsidR="003C7117" w:rsidRPr="00497710">
        <w:rPr>
          <w:rFonts w:ascii="Times New Roman" w:hAnsi="Times New Roman" w:cs="Times New Roman"/>
          <w:sz w:val="24"/>
          <w:szCs w:val="24"/>
        </w:rPr>
        <w:t>budžeta ietvaru</w:t>
      </w:r>
      <w:r w:rsidR="003C7117">
        <w:rPr>
          <w:rStyle w:val="FootnoteReference"/>
          <w:rFonts w:ascii="Times New Roman" w:hAnsi="Times New Roman" w:cs="Times New Roman"/>
          <w:color w:val="000000"/>
          <w:sz w:val="24"/>
          <w:szCs w:val="24"/>
        </w:rPr>
        <w:footnoteReference w:id="2"/>
      </w:r>
      <w:r w:rsidR="003C7117">
        <w:rPr>
          <w:rFonts w:ascii="Times New Roman" w:hAnsi="Times New Roman" w:cs="Times New Roman"/>
          <w:sz w:val="24"/>
          <w:szCs w:val="24"/>
        </w:rPr>
        <w:t>, tāpēc notiekošā kara Ukrainā</w:t>
      </w:r>
      <w:r w:rsidR="003C7117" w:rsidRPr="001660EC">
        <w:rPr>
          <w:rFonts w:ascii="Times New Roman" w:hAnsi="Times New Roman" w:cs="Times New Roman"/>
          <w:sz w:val="24"/>
          <w:szCs w:val="24"/>
        </w:rPr>
        <w:t xml:space="preserve"> </w:t>
      </w:r>
      <w:r w:rsidR="003C7117">
        <w:rPr>
          <w:rFonts w:ascii="Times New Roman" w:hAnsi="Times New Roman" w:cs="Times New Roman"/>
          <w:sz w:val="24"/>
          <w:szCs w:val="24"/>
        </w:rPr>
        <w:t>izraisītā ietekme nav tieši skarta šajā deklarācijā. Netieši šis makro līmeņa šoks</w:t>
      </w:r>
      <w:r w:rsidR="003C7117" w:rsidRPr="001660EC">
        <w:rPr>
          <w:rFonts w:ascii="Times New Roman" w:hAnsi="Times New Roman" w:cs="Times New Roman"/>
          <w:sz w:val="24"/>
          <w:szCs w:val="24"/>
        </w:rPr>
        <w:t xml:space="preserve"> </w:t>
      </w:r>
      <w:r w:rsidR="003C7117">
        <w:rPr>
          <w:rFonts w:ascii="Times New Roman" w:hAnsi="Times New Roman" w:cs="Times New Roman"/>
          <w:sz w:val="24"/>
          <w:szCs w:val="24"/>
        </w:rPr>
        <w:t>ir skarts tik lielā mērā, cik tas ietekmē citu fiskālo risku vadības jautājumus.</w:t>
      </w:r>
      <w:r w:rsidR="003C7117" w:rsidRPr="00551F34">
        <w:rPr>
          <w:color w:val="1F497D"/>
        </w:rPr>
        <w:t xml:space="preserve"> </w:t>
      </w:r>
    </w:p>
    <w:p w14:paraId="7F4B7B2A" w14:textId="6A06FFD3" w:rsidR="00B205AA" w:rsidRPr="00B00237" w:rsidRDefault="00B205AA" w:rsidP="00B205AA">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sz w:val="24"/>
          <w:szCs w:val="24"/>
        </w:rPr>
        <w:t xml:space="preserve">Fiskālos riskus var definēt kā varbūtību, ka fiskālie </w:t>
      </w:r>
      <w:r w:rsidR="005232A4" w:rsidRPr="00B00237">
        <w:rPr>
          <w:rFonts w:ascii="Times New Roman" w:hAnsi="Times New Roman" w:cs="Times New Roman"/>
          <w:sz w:val="24"/>
          <w:szCs w:val="24"/>
        </w:rPr>
        <w:t xml:space="preserve">rādītāji </w:t>
      </w:r>
      <w:r w:rsidRPr="00B00237">
        <w:rPr>
          <w:rFonts w:ascii="Times New Roman" w:hAnsi="Times New Roman" w:cs="Times New Roman"/>
          <w:sz w:val="24"/>
          <w:szCs w:val="24"/>
        </w:rPr>
        <w:t>novirzās no prognozētaj</w:t>
      </w:r>
      <w:r w:rsidR="005232A4" w:rsidRPr="00B00237">
        <w:rPr>
          <w:rFonts w:ascii="Times New Roman" w:hAnsi="Times New Roman" w:cs="Times New Roman"/>
          <w:sz w:val="24"/>
          <w:szCs w:val="24"/>
        </w:rPr>
        <w:t>ām</w:t>
      </w:r>
      <w:r w:rsidRPr="00B00237">
        <w:rPr>
          <w:rFonts w:ascii="Times New Roman" w:hAnsi="Times New Roman" w:cs="Times New Roman"/>
          <w:sz w:val="24"/>
          <w:szCs w:val="24"/>
        </w:rPr>
        <w:t xml:space="preserve"> </w:t>
      </w:r>
      <w:r w:rsidR="005232A4" w:rsidRPr="00B00237">
        <w:rPr>
          <w:rFonts w:ascii="Times New Roman" w:hAnsi="Times New Roman" w:cs="Times New Roman"/>
          <w:sz w:val="24"/>
          <w:szCs w:val="24"/>
        </w:rPr>
        <w:t>vērtībām</w:t>
      </w:r>
      <w:r w:rsidRPr="00B00237">
        <w:rPr>
          <w:rFonts w:ascii="Times New Roman" w:hAnsi="Times New Roman" w:cs="Times New Roman"/>
          <w:sz w:val="24"/>
          <w:szCs w:val="24"/>
        </w:rPr>
        <w:t xml:space="preserve">. </w:t>
      </w:r>
      <w:r w:rsidRPr="00B00237">
        <w:rPr>
          <w:rFonts w:ascii="Times New Roman" w:hAnsi="Times New Roman" w:cs="Times New Roman"/>
          <w:color w:val="000000"/>
          <w:sz w:val="24"/>
          <w:szCs w:val="24"/>
        </w:rPr>
        <w:t xml:space="preserve">Fiskālo risku laicīga apzināšana ļauj valsts pārvaldei īstenot tādu budžeta politiku un pasākumus, lai ierobežotu finanšu problēmu veidošanos, jo nesavlaicīga fiskālo risku apzināšana un to novēršanas plāna neesamība var izraisīt papildu valdības finansiālas saistības, finansēšanas nepieciešamības pieaugumu, valsts parāda būtisku pieaugumu, valsts parāda pārfinansēšanas risku un pat finanšu krīzi. </w:t>
      </w:r>
    </w:p>
    <w:p w14:paraId="0DC10315" w14:textId="1BF55FE5" w:rsidR="00B205AA" w:rsidRPr="00B00237" w:rsidRDefault="00B205AA" w:rsidP="00B205AA">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Fiskālo risku vadība tika izveidota ar mērķi nodrošināt fiskālo rādītāju (</w:t>
      </w:r>
      <w:r w:rsidR="00903173" w:rsidRPr="00B00237">
        <w:rPr>
          <w:rFonts w:ascii="Times New Roman" w:hAnsi="Times New Roman" w:cs="Times New Roman"/>
          <w:color w:val="000000"/>
          <w:sz w:val="24"/>
          <w:szCs w:val="24"/>
        </w:rPr>
        <w:t xml:space="preserve">t.i. </w:t>
      </w:r>
      <w:r w:rsidRPr="00B00237">
        <w:rPr>
          <w:rFonts w:ascii="Times New Roman" w:hAnsi="Times New Roman" w:cs="Times New Roman"/>
          <w:color w:val="000000"/>
          <w:sz w:val="24"/>
          <w:szCs w:val="24"/>
        </w:rPr>
        <w:t>prognozētais</w:t>
      </w:r>
      <w:r w:rsidR="00825EBB" w:rsidRPr="00B00237">
        <w:rPr>
          <w:rFonts w:ascii="Times New Roman" w:hAnsi="Times New Roman" w:cs="Times New Roman"/>
          <w:color w:val="000000"/>
          <w:sz w:val="24"/>
          <w:szCs w:val="24"/>
        </w:rPr>
        <w:t xml:space="preserve"> </w:t>
      </w:r>
      <w:r w:rsidRPr="00B00237">
        <w:rPr>
          <w:rFonts w:ascii="Times New Roman" w:hAnsi="Times New Roman" w:cs="Times New Roman"/>
          <w:color w:val="000000"/>
          <w:sz w:val="24"/>
          <w:szCs w:val="24"/>
        </w:rPr>
        <w:t>IKP, plānotā vispārējās valdības budžeta strukturālā bilance, plānotā vispārējās valdības budžeta bilance, prognozētie valsts budžeta ieņēmumi un koriģētie maksimāli pieļaujamie valsts budžeta izdevu</w:t>
      </w:r>
      <w:r w:rsidR="00974C98" w:rsidRPr="00B00237">
        <w:rPr>
          <w:rFonts w:ascii="Times New Roman" w:hAnsi="Times New Roman" w:cs="Times New Roman"/>
          <w:color w:val="000000"/>
          <w:sz w:val="24"/>
          <w:szCs w:val="24"/>
        </w:rPr>
        <w:t>mi) stabilitāti vidējā termiņā.</w:t>
      </w:r>
      <w:r w:rsidRPr="00B00237">
        <w:rPr>
          <w:rFonts w:ascii="Times New Roman" w:hAnsi="Times New Roman" w:cs="Times New Roman"/>
          <w:color w:val="000000"/>
          <w:sz w:val="24"/>
          <w:szCs w:val="24"/>
        </w:rPr>
        <w:t xml:space="preserve"> </w:t>
      </w:r>
      <w:r w:rsidR="005232A4" w:rsidRPr="00B00237">
        <w:rPr>
          <w:rFonts w:ascii="Times New Roman" w:hAnsi="Times New Roman" w:cs="Times New Roman"/>
          <w:color w:val="000000"/>
          <w:sz w:val="24"/>
          <w:szCs w:val="24"/>
        </w:rPr>
        <w:t>F</w:t>
      </w:r>
      <w:r w:rsidRPr="00B00237">
        <w:rPr>
          <w:rFonts w:ascii="Times New Roman" w:hAnsi="Times New Roman" w:cs="Times New Roman"/>
          <w:color w:val="000000"/>
          <w:sz w:val="24"/>
          <w:szCs w:val="24"/>
        </w:rPr>
        <w:t>iskālo risku vispārējās vadības mehānisms ir procedūru kopums, kas ietver ikgadēju fiskālo risku identificēšanu, to iestāšanās varbūtības un fiskālās ietekmes novērtēšanu, kā arī fiskālo risku novēršanai vai mazināšanai nepieciešamo pasākumu izstrādi (detalizētāk skatīt 1.sadaļu “Fiskālo risku vispārējā vadība”).</w:t>
      </w:r>
    </w:p>
    <w:p w14:paraId="3C5BA969" w14:textId="2E5754E1" w:rsidR="00FD47BB" w:rsidRPr="00817FBC" w:rsidRDefault="00B205AA" w:rsidP="00B205AA">
      <w:pPr>
        <w:spacing w:after="0" w:line="240" w:lineRule="auto"/>
        <w:ind w:firstLine="720"/>
        <w:jc w:val="both"/>
        <w:rPr>
          <w:rFonts w:ascii="Times New Roman" w:hAnsi="Times New Roman" w:cs="Times New Roman"/>
          <w:sz w:val="24"/>
          <w:szCs w:val="24"/>
        </w:rPr>
      </w:pPr>
      <w:r w:rsidRPr="00B00237">
        <w:rPr>
          <w:rFonts w:ascii="Times New Roman" w:hAnsi="Times New Roman" w:cs="Times New Roman"/>
          <w:color w:val="000000"/>
          <w:sz w:val="24"/>
          <w:szCs w:val="24"/>
        </w:rPr>
        <w:t>Atbilstoši fiskālo risku klasifikācijai (detalizētāk skatīt 1.sadaļu “Fiskālo risku vispārējā vadība”) fiskālie riski tiek iedalīti divās grupās – kvantificējamie fiskālie riski un nekvantificējamie fiskālie riski</w:t>
      </w:r>
      <w:r w:rsidR="00C522DE">
        <w:rPr>
          <w:rFonts w:ascii="Times New Roman" w:hAnsi="Times New Roman" w:cs="Times New Roman"/>
          <w:color w:val="000000"/>
          <w:sz w:val="24"/>
          <w:szCs w:val="24"/>
        </w:rPr>
        <w:t>. T</w:t>
      </w:r>
      <w:r w:rsidRPr="00B00237">
        <w:rPr>
          <w:rFonts w:ascii="Times New Roman" w:hAnsi="Times New Roman" w:cs="Times New Roman"/>
          <w:color w:val="000000"/>
          <w:sz w:val="24"/>
          <w:szCs w:val="24"/>
        </w:rPr>
        <w:t>o izklāsts ir iekļauts 2. un 3.sadaļā. Fiskālie riski tiek vērtēti kvalitatīvi un, kur tas iespējams, arī kvantitatīvi</w:t>
      </w:r>
      <w:r w:rsidRPr="00817FBC">
        <w:rPr>
          <w:rFonts w:ascii="Times New Roman" w:hAnsi="Times New Roman" w:cs="Times New Roman"/>
          <w:sz w:val="24"/>
          <w:szCs w:val="24"/>
        </w:rPr>
        <w:t xml:space="preserve">. </w:t>
      </w:r>
    </w:p>
    <w:p w14:paraId="409FE3D1" w14:textId="28E7A1ED" w:rsidR="00B205AA" w:rsidRPr="004A682A" w:rsidRDefault="007D518F" w:rsidP="00B205AA">
      <w:pPr>
        <w:spacing w:after="0" w:line="240" w:lineRule="auto"/>
        <w:ind w:firstLine="720"/>
        <w:jc w:val="both"/>
        <w:rPr>
          <w:rFonts w:ascii="Times New Roman" w:hAnsi="Times New Roman" w:cs="Times New Roman"/>
          <w:sz w:val="24"/>
          <w:szCs w:val="24"/>
        </w:rPr>
      </w:pPr>
      <w:r w:rsidRPr="004A682A">
        <w:rPr>
          <w:rFonts w:ascii="Times New Roman" w:hAnsi="Times New Roman" w:cs="Times New Roman"/>
          <w:sz w:val="24"/>
          <w:szCs w:val="24"/>
        </w:rPr>
        <w:t>Vienlaikus jāatzīmē, ka deklarācijā ir ietverta jauna kvantificējam</w:t>
      </w:r>
      <w:r w:rsidR="003B61D2" w:rsidRPr="004A682A">
        <w:rPr>
          <w:rFonts w:ascii="Times New Roman" w:hAnsi="Times New Roman" w:cs="Times New Roman"/>
          <w:sz w:val="24"/>
          <w:szCs w:val="24"/>
        </w:rPr>
        <w:t>o</w:t>
      </w:r>
      <w:r w:rsidRPr="004A682A">
        <w:rPr>
          <w:rFonts w:ascii="Times New Roman" w:hAnsi="Times New Roman" w:cs="Times New Roman"/>
          <w:sz w:val="24"/>
          <w:szCs w:val="24"/>
        </w:rPr>
        <w:t xml:space="preserve"> fiskālo risku</w:t>
      </w:r>
      <w:r w:rsidR="00497710" w:rsidRPr="004A682A">
        <w:rPr>
          <w:rFonts w:ascii="Times New Roman" w:hAnsi="Times New Roman" w:cs="Times New Roman"/>
          <w:sz w:val="24"/>
          <w:szCs w:val="24"/>
        </w:rPr>
        <w:t xml:space="preserve"> 2.7.</w:t>
      </w:r>
      <w:r w:rsidRPr="004A682A">
        <w:rPr>
          <w:rFonts w:ascii="Times New Roman" w:hAnsi="Times New Roman" w:cs="Times New Roman"/>
          <w:sz w:val="24"/>
          <w:szCs w:val="24"/>
        </w:rPr>
        <w:t xml:space="preserve"> </w:t>
      </w:r>
      <w:proofErr w:type="spellStart"/>
      <w:r w:rsidRPr="004A682A">
        <w:rPr>
          <w:rFonts w:ascii="Times New Roman" w:hAnsi="Times New Roman" w:cs="Times New Roman"/>
          <w:sz w:val="24"/>
          <w:szCs w:val="24"/>
        </w:rPr>
        <w:t>apakšsadaļa</w:t>
      </w:r>
      <w:proofErr w:type="spellEnd"/>
      <w:r w:rsidRPr="004A682A">
        <w:rPr>
          <w:rFonts w:ascii="Times New Roman" w:hAnsi="Times New Roman" w:cs="Times New Roman"/>
          <w:sz w:val="24"/>
          <w:szCs w:val="24"/>
        </w:rPr>
        <w:t xml:space="preserve"> </w:t>
      </w:r>
      <w:r w:rsidR="00497710" w:rsidRPr="004A682A">
        <w:rPr>
          <w:rFonts w:ascii="Times New Roman" w:hAnsi="Times New Roman" w:cs="Times New Roman"/>
          <w:sz w:val="24"/>
          <w:szCs w:val="24"/>
        </w:rPr>
        <w:t>par ieņēmumu no sniegtajiem maksas pakalpojumiem un citu pašu ieņēmumu atlikumu un apropriācijas rezervi</w:t>
      </w:r>
      <w:r w:rsidR="00FD47BB" w:rsidRPr="004A682A">
        <w:rPr>
          <w:rFonts w:ascii="Times New Roman" w:hAnsi="Times New Roman" w:cs="Times New Roman"/>
          <w:sz w:val="24"/>
          <w:szCs w:val="24"/>
        </w:rPr>
        <w:t>,</w:t>
      </w:r>
      <w:r w:rsidRPr="004A682A">
        <w:rPr>
          <w:rFonts w:ascii="Times New Roman" w:hAnsi="Times New Roman" w:cs="Times New Roman"/>
          <w:sz w:val="24"/>
          <w:szCs w:val="24"/>
        </w:rPr>
        <w:t xml:space="preserve"> </w:t>
      </w:r>
      <w:r w:rsidR="00FD47BB" w:rsidRPr="004A682A">
        <w:rPr>
          <w:rFonts w:ascii="Times New Roman" w:hAnsi="Times New Roman" w:cs="Times New Roman"/>
          <w:sz w:val="24"/>
          <w:szCs w:val="24"/>
        </w:rPr>
        <w:t>ņemot vērā jautājuma būtiskumu un aktualitāti</w:t>
      </w:r>
      <w:r w:rsidR="0009202B" w:rsidRPr="004A682A">
        <w:rPr>
          <w:rFonts w:ascii="Times New Roman" w:hAnsi="Times New Roman" w:cs="Times New Roman"/>
          <w:sz w:val="24"/>
          <w:szCs w:val="24"/>
        </w:rPr>
        <w:t>.</w:t>
      </w:r>
    </w:p>
    <w:p w14:paraId="50F3A2B0" w14:textId="49BFA6C2" w:rsidR="00B205AA" w:rsidRPr="00B00237" w:rsidRDefault="0029115C" w:rsidP="00FD47BB">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 xml:space="preserve">Deklarācijas </w:t>
      </w:r>
      <w:r w:rsidR="0011792D" w:rsidRPr="00B00237">
        <w:rPr>
          <w:rFonts w:ascii="Times New Roman" w:hAnsi="Times New Roman" w:cs="Times New Roman"/>
          <w:color w:val="000000"/>
          <w:sz w:val="24"/>
          <w:szCs w:val="24"/>
        </w:rPr>
        <w:t xml:space="preserve">4.sadaļā tiek </w:t>
      </w:r>
      <w:r w:rsidR="006349C9" w:rsidRPr="00B00237">
        <w:rPr>
          <w:rFonts w:ascii="Times New Roman" w:hAnsi="Times New Roman" w:cs="Times New Roman"/>
          <w:color w:val="000000"/>
          <w:sz w:val="24"/>
          <w:szCs w:val="24"/>
        </w:rPr>
        <w:t>analizēta</w:t>
      </w:r>
      <w:r w:rsidR="0011792D" w:rsidRPr="00B00237">
        <w:rPr>
          <w:rFonts w:ascii="Times New Roman" w:hAnsi="Times New Roman" w:cs="Times New Roman"/>
          <w:color w:val="000000"/>
          <w:sz w:val="24"/>
          <w:szCs w:val="24"/>
        </w:rPr>
        <w:t xml:space="preserve"> ekonomikas šoku transmisijas kanālu ietekm</w:t>
      </w:r>
      <w:r w:rsidR="006349C9" w:rsidRPr="00B00237">
        <w:rPr>
          <w:rFonts w:ascii="Times New Roman" w:hAnsi="Times New Roman" w:cs="Times New Roman"/>
          <w:color w:val="000000"/>
          <w:sz w:val="24"/>
          <w:szCs w:val="24"/>
        </w:rPr>
        <w:t>e</w:t>
      </w:r>
      <w:r w:rsidR="0011792D" w:rsidRPr="00B00237">
        <w:rPr>
          <w:rFonts w:ascii="Times New Roman" w:hAnsi="Times New Roman" w:cs="Times New Roman"/>
          <w:color w:val="000000"/>
          <w:sz w:val="24"/>
          <w:szCs w:val="24"/>
        </w:rPr>
        <w:t xml:space="preserve"> uz valsts fiskālajiem rādītājiem, īpašu uzmanību pievēršot valsts kapitālsabiedrībām un vispārējās valdības izsniegtajiem galvojumiem. </w:t>
      </w:r>
      <w:r w:rsidRPr="00B00237">
        <w:rPr>
          <w:rFonts w:ascii="Times New Roman" w:hAnsi="Times New Roman" w:cs="Times New Roman"/>
          <w:color w:val="000000"/>
          <w:sz w:val="24"/>
          <w:szCs w:val="24"/>
        </w:rPr>
        <w:t>Kā arī</w:t>
      </w:r>
      <w:r w:rsidR="0011792D" w:rsidRPr="00B00237">
        <w:rPr>
          <w:rFonts w:ascii="Times New Roman" w:hAnsi="Times New Roman" w:cs="Times New Roman"/>
          <w:color w:val="000000"/>
          <w:sz w:val="24"/>
          <w:szCs w:val="24"/>
        </w:rPr>
        <w:t xml:space="preserve"> </w:t>
      </w:r>
      <w:r w:rsidRPr="00B00237">
        <w:rPr>
          <w:rFonts w:ascii="Times New Roman" w:hAnsi="Times New Roman" w:cs="Times New Roman"/>
          <w:color w:val="000000"/>
          <w:sz w:val="24"/>
          <w:szCs w:val="24"/>
        </w:rPr>
        <w:t xml:space="preserve">minētajā </w:t>
      </w:r>
      <w:r w:rsidR="0011792D" w:rsidRPr="00B00237">
        <w:rPr>
          <w:rFonts w:ascii="Times New Roman" w:hAnsi="Times New Roman" w:cs="Times New Roman"/>
          <w:color w:val="000000"/>
          <w:sz w:val="24"/>
          <w:szCs w:val="24"/>
        </w:rPr>
        <w:t>sada</w:t>
      </w:r>
      <w:r w:rsidR="00E60A2D" w:rsidRPr="00B00237">
        <w:rPr>
          <w:rFonts w:ascii="Times New Roman" w:hAnsi="Times New Roman" w:cs="Times New Roman"/>
          <w:color w:val="000000"/>
          <w:sz w:val="24"/>
          <w:szCs w:val="24"/>
        </w:rPr>
        <w:t>ļā</w:t>
      </w:r>
      <w:r w:rsidR="0011792D" w:rsidRPr="00B00237">
        <w:rPr>
          <w:rFonts w:ascii="Times New Roman" w:hAnsi="Times New Roman" w:cs="Times New Roman"/>
          <w:color w:val="000000"/>
          <w:sz w:val="24"/>
          <w:szCs w:val="24"/>
        </w:rPr>
        <w:t xml:space="preserve"> </w:t>
      </w:r>
      <w:r w:rsidR="00E60A2D" w:rsidRPr="00B00237">
        <w:rPr>
          <w:rFonts w:ascii="Times New Roman" w:hAnsi="Times New Roman" w:cs="Times New Roman"/>
          <w:color w:val="000000"/>
          <w:sz w:val="24"/>
          <w:szCs w:val="24"/>
        </w:rPr>
        <w:t xml:space="preserve">tiek </w:t>
      </w:r>
      <w:r w:rsidR="0011792D" w:rsidRPr="00B00237">
        <w:rPr>
          <w:rFonts w:ascii="Times New Roman" w:hAnsi="Times New Roman" w:cs="Times New Roman"/>
          <w:color w:val="000000"/>
          <w:sz w:val="24"/>
          <w:szCs w:val="24"/>
        </w:rPr>
        <w:t xml:space="preserve">aprakstīta valsts parāda vadība un </w:t>
      </w:r>
      <w:r w:rsidR="00E60A2D" w:rsidRPr="00B00237">
        <w:rPr>
          <w:rFonts w:ascii="Times New Roman" w:hAnsi="Times New Roman" w:cs="Times New Roman"/>
          <w:color w:val="000000"/>
          <w:sz w:val="24"/>
          <w:szCs w:val="24"/>
        </w:rPr>
        <w:t xml:space="preserve">padziļināti </w:t>
      </w:r>
      <w:r w:rsidR="0011792D" w:rsidRPr="00B00237">
        <w:rPr>
          <w:rFonts w:ascii="Times New Roman" w:hAnsi="Times New Roman" w:cs="Times New Roman"/>
          <w:color w:val="000000"/>
          <w:sz w:val="24"/>
          <w:szCs w:val="24"/>
        </w:rPr>
        <w:t>novērtēta vispārējās valdības parāda ilgtspēja.</w:t>
      </w:r>
      <w:r w:rsidR="00FD47BB" w:rsidRPr="00B00237">
        <w:rPr>
          <w:rFonts w:ascii="Times New Roman" w:hAnsi="Times New Roman" w:cs="Times New Roman"/>
          <w:color w:val="000000"/>
          <w:sz w:val="24"/>
          <w:szCs w:val="24"/>
        </w:rPr>
        <w:t xml:space="preserve"> </w:t>
      </w:r>
      <w:r w:rsidR="00546C3C" w:rsidRPr="00B00237">
        <w:rPr>
          <w:rFonts w:ascii="Times New Roman" w:hAnsi="Times New Roman" w:cs="Times New Roman"/>
          <w:color w:val="000000"/>
          <w:sz w:val="24"/>
          <w:szCs w:val="24"/>
        </w:rPr>
        <w:t>5</w:t>
      </w:r>
      <w:r w:rsidR="002670B4" w:rsidRPr="00B00237">
        <w:rPr>
          <w:rFonts w:ascii="Times New Roman" w:hAnsi="Times New Roman" w:cs="Times New Roman"/>
          <w:color w:val="000000"/>
          <w:sz w:val="24"/>
          <w:szCs w:val="24"/>
        </w:rPr>
        <w:t>.sadaļ</w:t>
      </w:r>
      <w:r w:rsidR="00DF43A4" w:rsidRPr="00B00237">
        <w:rPr>
          <w:rFonts w:ascii="Times New Roman" w:hAnsi="Times New Roman" w:cs="Times New Roman"/>
          <w:color w:val="000000"/>
          <w:sz w:val="24"/>
          <w:szCs w:val="24"/>
        </w:rPr>
        <w:t xml:space="preserve">a </w:t>
      </w:r>
      <w:r w:rsidR="002670B4" w:rsidRPr="00B00237">
        <w:rPr>
          <w:rFonts w:ascii="Times New Roman" w:hAnsi="Times New Roman" w:cs="Times New Roman"/>
          <w:color w:val="000000"/>
          <w:sz w:val="24"/>
          <w:szCs w:val="24"/>
        </w:rPr>
        <w:t xml:space="preserve">aplūko energoresursu cenu ārkārtējā pieauguma ietekmi. </w:t>
      </w:r>
      <w:r w:rsidR="001F1B9E">
        <w:rPr>
          <w:rFonts w:ascii="Times New Roman" w:hAnsi="Times New Roman" w:cs="Times New Roman"/>
          <w:color w:val="000000"/>
          <w:sz w:val="24"/>
          <w:szCs w:val="24"/>
        </w:rPr>
        <w:t>D</w:t>
      </w:r>
      <w:r w:rsidR="00071CB5" w:rsidRPr="00B00237">
        <w:rPr>
          <w:rFonts w:ascii="Times New Roman" w:hAnsi="Times New Roman" w:cs="Times New Roman"/>
          <w:color w:val="000000"/>
          <w:sz w:val="24"/>
          <w:szCs w:val="24"/>
        </w:rPr>
        <w:t xml:space="preserve">eklarācijas </w:t>
      </w:r>
      <w:r w:rsidR="00546C3C" w:rsidRPr="00B00237">
        <w:rPr>
          <w:rFonts w:ascii="Times New Roman" w:hAnsi="Times New Roman" w:cs="Times New Roman"/>
          <w:color w:val="000000"/>
          <w:sz w:val="24"/>
          <w:szCs w:val="24"/>
        </w:rPr>
        <w:t>6</w:t>
      </w:r>
      <w:r w:rsidR="00071CB5" w:rsidRPr="00B00237">
        <w:rPr>
          <w:rFonts w:ascii="Times New Roman" w:hAnsi="Times New Roman" w:cs="Times New Roman"/>
          <w:color w:val="000000"/>
          <w:sz w:val="24"/>
          <w:szCs w:val="24"/>
        </w:rPr>
        <w:t xml:space="preserve">.sadaļā </w:t>
      </w:r>
      <w:r w:rsidR="00DF43A4" w:rsidRPr="00B00237">
        <w:rPr>
          <w:rFonts w:ascii="Times New Roman" w:hAnsi="Times New Roman" w:cs="Times New Roman"/>
          <w:color w:val="000000"/>
          <w:sz w:val="24"/>
          <w:szCs w:val="24"/>
        </w:rPr>
        <w:t>tiek sniegta</w:t>
      </w:r>
      <w:r w:rsidR="00071CB5" w:rsidRPr="00B00237">
        <w:rPr>
          <w:rFonts w:ascii="Times New Roman" w:hAnsi="Times New Roman" w:cs="Times New Roman"/>
          <w:color w:val="000000"/>
          <w:sz w:val="24"/>
          <w:szCs w:val="24"/>
        </w:rPr>
        <w:t xml:space="preserve"> klimata pārmaiņu ietekm</w:t>
      </w:r>
      <w:r w:rsidR="006349C9" w:rsidRPr="00B00237">
        <w:rPr>
          <w:rFonts w:ascii="Times New Roman" w:hAnsi="Times New Roman" w:cs="Times New Roman"/>
          <w:color w:val="000000"/>
          <w:sz w:val="24"/>
          <w:szCs w:val="24"/>
        </w:rPr>
        <w:t>es</w:t>
      </w:r>
      <w:r w:rsidR="00071CB5" w:rsidRPr="00B00237">
        <w:rPr>
          <w:rFonts w:ascii="Times New Roman" w:hAnsi="Times New Roman" w:cs="Times New Roman"/>
          <w:color w:val="000000"/>
          <w:sz w:val="24"/>
          <w:szCs w:val="24"/>
        </w:rPr>
        <w:t xml:space="preserve"> uz publiskajām finansēm</w:t>
      </w:r>
      <w:r w:rsidR="006349C9" w:rsidRPr="00B00237">
        <w:rPr>
          <w:rFonts w:ascii="Times New Roman" w:hAnsi="Times New Roman" w:cs="Times New Roman"/>
          <w:color w:val="000000"/>
          <w:sz w:val="24"/>
          <w:szCs w:val="24"/>
        </w:rPr>
        <w:t xml:space="preserve"> izpēte</w:t>
      </w:r>
      <w:r w:rsidR="00071CB5" w:rsidRPr="00B00237">
        <w:rPr>
          <w:rFonts w:ascii="Times New Roman" w:hAnsi="Times New Roman" w:cs="Times New Roman"/>
          <w:color w:val="000000"/>
          <w:sz w:val="24"/>
          <w:szCs w:val="24"/>
        </w:rPr>
        <w:t>.</w:t>
      </w:r>
      <w:r w:rsidR="00B00237" w:rsidRPr="00B00237">
        <w:rPr>
          <w:rFonts w:ascii="Times New Roman" w:hAnsi="Times New Roman" w:cs="Times New Roman"/>
          <w:color w:val="000000"/>
          <w:sz w:val="24"/>
          <w:szCs w:val="24"/>
        </w:rPr>
        <w:t xml:space="preserve"> </w:t>
      </w:r>
      <w:r w:rsidR="00B205AA" w:rsidRPr="00B00237">
        <w:rPr>
          <w:rFonts w:ascii="Times New Roman" w:hAnsi="Times New Roman" w:cs="Times New Roman"/>
          <w:bCs/>
          <w:sz w:val="24"/>
          <w:szCs w:val="24"/>
        </w:rPr>
        <w:t xml:space="preserve">Lai vērtētu fiskālo risku vadības sistēmas efektivitāti, </w:t>
      </w:r>
      <w:r w:rsidR="002151BE" w:rsidRPr="00B00237">
        <w:rPr>
          <w:rFonts w:ascii="Times New Roman" w:hAnsi="Times New Roman" w:cs="Times New Roman"/>
          <w:color w:val="000000"/>
          <w:sz w:val="24"/>
          <w:szCs w:val="24"/>
        </w:rPr>
        <w:t>7</w:t>
      </w:r>
      <w:r w:rsidR="00B205AA" w:rsidRPr="00B00237">
        <w:rPr>
          <w:rFonts w:ascii="Times New Roman" w:hAnsi="Times New Roman" w:cs="Times New Roman"/>
          <w:color w:val="000000"/>
          <w:sz w:val="24"/>
          <w:szCs w:val="24"/>
        </w:rPr>
        <w:t xml:space="preserve">.sadaļā tiek aplūkots </w:t>
      </w:r>
      <w:r w:rsidR="00B205AA" w:rsidRPr="00B00237">
        <w:rPr>
          <w:rFonts w:ascii="Times New Roman" w:hAnsi="Times New Roman" w:cs="Times New Roman"/>
          <w:bCs/>
          <w:sz w:val="24"/>
          <w:szCs w:val="24"/>
        </w:rPr>
        <w:t xml:space="preserve">fiskālo rādītāju (vispārējās </w:t>
      </w:r>
      <w:r w:rsidR="00B205AA" w:rsidRPr="00B00237">
        <w:rPr>
          <w:rFonts w:ascii="Times New Roman" w:hAnsi="Times New Roman" w:cs="Times New Roman"/>
          <w:bCs/>
          <w:sz w:val="24"/>
          <w:szCs w:val="24"/>
        </w:rPr>
        <w:lastRenderedPageBreak/>
        <w:t xml:space="preserve">valdības budžeta strukturālā bilance un vispārējās valdības budžeta bilance) </w:t>
      </w:r>
      <w:r w:rsidR="00974C98" w:rsidRPr="00B00237">
        <w:rPr>
          <w:rFonts w:ascii="Times New Roman" w:hAnsi="Times New Roman" w:cs="Times New Roman"/>
          <w:bCs/>
          <w:sz w:val="24"/>
          <w:szCs w:val="24"/>
        </w:rPr>
        <w:t>faktiskās izpildes</w:t>
      </w:r>
      <w:r w:rsidR="00B205AA" w:rsidRPr="00B00237">
        <w:rPr>
          <w:rFonts w:ascii="Times New Roman" w:hAnsi="Times New Roman" w:cs="Times New Roman"/>
          <w:bCs/>
          <w:sz w:val="24"/>
          <w:szCs w:val="24"/>
        </w:rPr>
        <w:t xml:space="preserve"> un prognožu salīdzinājums. </w:t>
      </w:r>
    </w:p>
    <w:p w14:paraId="2DB52B01" w14:textId="770B413A" w:rsidR="00B205AA" w:rsidRPr="00B00237" w:rsidRDefault="00B205AA" w:rsidP="00B205AA">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 xml:space="preserve">Fiskālo risku vispārējās vadības kvantitatīvais rezultāts ir fiskālā nodrošinājuma rezerve (detalizētāk skatīt </w:t>
      </w:r>
      <w:r w:rsidR="002151BE" w:rsidRPr="00B00237">
        <w:rPr>
          <w:rFonts w:ascii="Times New Roman" w:hAnsi="Times New Roman" w:cs="Times New Roman"/>
          <w:color w:val="000000"/>
          <w:sz w:val="24"/>
          <w:szCs w:val="24"/>
        </w:rPr>
        <w:t>8</w:t>
      </w:r>
      <w:r w:rsidRPr="00B00237">
        <w:rPr>
          <w:rFonts w:ascii="Times New Roman" w:hAnsi="Times New Roman" w:cs="Times New Roman"/>
          <w:color w:val="000000"/>
          <w:sz w:val="24"/>
          <w:szCs w:val="24"/>
        </w:rPr>
        <w:t xml:space="preserve">.sadaļu “Fiskālā nodrošinājuma rezerves aprēķins”), kuras mērķis ir nodrošināt </w:t>
      </w:r>
      <w:r w:rsidR="007F680F" w:rsidRPr="00B00237">
        <w:rPr>
          <w:rFonts w:ascii="Times New Roman" w:hAnsi="Times New Roman" w:cs="Times New Roman"/>
          <w:color w:val="000000"/>
          <w:sz w:val="24"/>
          <w:szCs w:val="24"/>
        </w:rPr>
        <w:t>likumā par valsts budžetu un budžeta ietvaru</w:t>
      </w:r>
      <w:r w:rsidRPr="00B00237">
        <w:rPr>
          <w:rFonts w:ascii="Times New Roman" w:hAnsi="Times New Roman" w:cs="Times New Roman"/>
          <w:color w:val="000000"/>
          <w:sz w:val="24"/>
          <w:szCs w:val="24"/>
        </w:rPr>
        <w:t xml:space="preserve"> attiecīgajam gadam noteikto vispārējās valdības budžeta bilances plānoto līmeni</w:t>
      </w:r>
      <w:r w:rsidR="001F1B9E">
        <w:rPr>
          <w:rFonts w:ascii="Times New Roman" w:hAnsi="Times New Roman" w:cs="Times New Roman"/>
          <w:color w:val="000000"/>
          <w:sz w:val="24"/>
          <w:szCs w:val="24"/>
        </w:rPr>
        <w:t>,</w:t>
      </w:r>
      <w:r w:rsidRPr="00B00237">
        <w:rPr>
          <w:rFonts w:ascii="Times New Roman" w:hAnsi="Times New Roman" w:cs="Times New Roman"/>
          <w:color w:val="000000"/>
          <w:sz w:val="24"/>
          <w:szCs w:val="24"/>
        </w:rPr>
        <w:t xml:space="preserve"> nelielu makroekonomisko svārstību gadījumā un fiskālo risku izraisīto izdevumu segšanas gadījumā.</w:t>
      </w:r>
    </w:p>
    <w:p w14:paraId="212EDD30" w14:textId="4A983A2D" w:rsidR="003C7117" w:rsidRPr="00B00237" w:rsidDel="001D2FBC" w:rsidRDefault="003C7117" w:rsidP="003C7117">
      <w:pPr>
        <w:spacing w:after="0" w:line="240" w:lineRule="auto"/>
        <w:ind w:firstLine="720"/>
        <w:jc w:val="both"/>
        <w:rPr>
          <w:rFonts w:ascii="Times New Roman" w:hAnsi="Times New Roman" w:cs="Times New Roman"/>
          <w:color w:val="000000"/>
          <w:sz w:val="24"/>
          <w:szCs w:val="24"/>
        </w:rPr>
      </w:pPr>
      <w:r w:rsidRPr="00B00237" w:rsidDel="001D2FBC">
        <w:rPr>
          <w:rFonts w:ascii="Times New Roman" w:hAnsi="Times New Roman" w:cs="Times New Roman"/>
          <w:color w:val="000000"/>
          <w:sz w:val="24"/>
          <w:szCs w:val="24"/>
        </w:rPr>
        <w:t>Atbilstoši</w:t>
      </w:r>
      <w:r w:rsidRPr="00B00237">
        <w:rPr>
          <w:rFonts w:ascii="Times New Roman" w:hAnsi="Times New Roman" w:cs="Times New Roman"/>
          <w:color w:val="000000"/>
          <w:sz w:val="24"/>
          <w:szCs w:val="24"/>
        </w:rPr>
        <w:t xml:space="preserve"> </w:t>
      </w:r>
      <w:r w:rsidR="00F0641B" w:rsidRPr="00F0641B">
        <w:rPr>
          <w:rFonts w:ascii="Times New Roman" w:hAnsi="Times New Roman" w:cs="Times New Roman"/>
          <w:color w:val="000000"/>
          <w:sz w:val="24"/>
          <w:szCs w:val="24"/>
        </w:rPr>
        <w:t>Fiskālās disciplīnas likum</w:t>
      </w:r>
      <w:r w:rsidR="00F0641B">
        <w:rPr>
          <w:rFonts w:ascii="Times New Roman" w:hAnsi="Times New Roman" w:cs="Times New Roman"/>
          <w:color w:val="000000"/>
          <w:sz w:val="24"/>
          <w:szCs w:val="24"/>
        </w:rPr>
        <w:t xml:space="preserve">a (turpmāk </w:t>
      </w:r>
      <w:r w:rsidRPr="00B00237" w:rsidDel="001D2FBC">
        <w:rPr>
          <w:rFonts w:ascii="Times New Roman" w:hAnsi="Times New Roman" w:cs="Times New Roman"/>
          <w:color w:val="000000"/>
          <w:sz w:val="24"/>
          <w:szCs w:val="24"/>
        </w:rPr>
        <w:t>FDL</w:t>
      </w:r>
      <w:r w:rsidR="00F0641B">
        <w:rPr>
          <w:rFonts w:ascii="Times New Roman" w:hAnsi="Times New Roman" w:cs="Times New Roman"/>
          <w:color w:val="000000"/>
          <w:sz w:val="24"/>
          <w:szCs w:val="24"/>
        </w:rPr>
        <w:t>)</w:t>
      </w:r>
      <w:r w:rsidRPr="00B00237" w:rsidDel="001D2FBC">
        <w:rPr>
          <w:rFonts w:ascii="Times New Roman" w:hAnsi="Times New Roman" w:cs="Times New Roman"/>
          <w:color w:val="000000"/>
          <w:sz w:val="24"/>
          <w:szCs w:val="24"/>
        </w:rPr>
        <w:t xml:space="preserve"> regulējumam, sagatavojot </w:t>
      </w:r>
      <w:r>
        <w:rPr>
          <w:rFonts w:ascii="Times New Roman" w:hAnsi="Times New Roman" w:cs="Times New Roman"/>
          <w:color w:val="000000"/>
          <w:sz w:val="24"/>
          <w:szCs w:val="24"/>
        </w:rPr>
        <w:t>VTBIL</w:t>
      </w:r>
      <w:r>
        <w:rPr>
          <w:rStyle w:val="FootnoteReference"/>
          <w:rFonts w:ascii="Times New Roman" w:hAnsi="Times New Roman" w:cs="Times New Roman"/>
          <w:color w:val="000000"/>
          <w:sz w:val="24"/>
          <w:szCs w:val="24"/>
        </w:rPr>
        <w:footnoteReference w:id="3"/>
      </w:r>
      <w:r w:rsidRPr="00B00237" w:rsidDel="001D2FBC">
        <w:rPr>
          <w:rFonts w:ascii="Times New Roman" w:hAnsi="Times New Roman" w:cs="Times New Roman"/>
          <w:color w:val="000000"/>
          <w:sz w:val="24"/>
          <w:szCs w:val="24"/>
        </w:rPr>
        <w:t>, tiek aprēķināti koriģētie maksimāli pieļaujamie valsts budžeta izdevumi, kas savukārt tiek samazināti par fiskālā nodrošinājuma rezerves apmēru, kad tiek noteikts maksimāli pieļaujamais</w:t>
      </w:r>
      <w:r w:rsidRPr="00B00237">
        <w:rPr>
          <w:rFonts w:ascii="Times New Roman" w:hAnsi="Times New Roman" w:cs="Times New Roman"/>
          <w:color w:val="000000"/>
          <w:sz w:val="24"/>
          <w:szCs w:val="24"/>
        </w:rPr>
        <w:t xml:space="preserve"> centrālās valdības budžeta</w:t>
      </w:r>
      <w:r w:rsidRPr="00B00237" w:rsidDel="001D2FBC">
        <w:rPr>
          <w:rFonts w:ascii="Times New Roman" w:hAnsi="Times New Roman" w:cs="Times New Roman"/>
          <w:color w:val="000000"/>
          <w:sz w:val="24"/>
          <w:szCs w:val="24"/>
        </w:rPr>
        <w:t xml:space="preserve"> izdevumu līmenis, kuru izmanto, sagatavojot </w:t>
      </w:r>
      <w:r w:rsidRPr="00B00237">
        <w:rPr>
          <w:rFonts w:ascii="Times New Roman" w:hAnsi="Times New Roman" w:cs="Times New Roman"/>
          <w:color w:val="000000"/>
          <w:sz w:val="24"/>
          <w:szCs w:val="24"/>
        </w:rPr>
        <w:t>budžeta ietvara</w:t>
      </w:r>
      <w:r w:rsidRPr="00B00237" w:rsidDel="001D2FBC">
        <w:rPr>
          <w:rFonts w:ascii="Times New Roman" w:hAnsi="Times New Roman" w:cs="Times New Roman"/>
          <w:color w:val="000000"/>
          <w:sz w:val="24"/>
          <w:szCs w:val="24"/>
        </w:rPr>
        <w:t xml:space="preserve"> likumprojektu. Tādā veidā tiek nodrošināts </w:t>
      </w:r>
      <w:r w:rsidRPr="00B00237">
        <w:rPr>
          <w:rFonts w:ascii="Times New Roman" w:hAnsi="Times New Roman" w:cs="Times New Roman"/>
          <w:color w:val="000000"/>
          <w:sz w:val="24"/>
          <w:szCs w:val="24"/>
        </w:rPr>
        <w:t>“drošības spilvens” gadījumiem</w:t>
      </w:r>
      <w:r w:rsidRPr="00B00237" w:rsidDel="001D2FBC">
        <w:rPr>
          <w:rFonts w:ascii="Times New Roman" w:hAnsi="Times New Roman" w:cs="Times New Roman"/>
          <w:color w:val="000000"/>
          <w:sz w:val="24"/>
          <w:szCs w:val="24"/>
        </w:rPr>
        <w:t xml:space="preserve">, </w:t>
      </w:r>
      <w:r w:rsidRPr="00B00237">
        <w:rPr>
          <w:rFonts w:ascii="Times New Roman" w:hAnsi="Times New Roman" w:cs="Times New Roman"/>
          <w:color w:val="000000"/>
          <w:sz w:val="24"/>
          <w:szCs w:val="24"/>
        </w:rPr>
        <w:t>kad</w:t>
      </w:r>
      <w:r w:rsidRPr="00B00237" w:rsidDel="001D2FBC">
        <w:rPr>
          <w:rFonts w:ascii="Times New Roman" w:hAnsi="Times New Roman" w:cs="Times New Roman"/>
          <w:color w:val="000000"/>
          <w:sz w:val="24"/>
          <w:szCs w:val="24"/>
        </w:rPr>
        <w:t xml:space="preserve"> makroekonomiskie un fiskālie rādītāji </w:t>
      </w:r>
      <w:r w:rsidRPr="00B00237">
        <w:rPr>
          <w:rFonts w:ascii="Times New Roman" w:hAnsi="Times New Roman" w:cs="Times New Roman"/>
          <w:color w:val="000000"/>
          <w:sz w:val="24"/>
          <w:szCs w:val="24"/>
        </w:rPr>
        <w:t>novirzās</w:t>
      </w:r>
      <w:r w:rsidRPr="00B00237" w:rsidDel="001D2FBC">
        <w:rPr>
          <w:rFonts w:ascii="Times New Roman" w:hAnsi="Times New Roman" w:cs="Times New Roman"/>
          <w:color w:val="000000"/>
          <w:sz w:val="24"/>
          <w:szCs w:val="24"/>
        </w:rPr>
        <w:t xml:space="preserve"> no to plānotajām vērtībām.</w:t>
      </w:r>
    </w:p>
    <w:p w14:paraId="1DE83C60" w14:textId="77777777" w:rsidR="003C7117" w:rsidRPr="00B00237" w:rsidRDefault="003C7117" w:rsidP="003C7117">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 xml:space="preserve">Likumā par valsts budžetu </w:t>
      </w:r>
      <w:r>
        <w:rPr>
          <w:rFonts w:ascii="Times New Roman" w:hAnsi="Times New Roman" w:cs="Times New Roman"/>
          <w:color w:val="000000"/>
          <w:sz w:val="24"/>
          <w:szCs w:val="24"/>
        </w:rPr>
        <w:t xml:space="preserve">kārtējam gadam </w:t>
      </w:r>
      <w:r w:rsidRPr="00B00237">
        <w:rPr>
          <w:rFonts w:ascii="Times New Roman" w:hAnsi="Times New Roman" w:cs="Times New Roman"/>
          <w:color w:val="000000"/>
          <w:sz w:val="24"/>
          <w:szCs w:val="24"/>
        </w:rPr>
        <w:t xml:space="preserve">un </w:t>
      </w:r>
      <w:r>
        <w:rPr>
          <w:rFonts w:ascii="Times New Roman" w:hAnsi="Times New Roman" w:cs="Times New Roman"/>
          <w:color w:val="000000"/>
          <w:sz w:val="24"/>
          <w:szCs w:val="24"/>
        </w:rPr>
        <w:t xml:space="preserve">vidēja termiņa </w:t>
      </w:r>
      <w:r w:rsidRPr="00B00237">
        <w:rPr>
          <w:rFonts w:ascii="Times New Roman" w:hAnsi="Times New Roman" w:cs="Times New Roman"/>
          <w:color w:val="000000"/>
          <w:sz w:val="24"/>
          <w:szCs w:val="24"/>
        </w:rPr>
        <w:t>budžeta ietvaru noteikto fiskālo rādītāju stabilitātes nodrošināšanai nepieciešamie pasākumi tiek noteikti deklarācijā.</w:t>
      </w:r>
    </w:p>
    <w:p w14:paraId="716102B8" w14:textId="77777777" w:rsidR="003C7117" w:rsidRPr="00835CFD" w:rsidRDefault="003C7117" w:rsidP="003C7117">
      <w:pPr>
        <w:spacing w:after="0" w:line="240" w:lineRule="auto"/>
        <w:ind w:firstLine="720"/>
        <w:jc w:val="both"/>
        <w:rPr>
          <w:rFonts w:ascii="Times New Roman" w:hAnsi="Times New Roman"/>
          <w:strike/>
          <w:sz w:val="24"/>
          <w:szCs w:val="24"/>
        </w:rPr>
      </w:pPr>
      <w:r w:rsidRPr="00B00237">
        <w:rPr>
          <w:rFonts w:ascii="Times New Roman" w:hAnsi="Times New Roman" w:cs="Times New Roman"/>
          <w:color w:val="000000"/>
          <w:sz w:val="24"/>
          <w:szCs w:val="24"/>
        </w:rPr>
        <w:t>Izstrādājot deklarāciju, tiek ņemtas vērā un integrētas Fiskālās disciplīnas padomes rekomendācijas attiecībā uz fiskālo risku ietvaru.</w:t>
      </w:r>
    </w:p>
    <w:p w14:paraId="6A921C48" w14:textId="77777777" w:rsidR="003C7117" w:rsidRDefault="003C7117">
      <w:pPr>
        <w:rPr>
          <w:rFonts w:ascii="Times New Roman" w:eastAsiaTheme="majorEastAsia" w:hAnsi="Times New Roman" w:cs="Times New Roman"/>
          <w:b/>
          <w:bCs/>
          <w:smallCaps/>
          <w:color w:val="000000"/>
          <w:sz w:val="24"/>
          <w:szCs w:val="24"/>
        </w:rPr>
      </w:pPr>
      <w:r>
        <w:rPr>
          <w:rFonts w:ascii="Times New Roman" w:hAnsi="Times New Roman" w:cs="Times New Roman"/>
          <w:color w:val="000000"/>
          <w:sz w:val="24"/>
          <w:szCs w:val="24"/>
        </w:rPr>
        <w:br w:type="page"/>
      </w:r>
    </w:p>
    <w:p w14:paraId="51983558" w14:textId="0EDF0278" w:rsidR="00B95E92" w:rsidRPr="002467D7" w:rsidRDefault="00B95E92" w:rsidP="00191E2E">
      <w:pPr>
        <w:pStyle w:val="Heading1"/>
        <w:spacing w:before="0" w:after="0" w:line="240" w:lineRule="auto"/>
        <w:ind w:left="0" w:hanging="6"/>
        <w:jc w:val="center"/>
        <w:rPr>
          <w:rFonts w:ascii="Times New Roman" w:hAnsi="Times New Roman"/>
          <w:b w:val="0"/>
          <w:sz w:val="28"/>
          <w:szCs w:val="28"/>
        </w:rPr>
      </w:pPr>
      <w:bookmarkStart w:id="6" w:name="_Toc405371070"/>
      <w:bookmarkStart w:id="7" w:name="_Toc536779055"/>
      <w:bookmarkStart w:id="8" w:name="_Toc142388022"/>
      <w:r w:rsidRPr="002467D7">
        <w:rPr>
          <w:rFonts w:ascii="Times New Roman" w:hAnsi="Times New Roman" w:cs="Times New Roman"/>
          <w:sz w:val="32"/>
        </w:rPr>
        <w:lastRenderedPageBreak/>
        <w:t>Fiskālo risku vispārējā vadība</w:t>
      </w:r>
      <w:bookmarkEnd w:id="6"/>
      <w:bookmarkEnd w:id="7"/>
      <w:bookmarkEnd w:id="8"/>
    </w:p>
    <w:p w14:paraId="5743518D" w14:textId="77777777" w:rsidR="00B95E92" w:rsidRPr="002467D7" w:rsidRDefault="00B95E92" w:rsidP="00191E2E">
      <w:pPr>
        <w:pStyle w:val="Heading2"/>
        <w:numPr>
          <w:ilvl w:val="1"/>
          <w:numId w:val="3"/>
        </w:numPr>
        <w:spacing w:before="120" w:after="120" w:line="240" w:lineRule="auto"/>
        <w:ind w:left="0" w:hanging="6"/>
        <w:jc w:val="center"/>
        <w:rPr>
          <w:rFonts w:ascii="Times New Roman" w:hAnsi="Times New Roman" w:cs="Times New Roman"/>
          <w:color w:val="auto"/>
          <w:sz w:val="24"/>
          <w:szCs w:val="24"/>
        </w:rPr>
      </w:pPr>
      <w:bookmarkStart w:id="9" w:name="_Toc405371071"/>
      <w:bookmarkStart w:id="10" w:name="_Toc536779056"/>
      <w:bookmarkStart w:id="11" w:name="_Toc142388023"/>
      <w:r w:rsidRPr="002467D7">
        <w:rPr>
          <w:rFonts w:ascii="Times New Roman" w:hAnsi="Times New Roman" w:cs="Times New Roman"/>
          <w:color w:val="auto"/>
          <w:sz w:val="24"/>
          <w:szCs w:val="24"/>
        </w:rPr>
        <w:t>Fiskālo risku vispārējās vadības mehānisms</w:t>
      </w:r>
      <w:bookmarkEnd w:id="9"/>
      <w:bookmarkEnd w:id="10"/>
      <w:bookmarkEnd w:id="11"/>
    </w:p>
    <w:p w14:paraId="4C9C6D3B" w14:textId="27A8F0E3" w:rsidR="00481389" w:rsidRPr="002467D7" w:rsidRDefault="00481389" w:rsidP="00E3792D">
      <w:pPr>
        <w:spacing w:after="0" w:line="240" w:lineRule="auto"/>
        <w:ind w:firstLine="720"/>
        <w:jc w:val="both"/>
        <w:rPr>
          <w:rFonts w:ascii="Times New Roman" w:hAnsi="Times New Roman" w:cs="Times New Roman"/>
          <w:iCs/>
          <w:sz w:val="24"/>
          <w:szCs w:val="24"/>
        </w:rPr>
      </w:pPr>
      <w:r w:rsidRPr="002467D7">
        <w:rPr>
          <w:rFonts w:ascii="Times New Roman" w:hAnsi="Times New Roman" w:cs="Times New Roman"/>
          <w:color w:val="000000"/>
          <w:sz w:val="24"/>
          <w:szCs w:val="24"/>
        </w:rPr>
        <w:t>FDL paredz fiskālo risku vispārējo vadību. Fiskālo risku vispārējās vadības metodoloģiskais regulējums tika izveidots 2014.gadā līdz ar</w:t>
      </w:r>
      <w:r w:rsidR="00FE7268">
        <w:rPr>
          <w:rFonts w:ascii="Times New Roman" w:hAnsi="Times New Roman" w:cs="Times New Roman"/>
          <w:color w:val="000000"/>
          <w:sz w:val="24"/>
          <w:szCs w:val="24"/>
        </w:rPr>
        <w:t xml:space="preserve"> </w:t>
      </w:r>
      <w:r w:rsidR="00FE7268" w:rsidRPr="00FE7268">
        <w:rPr>
          <w:rFonts w:ascii="Times New Roman" w:hAnsi="Times New Roman" w:cs="Times New Roman"/>
          <w:color w:val="000000"/>
          <w:sz w:val="24"/>
          <w:szCs w:val="24"/>
        </w:rPr>
        <w:t>Ministru kabineta 2014.gada 29.aprīļa noteikum</w:t>
      </w:r>
      <w:r w:rsidR="00FE7268">
        <w:rPr>
          <w:rFonts w:ascii="Times New Roman" w:hAnsi="Times New Roman" w:cs="Times New Roman"/>
          <w:color w:val="000000"/>
          <w:sz w:val="24"/>
          <w:szCs w:val="24"/>
        </w:rPr>
        <w:t>u</w:t>
      </w:r>
      <w:r w:rsidR="00FE7268" w:rsidRPr="00FE7268">
        <w:rPr>
          <w:rFonts w:ascii="Times New Roman" w:hAnsi="Times New Roman" w:cs="Times New Roman"/>
          <w:color w:val="000000"/>
          <w:sz w:val="24"/>
          <w:szCs w:val="24"/>
        </w:rPr>
        <w:t xml:space="preserve"> Nr.229 „Noteikumi par fiskālo risku vispārējo vadību un par fiskālās nodrošinājuma rezerves apjoma noteikšanas metodoloģiju” </w:t>
      </w:r>
      <w:r w:rsidRPr="002467D7">
        <w:rPr>
          <w:rFonts w:ascii="Times New Roman" w:hAnsi="Times New Roman" w:cs="Times New Roman"/>
          <w:color w:val="000000"/>
          <w:sz w:val="24"/>
          <w:szCs w:val="24"/>
        </w:rPr>
        <w:t xml:space="preserve"> </w:t>
      </w:r>
      <w:bookmarkStart w:id="12" w:name="_Hlk125244828"/>
      <w:r w:rsidR="00FE7268">
        <w:rPr>
          <w:rFonts w:ascii="Times New Roman" w:hAnsi="Times New Roman" w:cs="Times New Roman"/>
          <w:color w:val="000000"/>
          <w:sz w:val="24"/>
          <w:szCs w:val="24"/>
        </w:rPr>
        <w:t xml:space="preserve">(turpmāk </w:t>
      </w:r>
      <w:r w:rsidR="00F0641B">
        <w:rPr>
          <w:rFonts w:ascii="Times New Roman" w:hAnsi="Times New Roman" w:cs="Times New Roman"/>
          <w:color w:val="000000"/>
          <w:sz w:val="24"/>
          <w:szCs w:val="24"/>
        </w:rPr>
        <w:t xml:space="preserve">Ministru kabineta (turpmāk </w:t>
      </w:r>
      <w:r w:rsidRPr="002467D7">
        <w:rPr>
          <w:rFonts w:ascii="Times New Roman" w:hAnsi="Times New Roman" w:cs="Times New Roman"/>
          <w:iCs/>
          <w:sz w:val="24"/>
          <w:szCs w:val="24"/>
        </w:rPr>
        <w:t>MK</w:t>
      </w:r>
      <w:r w:rsidR="00F0641B">
        <w:rPr>
          <w:rFonts w:ascii="Times New Roman" w:hAnsi="Times New Roman" w:cs="Times New Roman"/>
          <w:iCs/>
          <w:sz w:val="24"/>
          <w:szCs w:val="24"/>
        </w:rPr>
        <w:t>)</w:t>
      </w:r>
      <w:r w:rsidRPr="002467D7">
        <w:rPr>
          <w:rFonts w:ascii="Times New Roman" w:hAnsi="Times New Roman" w:cs="Times New Roman"/>
          <w:iCs/>
          <w:sz w:val="24"/>
          <w:szCs w:val="24"/>
        </w:rPr>
        <w:t xml:space="preserve"> noteikum</w:t>
      </w:r>
      <w:r w:rsidR="00841C95">
        <w:rPr>
          <w:rFonts w:ascii="Times New Roman" w:hAnsi="Times New Roman" w:cs="Times New Roman"/>
          <w:iCs/>
          <w:sz w:val="24"/>
          <w:szCs w:val="24"/>
        </w:rPr>
        <w:t>u</w:t>
      </w:r>
      <w:r w:rsidRPr="002467D7">
        <w:rPr>
          <w:rFonts w:ascii="Times New Roman" w:hAnsi="Times New Roman" w:cs="Times New Roman"/>
          <w:iCs/>
          <w:sz w:val="24"/>
          <w:szCs w:val="24"/>
        </w:rPr>
        <w:t xml:space="preserve"> Nr.229</w:t>
      </w:r>
      <w:bookmarkEnd w:id="12"/>
      <w:r w:rsidR="00FE7268">
        <w:rPr>
          <w:rFonts w:ascii="Times New Roman" w:hAnsi="Times New Roman" w:cs="Times New Roman"/>
          <w:iCs/>
          <w:sz w:val="24"/>
          <w:szCs w:val="24"/>
        </w:rPr>
        <w:t>)</w:t>
      </w:r>
      <w:r w:rsidRPr="002467D7">
        <w:rPr>
          <w:rFonts w:ascii="Times New Roman" w:hAnsi="Times New Roman" w:cs="Times New Roman"/>
          <w:iCs/>
          <w:sz w:val="24"/>
          <w:szCs w:val="24"/>
        </w:rPr>
        <w:t xml:space="preserve"> apstiprināšanu. Fiskālo risku vispārējās vadības sistēma paredz, ka valstiskā līmenī tiek nodrošināta sistemātiska fiskālo risku identificēšana,</w:t>
      </w:r>
      <w:r w:rsidR="000634D7">
        <w:rPr>
          <w:rFonts w:ascii="Times New Roman" w:hAnsi="Times New Roman" w:cs="Times New Roman"/>
          <w:iCs/>
          <w:sz w:val="24"/>
          <w:szCs w:val="24"/>
        </w:rPr>
        <w:t xml:space="preserve"> </w:t>
      </w:r>
      <w:r w:rsidRPr="002467D7">
        <w:rPr>
          <w:rFonts w:ascii="Times New Roman" w:hAnsi="Times New Roman" w:cs="Times New Roman"/>
          <w:iCs/>
          <w:sz w:val="24"/>
          <w:szCs w:val="24"/>
        </w:rPr>
        <w:t>fiskālo</w:t>
      </w:r>
      <w:r w:rsidR="000634D7">
        <w:rPr>
          <w:rFonts w:ascii="Times New Roman" w:hAnsi="Times New Roman" w:cs="Times New Roman"/>
          <w:iCs/>
          <w:sz w:val="24"/>
          <w:szCs w:val="24"/>
        </w:rPr>
        <w:t xml:space="preserve"> </w:t>
      </w:r>
      <w:r w:rsidRPr="002467D7">
        <w:rPr>
          <w:rFonts w:ascii="Times New Roman" w:hAnsi="Times New Roman" w:cs="Times New Roman"/>
          <w:iCs/>
          <w:sz w:val="24"/>
          <w:szCs w:val="24"/>
        </w:rPr>
        <w:t xml:space="preserve">risku iespējamās ietekmes uz </w:t>
      </w:r>
      <w:r w:rsidR="00D272B7">
        <w:rPr>
          <w:rFonts w:ascii="Times New Roman" w:hAnsi="Times New Roman" w:cs="Times New Roman"/>
          <w:iCs/>
          <w:sz w:val="24"/>
          <w:szCs w:val="24"/>
        </w:rPr>
        <w:t>vispārējās valdības</w:t>
      </w:r>
      <w:r w:rsidR="00D272B7" w:rsidRPr="002467D7">
        <w:rPr>
          <w:rFonts w:ascii="Times New Roman" w:hAnsi="Times New Roman" w:cs="Times New Roman"/>
          <w:iCs/>
          <w:sz w:val="24"/>
          <w:szCs w:val="24"/>
        </w:rPr>
        <w:t xml:space="preserve"> </w:t>
      </w:r>
      <w:r w:rsidRPr="002467D7">
        <w:rPr>
          <w:rFonts w:ascii="Times New Roman" w:hAnsi="Times New Roman" w:cs="Times New Roman"/>
          <w:iCs/>
          <w:sz w:val="24"/>
          <w:szCs w:val="24"/>
        </w:rPr>
        <w:t xml:space="preserve">budžetu un parādu </w:t>
      </w:r>
      <w:r w:rsidR="0020507B">
        <w:rPr>
          <w:rFonts w:ascii="Times New Roman" w:hAnsi="Times New Roman" w:cs="Times New Roman"/>
          <w:iCs/>
          <w:sz w:val="24"/>
          <w:szCs w:val="24"/>
        </w:rPr>
        <w:t>no</w:t>
      </w:r>
      <w:r w:rsidRPr="002467D7">
        <w:rPr>
          <w:rFonts w:ascii="Times New Roman" w:hAnsi="Times New Roman" w:cs="Times New Roman"/>
          <w:iCs/>
          <w:sz w:val="24"/>
          <w:szCs w:val="24"/>
        </w:rPr>
        <w:t>vērtēšana, attiecīgā riska vadības instrumenta izvēle un piemērošana.</w:t>
      </w:r>
    </w:p>
    <w:p w14:paraId="28175690" w14:textId="77777777" w:rsidR="00481389" w:rsidRPr="002467D7" w:rsidRDefault="00481389" w:rsidP="00E3792D">
      <w:pPr>
        <w:spacing w:after="0" w:line="240" w:lineRule="auto"/>
        <w:ind w:firstLine="720"/>
        <w:jc w:val="both"/>
        <w:rPr>
          <w:rFonts w:ascii="Times New Roman" w:eastAsia="Times New Roman" w:hAnsi="Times New Roman" w:cs="Times New Roman"/>
          <w:sz w:val="24"/>
          <w:szCs w:val="24"/>
          <w:lang w:eastAsia="lv-LV"/>
        </w:rPr>
      </w:pPr>
      <w:r w:rsidRPr="002467D7">
        <w:rPr>
          <w:rFonts w:ascii="Times New Roman" w:hAnsi="Times New Roman" w:cs="Times New Roman"/>
          <w:sz w:val="24"/>
          <w:szCs w:val="24"/>
        </w:rPr>
        <w:t>Fiskālo risku identificēšana un mērīšana ir nepieciešama ar mērķi:</w:t>
      </w:r>
    </w:p>
    <w:p w14:paraId="22609BE5" w14:textId="77777777" w:rsidR="00481389" w:rsidRPr="002467D7" w:rsidRDefault="00481389" w:rsidP="00E3792D">
      <w:pPr>
        <w:pStyle w:val="ListParagraph"/>
        <w:numPr>
          <w:ilvl w:val="0"/>
          <w:numId w:val="8"/>
        </w:numPr>
        <w:ind w:left="1418"/>
        <w:contextualSpacing w:val="0"/>
        <w:rPr>
          <w:rFonts w:ascii="Times New Roman" w:hAnsi="Times New Roman"/>
          <w:sz w:val="24"/>
          <w:szCs w:val="24"/>
        </w:rPr>
      </w:pPr>
      <w:r w:rsidRPr="002467D7">
        <w:rPr>
          <w:rFonts w:ascii="Times New Roman" w:hAnsi="Times New Roman"/>
          <w:sz w:val="24"/>
          <w:szCs w:val="24"/>
        </w:rPr>
        <w:t>nodrošināt fiskālo risku novērtēšanu un vadīšanu;</w:t>
      </w:r>
    </w:p>
    <w:p w14:paraId="6F4961E7"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izstrādāt efektīvu fiskālo risku vadības stratēģiju, apzinot risku mazināšanas vai novēršanas instrumentus un pasākumus;</w:t>
      </w:r>
    </w:p>
    <w:p w14:paraId="6D3DC038"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uzlabot fiskālās politikas ietvaros pieņemto lēmumu kvalitāti un ilgtspēju;</w:t>
      </w:r>
    </w:p>
    <w:p w14:paraId="7504145C" w14:textId="2DB1A1B3"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 xml:space="preserve">veicināt valsts kredītreitinga </w:t>
      </w:r>
      <w:r w:rsidR="00D272B7">
        <w:rPr>
          <w:rFonts w:ascii="Times New Roman" w:hAnsi="Times New Roman"/>
          <w:sz w:val="24"/>
          <w:szCs w:val="24"/>
        </w:rPr>
        <w:t>uzlabošanos</w:t>
      </w:r>
      <w:r w:rsidR="00D272B7" w:rsidRPr="002467D7">
        <w:rPr>
          <w:rFonts w:ascii="Times New Roman" w:hAnsi="Times New Roman"/>
          <w:sz w:val="24"/>
          <w:szCs w:val="24"/>
        </w:rPr>
        <w:t xml:space="preserve"> </w:t>
      </w:r>
      <w:r w:rsidRPr="002467D7">
        <w:rPr>
          <w:rFonts w:ascii="Times New Roman" w:hAnsi="Times New Roman"/>
          <w:sz w:val="24"/>
          <w:szCs w:val="24"/>
        </w:rPr>
        <w:t xml:space="preserve">un investoru uzticību. </w:t>
      </w:r>
    </w:p>
    <w:p w14:paraId="388DFC8B" w14:textId="175F9291" w:rsidR="00481389" w:rsidRPr="002467D7" w:rsidRDefault="00F0641B" w:rsidP="00A96163">
      <w:pPr>
        <w:spacing w:after="100" w:afterAutospacing="1"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Finanšu ministrija (turpmāk </w:t>
      </w:r>
      <w:r w:rsidR="00481389" w:rsidRPr="00BD3B79">
        <w:rPr>
          <w:rFonts w:ascii="Times New Roman" w:hAnsi="Times New Roman" w:cs="Times New Roman"/>
          <w:iCs/>
          <w:sz w:val="24"/>
          <w:szCs w:val="24"/>
        </w:rPr>
        <w:t>FM</w:t>
      </w:r>
      <w:r>
        <w:rPr>
          <w:rFonts w:ascii="Times New Roman" w:hAnsi="Times New Roman" w:cs="Times New Roman"/>
          <w:iCs/>
          <w:sz w:val="24"/>
          <w:szCs w:val="24"/>
        </w:rPr>
        <w:t>)</w:t>
      </w:r>
      <w:r w:rsidR="00481389" w:rsidRPr="002467D7">
        <w:rPr>
          <w:rFonts w:ascii="Times New Roman" w:hAnsi="Times New Roman" w:cs="Times New Roman"/>
          <w:iCs/>
          <w:sz w:val="24"/>
          <w:szCs w:val="24"/>
        </w:rPr>
        <w:t xml:space="preserve"> ir atbildīga par fiskālo risku vispārējo vadību, uzkrāj </w:t>
      </w:r>
      <w:r w:rsidR="00481389" w:rsidRPr="002467D7">
        <w:rPr>
          <w:rFonts w:ascii="Times New Roman" w:hAnsi="Times New Roman" w:cs="Times New Roman"/>
          <w:sz w:val="24"/>
        </w:rPr>
        <w:t>nepieciešamo informāciju par fiskālajiem riskiem, lai uzturētu fiskālo risku reģistru, kas ir v</w:t>
      </w:r>
      <w:r w:rsidR="00481389" w:rsidRPr="002467D7">
        <w:rPr>
          <w:rFonts w:ascii="Times New Roman" w:hAnsi="Times New Roman" w:cs="Times New Roman"/>
          <w:iCs/>
          <w:sz w:val="24"/>
          <w:szCs w:val="24"/>
        </w:rPr>
        <w:t>iens no fiskālo risku vispārējās vadības galvenajiem instrumentiem. Savukārt, centrālās valsts iestādes ir atbildīgas par savas kompetences fiskālajiem riskiem, to uzraudzību, novēršanu un fiskālo risku seku samazināšanu. Lai FM varētu uzturēt aktuālu fiskālo risku reģistru un izstrādāt deklarāciju, nepieciešamo informāciju par fiskālajiem riskiem sniedz centrālās valsts iestādes, kas izstrādā fiskālo risku vadības ziņojumus.</w:t>
      </w:r>
    </w:p>
    <w:p w14:paraId="3118F04D" w14:textId="77777777" w:rsidR="00B95E92" w:rsidRPr="002467D7" w:rsidRDefault="00B95E92" w:rsidP="00F56613">
      <w:pPr>
        <w:pStyle w:val="Heading2"/>
        <w:numPr>
          <w:ilvl w:val="1"/>
          <w:numId w:val="3"/>
        </w:numPr>
        <w:spacing w:before="120" w:after="120" w:line="240" w:lineRule="auto"/>
        <w:ind w:left="567" w:hanging="483"/>
        <w:jc w:val="center"/>
        <w:rPr>
          <w:rFonts w:ascii="Times New Roman" w:hAnsi="Times New Roman" w:cs="Times New Roman"/>
          <w:color w:val="auto"/>
          <w:sz w:val="24"/>
          <w:szCs w:val="24"/>
        </w:rPr>
      </w:pPr>
      <w:bookmarkStart w:id="13" w:name="_Toc405371072"/>
      <w:bookmarkStart w:id="14" w:name="_Toc536779057"/>
      <w:bookmarkStart w:id="15" w:name="_Toc142388024"/>
      <w:r w:rsidRPr="002467D7">
        <w:rPr>
          <w:rFonts w:ascii="Times New Roman" w:hAnsi="Times New Roman" w:cs="Times New Roman"/>
          <w:color w:val="auto"/>
          <w:sz w:val="24"/>
          <w:szCs w:val="24"/>
        </w:rPr>
        <w:t>Fiskālo risku klasifikācija</w:t>
      </w:r>
      <w:bookmarkEnd w:id="13"/>
      <w:bookmarkEnd w:id="14"/>
      <w:bookmarkEnd w:id="15"/>
    </w:p>
    <w:p w14:paraId="24C77B63" w14:textId="7E2CB106"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Fiskālo risku klasifikācijas jomā plaši tiek izmantota Pasaules Bankas ekspertes </w:t>
      </w:r>
      <w:proofErr w:type="spellStart"/>
      <w:r w:rsidRPr="002467D7">
        <w:rPr>
          <w:rFonts w:ascii="Times New Roman" w:hAnsi="Times New Roman" w:cs="Times New Roman"/>
          <w:sz w:val="24"/>
          <w:szCs w:val="24"/>
        </w:rPr>
        <w:t>Hanas</w:t>
      </w:r>
      <w:proofErr w:type="spellEnd"/>
      <w:r w:rsidRPr="002467D7">
        <w:rPr>
          <w:rFonts w:ascii="Times New Roman" w:hAnsi="Times New Roman" w:cs="Times New Roman"/>
          <w:sz w:val="24"/>
          <w:szCs w:val="24"/>
        </w:rPr>
        <w:t xml:space="preserve"> </w:t>
      </w:r>
      <w:proofErr w:type="spellStart"/>
      <w:r w:rsidRPr="002467D7">
        <w:rPr>
          <w:rFonts w:ascii="Times New Roman" w:hAnsi="Times New Roman" w:cs="Times New Roman"/>
          <w:sz w:val="24"/>
          <w:szCs w:val="24"/>
        </w:rPr>
        <w:t>Polackovas</w:t>
      </w:r>
      <w:proofErr w:type="spellEnd"/>
      <w:r w:rsidRPr="002467D7">
        <w:rPr>
          <w:rFonts w:ascii="Times New Roman" w:hAnsi="Times New Roman" w:cs="Times New Roman"/>
          <w:sz w:val="24"/>
          <w:szCs w:val="24"/>
        </w:rPr>
        <w:t xml:space="preserve"> </w:t>
      </w:r>
      <w:proofErr w:type="spellStart"/>
      <w:r w:rsidRPr="002467D7">
        <w:rPr>
          <w:rFonts w:ascii="Times New Roman" w:hAnsi="Times New Roman" w:cs="Times New Roman"/>
          <w:sz w:val="24"/>
          <w:szCs w:val="24"/>
        </w:rPr>
        <w:t>Briksi</w:t>
      </w:r>
      <w:proofErr w:type="spellEnd"/>
      <w:r w:rsidRPr="002467D7">
        <w:rPr>
          <w:rFonts w:ascii="Times New Roman" w:hAnsi="Times New Roman" w:cs="Times New Roman"/>
          <w:sz w:val="24"/>
          <w:szCs w:val="24"/>
        </w:rPr>
        <w:t xml:space="preserve"> </w:t>
      </w:r>
      <w:r w:rsidRPr="002467D7">
        <w:rPr>
          <w:rFonts w:ascii="Times New Roman" w:hAnsi="Times New Roman" w:cs="Times New Roman"/>
          <w:i/>
          <w:sz w:val="24"/>
          <w:szCs w:val="24"/>
        </w:rPr>
        <w:t xml:space="preserve">(Hana </w:t>
      </w:r>
      <w:proofErr w:type="spellStart"/>
      <w:r w:rsidRPr="002467D7">
        <w:rPr>
          <w:rFonts w:ascii="Times New Roman" w:hAnsi="Times New Roman" w:cs="Times New Roman"/>
          <w:i/>
          <w:sz w:val="24"/>
          <w:szCs w:val="24"/>
        </w:rPr>
        <w:t>Polackova</w:t>
      </w:r>
      <w:proofErr w:type="spellEnd"/>
      <w:r w:rsidRPr="002467D7">
        <w:rPr>
          <w:rFonts w:ascii="Times New Roman" w:hAnsi="Times New Roman" w:cs="Times New Roman"/>
          <w:i/>
          <w:sz w:val="24"/>
          <w:szCs w:val="24"/>
        </w:rPr>
        <w:t xml:space="preserve"> </w:t>
      </w:r>
      <w:proofErr w:type="spellStart"/>
      <w:r w:rsidRPr="002467D7">
        <w:rPr>
          <w:rFonts w:ascii="Times New Roman" w:hAnsi="Times New Roman" w:cs="Times New Roman"/>
          <w:i/>
          <w:sz w:val="24"/>
          <w:szCs w:val="24"/>
        </w:rPr>
        <w:t>Brixi</w:t>
      </w:r>
      <w:proofErr w:type="spellEnd"/>
      <w:r w:rsidRPr="002467D7">
        <w:rPr>
          <w:rFonts w:ascii="Times New Roman" w:hAnsi="Times New Roman" w:cs="Times New Roman"/>
          <w:i/>
          <w:sz w:val="24"/>
          <w:szCs w:val="24"/>
        </w:rPr>
        <w:t>)</w:t>
      </w:r>
      <w:r w:rsidRPr="002467D7">
        <w:rPr>
          <w:rFonts w:ascii="Times New Roman" w:hAnsi="Times New Roman" w:cs="Times New Roman"/>
          <w:sz w:val="24"/>
          <w:szCs w:val="24"/>
        </w:rPr>
        <w:t xml:space="preserve"> izstrādātā fiskālo risku avotu klasifikācija (skat. tabula Nr.</w:t>
      </w:r>
      <w:r w:rsidR="005603AD" w:rsidRPr="002467D7">
        <w:rPr>
          <w:rFonts w:ascii="Times New Roman" w:hAnsi="Times New Roman" w:cs="Times New Roman"/>
          <w:sz w:val="24"/>
          <w:szCs w:val="24"/>
        </w:rPr>
        <w:t>1</w:t>
      </w:r>
      <w:r w:rsidR="004A682A">
        <w:rPr>
          <w:rFonts w:ascii="Times New Roman" w:hAnsi="Times New Roman" w:cs="Times New Roman"/>
          <w:sz w:val="24"/>
          <w:szCs w:val="24"/>
        </w:rPr>
        <w:t>.2.1</w:t>
      </w:r>
      <w:r w:rsidRPr="002467D7">
        <w:rPr>
          <w:rFonts w:ascii="Times New Roman" w:hAnsi="Times New Roman" w:cs="Times New Roman"/>
          <w:sz w:val="24"/>
          <w:szCs w:val="24"/>
        </w:rPr>
        <w:t>), kas tiek iedalīta četrās grupās un pielāgotā versijā tiek pielietota arī Latvijas fiskālo risku avotu klasifikācijai:</w:t>
      </w:r>
    </w:p>
    <w:p w14:paraId="13D54E66"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Tiešās saistības</w:t>
      </w:r>
      <w:r w:rsidRPr="002467D7">
        <w:rPr>
          <w:rFonts w:ascii="Times New Roman" w:hAnsi="Times New Roman"/>
          <w:color w:val="000000"/>
          <w:sz w:val="24"/>
          <w:szCs w:val="24"/>
        </w:rPr>
        <w:t xml:space="preserve"> ir iepriekš nosakāmās saistības, kuras iestāsies jebkurā gadījumā. Fiskālais risks šajā gadījumā ir saistīts ar nenoteiktību izdevumu apjomā.</w:t>
      </w:r>
    </w:p>
    <w:p w14:paraId="792D52D4" w14:textId="1FDAA980"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Iespējamās saistības</w:t>
      </w:r>
      <w:r w:rsidRPr="002467D7">
        <w:rPr>
          <w:rFonts w:ascii="Times New Roman" w:hAnsi="Times New Roman"/>
          <w:color w:val="000000"/>
          <w:sz w:val="24"/>
          <w:szCs w:val="24"/>
        </w:rPr>
        <w:t xml:space="preserve"> ir tādas saistības, kuras var izraisīt iespējami notikumi nākotnē. Fiskālais risks šajā gadījumā primāri ir tajā apstāklī, ka ir nezināms, vai riska notikums iestāsies vai nē. Papildus tam, nenoteiktība var būt </w:t>
      </w:r>
      <w:r w:rsidR="00FA06DA">
        <w:rPr>
          <w:rFonts w:ascii="Times New Roman" w:hAnsi="Times New Roman"/>
          <w:color w:val="000000"/>
          <w:sz w:val="24"/>
          <w:szCs w:val="24"/>
        </w:rPr>
        <w:t xml:space="preserve">vērojama </w:t>
      </w:r>
      <w:r w:rsidRPr="002467D7">
        <w:rPr>
          <w:rFonts w:ascii="Times New Roman" w:hAnsi="Times New Roman"/>
          <w:color w:val="000000"/>
          <w:sz w:val="24"/>
          <w:szCs w:val="24"/>
        </w:rPr>
        <w:t xml:space="preserve">arī </w:t>
      </w:r>
      <w:r w:rsidR="00FA06DA">
        <w:rPr>
          <w:rFonts w:ascii="Times New Roman" w:hAnsi="Times New Roman"/>
          <w:color w:val="000000"/>
          <w:sz w:val="24"/>
          <w:szCs w:val="24"/>
        </w:rPr>
        <w:t>riska notikuma</w:t>
      </w:r>
      <w:r w:rsidR="00FA06DA" w:rsidRPr="002467D7">
        <w:rPr>
          <w:rFonts w:ascii="Times New Roman" w:hAnsi="Times New Roman"/>
          <w:color w:val="000000"/>
          <w:sz w:val="24"/>
          <w:szCs w:val="24"/>
        </w:rPr>
        <w:t xml:space="preserve"> </w:t>
      </w:r>
      <w:r w:rsidR="00FA06DA">
        <w:rPr>
          <w:rFonts w:ascii="Times New Roman" w:hAnsi="Times New Roman"/>
          <w:color w:val="000000"/>
          <w:sz w:val="24"/>
          <w:szCs w:val="24"/>
        </w:rPr>
        <w:t>ietekmes apmērā</w:t>
      </w:r>
      <w:r w:rsidRPr="002467D7">
        <w:rPr>
          <w:rFonts w:ascii="Times New Roman" w:hAnsi="Times New Roman"/>
          <w:color w:val="000000"/>
          <w:sz w:val="24"/>
          <w:szCs w:val="24"/>
        </w:rPr>
        <w:t>.</w:t>
      </w:r>
    </w:p>
    <w:p w14:paraId="5ACF7C8F" w14:textId="77777777" w:rsidR="00481389" w:rsidRPr="002467D7" w:rsidRDefault="00481389" w:rsidP="002467D7">
      <w:pPr>
        <w:spacing w:after="0" w:line="240" w:lineRule="auto"/>
        <w:jc w:val="both"/>
        <w:textAlignment w:val="top"/>
        <w:rPr>
          <w:rFonts w:ascii="Times New Roman" w:hAnsi="Times New Roman"/>
          <w:color w:val="000000"/>
          <w:sz w:val="24"/>
          <w:szCs w:val="24"/>
        </w:rPr>
      </w:pPr>
    </w:p>
    <w:p w14:paraId="64EA695E" w14:textId="77777777" w:rsidR="00481389" w:rsidRPr="002467D7" w:rsidRDefault="00481389" w:rsidP="002467D7">
      <w:pPr>
        <w:spacing w:after="0" w:line="240" w:lineRule="auto"/>
        <w:ind w:firstLine="709"/>
        <w:jc w:val="both"/>
        <w:textAlignment w:val="top"/>
        <w:rPr>
          <w:rFonts w:ascii="Times New Roman" w:hAnsi="Times New Roman"/>
          <w:color w:val="000000"/>
          <w:sz w:val="24"/>
          <w:szCs w:val="24"/>
        </w:rPr>
      </w:pPr>
      <w:r w:rsidRPr="002467D7">
        <w:rPr>
          <w:rFonts w:ascii="Times New Roman" w:hAnsi="Times New Roman"/>
          <w:color w:val="000000"/>
          <w:sz w:val="24"/>
          <w:szCs w:val="24"/>
        </w:rPr>
        <w:t xml:space="preserve">Katru no augstāk minētajiem fiskālo risku avotiem var iedalīt divās </w:t>
      </w:r>
      <w:proofErr w:type="spellStart"/>
      <w:r w:rsidRPr="002467D7">
        <w:rPr>
          <w:rFonts w:ascii="Times New Roman" w:hAnsi="Times New Roman"/>
          <w:color w:val="000000"/>
          <w:sz w:val="24"/>
          <w:szCs w:val="24"/>
        </w:rPr>
        <w:t>apakškategorijās</w:t>
      </w:r>
      <w:proofErr w:type="spellEnd"/>
      <w:r w:rsidRPr="002467D7">
        <w:rPr>
          <w:rFonts w:ascii="Times New Roman" w:hAnsi="Times New Roman"/>
          <w:color w:val="000000"/>
          <w:sz w:val="24"/>
          <w:szCs w:val="24"/>
        </w:rPr>
        <w:t xml:space="preserve">: </w:t>
      </w:r>
    </w:p>
    <w:p w14:paraId="0FD918D0" w14:textId="22A5658C"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Precīzi noteiktās saistības</w:t>
      </w:r>
      <w:r w:rsidRPr="002467D7">
        <w:rPr>
          <w:rFonts w:ascii="Times New Roman" w:hAnsi="Times New Roman"/>
          <w:color w:val="000000"/>
          <w:sz w:val="24"/>
          <w:szCs w:val="24"/>
        </w:rPr>
        <w:t xml:space="preserve"> ir valdības saistības, kuras ir noteiktas </w:t>
      </w:r>
      <w:r w:rsidR="00FA06DA">
        <w:rPr>
          <w:rFonts w:ascii="Times New Roman" w:hAnsi="Times New Roman"/>
          <w:color w:val="000000"/>
          <w:sz w:val="24"/>
          <w:szCs w:val="24"/>
        </w:rPr>
        <w:t>tiesību aktos</w:t>
      </w:r>
      <w:r w:rsidR="00FA06DA" w:rsidRPr="002467D7">
        <w:rPr>
          <w:rFonts w:ascii="Times New Roman" w:hAnsi="Times New Roman"/>
          <w:color w:val="000000"/>
          <w:sz w:val="24"/>
          <w:szCs w:val="24"/>
        </w:rPr>
        <w:t xml:space="preserve"> </w:t>
      </w:r>
      <w:r w:rsidRPr="002467D7">
        <w:rPr>
          <w:rFonts w:ascii="Times New Roman" w:hAnsi="Times New Roman"/>
          <w:color w:val="000000"/>
          <w:sz w:val="24"/>
          <w:szCs w:val="24"/>
        </w:rPr>
        <w:t>vai līgumos.</w:t>
      </w:r>
    </w:p>
    <w:p w14:paraId="169998FD"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Netiešās (nosacītās) saistības</w:t>
      </w:r>
      <w:r w:rsidRPr="002467D7">
        <w:rPr>
          <w:rFonts w:ascii="Times New Roman" w:hAnsi="Times New Roman"/>
          <w:color w:val="000000"/>
          <w:sz w:val="24"/>
          <w:szCs w:val="24"/>
        </w:rPr>
        <w:t xml:space="preserve"> ir valdības politisks/morāls pienākums vai sagaidāms slogs, kam nav juridiska seguma, bet kuru izraisa sabiedrības gaidas un politisks spiediens. Tās ir raksturīgas krīžu gadījumos.</w:t>
      </w:r>
    </w:p>
    <w:p w14:paraId="1D8EE8F2" w14:textId="77777777" w:rsidR="00953696" w:rsidRPr="002467D7" w:rsidRDefault="00953696" w:rsidP="0028507A">
      <w:pPr>
        <w:spacing w:after="0" w:line="240" w:lineRule="auto"/>
        <w:ind w:firstLine="720"/>
        <w:jc w:val="right"/>
        <w:rPr>
          <w:rFonts w:ascii="Times New Roman" w:hAnsi="Times New Roman" w:cs="Times New Roman"/>
          <w:b/>
          <w:sz w:val="24"/>
          <w:szCs w:val="24"/>
        </w:rPr>
      </w:pPr>
    </w:p>
    <w:p w14:paraId="0E8B46E3" w14:textId="7D255BE4" w:rsidR="00953696" w:rsidRPr="002467D7" w:rsidRDefault="00953696"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Fiskālie riski deklarācijā tiek iedalīti divās grupās: </w:t>
      </w:r>
    </w:p>
    <w:p w14:paraId="102B2412" w14:textId="77777777" w:rsidR="00953696" w:rsidRPr="002467D7" w:rsidRDefault="00953696" w:rsidP="002467D7">
      <w:pPr>
        <w:pStyle w:val="ListParagraph"/>
        <w:numPr>
          <w:ilvl w:val="0"/>
          <w:numId w:val="11"/>
        </w:numPr>
        <w:contextualSpacing w:val="0"/>
        <w:rPr>
          <w:rFonts w:ascii="Times New Roman" w:hAnsi="Times New Roman"/>
          <w:sz w:val="24"/>
          <w:szCs w:val="24"/>
        </w:rPr>
      </w:pPr>
      <w:r w:rsidRPr="0058124B">
        <w:rPr>
          <w:rFonts w:ascii="Times New Roman" w:hAnsi="Times New Roman"/>
          <w:i/>
          <w:iCs/>
          <w:sz w:val="24"/>
          <w:szCs w:val="24"/>
        </w:rPr>
        <w:t>kvantificējamie fiskālie riski</w:t>
      </w:r>
      <w:r w:rsidRPr="002467D7">
        <w:rPr>
          <w:rFonts w:ascii="Times New Roman" w:hAnsi="Times New Roman"/>
          <w:sz w:val="24"/>
          <w:szCs w:val="24"/>
        </w:rPr>
        <w:t xml:space="preserve"> – fiskālie riski, kuriem ir novērtēta iestāšanās varbūtība un ietekme uz vispārējās valdības budžeta bilanci;</w:t>
      </w:r>
    </w:p>
    <w:p w14:paraId="62138374" w14:textId="77777777" w:rsidR="00953696" w:rsidRPr="002467D7" w:rsidRDefault="00953696" w:rsidP="002467D7">
      <w:pPr>
        <w:pStyle w:val="ListParagraph"/>
        <w:numPr>
          <w:ilvl w:val="0"/>
          <w:numId w:val="11"/>
        </w:numPr>
        <w:contextualSpacing w:val="0"/>
        <w:rPr>
          <w:rFonts w:ascii="Times New Roman" w:hAnsi="Times New Roman"/>
          <w:sz w:val="24"/>
        </w:rPr>
      </w:pPr>
      <w:r w:rsidRPr="0058124B">
        <w:rPr>
          <w:rFonts w:ascii="Times New Roman" w:hAnsi="Times New Roman"/>
          <w:i/>
          <w:iCs/>
          <w:sz w:val="24"/>
          <w:szCs w:val="24"/>
        </w:rPr>
        <w:t>nekvantificējamie fiskālie riski</w:t>
      </w:r>
      <w:r w:rsidRPr="002467D7">
        <w:rPr>
          <w:rFonts w:ascii="Times New Roman" w:hAnsi="Times New Roman"/>
          <w:sz w:val="24"/>
          <w:szCs w:val="24"/>
        </w:rPr>
        <w:t xml:space="preserve"> – fiskālie riski, kuriem iestāšanās varbūtība un fiskālā ietekme nav novērtēta.</w:t>
      </w:r>
      <w:r w:rsidRPr="002467D7">
        <w:rPr>
          <w:rFonts w:ascii="Times New Roman" w:hAnsi="Times New Roman"/>
          <w:sz w:val="24"/>
        </w:rPr>
        <w:t xml:space="preserve"> </w:t>
      </w:r>
    </w:p>
    <w:p w14:paraId="21A6ECD5" w14:textId="77777777" w:rsidR="00953696" w:rsidRPr="002467D7" w:rsidRDefault="00953696" w:rsidP="002467D7">
      <w:pPr>
        <w:ind w:firstLine="720"/>
        <w:jc w:val="right"/>
        <w:rPr>
          <w:rFonts w:ascii="Times New Roman" w:hAnsi="Times New Roman" w:cs="Times New Roman"/>
          <w:b/>
          <w:sz w:val="24"/>
          <w:szCs w:val="24"/>
        </w:rPr>
      </w:pPr>
    </w:p>
    <w:p w14:paraId="1BD86C3E" w14:textId="77777777" w:rsidR="00953696" w:rsidRDefault="00953696" w:rsidP="002467D7">
      <w:pPr>
        <w:ind w:firstLine="720"/>
        <w:jc w:val="right"/>
        <w:rPr>
          <w:rFonts w:ascii="Times New Roman" w:hAnsi="Times New Roman" w:cs="Times New Roman"/>
          <w:b/>
          <w:sz w:val="24"/>
          <w:szCs w:val="24"/>
        </w:rPr>
      </w:pPr>
    </w:p>
    <w:p w14:paraId="25E05910" w14:textId="77777777" w:rsidR="00A96163" w:rsidRPr="002467D7" w:rsidRDefault="00A96163" w:rsidP="002467D7">
      <w:pPr>
        <w:ind w:firstLine="720"/>
        <w:jc w:val="right"/>
        <w:rPr>
          <w:rFonts w:ascii="Times New Roman" w:hAnsi="Times New Roman" w:cs="Times New Roman"/>
          <w:b/>
          <w:sz w:val="24"/>
          <w:szCs w:val="24"/>
        </w:rPr>
      </w:pPr>
    </w:p>
    <w:p w14:paraId="58BD373A" w14:textId="0D782902" w:rsidR="00481389" w:rsidRPr="002467D7" w:rsidRDefault="00481389" w:rsidP="00497710">
      <w:pPr>
        <w:spacing w:line="240" w:lineRule="auto"/>
        <w:ind w:firstLine="720"/>
        <w:jc w:val="right"/>
        <w:rPr>
          <w:rFonts w:ascii="Times New Roman" w:hAnsi="Times New Roman" w:cs="Times New Roman"/>
          <w:b/>
          <w:sz w:val="24"/>
          <w:szCs w:val="24"/>
        </w:rPr>
      </w:pPr>
      <w:r w:rsidRPr="002467D7">
        <w:rPr>
          <w:rFonts w:ascii="Times New Roman" w:hAnsi="Times New Roman" w:cs="Times New Roman"/>
          <w:b/>
          <w:sz w:val="24"/>
          <w:szCs w:val="24"/>
        </w:rPr>
        <w:lastRenderedPageBreak/>
        <w:t>Tabula Nr.</w:t>
      </w:r>
      <w:r w:rsidR="004A682A">
        <w:rPr>
          <w:rFonts w:ascii="Times New Roman" w:hAnsi="Times New Roman" w:cs="Times New Roman"/>
          <w:b/>
          <w:sz w:val="24"/>
          <w:szCs w:val="24"/>
        </w:rPr>
        <w:t>1.2.</w:t>
      </w:r>
      <w:r w:rsidR="00786453" w:rsidRPr="002467D7">
        <w:rPr>
          <w:rFonts w:ascii="Times New Roman" w:hAnsi="Times New Roman" w:cs="Times New Roman"/>
          <w:b/>
          <w:sz w:val="24"/>
          <w:szCs w:val="24"/>
        </w:rPr>
        <w:t>1</w:t>
      </w:r>
      <w:r w:rsidRPr="002467D7">
        <w:rPr>
          <w:rFonts w:ascii="Times New Roman" w:hAnsi="Times New Roman" w:cs="Times New Roman"/>
          <w:b/>
          <w:sz w:val="24"/>
          <w:szCs w:val="24"/>
        </w:rPr>
        <w:t xml:space="preserve"> Fiskālo risku avotu klasifikācija</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26"/>
        <w:gridCol w:w="4565"/>
      </w:tblGrid>
      <w:tr w:rsidR="00481389" w:rsidRPr="002467D7" w14:paraId="7FE7880B" w14:textId="77777777" w:rsidTr="00F72DE0">
        <w:tc>
          <w:tcPr>
            <w:tcW w:w="3114" w:type="dxa"/>
            <w:shd w:val="clear" w:color="auto" w:fill="9CC2E5" w:themeFill="accent1" w:themeFillTint="99"/>
            <w:vAlign w:val="center"/>
          </w:tcPr>
          <w:p w14:paraId="6DFC8874" w14:textId="77777777" w:rsidR="00481389" w:rsidRPr="002467D7" w:rsidRDefault="00481389" w:rsidP="002467D7">
            <w:pPr>
              <w:jc w:val="center"/>
              <w:textAlignment w:val="top"/>
              <w:rPr>
                <w:rFonts w:ascii="Times New Roman" w:hAnsi="Times New Roman" w:cs="Times New Roman"/>
                <w:b/>
                <w:i/>
              </w:rPr>
            </w:pPr>
            <w:r w:rsidRPr="002467D7">
              <w:rPr>
                <w:rFonts w:ascii="Times New Roman" w:hAnsi="Times New Roman" w:cs="Times New Roman"/>
                <w:b/>
                <w:i/>
              </w:rPr>
              <w:t>Saistību avoti</w:t>
            </w:r>
          </w:p>
        </w:tc>
        <w:tc>
          <w:tcPr>
            <w:tcW w:w="2126" w:type="dxa"/>
            <w:shd w:val="clear" w:color="auto" w:fill="9CC2E5" w:themeFill="accent1" w:themeFillTint="99"/>
            <w:vAlign w:val="center"/>
          </w:tcPr>
          <w:p w14:paraId="0C0BC8EC"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Tiešās (</w:t>
            </w:r>
            <w:proofErr w:type="spellStart"/>
            <w:r w:rsidRPr="002467D7">
              <w:rPr>
                <w:rFonts w:ascii="Times New Roman" w:hAnsi="Times New Roman" w:cs="Times New Roman"/>
                <w:b/>
                <w:i/>
              </w:rPr>
              <w:t>direct</w:t>
            </w:r>
            <w:proofErr w:type="spellEnd"/>
            <w:r w:rsidRPr="002467D7">
              <w:rPr>
                <w:rFonts w:ascii="Times New Roman" w:hAnsi="Times New Roman" w:cs="Times New Roman"/>
                <w:b/>
                <w:i/>
              </w:rPr>
              <w:t>) saistības</w:t>
            </w:r>
            <w:r w:rsidRPr="002467D7">
              <w:rPr>
                <w:rFonts w:ascii="Times New Roman" w:hAnsi="Times New Roman" w:cs="Times New Roman"/>
                <w:i/>
              </w:rPr>
              <w:t xml:space="preserve"> (iestājās jebkurā gadījumā)</w:t>
            </w:r>
          </w:p>
        </w:tc>
        <w:tc>
          <w:tcPr>
            <w:tcW w:w="4565" w:type="dxa"/>
            <w:shd w:val="clear" w:color="auto" w:fill="9CC2E5" w:themeFill="accent1" w:themeFillTint="99"/>
            <w:vAlign w:val="center"/>
          </w:tcPr>
          <w:p w14:paraId="3B27C619"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Iespējamās (</w:t>
            </w:r>
            <w:proofErr w:type="spellStart"/>
            <w:r w:rsidRPr="002467D7">
              <w:rPr>
                <w:rFonts w:ascii="Times New Roman" w:hAnsi="Times New Roman" w:cs="Times New Roman"/>
                <w:b/>
                <w:i/>
              </w:rPr>
              <w:t>contingent</w:t>
            </w:r>
            <w:proofErr w:type="spellEnd"/>
            <w:r w:rsidRPr="002467D7">
              <w:rPr>
                <w:rFonts w:ascii="Times New Roman" w:hAnsi="Times New Roman" w:cs="Times New Roman"/>
                <w:b/>
                <w:i/>
              </w:rPr>
              <w:t>) saistības</w:t>
            </w:r>
            <w:r w:rsidRPr="002467D7">
              <w:rPr>
                <w:rFonts w:ascii="Times New Roman" w:hAnsi="Times New Roman" w:cs="Times New Roman"/>
                <w:i/>
              </w:rPr>
              <w:t xml:space="preserve"> (iestājās īpašu nākotnes notikumu rezultātā)</w:t>
            </w:r>
          </w:p>
        </w:tc>
      </w:tr>
      <w:tr w:rsidR="00481389" w:rsidRPr="002467D7" w14:paraId="1E15C913" w14:textId="77777777" w:rsidTr="00F72DE0">
        <w:tc>
          <w:tcPr>
            <w:tcW w:w="3114" w:type="dxa"/>
            <w:shd w:val="clear" w:color="auto" w:fill="9CC2E5" w:themeFill="accent1" w:themeFillTint="99"/>
          </w:tcPr>
          <w:p w14:paraId="705AFB77" w14:textId="3E3581BA" w:rsidR="00481389" w:rsidRPr="002467D7" w:rsidRDefault="00481389" w:rsidP="00FA06DA">
            <w:pPr>
              <w:spacing w:after="60"/>
              <w:textAlignment w:val="top"/>
              <w:rPr>
                <w:rFonts w:ascii="Times New Roman" w:hAnsi="Times New Roman" w:cs="Times New Roman"/>
              </w:rPr>
            </w:pPr>
            <w:r w:rsidRPr="002467D7">
              <w:rPr>
                <w:rFonts w:ascii="Times New Roman" w:hAnsi="Times New Roman" w:cs="Times New Roman"/>
                <w:b/>
                <w:i/>
              </w:rPr>
              <w:t>Precīzi noteiktas</w:t>
            </w:r>
            <w:r w:rsidRPr="002467D7">
              <w:rPr>
                <w:rFonts w:ascii="Times New Roman" w:hAnsi="Times New Roman" w:cs="Times New Roman"/>
              </w:rPr>
              <w:t xml:space="preserve"> (</w:t>
            </w:r>
            <w:proofErr w:type="spellStart"/>
            <w:r w:rsidRPr="002467D7">
              <w:rPr>
                <w:rFonts w:ascii="Times New Roman" w:hAnsi="Times New Roman" w:cs="Times New Roman"/>
                <w:i/>
              </w:rPr>
              <w:t>explicit</w:t>
            </w:r>
            <w:proofErr w:type="spellEnd"/>
            <w:r w:rsidRPr="002467D7">
              <w:rPr>
                <w:rFonts w:ascii="Times New Roman" w:hAnsi="Times New Roman" w:cs="Times New Roman"/>
              </w:rPr>
              <w:t xml:space="preserve">) </w:t>
            </w:r>
            <w:r w:rsidRPr="002467D7">
              <w:rPr>
                <w:rFonts w:ascii="Times New Roman" w:hAnsi="Times New Roman" w:cs="Times New Roman"/>
                <w:b/>
                <w:i/>
              </w:rPr>
              <w:t>saistības</w:t>
            </w:r>
            <w:r w:rsidRPr="002467D7">
              <w:rPr>
                <w:rFonts w:ascii="Times New Roman" w:hAnsi="Times New Roman" w:cs="Times New Roman"/>
              </w:rPr>
              <w:t xml:space="preserve">, kas izriet no </w:t>
            </w:r>
            <w:r w:rsidR="00FA06DA">
              <w:rPr>
                <w:rFonts w:ascii="Times New Roman" w:hAnsi="Times New Roman" w:cs="Times New Roman"/>
              </w:rPr>
              <w:t>tiesību aktiem</w:t>
            </w:r>
            <w:r w:rsidR="00FA06DA" w:rsidRPr="002467D7">
              <w:rPr>
                <w:rFonts w:ascii="Times New Roman" w:hAnsi="Times New Roman" w:cs="Times New Roman"/>
              </w:rPr>
              <w:t xml:space="preserve"> </w:t>
            </w:r>
            <w:r w:rsidRPr="002467D7">
              <w:rPr>
                <w:rFonts w:ascii="Times New Roman" w:hAnsi="Times New Roman" w:cs="Times New Roman"/>
              </w:rPr>
              <w:t>vai līgumiem</w:t>
            </w:r>
          </w:p>
        </w:tc>
        <w:tc>
          <w:tcPr>
            <w:tcW w:w="2126" w:type="dxa"/>
          </w:tcPr>
          <w:p w14:paraId="6D6DEC9A"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valsts parādsaistības;</w:t>
            </w:r>
          </w:p>
          <w:p w14:paraId="2D1AD133"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ilgtermiņa saistības (pensijas un citi sociālās apdrošināšanas maksājumi u.c.).</w:t>
            </w:r>
          </w:p>
        </w:tc>
        <w:tc>
          <w:tcPr>
            <w:tcW w:w="4565" w:type="dxa"/>
          </w:tcPr>
          <w:p w14:paraId="78D851B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valsts galvojumi, t.sk. privāto investīciju galvojumi;</w:t>
            </w:r>
          </w:p>
          <w:p w14:paraId="1DC4B30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„jumta” valsts galvojumi par dažādu veidu aizdevumiem (hipotekārie aizdevumi, studējošo kreditēšana, aizdevumi lauksaimniekiem, maziem un vidējiem uzņēmējiem).</w:t>
            </w:r>
          </w:p>
        </w:tc>
      </w:tr>
      <w:tr w:rsidR="00481389" w:rsidRPr="002467D7" w14:paraId="02E1FA6B" w14:textId="77777777" w:rsidTr="00F72DE0">
        <w:trPr>
          <w:trHeight w:val="1370"/>
        </w:trPr>
        <w:tc>
          <w:tcPr>
            <w:tcW w:w="3114" w:type="dxa"/>
            <w:shd w:val="clear" w:color="auto" w:fill="9CC2E5" w:themeFill="accent1" w:themeFillTint="99"/>
          </w:tcPr>
          <w:p w14:paraId="44CF9F17" w14:textId="77777777" w:rsidR="00481389" w:rsidRPr="002467D7" w:rsidRDefault="00481389" w:rsidP="002467D7">
            <w:pPr>
              <w:spacing w:after="60"/>
              <w:textAlignment w:val="top"/>
              <w:rPr>
                <w:rFonts w:ascii="Times New Roman" w:hAnsi="Times New Roman" w:cs="Times New Roman"/>
              </w:rPr>
            </w:pPr>
            <w:r w:rsidRPr="002467D7">
              <w:rPr>
                <w:rFonts w:ascii="Times New Roman" w:hAnsi="Times New Roman" w:cs="Times New Roman"/>
                <w:b/>
                <w:i/>
              </w:rPr>
              <w:t>Nosacītās (netiešas) saistības</w:t>
            </w:r>
            <w:r w:rsidRPr="002467D7">
              <w:rPr>
                <w:rFonts w:ascii="Times New Roman" w:hAnsi="Times New Roman" w:cs="Times New Roman"/>
              </w:rPr>
              <w:t xml:space="preserve">  (</w:t>
            </w:r>
            <w:proofErr w:type="spellStart"/>
            <w:r w:rsidRPr="002467D7">
              <w:rPr>
                <w:rFonts w:ascii="Times New Roman" w:hAnsi="Times New Roman" w:cs="Times New Roman"/>
                <w:i/>
              </w:rPr>
              <w:t>implicit</w:t>
            </w:r>
            <w:proofErr w:type="spellEnd"/>
            <w:r w:rsidRPr="002467D7">
              <w:rPr>
                <w:rFonts w:ascii="Times New Roman" w:hAnsi="Times New Roman" w:cs="Times New Roman"/>
              </w:rPr>
              <w:t>) (valdības morālās saistī</w:t>
            </w:r>
            <w:r w:rsidR="00953696" w:rsidRPr="002467D7">
              <w:rPr>
                <w:rFonts w:ascii="Times New Roman" w:hAnsi="Times New Roman" w:cs="Times New Roman"/>
              </w:rPr>
              <w:t>bas, kuru pamatā ir sabiedrības</w:t>
            </w:r>
            <w:r w:rsidRPr="002467D7">
              <w:rPr>
                <w:rFonts w:ascii="Times New Roman" w:hAnsi="Times New Roman" w:cs="Times New Roman"/>
              </w:rPr>
              <w:t xml:space="preserve"> un interešu grupu gaidas vai spiedienu)</w:t>
            </w:r>
          </w:p>
        </w:tc>
        <w:tc>
          <w:tcPr>
            <w:tcW w:w="2126" w:type="dxa"/>
          </w:tcPr>
          <w:p w14:paraId="6C17103E" w14:textId="77777777" w:rsidR="00481389" w:rsidRPr="002467D7" w:rsidRDefault="00481389" w:rsidP="002467D7">
            <w:pPr>
              <w:ind w:left="230"/>
              <w:jc w:val="both"/>
              <w:textAlignment w:val="top"/>
              <w:rPr>
                <w:rFonts w:ascii="Times New Roman" w:hAnsi="Times New Roman" w:cs="Times New Roman"/>
              </w:rPr>
            </w:pPr>
          </w:p>
        </w:tc>
        <w:tc>
          <w:tcPr>
            <w:tcW w:w="4565" w:type="dxa"/>
          </w:tcPr>
          <w:p w14:paraId="4BD70106"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nodarbinātības fondu, sociālās aizsardzības fondu un citu fondu maksātnespēja;</w:t>
            </w:r>
          </w:p>
          <w:p w14:paraId="124F2F9B" w14:textId="77777777" w:rsidR="00481389" w:rsidRPr="002467D7" w:rsidRDefault="00481389" w:rsidP="002467D7">
            <w:pPr>
              <w:numPr>
                <w:ilvl w:val="0"/>
                <w:numId w:val="9"/>
              </w:numPr>
              <w:tabs>
                <w:tab w:val="clear" w:pos="720"/>
                <w:tab w:val="num" w:pos="230"/>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pašvaldību, valsts uzņēmumu, lielo privāto uzņēmumu, valsts un ārpusbudžeta aģentūru zaudējumu kompensēšana, saistību pārņemšana.</w:t>
            </w:r>
          </w:p>
        </w:tc>
      </w:tr>
    </w:tbl>
    <w:p w14:paraId="32509BAF" w14:textId="77777777" w:rsidR="00481389" w:rsidRPr="002467D7" w:rsidRDefault="00481389" w:rsidP="002467D7">
      <w:pPr>
        <w:rPr>
          <w:rFonts w:ascii="Times New Roman" w:hAnsi="Times New Roman" w:cs="Times New Roman"/>
          <w:szCs w:val="24"/>
        </w:rPr>
      </w:pPr>
      <w:r w:rsidRPr="002467D7">
        <w:rPr>
          <w:rFonts w:ascii="Times New Roman" w:hAnsi="Times New Roman" w:cs="Times New Roman"/>
          <w:i/>
          <w:sz w:val="20"/>
        </w:rPr>
        <w:t xml:space="preserve">Avots: Hana </w:t>
      </w:r>
      <w:proofErr w:type="spellStart"/>
      <w:r w:rsidRPr="002467D7">
        <w:rPr>
          <w:rFonts w:ascii="Times New Roman" w:hAnsi="Times New Roman" w:cs="Times New Roman"/>
          <w:i/>
          <w:sz w:val="20"/>
        </w:rPr>
        <w:t>Polackova</w:t>
      </w:r>
      <w:proofErr w:type="spellEnd"/>
      <w:r w:rsidRPr="002467D7">
        <w:rPr>
          <w:rFonts w:ascii="Times New Roman" w:hAnsi="Times New Roman" w:cs="Times New Roman"/>
          <w:i/>
          <w:sz w:val="20"/>
        </w:rPr>
        <w:t xml:space="preserve"> </w:t>
      </w:r>
      <w:proofErr w:type="spellStart"/>
      <w:r w:rsidRPr="002467D7">
        <w:rPr>
          <w:rFonts w:ascii="Times New Roman" w:hAnsi="Times New Roman" w:cs="Times New Roman"/>
          <w:i/>
          <w:sz w:val="20"/>
        </w:rPr>
        <w:t>Brixi</w:t>
      </w:r>
      <w:proofErr w:type="spellEnd"/>
      <w:r w:rsidRPr="002467D7">
        <w:rPr>
          <w:rFonts w:ascii="Times New Roman" w:hAnsi="Times New Roman" w:cs="Times New Roman"/>
          <w:i/>
          <w:sz w:val="20"/>
        </w:rPr>
        <w:t>, (1998).</w:t>
      </w:r>
    </w:p>
    <w:p w14:paraId="597166FC" w14:textId="77777777" w:rsidR="00481389" w:rsidRPr="00A96163" w:rsidRDefault="00481389" w:rsidP="002467D7">
      <w:pPr>
        <w:spacing w:after="0" w:line="240" w:lineRule="auto"/>
        <w:rPr>
          <w:sz w:val="20"/>
          <w:szCs w:val="20"/>
        </w:rPr>
      </w:pPr>
    </w:p>
    <w:p w14:paraId="6E88BD4B" w14:textId="77777777" w:rsidR="00B95E92" w:rsidRPr="002467D7" w:rsidRDefault="00B95E92" w:rsidP="00F56613">
      <w:pPr>
        <w:pStyle w:val="Heading2"/>
        <w:numPr>
          <w:ilvl w:val="1"/>
          <w:numId w:val="3"/>
        </w:numPr>
        <w:spacing w:before="120" w:after="120" w:line="240" w:lineRule="auto"/>
        <w:ind w:left="426" w:hanging="483"/>
        <w:jc w:val="center"/>
        <w:rPr>
          <w:rFonts w:ascii="Times New Roman" w:hAnsi="Times New Roman" w:cs="Times New Roman"/>
          <w:color w:val="auto"/>
          <w:sz w:val="24"/>
          <w:szCs w:val="24"/>
        </w:rPr>
      </w:pPr>
      <w:bookmarkStart w:id="16" w:name="_Toc405371073"/>
      <w:bookmarkStart w:id="17" w:name="_Toc536779058"/>
      <w:bookmarkStart w:id="18" w:name="_Toc142388025"/>
      <w:r w:rsidRPr="002467D7">
        <w:rPr>
          <w:rFonts w:ascii="Times New Roman" w:hAnsi="Times New Roman" w:cs="Times New Roman"/>
          <w:color w:val="auto"/>
          <w:sz w:val="24"/>
          <w:szCs w:val="24"/>
        </w:rPr>
        <w:t>Fiskālo risku ietekmes un iestāšanās varbūtības novērtēšanas metodes</w:t>
      </w:r>
      <w:bookmarkEnd w:id="16"/>
      <w:bookmarkEnd w:id="17"/>
      <w:bookmarkEnd w:id="18"/>
    </w:p>
    <w:p w14:paraId="0ED2C7BB"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MK noteikumi Nr.229 nosaka fiskālo risku ietekmes un iestāšanās varbūtības noteikšanas metodes. Fiskālā ietekme fiskālo risku iestāšanās gadījumā uz vispārējās valdības budžeta bilanci, ja iespējams, tiek vērtēta kvalitatīvi. Kvalitatīvais novērtējums paredz fiskālo ietekmi novērtēt kā būtisku, vidēju vai zemu:</w:t>
      </w:r>
    </w:p>
    <w:p w14:paraId="4745108C"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būtiska fiskālā ietekme tiek paredzēta tādā gadījumā, ja ietekme uz vispārējās valdības budžeta bilanci pārsniedz 0,5% no IKP;</w:t>
      </w:r>
    </w:p>
    <w:p w14:paraId="3F98ACDE"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vidēja fiskālā ietekme – ja ietekme uz vispārējās valdības budžeta bilanci ir robežās no 0,01 līdz 0,5% no IKP;</w:t>
      </w:r>
    </w:p>
    <w:p w14:paraId="5F2C8A9A"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zema fiskālā ietekme – ja ietekme uz vispārējās valdības budžeta bilanci nepārsniedz 0,01% no IKP.</w:t>
      </w:r>
    </w:p>
    <w:p w14:paraId="4ACE1A80"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Vienlaikus, ja iespējams, tad fiskālā ietekme tiek vērtēta kvantitatīvi procentos no IKP, izvērtējot specifisko fiskālo risku vadības iestāžu sagatavotos fiskālo risku vadības ziņojumus. Fiskālās ietekmes kvantitatīvais novērtējums tiek veikts, ja novērtējumu var veikt ar šādu precizitāti: </w:t>
      </w:r>
    </w:p>
    <w:p w14:paraId="5FDB7132"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eastAsiaTheme="minorHAnsi" w:hAnsi="Times New Roman"/>
          <w:sz w:val="24"/>
          <w:szCs w:val="24"/>
        </w:rPr>
        <w:t>fiskāliem riskiem ar fiskālo ietekmi zem 0,1% no IKP, ja novērtējuma kļūda nepārsniedz 0,01 procentpunktu;</w:t>
      </w:r>
    </w:p>
    <w:p w14:paraId="00927D0F"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robežās no 0,1% līdz 1% no IKP, </w:t>
      </w:r>
      <w:r w:rsidRPr="002467D7">
        <w:rPr>
          <w:rFonts w:ascii="Times New Roman" w:eastAsiaTheme="minorHAnsi" w:hAnsi="Times New Roman"/>
          <w:sz w:val="24"/>
          <w:szCs w:val="24"/>
        </w:rPr>
        <w:t>ja novērtējuma kļūda nepārsniedz 0,1 procentpunktu</w:t>
      </w:r>
      <w:r w:rsidRPr="002467D7">
        <w:rPr>
          <w:rFonts w:ascii="Times New Roman" w:hAnsi="Times New Roman"/>
          <w:sz w:val="24"/>
          <w:szCs w:val="24"/>
        </w:rPr>
        <w:t>;</w:t>
      </w:r>
    </w:p>
    <w:p w14:paraId="0ED45F86"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1% no IKP un vairāk, </w:t>
      </w:r>
      <w:r w:rsidRPr="002467D7">
        <w:rPr>
          <w:rFonts w:ascii="Times New Roman" w:eastAsiaTheme="minorHAnsi" w:hAnsi="Times New Roman"/>
          <w:sz w:val="24"/>
          <w:szCs w:val="24"/>
        </w:rPr>
        <w:t>ja novērtējuma kļūda nepārsniedz 1 procentpunktu</w:t>
      </w:r>
      <w:r w:rsidRPr="002467D7">
        <w:rPr>
          <w:rFonts w:ascii="Times New Roman" w:hAnsi="Times New Roman"/>
          <w:sz w:val="24"/>
          <w:szCs w:val="24"/>
        </w:rPr>
        <w:t>.</w:t>
      </w:r>
    </w:p>
    <w:p w14:paraId="04615E91"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Fiskālā riska iestāšanās varbūtība tiek novērtēta 5 punktu skalā. Iestāšanās varbūtību nosaka paliekošajam riskam, tas ir, ņemot vērā jau pastāvošos fiskālo risku mazināšanas pasākumus.</w:t>
      </w:r>
    </w:p>
    <w:p w14:paraId="26759936" w14:textId="49CEDC74" w:rsidR="00481389" w:rsidRPr="002467D7" w:rsidRDefault="00481389" w:rsidP="00497710">
      <w:pPr>
        <w:spacing w:before="240" w:line="240" w:lineRule="auto"/>
        <w:ind w:firstLine="720"/>
        <w:jc w:val="right"/>
        <w:rPr>
          <w:rFonts w:ascii="Times New Roman" w:hAnsi="Times New Roman" w:cs="Times New Roman"/>
          <w:b/>
          <w:sz w:val="24"/>
          <w:szCs w:val="24"/>
        </w:rPr>
      </w:pPr>
      <w:r w:rsidRPr="002467D7">
        <w:rPr>
          <w:rFonts w:ascii="Times New Roman" w:hAnsi="Times New Roman" w:cs="Times New Roman"/>
          <w:b/>
          <w:sz w:val="24"/>
          <w:szCs w:val="24"/>
        </w:rPr>
        <w:t>Tabula Nr.</w:t>
      </w:r>
      <w:r w:rsidR="004A682A">
        <w:rPr>
          <w:rFonts w:ascii="Times New Roman" w:hAnsi="Times New Roman" w:cs="Times New Roman"/>
          <w:b/>
          <w:sz w:val="24"/>
          <w:szCs w:val="24"/>
        </w:rPr>
        <w:t>1.3.1</w:t>
      </w:r>
      <w:r w:rsidRPr="002467D7">
        <w:rPr>
          <w:rFonts w:ascii="Times New Roman" w:hAnsi="Times New Roman" w:cs="Times New Roman"/>
          <w:b/>
          <w:sz w:val="24"/>
          <w:szCs w:val="24"/>
        </w:rPr>
        <w:t xml:space="preserve"> Iestāšanās varbūtības novērtēšanas metodoloģija</w:t>
      </w:r>
    </w:p>
    <w:tbl>
      <w:tblPr>
        <w:tblStyle w:val="TableGrid"/>
        <w:tblW w:w="5000" w:type="pct"/>
        <w:jc w:val="center"/>
        <w:tblLook w:val="04A0" w:firstRow="1" w:lastRow="0" w:firstColumn="1" w:lastColumn="0" w:noHBand="0" w:noVBand="1"/>
      </w:tblPr>
      <w:tblGrid>
        <w:gridCol w:w="4665"/>
        <w:gridCol w:w="5135"/>
      </w:tblGrid>
      <w:tr w:rsidR="00481389" w:rsidRPr="002467D7" w14:paraId="00FBBE0E" w14:textId="77777777" w:rsidTr="00482564">
        <w:trPr>
          <w:jc w:val="center"/>
        </w:trPr>
        <w:tc>
          <w:tcPr>
            <w:tcW w:w="2380" w:type="pct"/>
            <w:shd w:val="clear" w:color="auto" w:fill="9CC2E5" w:themeFill="accent1" w:themeFillTint="99"/>
          </w:tcPr>
          <w:p w14:paraId="0883751D" w14:textId="77777777" w:rsidR="00481389" w:rsidRPr="002467D7" w:rsidRDefault="00481389" w:rsidP="002467D7">
            <w:pPr>
              <w:jc w:val="center"/>
              <w:rPr>
                <w:b/>
                <w:sz w:val="22"/>
              </w:rPr>
            </w:pPr>
            <w:r w:rsidRPr="002467D7">
              <w:rPr>
                <w:b/>
                <w:sz w:val="22"/>
              </w:rPr>
              <w:t>Iestāšanās varbūtības novērtējums</w:t>
            </w:r>
          </w:p>
        </w:tc>
        <w:tc>
          <w:tcPr>
            <w:tcW w:w="2620" w:type="pct"/>
            <w:shd w:val="clear" w:color="auto" w:fill="9CC2E5" w:themeFill="accent1" w:themeFillTint="99"/>
          </w:tcPr>
          <w:p w14:paraId="3630961E" w14:textId="77777777" w:rsidR="00481389" w:rsidRPr="002467D7" w:rsidRDefault="00481389" w:rsidP="002467D7">
            <w:pPr>
              <w:jc w:val="center"/>
              <w:rPr>
                <w:b/>
                <w:sz w:val="22"/>
              </w:rPr>
            </w:pPr>
            <w:r w:rsidRPr="002467D7">
              <w:rPr>
                <w:b/>
                <w:sz w:val="22"/>
              </w:rPr>
              <w:t>Iestāšanās varbūtība</w:t>
            </w:r>
          </w:p>
        </w:tc>
      </w:tr>
      <w:tr w:rsidR="00481389" w:rsidRPr="002467D7" w14:paraId="3EC6B100" w14:textId="77777777" w:rsidTr="00482564">
        <w:trPr>
          <w:jc w:val="center"/>
        </w:trPr>
        <w:tc>
          <w:tcPr>
            <w:tcW w:w="2380" w:type="pct"/>
          </w:tcPr>
          <w:p w14:paraId="54B6BCE8" w14:textId="77777777" w:rsidR="00481389" w:rsidRPr="002467D7" w:rsidRDefault="00481389" w:rsidP="002467D7">
            <w:pPr>
              <w:jc w:val="center"/>
              <w:rPr>
                <w:sz w:val="22"/>
              </w:rPr>
            </w:pPr>
            <w:r w:rsidRPr="002467D7">
              <w:rPr>
                <w:sz w:val="22"/>
              </w:rPr>
              <w:t>1</w:t>
            </w:r>
          </w:p>
        </w:tc>
        <w:tc>
          <w:tcPr>
            <w:tcW w:w="2620" w:type="pct"/>
          </w:tcPr>
          <w:p w14:paraId="0179F55D" w14:textId="77777777" w:rsidR="00481389" w:rsidRPr="002467D7" w:rsidRDefault="00481389" w:rsidP="002467D7">
            <w:pPr>
              <w:jc w:val="center"/>
              <w:rPr>
                <w:sz w:val="22"/>
              </w:rPr>
            </w:pPr>
            <w:r w:rsidRPr="002467D7">
              <w:rPr>
                <w:sz w:val="22"/>
              </w:rPr>
              <w:t>ir tuvāka 0%</w:t>
            </w:r>
          </w:p>
        </w:tc>
      </w:tr>
      <w:tr w:rsidR="00481389" w:rsidRPr="002467D7" w14:paraId="7A00D797" w14:textId="77777777" w:rsidTr="00482564">
        <w:trPr>
          <w:jc w:val="center"/>
        </w:trPr>
        <w:tc>
          <w:tcPr>
            <w:tcW w:w="2380" w:type="pct"/>
          </w:tcPr>
          <w:p w14:paraId="67811A06" w14:textId="77777777" w:rsidR="00481389" w:rsidRPr="002467D7" w:rsidRDefault="00481389" w:rsidP="002467D7">
            <w:pPr>
              <w:jc w:val="center"/>
              <w:rPr>
                <w:sz w:val="22"/>
              </w:rPr>
            </w:pPr>
            <w:r w:rsidRPr="002467D7">
              <w:rPr>
                <w:sz w:val="22"/>
              </w:rPr>
              <w:t>2</w:t>
            </w:r>
          </w:p>
        </w:tc>
        <w:tc>
          <w:tcPr>
            <w:tcW w:w="2620" w:type="pct"/>
          </w:tcPr>
          <w:p w14:paraId="5ED0595B" w14:textId="77777777" w:rsidR="00481389" w:rsidRPr="002467D7" w:rsidRDefault="00481389" w:rsidP="002467D7">
            <w:pPr>
              <w:jc w:val="center"/>
              <w:rPr>
                <w:sz w:val="22"/>
              </w:rPr>
            </w:pPr>
            <w:r w:rsidRPr="002467D7">
              <w:rPr>
                <w:sz w:val="22"/>
              </w:rPr>
              <w:t>ir tuvāka 10%</w:t>
            </w:r>
          </w:p>
        </w:tc>
      </w:tr>
      <w:tr w:rsidR="00481389" w:rsidRPr="002467D7" w14:paraId="1F6C943F" w14:textId="77777777" w:rsidTr="00482564">
        <w:trPr>
          <w:jc w:val="center"/>
        </w:trPr>
        <w:tc>
          <w:tcPr>
            <w:tcW w:w="2380" w:type="pct"/>
          </w:tcPr>
          <w:p w14:paraId="0D5BAC67" w14:textId="77777777" w:rsidR="00481389" w:rsidRPr="002467D7" w:rsidRDefault="00481389" w:rsidP="002467D7">
            <w:pPr>
              <w:jc w:val="center"/>
              <w:rPr>
                <w:sz w:val="22"/>
              </w:rPr>
            </w:pPr>
            <w:r w:rsidRPr="002467D7">
              <w:rPr>
                <w:sz w:val="22"/>
              </w:rPr>
              <w:t>3</w:t>
            </w:r>
          </w:p>
        </w:tc>
        <w:tc>
          <w:tcPr>
            <w:tcW w:w="2620" w:type="pct"/>
          </w:tcPr>
          <w:p w14:paraId="10F1984E" w14:textId="77777777" w:rsidR="00481389" w:rsidRPr="002467D7" w:rsidRDefault="00481389" w:rsidP="002467D7">
            <w:pPr>
              <w:jc w:val="center"/>
              <w:rPr>
                <w:sz w:val="22"/>
              </w:rPr>
            </w:pPr>
            <w:r w:rsidRPr="002467D7">
              <w:rPr>
                <w:sz w:val="22"/>
              </w:rPr>
              <w:t>ir tuvāka 30%</w:t>
            </w:r>
          </w:p>
        </w:tc>
      </w:tr>
      <w:tr w:rsidR="00481389" w:rsidRPr="002467D7" w14:paraId="2C5B222F" w14:textId="77777777" w:rsidTr="00482564">
        <w:trPr>
          <w:jc w:val="center"/>
        </w:trPr>
        <w:tc>
          <w:tcPr>
            <w:tcW w:w="2380" w:type="pct"/>
          </w:tcPr>
          <w:p w14:paraId="237FF94C" w14:textId="77777777" w:rsidR="00481389" w:rsidRPr="002467D7" w:rsidRDefault="00481389" w:rsidP="002467D7">
            <w:pPr>
              <w:jc w:val="center"/>
              <w:rPr>
                <w:sz w:val="22"/>
              </w:rPr>
            </w:pPr>
            <w:r w:rsidRPr="002467D7">
              <w:rPr>
                <w:sz w:val="22"/>
              </w:rPr>
              <w:t>4</w:t>
            </w:r>
          </w:p>
        </w:tc>
        <w:tc>
          <w:tcPr>
            <w:tcW w:w="2620" w:type="pct"/>
          </w:tcPr>
          <w:p w14:paraId="7F8BAC3A" w14:textId="77777777" w:rsidR="00481389" w:rsidRPr="002467D7" w:rsidRDefault="00481389" w:rsidP="002467D7">
            <w:pPr>
              <w:jc w:val="center"/>
              <w:rPr>
                <w:sz w:val="22"/>
              </w:rPr>
            </w:pPr>
            <w:r w:rsidRPr="002467D7">
              <w:rPr>
                <w:sz w:val="22"/>
              </w:rPr>
              <w:t>ir tuvāka 60%</w:t>
            </w:r>
          </w:p>
        </w:tc>
      </w:tr>
      <w:tr w:rsidR="00481389" w:rsidRPr="002467D7" w14:paraId="0E2DD9DA" w14:textId="77777777" w:rsidTr="00482564">
        <w:trPr>
          <w:jc w:val="center"/>
        </w:trPr>
        <w:tc>
          <w:tcPr>
            <w:tcW w:w="2380" w:type="pct"/>
          </w:tcPr>
          <w:p w14:paraId="3F3B3B51" w14:textId="77777777" w:rsidR="00481389" w:rsidRPr="002467D7" w:rsidRDefault="00481389" w:rsidP="002467D7">
            <w:pPr>
              <w:jc w:val="center"/>
              <w:rPr>
                <w:sz w:val="22"/>
              </w:rPr>
            </w:pPr>
            <w:r w:rsidRPr="002467D7">
              <w:rPr>
                <w:sz w:val="22"/>
              </w:rPr>
              <w:t>5</w:t>
            </w:r>
          </w:p>
        </w:tc>
        <w:tc>
          <w:tcPr>
            <w:tcW w:w="2620" w:type="pct"/>
          </w:tcPr>
          <w:p w14:paraId="5E5F6EE3" w14:textId="77777777" w:rsidR="00481389" w:rsidRPr="002467D7" w:rsidRDefault="00481389" w:rsidP="002467D7">
            <w:pPr>
              <w:jc w:val="center"/>
              <w:rPr>
                <w:sz w:val="22"/>
              </w:rPr>
            </w:pPr>
            <w:r w:rsidRPr="002467D7">
              <w:rPr>
                <w:sz w:val="22"/>
              </w:rPr>
              <w:t>ir tuvāka 100%</w:t>
            </w:r>
          </w:p>
        </w:tc>
      </w:tr>
    </w:tbl>
    <w:p w14:paraId="100B3C71" w14:textId="178B6361"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lastRenderedPageBreak/>
        <w:t xml:space="preserve">Fiskālos riskus, kuru iestāšanās varbūtība ir tuva 100% un tiek novērtēta ar koeficientu 5, iekļauj </w:t>
      </w:r>
      <w:r w:rsidR="003235C5">
        <w:rPr>
          <w:rFonts w:ascii="Times New Roman" w:hAnsi="Times New Roman" w:cs="Times New Roman"/>
          <w:sz w:val="24"/>
          <w:szCs w:val="24"/>
        </w:rPr>
        <w:t>budžeta ietvarā</w:t>
      </w:r>
      <w:r w:rsidRPr="002467D7">
        <w:rPr>
          <w:rFonts w:ascii="Times New Roman" w:hAnsi="Times New Roman" w:cs="Times New Roman"/>
          <w:sz w:val="24"/>
          <w:szCs w:val="24"/>
        </w:rPr>
        <w:t xml:space="preserve"> kā plānojamus (paredzamus) pasākumus un, attiecīgi, tie netiek</w:t>
      </w:r>
      <w:r w:rsidR="00974C98" w:rsidRPr="002467D7">
        <w:rPr>
          <w:rFonts w:ascii="Times New Roman" w:hAnsi="Times New Roman" w:cs="Times New Roman"/>
          <w:sz w:val="24"/>
          <w:szCs w:val="24"/>
        </w:rPr>
        <w:t xml:space="preserve"> atspoguļoti deklarācijā.</w:t>
      </w:r>
    </w:p>
    <w:p w14:paraId="59DB61B6" w14:textId="07EDB3FF" w:rsidR="008E31F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Novērtējot fiskālos riskus pēc to būtības, FM fiskālo risku vadībā ir ieviesusi terminu „</w:t>
      </w:r>
      <w:r w:rsidRPr="0058124B">
        <w:rPr>
          <w:rFonts w:ascii="Times New Roman" w:hAnsi="Times New Roman" w:cs="Times New Roman"/>
          <w:i/>
          <w:iCs/>
          <w:sz w:val="24"/>
          <w:szCs w:val="24"/>
        </w:rPr>
        <w:t>simetrisks fiskālais risks</w:t>
      </w:r>
      <w:r w:rsidRPr="002467D7">
        <w:rPr>
          <w:rFonts w:ascii="Times New Roman" w:hAnsi="Times New Roman" w:cs="Times New Roman"/>
          <w:sz w:val="24"/>
          <w:szCs w:val="24"/>
        </w:rPr>
        <w:t>”. Tas nozīmē, ka pastāv vienāda varbūtība, ka konkrētā fiskālā rādītāja faktiskais rezultāts var būt gan lielāks, gan mazāks nekā tika iepriekš prognozēts un novirzes amplitūda abos virz</w:t>
      </w:r>
      <w:r w:rsidR="00974C98" w:rsidRPr="002467D7">
        <w:rPr>
          <w:rFonts w:ascii="Times New Roman" w:hAnsi="Times New Roman" w:cs="Times New Roman"/>
          <w:sz w:val="24"/>
          <w:szCs w:val="24"/>
        </w:rPr>
        <w:t xml:space="preserve">ienos ir līdzīga. </w:t>
      </w:r>
      <w:r w:rsidRPr="002467D7">
        <w:rPr>
          <w:rFonts w:ascii="Times New Roman" w:hAnsi="Times New Roman" w:cs="Times New Roman"/>
          <w:sz w:val="24"/>
          <w:szCs w:val="24"/>
        </w:rPr>
        <w:t xml:space="preserve">Simetriskajam riskam varbūtība, </w:t>
      </w:r>
      <w:r w:rsidR="008E31F7" w:rsidRPr="002467D7">
        <w:rPr>
          <w:rFonts w:ascii="Times New Roman" w:hAnsi="Times New Roman" w:cs="Times New Roman"/>
          <w:sz w:val="24"/>
          <w:szCs w:val="24"/>
        </w:rPr>
        <w:t>ka fiskālais rādītājs ietekmēs budžeta deficītu</w:t>
      </w:r>
      <w:r w:rsidR="008E31F7">
        <w:rPr>
          <w:rFonts w:ascii="Times New Roman" w:hAnsi="Times New Roman" w:cs="Times New Roman"/>
          <w:sz w:val="24"/>
          <w:szCs w:val="24"/>
        </w:rPr>
        <w:t>, to palielinot,</w:t>
      </w:r>
      <w:r w:rsidR="008E31F7" w:rsidRPr="002467D7">
        <w:rPr>
          <w:rFonts w:ascii="Times New Roman" w:hAnsi="Times New Roman" w:cs="Times New Roman"/>
          <w:sz w:val="24"/>
          <w:szCs w:val="24"/>
        </w:rPr>
        <w:t xml:space="preserve"> ir </w:t>
      </w:r>
      <w:r w:rsidR="002B5920">
        <w:rPr>
          <w:rFonts w:ascii="Times New Roman" w:hAnsi="Times New Roman" w:cs="Times New Roman"/>
          <w:sz w:val="24"/>
          <w:szCs w:val="24"/>
        </w:rPr>
        <w:t xml:space="preserve">tuvu </w:t>
      </w:r>
      <w:r w:rsidR="008E31F7" w:rsidRPr="002467D7">
        <w:rPr>
          <w:rFonts w:ascii="Times New Roman" w:hAnsi="Times New Roman" w:cs="Times New Roman"/>
          <w:sz w:val="24"/>
          <w:szCs w:val="24"/>
        </w:rPr>
        <w:t>50%</w:t>
      </w:r>
      <w:r w:rsidR="008E31F7">
        <w:rPr>
          <w:rFonts w:ascii="Times New Roman" w:hAnsi="Times New Roman" w:cs="Times New Roman"/>
          <w:sz w:val="24"/>
          <w:szCs w:val="24"/>
        </w:rPr>
        <w:t xml:space="preserve"> un varbūtība, ka fiskālais rādītājs ietekmēs budžeta deficītu, to samazinot, arī ir</w:t>
      </w:r>
      <w:r w:rsidR="002B5920">
        <w:rPr>
          <w:rFonts w:ascii="Times New Roman" w:hAnsi="Times New Roman" w:cs="Times New Roman"/>
          <w:sz w:val="24"/>
          <w:szCs w:val="24"/>
        </w:rPr>
        <w:t xml:space="preserve"> tuva</w:t>
      </w:r>
      <w:r w:rsidR="008E31F7">
        <w:rPr>
          <w:rFonts w:ascii="Times New Roman" w:hAnsi="Times New Roman" w:cs="Times New Roman"/>
          <w:sz w:val="24"/>
          <w:szCs w:val="24"/>
        </w:rPr>
        <w:t xml:space="preserve"> 50%</w:t>
      </w:r>
      <w:r w:rsidR="008E31F7" w:rsidRPr="002467D7">
        <w:rPr>
          <w:rFonts w:ascii="Times New Roman" w:hAnsi="Times New Roman" w:cs="Times New Roman"/>
          <w:sz w:val="24"/>
          <w:szCs w:val="24"/>
        </w:rPr>
        <w:t xml:space="preserve">. </w:t>
      </w:r>
      <w:r w:rsidR="008E31F7">
        <w:rPr>
          <w:rFonts w:ascii="Times New Roman" w:hAnsi="Times New Roman" w:cs="Times New Roman"/>
          <w:sz w:val="24"/>
          <w:szCs w:val="24"/>
        </w:rPr>
        <w:t>Tas nozīmē, ka simetriskajam</w:t>
      </w:r>
      <w:r w:rsidR="008E31F7" w:rsidRPr="002467D7">
        <w:rPr>
          <w:rFonts w:ascii="Times New Roman" w:hAnsi="Times New Roman" w:cs="Times New Roman"/>
          <w:sz w:val="24"/>
          <w:szCs w:val="24"/>
        </w:rPr>
        <w:t xml:space="preserve"> fiskāl</w:t>
      </w:r>
      <w:r w:rsidR="008E31F7">
        <w:rPr>
          <w:rFonts w:ascii="Times New Roman" w:hAnsi="Times New Roman" w:cs="Times New Roman"/>
          <w:sz w:val="24"/>
          <w:szCs w:val="24"/>
        </w:rPr>
        <w:t>ajam riskam</w:t>
      </w:r>
      <w:r w:rsidR="008E31F7" w:rsidRPr="002467D7">
        <w:rPr>
          <w:rFonts w:ascii="Times New Roman" w:hAnsi="Times New Roman" w:cs="Times New Roman"/>
          <w:sz w:val="24"/>
          <w:szCs w:val="24"/>
        </w:rPr>
        <w:t xml:space="preserve"> ietekme ilgtermiņā ir tuva nullei, jo novirzes ilgāk</w:t>
      </w:r>
      <w:r w:rsidR="008E31F7">
        <w:rPr>
          <w:rFonts w:ascii="Times New Roman" w:hAnsi="Times New Roman" w:cs="Times New Roman"/>
          <w:sz w:val="24"/>
          <w:szCs w:val="24"/>
        </w:rPr>
        <w:t>ā periodā kompensēs viena otru.</w:t>
      </w:r>
    </w:p>
    <w:p w14:paraId="03488022" w14:textId="2A5AC105"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Simetrisko fiskālo risku īpatnība ir tā, ka tie vienmēr iestājas, jo fiskālā rādītāja rezultāts nekad precīzi nesakrīt ar tā prognozēto vērtību. Tomēr, tā kā ilgākā laika periodā novirzes kompensē viena otru, tie </w:t>
      </w:r>
      <w:r w:rsidR="00214D26">
        <w:rPr>
          <w:rFonts w:ascii="Times New Roman" w:hAnsi="Times New Roman" w:cs="Times New Roman"/>
          <w:sz w:val="24"/>
          <w:szCs w:val="24"/>
        </w:rPr>
        <w:t>neapdraud</w:t>
      </w:r>
      <w:r w:rsidRPr="002467D7">
        <w:rPr>
          <w:rFonts w:ascii="Times New Roman" w:hAnsi="Times New Roman" w:cs="Times New Roman"/>
          <w:sz w:val="24"/>
          <w:szCs w:val="24"/>
        </w:rPr>
        <w:t xml:space="preserve"> publisko finanšu ilgtspēj</w:t>
      </w:r>
      <w:r w:rsidR="00214D26">
        <w:rPr>
          <w:rFonts w:ascii="Times New Roman" w:hAnsi="Times New Roman" w:cs="Times New Roman"/>
          <w:sz w:val="24"/>
          <w:szCs w:val="24"/>
        </w:rPr>
        <w:t>u</w:t>
      </w:r>
      <w:r w:rsidRPr="002467D7">
        <w:rPr>
          <w:rFonts w:ascii="Times New Roman" w:hAnsi="Times New Roman" w:cs="Times New Roman"/>
          <w:sz w:val="24"/>
          <w:szCs w:val="24"/>
        </w:rPr>
        <w:t xml:space="preserve"> un fiskālā nodrošinājuma rezervi šiem riskiem neveido.</w:t>
      </w:r>
    </w:p>
    <w:p w14:paraId="0F6845B0" w14:textId="68C1FF0F" w:rsidR="002F17DB" w:rsidRPr="002467D7" w:rsidRDefault="00590A19"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Šajā gadījumā būtisks jautājums ir par to, kā konstatēt riska simetriskumu. Vien</w:t>
      </w:r>
      <w:r w:rsidR="00564B4B">
        <w:rPr>
          <w:rFonts w:ascii="Times New Roman" w:hAnsi="Times New Roman" w:cs="Times New Roman"/>
          <w:sz w:val="24"/>
          <w:szCs w:val="24"/>
        </w:rPr>
        <w:t>a</w:t>
      </w:r>
      <w:r w:rsidRPr="002467D7">
        <w:rPr>
          <w:rFonts w:ascii="Times New Roman" w:hAnsi="Times New Roman" w:cs="Times New Roman"/>
          <w:sz w:val="24"/>
          <w:szCs w:val="24"/>
        </w:rPr>
        <w:t xml:space="preserve"> </w:t>
      </w:r>
      <w:r w:rsidR="00A05DC1">
        <w:rPr>
          <w:rFonts w:ascii="Times New Roman" w:hAnsi="Times New Roman" w:cs="Times New Roman"/>
          <w:sz w:val="24"/>
          <w:szCs w:val="24"/>
        </w:rPr>
        <w:t>metode</w:t>
      </w:r>
      <w:r w:rsidR="00564B4B" w:rsidRPr="002467D7">
        <w:rPr>
          <w:rFonts w:ascii="Times New Roman" w:hAnsi="Times New Roman" w:cs="Times New Roman"/>
          <w:sz w:val="24"/>
          <w:szCs w:val="24"/>
        </w:rPr>
        <w:t xml:space="preserve"> </w:t>
      </w:r>
      <w:r w:rsidRPr="002467D7">
        <w:rPr>
          <w:rFonts w:ascii="Times New Roman" w:hAnsi="Times New Roman" w:cs="Times New Roman"/>
          <w:sz w:val="24"/>
          <w:szCs w:val="24"/>
        </w:rPr>
        <w:t xml:space="preserve">ir analizēt pagātnes datus. Kopumā fiskālo risku vadības sistēma ir relatīvi jauna un nav uzkrāta pietiekama informācija par novirzēm no fiskālajiem rādītājiem iepriekšējos gados, lai šo metodi pilnvērtīgi izmantotu. Tajā pašā laikā par atsevišķiem fiskālajiem riskiem – valsts kapitālsabiedrību </w:t>
      </w:r>
      <w:r w:rsidR="002F17DB" w:rsidRPr="002467D7">
        <w:rPr>
          <w:rFonts w:ascii="Times New Roman" w:hAnsi="Times New Roman" w:cs="Times New Roman"/>
          <w:sz w:val="24"/>
          <w:szCs w:val="24"/>
        </w:rPr>
        <w:t>radītajiem riskiem</w:t>
      </w:r>
      <w:r w:rsidRPr="002467D7">
        <w:rPr>
          <w:rFonts w:ascii="Times New Roman" w:hAnsi="Times New Roman" w:cs="Times New Roman"/>
          <w:sz w:val="24"/>
          <w:szCs w:val="24"/>
        </w:rPr>
        <w:t>, kvantificējamajiem riskiem l</w:t>
      </w:r>
      <w:r w:rsidR="007A32E2" w:rsidRPr="002467D7">
        <w:rPr>
          <w:rFonts w:ascii="Times New Roman" w:hAnsi="Times New Roman" w:cs="Times New Roman"/>
          <w:sz w:val="24"/>
          <w:szCs w:val="24"/>
        </w:rPr>
        <w:t xml:space="preserve">abklājības nozarē un iemaksām </w:t>
      </w:r>
      <w:r w:rsidR="00841C95">
        <w:rPr>
          <w:rFonts w:ascii="Times New Roman" w:hAnsi="Times New Roman" w:cs="Times New Roman"/>
          <w:sz w:val="24"/>
          <w:szCs w:val="24"/>
        </w:rPr>
        <w:t xml:space="preserve">– </w:t>
      </w:r>
      <w:r w:rsidR="00AE19D7" w:rsidRPr="002467D7">
        <w:rPr>
          <w:rFonts w:ascii="Times New Roman" w:hAnsi="Times New Roman" w:cs="Times New Roman"/>
          <w:sz w:val="24"/>
          <w:szCs w:val="24"/>
        </w:rPr>
        <w:t>ES</w:t>
      </w:r>
      <w:r w:rsidR="007A32E2" w:rsidRPr="002467D7">
        <w:rPr>
          <w:rFonts w:ascii="Times New Roman" w:hAnsi="Times New Roman" w:cs="Times New Roman"/>
          <w:sz w:val="24"/>
          <w:szCs w:val="24"/>
        </w:rPr>
        <w:t xml:space="preserve"> </w:t>
      </w:r>
      <w:r w:rsidRPr="002467D7">
        <w:rPr>
          <w:rFonts w:ascii="Times New Roman" w:hAnsi="Times New Roman" w:cs="Times New Roman"/>
          <w:sz w:val="24"/>
          <w:szCs w:val="24"/>
        </w:rPr>
        <w:t>budžetā – uzkrātais datu apjoms ļauj secināt, ka periods, kurā jāvērtē simetriskuma principa piemērošana, ir atšķirīgs, tomēr tam ir jābūt tik garam, lai būtu iespējams veikt pilnu izdevumu cikla novērtējumu t.i. novērot gadījumus, kad faktiskie izdevumi gan pārsniedz plānoto apmēru, gan ir mazāki nekā plānots. Fiskālos riskus var ietekmēt tādi faktori kā ekonomikas cikliskā attīstība,</w:t>
      </w:r>
      <w:r w:rsidR="00682D5F" w:rsidRPr="002467D7">
        <w:rPr>
          <w:rFonts w:ascii="Times New Roman" w:hAnsi="Times New Roman" w:cs="Times New Roman"/>
          <w:sz w:val="24"/>
          <w:szCs w:val="24"/>
        </w:rPr>
        <w:t xml:space="preserve"> normatīvā regulējuma izmaiņas</w:t>
      </w:r>
      <w:r w:rsidRPr="002467D7">
        <w:rPr>
          <w:rFonts w:ascii="Times New Roman" w:hAnsi="Times New Roman" w:cs="Times New Roman"/>
          <w:sz w:val="24"/>
          <w:szCs w:val="24"/>
        </w:rPr>
        <w:t xml:space="preserve">, un savukārt šo faktoru ietekme uz fiskālo risku var būt atšķirīga. </w:t>
      </w:r>
    </w:p>
    <w:p w14:paraId="2E46204C" w14:textId="6AC3D330" w:rsidR="002F17DB" w:rsidRPr="002467D7" w:rsidRDefault="002F17DB"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Otra metode ir analizēt riska avotu. Ja riska avots ir process, kas, teorētiski </w:t>
      </w:r>
      <w:r w:rsidR="00E365CE">
        <w:rPr>
          <w:rFonts w:ascii="Times New Roman" w:hAnsi="Times New Roman" w:cs="Times New Roman"/>
          <w:sz w:val="24"/>
          <w:szCs w:val="24"/>
        </w:rPr>
        <w:t>pie</w:t>
      </w:r>
      <w:r w:rsidRPr="002467D7">
        <w:rPr>
          <w:rFonts w:ascii="Times New Roman" w:hAnsi="Times New Roman" w:cs="Times New Roman"/>
          <w:sz w:val="24"/>
          <w:szCs w:val="24"/>
        </w:rPr>
        <w:t>ņemot, ģenerē simetriskas novirzes, deklarācijā risks tiek atzīts par simetrisku risku. Tomēr pastāv iespēja, ka, lai arī teorētiski novirzēm būtu jābūt simetriskām, praksē tas tā nav, jo procesu ietekmē neidentificēti faktori, piemēram, sabiedrības uzvedības maiņa, kas prognozēs netiek pienācīgi ņemtas vērā.</w:t>
      </w:r>
    </w:p>
    <w:p w14:paraId="5351C64B" w14:textId="71321E33" w:rsidR="008C07FB" w:rsidRPr="002467D7" w:rsidRDefault="002F17DB" w:rsidP="008C0513">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Līdz ar to periodam, kurā būtu nepieciešams vērtēt fiskālā riska simetriskumu ir jābūt vismaz vidējam termiņam (3</w:t>
      </w:r>
      <w:r w:rsidR="00711C13" w:rsidRPr="002467D7">
        <w:rPr>
          <w:rFonts w:ascii="Times New Roman" w:hAnsi="Times New Roman" w:cs="Times New Roman"/>
          <w:color w:val="000000"/>
          <w:sz w:val="24"/>
          <w:szCs w:val="24"/>
        </w:rPr>
        <w:t>–</w:t>
      </w:r>
      <w:r w:rsidRPr="002467D7">
        <w:rPr>
          <w:rFonts w:ascii="Times New Roman" w:hAnsi="Times New Roman" w:cs="Times New Roman"/>
          <w:sz w:val="24"/>
          <w:szCs w:val="24"/>
        </w:rPr>
        <w:t>5 gadi), savukārt</w:t>
      </w:r>
      <w:r w:rsidR="00A3208D">
        <w:rPr>
          <w:rFonts w:ascii="Times New Roman" w:hAnsi="Times New Roman" w:cs="Times New Roman"/>
          <w:sz w:val="24"/>
          <w:szCs w:val="24"/>
        </w:rPr>
        <w:t>,</w:t>
      </w:r>
      <w:r w:rsidRPr="002467D7">
        <w:rPr>
          <w:rFonts w:ascii="Times New Roman" w:hAnsi="Times New Roman" w:cs="Times New Roman"/>
          <w:sz w:val="24"/>
          <w:szCs w:val="24"/>
        </w:rPr>
        <w:t xml:space="preserve"> ja attiecīgajā periodā nav iespējams praktiski konstatēt simetriska fiskālā riska pazīmes, tad</w:t>
      </w:r>
      <w:r w:rsidR="00953696" w:rsidRPr="002467D7">
        <w:rPr>
          <w:rFonts w:ascii="Times New Roman" w:hAnsi="Times New Roman" w:cs="Times New Roman"/>
          <w:sz w:val="24"/>
          <w:szCs w:val="24"/>
        </w:rPr>
        <w:t xml:space="preserve"> novērojumu periods jāpagarina </w:t>
      </w:r>
      <w:r w:rsidRPr="002467D7">
        <w:rPr>
          <w:rFonts w:ascii="Times New Roman" w:hAnsi="Times New Roman" w:cs="Times New Roman"/>
          <w:sz w:val="24"/>
          <w:szCs w:val="24"/>
        </w:rPr>
        <w:t xml:space="preserve">līdz 7 gadiem, ko varētu vērtēt kā ilgtermiņu. </w:t>
      </w:r>
    </w:p>
    <w:p w14:paraId="03311E6A" w14:textId="77777777" w:rsidR="00953696" w:rsidRPr="002467D7" w:rsidRDefault="00953696">
      <w:pPr>
        <w:rPr>
          <w:rFonts w:ascii="Times New Roman" w:hAnsi="Times New Roman" w:cs="Times New Roman"/>
          <w:sz w:val="24"/>
          <w:szCs w:val="24"/>
        </w:rPr>
      </w:pPr>
      <w:r w:rsidRPr="002467D7">
        <w:rPr>
          <w:rFonts w:ascii="Times New Roman" w:hAnsi="Times New Roman" w:cs="Times New Roman"/>
          <w:sz w:val="24"/>
          <w:szCs w:val="24"/>
        </w:rPr>
        <w:br w:type="page"/>
      </w:r>
    </w:p>
    <w:p w14:paraId="0E6882F5" w14:textId="77777777" w:rsidR="008F58C9" w:rsidRPr="00821D16" w:rsidRDefault="008F58C9" w:rsidP="002467D7">
      <w:pPr>
        <w:pStyle w:val="Heading1"/>
        <w:ind w:left="426"/>
        <w:jc w:val="center"/>
        <w:rPr>
          <w:rFonts w:ascii="Times New Roman" w:hAnsi="Times New Roman" w:cs="Times New Roman"/>
          <w:sz w:val="32"/>
        </w:rPr>
      </w:pPr>
      <w:bookmarkStart w:id="19" w:name="_Toc536779059"/>
      <w:bookmarkStart w:id="20" w:name="_Toc142388026"/>
      <w:r w:rsidRPr="00821D16">
        <w:rPr>
          <w:rFonts w:ascii="Times New Roman" w:hAnsi="Times New Roman" w:cs="Times New Roman"/>
          <w:sz w:val="32"/>
        </w:rPr>
        <w:lastRenderedPageBreak/>
        <w:t>Kvantificējamie fiskālie riski</w:t>
      </w:r>
      <w:bookmarkEnd w:id="19"/>
      <w:bookmarkEnd w:id="20"/>
    </w:p>
    <w:p w14:paraId="5A749831" w14:textId="45932D39" w:rsidR="00822D84" w:rsidRPr="00821D16"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1" w:name="_Toc405371076"/>
      <w:bookmarkStart w:id="22" w:name="_Toc536779060"/>
      <w:bookmarkStart w:id="23" w:name="_Toc142388027"/>
      <w:r w:rsidRPr="00821D16">
        <w:rPr>
          <w:rFonts w:ascii="Times New Roman" w:hAnsi="Times New Roman" w:cs="Times New Roman"/>
          <w:color w:val="auto"/>
          <w:sz w:val="24"/>
          <w:szCs w:val="24"/>
        </w:rPr>
        <w:t xml:space="preserve">Valsts </w:t>
      </w:r>
      <w:r w:rsidR="00393298" w:rsidRPr="00821D16">
        <w:rPr>
          <w:rFonts w:ascii="Times New Roman" w:hAnsi="Times New Roman" w:cs="Times New Roman"/>
          <w:color w:val="auto"/>
          <w:sz w:val="24"/>
          <w:szCs w:val="24"/>
        </w:rPr>
        <w:t xml:space="preserve">un pašvaldību </w:t>
      </w:r>
      <w:r w:rsidRPr="00821D16">
        <w:rPr>
          <w:rFonts w:ascii="Times New Roman" w:hAnsi="Times New Roman" w:cs="Times New Roman"/>
          <w:color w:val="auto"/>
          <w:sz w:val="24"/>
          <w:szCs w:val="24"/>
        </w:rPr>
        <w:t>galvojumi</w:t>
      </w:r>
      <w:bookmarkEnd w:id="21"/>
      <w:bookmarkEnd w:id="22"/>
      <w:bookmarkEnd w:id="23"/>
    </w:p>
    <w:p w14:paraId="0FFB1AC1" w14:textId="70B21373" w:rsidR="00821D16" w:rsidRPr="00821D16" w:rsidRDefault="00821D16" w:rsidP="00821D16">
      <w:pPr>
        <w:spacing w:after="0" w:line="240" w:lineRule="auto"/>
        <w:ind w:firstLine="709"/>
        <w:jc w:val="both"/>
        <w:rPr>
          <w:rFonts w:ascii="Times New Roman" w:eastAsia="Calibri" w:hAnsi="Times New Roman"/>
          <w:sz w:val="24"/>
          <w:szCs w:val="24"/>
        </w:rPr>
      </w:pPr>
      <w:r w:rsidRPr="0020713B">
        <w:rPr>
          <w:rFonts w:ascii="Times New Roman" w:eastAsia="Calibri" w:hAnsi="Times New Roman"/>
          <w:b/>
          <w:bCs/>
          <w:sz w:val="24"/>
          <w:szCs w:val="24"/>
        </w:rPr>
        <w:t>Valsts galvojumi</w:t>
      </w:r>
      <w:r w:rsidRPr="00821D16">
        <w:rPr>
          <w:rFonts w:ascii="Times New Roman" w:eastAsia="Calibri" w:hAnsi="Times New Roman"/>
          <w:sz w:val="24"/>
          <w:szCs w:val="24"/>
        </w:rPr>
        <w:t xml:space="preserve"> saskaņā ar fiskālo risku avotu klasifikāciju ir iespējamās saistības, kas izriet no </w:t>
      </w:r>
      <w:r w:rsidR="00A3208D">
        <w:rPr>
          <w:rFonts w:ascii="Times New Roman" w:eastAsia="Calibri" w:hAnsi="Times New Roman"/>
          <w:sz w:val="24"/>
          <w:szCs w:val="24"/>
        </w:rPr>
        <w:t>tiesību aktiem</w:t>
      </w:r>
      <w:r w:rsidR="00A3208D"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vai līgumiem. </w:t>
      </w:r>
      <w:bookmarkStart w:id="24" w:name="_Hlk125245088"/>
      <w:r w:rsidRPr="00821D16">
        <w:rPr>
          <w:rFonts w:ascii="Times New Roman" w:eastAsia="Calibri" w:hAnsi="Times New Roman"/>
          <w:sz w:val="24"/>
          <w:szCs w:val="24"/>
        </w:rPr>
        <w:t xml:space="preserve">Valsts galvojumu fiskālais risks </w:t>
      </w:r>
      <w:bookmarkEnd w:id="24"/>
      <w:r w:rsidRPr="00821D16">
        <w:rPr>
          <w:rFonts w:ascii="Times New Roman" w:eastAsia="Calibri" w:hAnsi="Times New Roman"/>
          <w:sz w:val="24"/>
          <w:szCs w:val="24"/>
        </w:rPr>
        <w:t>(</w:t>
      </w:r>
      <w:r w:rsidR="00841C95">
        <w:rPr>
          <w:rFonts w:ascii="Times New Roman" w:eastAsia="Calibri" w:hAnsi="Times New Roman"/>
          <w:sz w:val="24"/>
          <w:szCs w:val="24"/>
        </w:rPr>
        <w:t xml:space="preserve">šīs deklarācijas </w:t>
      </w:r>
      <w:proofErr w:type="spellStart"/>
      <w:r w:rsidR="00841C95">
        <w:rPr>
          <w:rFonts w:ascii="Times New Roman" w:eastAsia="Calibri" w:hAnsi="Times New Roman"/>
          <w:sz w:val="24"/>
          <w:szCs w:val="24"/>
        </w:rPr>
        <w:t>apakšsadaļas</w:t>
      </w:r>
      <w:proofErr w:type="spellEnd"/>
      <w:r w:rsidR="00841C95">
        <w:rPr>
          <w:rFonts w:ascii="Times New Roman" w:eastAsia="Calibri" w:hAnsi="Times New Roman"/>
          <w:sz w:val="24"/>
          <w:szCs w:val="24"/>
        </w:rPr>
        <w:t xml:space="preserve"> ietvaros </w:t>
      </w:r>
      <w:r w:rsidRPr="00821D16">
        <w:rPr>
          <w:rFonts w:ascii="Times New Roman" w:eastAsia="Calibri" w:hAnsi="Times New Roman"/>
          <w:sz w:val="24"/>
          <w:szCs w:val="24"/>
        </w:rPr>
        <w:t>turpmāk – galvojumu risks</w:t>
      </w:r>
      <w:r w:rsidR="00841C95">
        <w:rPr>
          <w:rFonts w:ascii="Times New Roman" w:eastAsia="Calibri" w:hAnsi="Times New Roman"/>
          <w:sz w:val="24"/>
          <w:szCs w:val="24"/>
        </w:rPr>
        <w:t>)</w:t>
      </w:r>
      <w:r w:rsidRPr="00821D16">
        <w:rPr>
          <w:rFonts w:ascii="Times New Roman" w:eastAsia="Calibri" w:hAnsi="Times New Roman"/>
          <w:sz w:val="24"/>
          <w:szCs w:val="24"/>
        </w:rPr>
        <w:t xml:space="preserve"> ir nenoteiktības ietekme uz valsts galvoto aizdevumu saņēmēju (</w:t>
      </w:r>
      <w:r w:rsidR="00841C95">
        <w:rPr>
          <w:rFonts w:ascii="Times New Roman" w:eastAsia="Calibri" w:hAnsi="Times New Roman"/>
          <w:sz w:val="24"/>
          <w:szCs w:val="24"/>
        </w:rPr>
        <w:t xml:space="preserve">šīs deklarācijas </w:t>
      </w:r>
      <w:proofErr w:type="spellStart"/>
      <w:r w:rsidR="00841C95">
        <w:rPr>
          <w:rFonts w:ascii="Times New Roman" w:eastAsia="Calibri" w:hAnsi="Times New Roman"/>
          <w:sz w:val="24"/>
          <w:szCs w:val="24"/>
        </w:rPr>
        <w:t>apakšsadaļas</w:t>
      </w:r>
      <w:proofErr w:type="spellEnd"/>
      <w:r w:rsidR="00841C95">
        <w:rPr>
          <w:rFonts w:ascii="Times New Roman" w:eastAsia="Calibri" w:hAnsi="Times New Roman"/>
          <w:sz w:val="24"/>
          <w:szCs w:val="24"/>
        </w:rPr>
        <w:t xml:space="preserve"> ie</w:t>
      </w:r>
      <w:r w:rsidR="00136E9A">
        <w:rPr>
          <w:rFonts w:ascii="Times New Roman" w:eastAsia="Calibri" w:hAnsi="Times New Roman"/>
          <w:sz w:val="24"/>
          <w:szCs w:val="24"/>
        </w:rPr>
        <w:t>t</w:t>
      </w:r>
      <w:r w:rsidR="00841C95">
        <w:rPr>
          <w:rFonts w:ascii="Times New Roman" w:eastAsia="Calibri" w:hAnsi="Times New Roman"/>
          <w:sz w:val="24"/>
          <w:szCs w:val="24"/>
        </w:rPr>
        <w:t xml:space="preserve">varos turpmāk </w:t>
      </w:r>
      <w:r w:rsidRPr="00821D16">
        <w:rPr>
          <w:rFonts w:ascii="Times New Roman" w:eastAsia="Calibri" w:hAnsi="Times New Roman"/>
          <w:sz w:val="24"/>
          <w:szCs w:val="24"/>
        </w:rPr>
        <w:t>– galvojumu saņēmēj</w:t>
      </w:r>
      <w:r w:rsidR="00841C95">
        <w:rPr>
          <w:rFonts w:ascii="Times New Roman" w:eastAsia="Calibri" w:hAnsi="Times New Roman"/>
          <w:sz w:val="24"/>
          <w:szCs w:val="24"/>
        </w:rPr>
        <w:t>s</w:t>
      </w:r>
      <w:r w:rsidRPr="00821D16">
        <w:rPr>
          <w:rFonts w:ascii="Times New Roman" w:eastAsia="Calibri" w:hAnsi="Times New Roman"/>
          <w:sz w:val="24"/>
          <w:szCs w:val="24"/>
        </w:rPr>
        <w:t xml:space="preserve">) spēju segt savas saistības savlaicīgi un pilnā </w:t>
      </w:r>
      <w:r w:rsidRPr="00103B4E">
        <w:rPr>
          <w:rFonts w:ascii="Times New Roman" w:eastAsia="Calibri" w:hAnsi="Times New Roman"/>
          <w:sz w:val="24"/>
          <w:szCs w:val="24"/>
        </w:rPr>
        <w:t>apmērā</w:t>
      </w:r>
      <w:r>
        <w:rPr>
          <w:rStyle w:val="FootnoteReference"/>
          <w:rFonts w:ascii="Times New Roman" w:eastAsia="Calibri" w:hAnsi="Times New Roman" w:cs="Times New Roman"/>
          <w:sz w:val="24"/>
          <w:szCs w:val="24"/>
        </w:rPr>
        <w:footnoteReference w:id="4"/>
      </w:r>
      <w:r w:rsidRPr="00821D16">
        <w:rPr>
          <w:rFonts w:ascii="Times New Roman" w:eastAsia="Calibri" w:hAnsi="Times New Roman"/>
          <w:sz w:val="24"/>
          <w:szCs w:val="24"/>
        </w:rPr>
        <w:t xml:space="preserve">, kā rezultātā valstij var rasties pienākums segt saistības pret attiecīgo </w:t>
      </w:r>
      <w:r w:rsidR="003C7117">
        <w:rPr>
          <w:rFonts w:ascii="Times New Roman" w:eastAsia="Calibri" w:hAnsi="Times New Roman"/>
          <w:sz w:val="24"/>
          <w:szCs w:val="24"/>
        </w:rPr>
        <w:t>aizdevēju</w:t>
      </w:r>
      <w:r w:rsidRPr="00821D16">
        <w:rPr>
          <w:rFonts w:ascii="Times New Roman" w:eastAsia="Calibri" w:hAnsi="Times New Roman"/>
          <w:sz w:val="24"/>
          <w:szCs w:val="24"/>
        </w:rPr>
        <w:t xml:space="preserve"> galvojuma saņēmēja vietā. Saskaņā ar MK noteikumiem Nr.229 galvojumu riska fiskālo ietekmi katrā gadā aprēķina kā katra valsts galvotā aizdevuma ārpus vispārējās valdības sektora klasificētām iestādēm attiecīgajā gadā saskaņā ar aizdevuma līguma grafiku plānoto maksājumu kopsummu. Savukārt fiskālā nodrošinājuma rezervi valsts galvojumiem aprēķina, reizinot galvojumu risku fiskālās ietekmes vērtības ar galvojumu risku iestāšanās varbūtībām.</w:t>
      </w:r>
    </w:p>
    <w:p w14:paraId="258D4600" w14:textId="0281E1D7" w:rsidR="003D0F97" w:rsidRPr="002D428D" w:rsidRDefault="00B53CC4" w:rsidP="00D15612">
      <w:pPr>
        <w:pStyle w:val="NormalWeb"/>
        <w:spacing w:before="0" w:beforeAutospacing="0" w:after="0" w:afterAutospacing="0"/>
        <w:ind w:firstLine="709"/>
        <w:jc w:val="both"/>
        <w:textAlignment w:val="baseline"/>
      </w:pPr>
      <w:r w:rsidRPr="0043659D">
        <w:t xml:space="preserve">Valsts galvoto aizdevumu atlikums </w:t>
      </w:r>
      <w:r w:rsidR="00D15612" w:rsidRPr="0043659D">
        <w:t>2023.gada 1.jūnijā bija 319,1</w:t>
      </w:r>
      <w:r w:rsidR="007A44C4" w:rsidRPr="0043659D">
        <w:t xml:space="preserve"> </w:t>
      </w:r>
      <w:r w:rsidR="00D15612" w:rsidRPr="0043659D">
        <w:t xml:space="preserve">milj. </w:t>
      </w:r>
      <w:proofErr w:type="spellStart"/>
      <w:r w:rsidR="00D15612" w:rsidRPr="0043659D">
        <w:rPr>
          <w:i/>
          <w:iCs/>
        </w:rPr>
        <w:t>euro</w:t>
      </w:r>
      <w:proofErr w:type="spellEnd"/>
      <w:r w:rsidR="00D15612" w:rsidRPr="0043659D">
        <w:rPr>
          <w:i/>
          <w:iCs/>
        </w:rPr>
        <w:t xml:space="preserve">, </w:t>
      </w:r>
      <w:r w:rsidR="00D15612" w:rsidRPr="0043659D">
        <w:t xml:space="preserve">savukārt 2022.gada 31.decembrī tas bija 323,5 milj. </w:t>
      </w:r>
      <w:proofErr w:type="spellStart"/>
      <w:r w:rsidR="00D15612" w:rsidRPr="0043659D">
        <w:t>euro</w:t>
      </w:r>
      <w:proofErr w:type="spellEnd"/>
      <w:r w:rsidR="00D15612" w:rsidRPr="0043659D">
        <w:t xml:space="preserve">, samazinoties par 4,5 milj. </w:t>
      </w:r>
      <w:proofErr w:type="spellStart"/>
      <w:r w:rsidR="00D15612" w:rsidRPr="0043659D">
        <w:t>euro</w:t>
      </w:r>
      <w:proofErr w:type="spellEnd"/>
      <w:r w:rsidR="00D15612" w:rsidRPr="0043659D">
        <w:t xml:space="preserve"> uz atmaksāto pamatsummu rēķina.</w:t>
      </w:r>
      <w:r w:rsidR="00D15612" w:rsidRPr="0043659D">
        <w:rPr>
          <w:rStyle w:val="FootnoteReference"/>
          <w:rFonts w:eastAsia="Calibri"/>
        </w:rPr>
        <w:footnoteReference w:id="5"/>
      </w:r>
    </w:p>
    <w:p w14:paraId="7B486FE6" w14:textId="51346712" w:rsidR="00546447" w:rsidRDefault="00546447" w:rsidP="00546447">
      <w:pPr>
        <w:pStyle w:val="NormalWeb"/>
        <w:spacing w:before="0" w:beforeAutospacing="0" w:after="0" w:afterAutospacing="0"/>
        <w:ind w:firstLine="709"/>
        <w:jc w:val="both"/>
        <w:textAlignment w:val="baseline"/>
        <w:rPr>
          <w:rFonts w:eastAsia="Calibri"/>
        </w:rPr>
      </w:pPr>
      <w:r>
        <w:rPr>
          <w:rFonts w:eastAsia="Calibri"/>
        </w:rPr>
        <w:t xml:space="preserve">2022.gadā Latvijas Republika ir izsniegusi galvojumus Starptautiskās rekonstrukcijas un attīstības bankai un EK atbalstam Ukrainai. </w:t>
      </w:r>
    </w:p>
    <w:p w14:paraId="24F9C524" w14:textId="77777777" w:rsidR="00546447" w:rsidRDefault="00546447" w:rsidP="00546447">
      <w:pPr>
        <w:pStyle w:val="NormalWeb"/>
        <w:spacing w:before="0" w:beforeAutospacing="0" w:after="0" w:afterAutospacing="0"/>
        <w:ind w:firstLine="709"/>
        <w:jc w:val="both"/>
        <w:textAlignment w:val="baseline"/>
        <w:rPr>
          <w:rFonts w:eastAsia="Calibri"/>
        </w:rPr>
      </w:pPr>
      <w:r>
        <w:rPr>
          <w:rFonts w:eastAsia="Calibri"/>
        </w:rPr>
        <w:t>S</w:t>
      </w:r>
      <w:r w:rsidRPr="003760C9">
        <w:rPr>
          <w:rFonts w:eastAsia="Calibri"/>
        </w:rPr>
        <w:t>askaņā ar “</w:t>
      </w:r>
      <w:r w:rsidRPr="0058124B">
        <w:rPr>
          <w:rFonts w:eastAsia="Calibri"/>
          <w:i/>
          <w:iCs/>
        </w:rPr>
        <w:t>Ukrainas civiliedzīvotāju atbalsta likuma</w:t>
      </w:r>
      <w:r w:rsidRPr="003760C9">
        <w:rPr>
          <w:rFonts w:eastAsia="Calibri"/>
        </w:rPr>
        <w:t>” 8.</w:t>
      </w:r>
      <w:r w:rsidRPr="00622AAD">
        <w:rPr>
          <w:rFonts w:eastAsia="Calibri"/>
          <w:vertAlign w:val="superscript"/>
        </w:rPr>
        <w:t>2</w:t>
      </w:r>
      <w:r w:rsidRPr="003760C9">
        <w:rPr>
          <w:rFonts w:eastAsia="Calibri"/>
        </w:rPr>
        <w:t xml:space="preserve"> pantā noteikto, Latvijas Republika 2022.gada 11.jūlijā parakstīja valsts galvojuma līgumu ar Starptautiskās rekonstrukcijas un attīstības banku (Pasaules Bankas grupas ietvaros) par aizdevumu Ukrainai 10,0 milj. </w:t>
      </w:r>
      <w:proofErr w:type="spellStart"/>
      <w:r w:rsidRPr="0058124B">
        <w:rPr>
          <w:rFonts w:eastAsia="Calibri"/>
          <w:i/>
          <w:iCs/>
        </w:rPr>
        <w:t>euro</w:t>
      </w:r>
      <w:proofErr w:type="spellEnd"/>
      <w:r w:rsidRPr="003760C9">
        <w:rPr>
          <w:rFonts w:eastAsia="Calibri"/>
        </w:rPr>
        <w:t xml:space="preserve"> un aizdevuma procentiem “Publisko izdevumu administratīvās kapacitātes stiprināšanai Ukrainā” projekta ietvaros. Aizdevuma atmaksas galējais termiņš plānots 2040.gada 15.augustā.</w:t>
      </w:r>
    </w:p>
    <w:p w14:paraId="1D0CAFDA" w14:textId="1A718530" w:rsidR="00546447" w:rsidRDefault="00546447" w:rsidP="00546447">
      <w:pPr>
        <w:pStyle w:val="NormalWeb"/>
        <w:spacing w:before="0" w:beforeAutospacing="0" w:after="0" w:afterAutospacing="0"/>
        <w:ind w:firstLine="709"/>
        <w:jc w:val="both"/>
        <w:textAlignment w:val="baseline"/>
        <w:rPr>
          <w:rFonts w:eastAsia="Calibri"/>
        </w:rPr>
      </w:pPr>
      <w:r>
        <w:rPr>
          <w:rFonts w:eastAsia="Calibri"/>
        </w:rPr>
        <w:t xml:space="preserve">Savukārt </w:t>
      </w:r>
      <w:r w:rsidRPr="00F70672">
        <w:rPr>
          <w:rFonts w:eastAsia="Calibri"/>
        </w:rPr>
        <w:t>2022.gada</w:t>
      </w:r>
      <w:r w:rsidRPr="00215E89">
        <w:rPr>
          <w:rFonts w:eastAsia="Calibri"/>
        </w:rPr>
        <w:t xml:space="preserve"> 1.decembrī </w:t>
      </w:r>
      <w:r>
        <w:rPr>
          <w:rFonts w:eastAsia="Calibri"/>
        </w:rPr>
        <w:t>Latvijas Republika</w:t>
      </w:r>
      <w:r w:rsidRPr="00215E89">
        <w:rPr>
          <w:rFonts w:eastAsia="Calibri"/>
        </w:rPr>
        <w:t xml:space="preserve"> parakstīja garantijas nolīgumu (</w:t>
      </w:r>
      <w:r w:rsidR="000634D7">
        <w:rPr>
          <w:rFonts w:eastAsia="Calibri"/>
        </w:rPr>
        <w:t xml:space="preserve">šīs deklarācijas </w:t>
      </w:r>
      <w:proofErr w:type="spellStart"/>
      <w:r w:rsidR="000634D7">
        <w:rPr>
          <w:rFonts w:eastAsia="Calibri"/>
        </w:rPr>
        <w:t>apakšsadaļas</w:t>
      </w:r>
      <w:proofErr w:type="spellEnd"/>
      <w:r w:rsidR="000634D7">
        <w:rPr>
          <w:rFonts w:eastAsia="Calibri"/>
        </w:rPr>
        <w:t xml:space="preserve"> ietvaros </w:t>
      </w:r>
      <w:r w:rsidRPr="00215E89">
        <w:rPr>
          <w:rFonts w:eastAsia="Calibri"/>
        </w:rPr>
        <w:t>turpmāk</w:t>
      </w:r>
      <w:r w:rsidR="000634D7">
        <w:rPr>
          <w:rFonts w:eastAsia="Calibri"/>
        </w:rPr>
        <w:t xml:space="preserve"> – </w:t>
      </w:r>
      <w:r w:rsidRPr="00215E89">
        <w:rPr>
          <w:rFonts w:eastAsia="Calibri"/>
        </w:rPr>
        <w:t xml:space="preserve">Nolīgums) </w:t>
      </w:r>
      <w:r>
        <w:rPr>
          <w:rFonts w:eastAsia="Calibri"/>
        </w:rPr>
        <w:t>ar</w:t>
      </w:r>
      <w:r w:rsidRPr="00215E89">
        <w:rPr>
          <w:rFonts w:eastAsia="Calibri"/>
        </w:rPr>
        <w:t xml:space="preserve"> </w:t>
      </w:r>
      <w:r>
        <w:rPr>
          <w:rFonts w:eastAsia="Calibri"/>
        </w:rPr>
        <w:t>EK</w:t>
      </w:r>
      <w:r w:rsidRPr="00215E89">
        <w:rPr>
          <w:rFonts w:eastAsia="Calibri"/>
        </w:rPr>
        <w:t>, pamatojoties uz</w:t>
      </w:r>
      <w:r w:rsidRPr="00BB7C65">
        <w:t xml:space="preserve"> lēmumu par </w:t>
      </w:r>
      <w:r w:rsidRPr="002E5B89">
        <w:t xml:space="preserve">ārkārtas </w:t>
      </w:r>
      <w:proofErr w:type="spellStart"/>
      <w:r w:rsidRPr="002E5B89">
        <w:t>makrofinansiālo</w:t>
      </w:r>
      <w:proofErr w:type="spellEnd"/>
      <w:r w:rsidRPr="002E5B89">
        <w:t xml:space="preserve"> palīdzību Ukrainai</w:t>
      </w:r>
      <w:r w:rsidRPr="00F70672">
        <w:t>. Nolīgums paredz līdz 2058.gada 31.decembrim Latvijas Republika</w:t>
      </w:r>
      <w:r>
        <w:t>i</w:t>
      </w:r>
      <w:r w:rsidRPr="002E5B89">
        <w:t xml:space="preserve"> garant</w:t>
      </w:r>
      <w:r>
        <w:t>ēt</w:t>
      </w:r>
      <w:r w:rsidRPr="00BB7C65">
        <w:t xml:space="preserve"> </w:t>
      </w:r>
      <w:r>
        <w:t xml:space="preserve">par aizdevuma pamatsummu </w:t>
      </w:r>
      <w:r w:rsidRPr="00BB7C65">
        <w:t>8</w:t>
      </w:r>
      <w:r>
        <w:t>,1 milj. </w:t>
      </w:r>
      <w:proofErr w:type="spellStart"/>
      <w:r w:rsidRPr="00BB7C65">
        <w:rPr>
          <w:i/>
        </w:rPr>
        <w:t>e</w:t>
      </w:r>
      <w:r w:rsidRPr="002E5B89">
        <w:rPr>
          <w:i/>
        </w:rPr>
        <w:t>uro</w:t>
      </w:r>
      <w:proofErr w:type="spellEnd"/>
      <w:r>
        <w:rPr>
          <w:i/>
        </w:rPr>
        <w:t xml:space="preserve"> </w:t>
      </w:r>
      <w:r w:rsidRPr="00215E89">
        <w:t>apmērā</w:t>
      </w:r>
      <w:r w:rsidR="002534DD">
        <w:t>.</w:t>
      </w:r>
    </w:p>
    <w:p w14:paraId="213FE723" w14:textId="5D689FA1" w:rsidR="00C85A84" w:rsidRPr="005F6D70" w:rsidRDefault="00C85A84" w:rsidP="00C85A84">
      <w:pPr>
        <w:pStyle w:val="NormalWeb"/>
        <w:spacing w:before="0" w:beforeAutospacing="0" w:after="0" w:afterAutospacing="0"/>
        <w:ind w:firstLine="709"/>
        <w:jc w:val="both"/>
        <w:textAlignment w:val="baseline"/>
        <w:rPr>
          <w:rFonts w:eastAsia="Calibri"/>
        </w:rPr>
      </w:pPr>
      <w:bookmarkStart w:id="25" w:name="_Hlk121870969"/>
      <w:r w:rsidRPr="00620C70">
        <w:rPr>
          <w:rFonts w:eastAsia="Calibri"/>
        </w:rPr>
        <w:t>S</w:t>
      </w:r>
      <w:r w:rsidRPr="00C7451C">
        <w:t>tarptautiskās reitingu aģentūras ir noteikušas Ukrainas kredītreitingu līmenī, kas norāda uz būtiskiem riskiem turpmākai saistību izpildei.</w:t>
      </w:r>
      <w:r w:rsidRPr="00620C70">
        <w:t xml:space="preserve"> Vienlaicīgi jāatzīmē, ka starptautiskā reitingu aģentūra </w:t>
      </w:r>
      <w:proofErr w:type="spellStart"/>
      <w:r w:rsidRPr="00620C70">
        <w:t>Moody’s</w:t>
      </w:r>
      <w:proofErr w:type="spellEnd"/>
      <w:r w:rsidRPr="00620C70">
        <w:t xml:space="preserve"> Investors </w:t>
      </w:r>
      <w:proofErr w:type="spellStart"/>
      <w:r w:rsidRPr="00620C70">
        <w:t>Service</w:t>
      </w:r>
      <w:proofErr w:type="spellEnd"/>
      <w:r w:rsidRPr="00620C70">
        <w:t xml:space="preserve"> ir pazeminājusi Ukrainas parāda reitingu no Caa3 uz </w:t>
      </w:r>
      <w:proofErr w:type="spellStart"/>
      <w:r w:rsidRPr="00620C70">
        <w:t>Ca</w:t>
      </w:r>
      <w:proofErr w:type="spellEnd"/>
      <w:r w:rsidRPr="00620C70">
        <w:t xml:space="preserve"> – reitingu, kas liecina par gandrīz </w:t>
      </w:r>
      <w:proofErr w:type="spellStart"/>
      <w:r w:rsidRPr="00620C70">
        <w:t>defolta</w:t>
      </w:r>
      <w:proofErr w:type="spellEnd"/>
      <w:r w:rsidRPr="00620C70">
        <w:t xml:space="preserve"> stāvokli joprojām notiekošā kara dēļ, bet vienlaikus ir mainīta aizņemšanās prognoze no negatīvas uz stabilu</w:t>
      </w:r>
      <w:r w:rsidR="00C940DF">
        <w:t>, t</w:t>
      </w:r>
      <w:r w:rsidRPr="00C7451C">
        <w:t>ādējādi</w:t>
      </w:r>
      <w:r w:rsidRPr="00620C70">
        <w:t xml:space="preserve"> šis risks ik gadu tiek pārvērtēts, strikti skatoties uz nākamo gadu notikumiem.</w:t>
      </w:r>
    </w:p>
    <w:bookmarkEnd w:id="25"/>
    <w:p w14:paraId="7AA5E5FE" w14:textId="22B3F1AB" w:rsidR="00821D16" w:rsidRPr="00821D16" w:rsidRDefault="00546447" w:rsidP="00821D1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G</w:t>
      </w:r>
      <w:r w:rsidR="00821D16" w:rsidRPr="00821D16">
        <w:rPr>
          <w:rFonts w:ascii="Times New Roman" w:eastAsia="Calibri" w:hAnsi="Times New Roman"/>
          <w:sz w:val="24"/>
          <w:szCs w:val="24"/>
        </w:rPr>
        <w:t xml:space="preserve">alvojumu risks tiek vadīts, regulāri uzraugot galvojumu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galvojumu saņēmēju </w:t>
      </w:r>
      <w:proofErr w:type="spellStart"/>
      <w:r w:rsidR="00821D16" w:rsidRPr="00821D16">
        <w:rPr>
          <w:rFonts w:ascii="Times New Roman" w:eastAsia="Calibri" w:hAnsi="Times New Roman"/>
          <w:sz w:val="24"/>
          <w:szCs w:val="24"/>
        </w:rPr>
        <w:t>pelnītspēja</w:t>
      </w:r>
      <w:proofErr w:type="spellEnd"/>
      <w:r w:rsidR="00821D16" w:rsidRPr="00821D16">
        <w:rPr>
          <w:rFonts w:ascii="Times New Roman" w:eastAsia="Calibri" w:hAnsi="Times New Roman"/>
          <w:sz w:val="24"/>
          <w:szCs w:val="24"/>
        </w:rPr>
        <w:t xml:space="preserve">, apgrozāmo līdzekļu pietiekamība īstermiņa saistību segšanai un kapitāla struktūra), </w:t>
      </w:r>
      <w:proofErr w:type="spellStart"/>
      <w:r w:rsidR="00821D16" w:rsidRPr="00821D16">
        <w:rPr>
          <w:rFonts w:ascii="Times New Roman" w:eastAsia="Calibri" w:hAnsi="Times New Roman"/>
          <w:sz w:val="24"/>
          <w:szCs w:val="24"/>
        </w:rPr>
        <w:t>kredītvēstur</w:t>
      </w:r>
      <w:r w:rsidR="00E8020C">
        <w:rPr>
          <w:rFonts w:ascii="Times New Roman" w:eastAsia="Calibri" w:hAnsi="Times New Roman"/>
          <w:sz w:val="24"/>
          <w:szCs w:val="24"/>
        </w:rPr>
        <w:t>i</w:t>
      </w:r>
      <w:proofErr w:type="spellEnd"/>
      <w:r w:rsidR="006A25FF">
        <w:rPr>
          <w:rFonts w:ascii="Times New Roman" w:eastAsia="Calibri" w:hAnsi="Times New Roman"/>
          <w:sz w:val="24"/>
          <w:szCs w:val="24"/>
        </w:rPr>
        <w:t xml:space="preserve"> </w:t>
      </w:r>
      <w:r w:rsidR="00821D16" w:rsidRPr="00821D16">
        <w:rPr>
          <w:rFonts w:ascii="Times New Roman" w:eastAsia="Calibri" w:hAnsi="Times New Roman"/>
          <w:sz w:val="24"/>
          <w:szCs w:val="24"/>
        </w:rPr>
        <w:t>un nodrošinājuma likviditāt</w:t>
      </w:r>
      <w:r w:rsidR="00E8020C">
        <w:rPr>
          <w:rFonts w:ascii="Times New Roman" w:eastAsia="Calibri" w:hAnsi="Times New Roman"/>
          <w:sz w:val="24"/>
          <w:szCs w:val="24"/>
        </w:rPr>
        <w:t>i</w:t>
      </w:r>
      <w:r w:rsidR="00CC30DA">
        <w:rPr>
          <w:rFonts w:ascii="Times New Roman" w:eastAsia="Calibri" w:hAnsi="Times New Roman"/>
          <w:sz w:val="24"/>
          <w:szCs w:val="24"/>
        </w:rPr>
        <w:t xml:space="preserve"> </w:t>
      </w:r>
      <w:r w:rsidR="00821D16" w:rsidRPr="00821D16">
        <w:rPr>
          <w:rFonts w:ascii="Times New Roman" w:eastAsia="Calibri" w:hAnsi="Times New Roman"/>
          <w:sz w:val="24"/>
          <w:szCs w:val="24"/>
        </w:rPr>
        <w:t>un pietiekamīb</w:t>
      </w:r>
      <w:r w:rsidR="00E8020C">
        <w:rPr>
          <w:rFonts w:ascii="Times New Roman" w:eastAsia="Calibri" w:hAnsi="Times New Roman"/>
          <w:sz w:val="24"/>
          <w:szCs w:val="24"/>
        </w:rPr>
        <w:t>u</w:t>
      </w:r>
      <w:r w:rsidR="00821D16" w:rsidRPr="00821D16">
        <w:rPr>
          <w:rFonts w:ascii="Times New Roman" w:eastAsia="Calibri" w:hAnsi="Times New Roman"/>
          <w:sz w:val="24"/>
          <w:szCs w:val="24"/>
        </w:rPr>
        <w:t xml:space="preserve">. Situācijās, kad galvojumu risks ir paaugstināts, tiek veikti papildu uzraudzības pasākumi, tai skaitā ikmēneša finanšu pārskatu un atjaunotu biznesa plānu pieprasīšana, tikšanās ar galvojuma saņēmēja vadību. </w:t>
      </w:r>
    </w:p>
    <w:p w14:paraId="1FDA35B6" w14:textId="3F78C003" w:rsidR="00546447"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Likumā par budžetu un finanšu vadību ir noteikts potenciālo valsts galvojuma saņēmēju loks un mērķi, kā arī nosacījumi, kuriem īstenojoties valsts galvojumu nesniedz. Valsts galvojumu sniegšanas un uzraudzības kārtību nosaka </w:t>
      </w:r>
      <w:r w:rsidR="00CB526A">
        <w:rPr>
          <w:rFonts w:ascii="Times New Roman" w:eastAsia="Calibri" w:hAnsi="Times New Roman"/>
          <w:sz w:val="24"/>
          <w:szCs w:val="24"/>
        </w:rPr>
        <w:t>MK</w:t>
      </w:r>
      <w:r w:rsidRPr="00821D16">
        <w:rPr>
          <w:rFonts w:ascii="Times New Roman" w:eastAsia="Calibri" w:hAnsi="Times New Roman"/>
          <w:sz w:val="24"/>
          <w:szCs w:val="24"/>
        </w:rPr>
        <w:t xml:space="preserve"> </w:t>
      </w:r>
      <w:r w:rsidR="00375AB7" w:rsidRPr="00821D16">
        <w:rPr>
          <w:rFonts w:ascii="Times New Roman" w:eastAsia="Calibri" w:hAnsi="Times New Roman"/>
          <w:sz w:val="24"/>
          <w:szCs w:val="24"/>
        </w:rPr>
        <w:t xml:space="preserve">2014.gada 8.jūlija </w:t>
      </w:r>
      <w:r w:rsidRPr="00821D16">
        <w:rPr>
          <w:rFonts w:ascii="Times New Roman" w:eastAsia="Calibri" w:hAnsi="Times New Roman"/>
          <w:sz w:val="24"/>
          <w:szCs w:val="24"/>
        </w:rPr>
        <w:t>noteikumi Nr.391 „</w:t>
      </w:r>
      <w:r w:rsidRPr="0058124B">
        <w:rPr>
          <w:rFonts w:ascii="Times New Roman" w:eastAsia="Calibri" w:hAnsi="Times New Roman"/>
          <w:i/>
          <w:iCs/>
          <w:sz w:val="24"/>
          <w:szCs w:val="24"/>
        </w:rPr>
        <w:t>Kārtība, kādā gadskārtējā valsts budžeta likumprojektā iekļauj pieprasījumus valsts vārdā sniedzamajiem galvojumiem, un galvojumu sniegšanas un uzraudzības kārtība</w:t>
      </w:r>
      <w:r w:rsidRPr="00821D16">
        <w:rPr>
          <w:rFonts w:ascii="Times New Roman" w:eastAsia="Calibri" w:hAnsi="Times New Roman"/>
          <w:sz w:val="24"/>
          <w:szCs w:val="24"/>
        </w:rPr>
        <w:t>”, kas paredz</w:t>
      </w:r>
      <w:r w:rsidR="00546447">
        <w:rPr>
          <w:rFonts w:ascii="Times New Roman" w:eastAsia="Calibri" w:hAnsi="Times New Roman"/>
          <w:sz w:val="24"/>
          <w:szCs w:val="24"/>
        </w:rPr>
        <w:t>:</w:t>
      </w:r>
    </w:p>
    <w:p w14:paraId="44C05197" w14:textId="6C4AE072" w:rsidR="00546447" w:rsidRDefault="00546447" w:rsidP="00497710">
      <w:pPr>
        <w:tabs>
          <w:tab w:val="left" w:pos="993"/>
        </w:tabs>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lastRenderedPageBreak/>
        <w:t>-</w:t>
      </w:r>
      <w:r w:rsidR="0009202B">
        <w:rPr>
          <w:rFonts w:ascii="Times New Roman" w:eastAsia="Calibri" w:hAnsi="Times New Roman"/>
          <w:sz w:val="24"/>
          <w:szCs w:val="24"/>
        </w:rPr>
        <w:tab/>
      </w:r>
      <w:r w:rsidR="00821D16" w:rsidRPr="00821D16">
        <w:rPr>
          <w:rFonts w:ascii="Times New Roman" w:eastAsia="Calibri" w:hAnsi="Times New Roman"/>
          <w:sz w:val="24"/>
          <w:szCs w:val="24"/>
        </w:rPr>
        <w:t>paaugstināta aizdevuma atmaksas riska noteikšanas kritēriju</w:t>
      </w:r>
      <w:r>
        <w:rPr>
          <w:rFonts w:ascii="Times New Roman" w:eastAsia="Calibri" w:hAnsi="Times New Roman"/>
          <w:sz w:val="24"/>
          <w:szCs w:val="24"/>
        </w:rPr>
        <w:t>s gadījumos</w:t>
      </w:r>
      <w:r w:rsidR="00821D16" w:rsidRPr="00821D16">
        <w:rPr>
          <w:rFonts w:ascii="Times New Roman" w:eastAsia="Calibri" w:hAnsi="Times New Roman"/>
          <w:sz w:val="24"/>
          <w:szCs w:val="24"/>
        </w:rPr>
        <w:t>,</w:t>
      </w:r>
      <w:r>
        <w:rPr>
          <w:rFonts w:ascii="Times New Roman" w:eastAsia="Calibri" w:hAnsi="Times New Roman"/>
          <w:sz w:val="24"/>
          <w:szCs w:val="24"/>
        </w:rPr>
        <w:t xml:space="preserve"> kad</w:t>
      </w:r>
      <w:r w:rsidR="00821D16" w:rsidRPr="00821D16">
        <w:rPr>
          <w:rFonts w:ascii="Times New Roman" w:eastAsia="Calibri" w:hAnsi="Times New Roman"/>
          <w:sz w:val="24"/>
          <w:szCs w:val="24"/>
        </w:rPr>
        <w:t xml:space="preserve"> valsts galvojumu nesniedz</w:t>
      </w:r>
      <w:r>
        <w:rPr>
          <w:rFonts w:ascii="Times New Roman" w:eastAsia="Calibri" w:hAnsi="Times New Roman"/>
          <w:sz w:val="24"/>
          <w:szCs w:val="24"/>
        </w:rPr>
        <w:t>;</w:t>
      </w:r>
    </w:p>
    <w:p w14:paraId="2B64D806" w14:textId="3D479D89" w:rsidR="00546447" w:rsidRDefault="00546447" w:rsidP="0009202B">
      <w:pPr>
        <w:tabs>
          <w:tab w:val="left" w:pos="993"/>
        </w:tabs>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0009202B">
        <w:rPr>
          <w:rFonts w:ascii="Times New Roman" w:eastAsia="Calibri" w:hAnsi="Times New Roman"/>
          <w:sz w:val="24"/>
          <w:szCs w:val="24"/>
        </w:rPr>
        <w:tab/>
      </w:r>
      <w:r w:rsidR="00821D16" w:rsidRPr="00821D16">
        <w:rPr>
          <w:rFonts w:ascii="Times New Roman" w:eastAsia="Calibri" w:hAnsi="Times New Roman"/>
          <w:sz w:val="24"/>
          <w:szCs w:val="24"/>
        </w:rPr>
        <w:t>pienākumus</w:t>
      </w:r>
      <w:r>
        <w:rPr>
          <w:rFonts w:ascii="Times New Roman" w:eastAsia="Calibri" w:hAnsi="Times New Roman"/>
          <w:sz w:val="24"/>
          <w:szCs w:val="24"/>
        </w:rPr>
        <w:t xml:space="preserve"> </w:t>
      </w:r>
      <w:r w:rsidR="00F64903">
        <w:rPr>
          <w:rFonts w:ascii="Times New Roman" w:eastAsia="Calibri" w:hAnsi="Times New Roman"/>
          <w:sz w:val="24"/>
          <w:szCs w:val="24"/>
        </w:rPr>
        <w:t xml:space="preserve">Valsts kasei (turpmāk </w:t>
      </w:r>
      <w:r>
        <w:rPr>
          <w:rFonts w:ascii="Times New Roman" w:eastAsia="Calibri" w:hAnsi="Times New Roman"/>
          <w:sz w:val="24"/>
          <w:szCs w:val="24"/>
        </w:rPr>
        <w:t>VK</w:t>
      </w:r>
      <w:r w:rsidR="00F64903">
        <w:rPr>
          <w:rFonts w:ascii="Times New Roman" w:eastAsia="Calibri" w:hAnsi="Times New Roman"/>
          <w:sz w:val="24"/>
          <w:szCs w:val="24"/>
        </w:rPr>
        <w:t>)</w:t>
      </w:r>
      <w:r>
        <w:rPr>
          <w:rFonts w:ascii="Times New Roman" w:eastAsia="Calibri" w:hAnsi="Times New Roman"/>
          <w:sz w:val="24"/>
          <w:szCs w:val="24"/>
        </w:rPr>
        <w:t>,</w:t>
      </w:r>
      <w:r w:rsidR="00821D16" w:rsidRPr="00821D16">
        <w:rPr>
          <w:rFonts w:ascii="Times New Roman" w:eastAsia="Calibri" w:hAnsi="Times New Roman"/>
          <w:sz w:val="24"/>
          <w:szCs w:val="24"/>
        </w:rPr>
        <w:t xml:space="preserve"> nozares ministrijai</w:t>
      </w:r>
      <w:r w:rsidR="00AE4F9C">
        <w:rPr>
          <w:rFonts w:ascii="Times New Roman" w:eastAsia="Calibri" w:hAnsi="Times New Roman"/>
          <w:sz w:val="24"/>
          <w:szCs w:val="24"/>
        </w:rPr>
        <w:t xml:space="preserve"> </w:t>
      </w:r>
      <w:r w:rsidR="00821D16" w:rsidRPr="00821D16">
        <w:rPr>
          <w:rFonts w:ascii="Times New Roman" w:eastAsia="Calibri" w:hAnsi="Times New Roman"/>
          <w:sz w:val="24"/>
          <w:szCs w:val="24"/>
        </w:rPr>
        <w:t>un galvojuma saņēmējam valsts galvoto saistību uzraudzības procesā</w:t>
      </w:r>
      <w:r>
        <w:rPr>
          <w:rFonts w:ascii="Times New Roman" w:eastAsia="Calibri" w:hAnsi="Times New Roman"/>
          <w:sz w:val="24"/>
          <w:szCs w:val="24"/>
        </w:rPr>
        <w:t>;</w:t>
      </w:r>
    </w:p>
    <w:p w14:paraId="497528E6" w14:textId="570A0638" w:rsidR="00821D16" w:rsidRPr="00821D16" w:rsidRDefault="00546447" w:rsidP="00497710">
      <w:pPr>
        <w:tabs>
          <w:tab w:val="left" w:pos="993"/>
        </w:tabs>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0009202B">
        <w:rPr>
          <w:rFonts w:ascii="Times New Roman" w:eastAsia="Calibri" w:hAnsi="Times New Roman"/>
          <w:sz w:val="24"/>
          <w:szCs w:val="24"/>
        </w:rPr>
        <w:tab/>
      </w:r>
      <w:r w:rsidR="00821D16" w:rsidRPr="00821D16">
        <w:rPr>
          <w:rFonts w:ascii="Times New Roman" w:eastAsia="Calibri" w:hAnsi="Times New Roman"/>
          <w:sz w:val="24"/>
          <w:szCs w:val="24"/>
        </w:rPr>
        <w:t>rīcību galvojuma saņēmēja finanšu rādītāju vai nodrošinājuma vērtības samazināšanās gadījumā (</w:t>
      </w:r>
      <w:r w:rsidR="00375AB7">
        <w:rPr>
          <w:rFonts w:ascii="Times New Roman" w:eastAsia="Calibri" w:hAnsi="Times New Roman"/>
          <w:sz w:val="24"/>
          <w:szCs w:val="24"/>
        </w:rPr>
        <w:t xml:space="preserve">t.i. </w:t>
      </w:r>
      <w:r w:rsidR="00821D16" w:rsidRPr="00821D16">
        <w:rPr>
          <w:rFonts w:ascii="Times New Roman" w:eastAsia="Calibri" w:hAnsi="Times New Roman"/>
          <w:sz w:val="24"/>
          <w:szCs w:val="24"/>
        </w:rPr>
        <w:t xml:space="preserve">iespēja pārskatīt riska procentu likmi, pieprasīt zvērināta revidenta atzinumu par finansiālo stāvokli, kā arī tiesības piekļūt galvojuma saņēmēja informācijai, kas attiecas uz tā saimniecisko darbību un valsts galvotā aizdevuma izlietošanu), lai tiktu nodrošināta valsts interešu aizsardzība. </w:t>
      </w:r>
    </w:p>
    <w:p w14:paraId="44CD3A1B" w14:textId="0773F235" w:rsidR="006A7302" w:rsidRPr="00817FBC" w:rsidRDefault="00821D16" w:rsidP="00495160">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Valsts galvoto aizdevumu portfeļa uzraudzības procesa ietvaros </w:t>
      </w:r>
      <w:r w:rsidR="00375AB7">
        <w:rPr>
          <w:rFonts w:ascii="Times New Roman" w:eastAsia="Calibri" w:hAnsi="Times New Roman"/>
          <w:sz w:val="24"/>
          <w:szCs w:val="24"/>
        </w:rPr>
        <w:t xml:space="preserve">par </w:t>
      </w:r>
      <w:r w:rsidRPr="00821D16">
        <w:rPr>
          <w:rFonts w:ascii="Times New Roman" w:eastAsia="Calibri" w:hAnsi="Times New Roman"/>
          <w:sz w:val="24"/>
          <w:szCs w:val="24"/>
        </w:rPr>
        <w:t>galvojumu saņēmējiem, kuru kredītspēja atbilstoši V</w:t>
      </w:r>
      <w:r w:rsidR="00D11383">
        <w:rPr>
          <w:rFonts w:ascii="Times New Roman" w:eastAsia="Calibri" w:hAnsi="Times New Roman"/>
          <w:sz w:val="24"/>
          <w:szCs w:val="24"/>
        </w:rPr>
        <w:t xml:space="preserve">K </w:t>
      </w:r>
      <w:r w:rsidRPr="00821D16">
        <w:rPr>
          <w:rFonts w:ascii="Times New Roman" w:eastAsia="Calibri" w:hAnsi="Times New Roman"/>
          <w:sz w:val="24"/>
          <w:szCs w:val="24"/>
        </w:rPr>
        <w:t xml:space="preserve">iekšējiem noteikumiem tiek vērtēta kā </w:t>
      </w:r>
      <w:r w:rsidR="00E73AA9">
        <w:rPr>
          <w:rFonts w:ascii="Times New Roman" w:eastAsia="Calibri" w:hAnsi="Times New Roman"/>
          <w:sz w:val="24"/>
          <w:szCs w:val="24"/>
        </w:rPr>
        <w:t>“</w:t>
      </w:r>
      <w:r w:rsidRPr="00821D16">
        <w:rPr>
          <w:rFonts w:ascii="Times New Roman" w:eastAsia="Calibri" w:hAnsi="Times New Roman"/>
          <w:sz w:val="24"/>
          <w:szCs w:val="24"/>
        </w:rPr>
        <w:t xml:space="preserve">vāja” vai </w:t>
      </w:r>
      <w:r w:rsidR="00E73AA9">
        <w:rPr>
          <w:rFonts w:ascii="Times New Roman" w:eastAsia="Calibri" w:hAnsi="Times New Roman"/>
          <w:sz w:val="24"/>
          <w:szCs w:val="24"/>
        </w:rPr>
        <w:t>“</w:t>
      </w:r>
      <w:r w:rsidRPr="00821D16">
        <w:rPr>
          <w:rFonts w:ascii="Times New Roman" w:eastAsia="Calibri" w:hAnsi="Times New Roman"/>
          <w:sz w:val="24"/>
          <w:szCs w:val="24"/>
        </w:rPr>
        <w:t xml:space="preserve">slikta”, divas reizes gadā finanšu ministram tiek sagatavots ziņojums ar priekšlikumiem </w:t>
      </w:r>
      <w:r w:rsidR="00375AB7">
        <w:rPr>
          <w:rFonts w:ascii="Times New Roman" w:eastAsia="Calibri" w:hAnsi="Times New Roman"/>
          <w:sz w:val="24"/>
          <w:szCs w:val="24"/>
        </w:rPr>
        <w:t>attiecībā uz</w:t>
      </w:r>
      <w:r w:rsidR="00375AB7"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nepieciešamo rīcību valsts interešu ievērošanai. </w:t>
      </w:r>
      <w:r w:rsidR="00CB526A">
        <w:rPr>
          <w:rFonts w:ascii="Times New Roman" w:eastAsia="Calibri" w:hAnsi="Times New Roman"/>
          <w:sz w:val="24"/>
          <w:szCs w:val="24"/>
        </w:rPr>
        <w:t>Savukārt v</w:t>
      </w:r>
      <w:r w:rsidR="00E752AC" w:rsidRPr="00821D16">
        <w:rPr>
          <w:rFonts w:ascii="Times New Roman" w:eastAsia="Calibri" w:hAnsi="Times New Roman"/>
          <w:sz w:val="24"/>
          <w:szCs w:val="24"/>
        </w:rPr>
        <w:t xml:space="preserve">ienu </w:t>
      </w:r>
      <w:r w:rsidRPr="00821D16">
        <w:rPr>
          <w:rFonts w:ascii="Times New Roman" w:eastAsia="Calibri" w:hAnsi="Times New Roman"/>
          <w:sz w:val="24"/>
          <w:szCs w:val="24"/>
        </w:rPr>
        <w:t>reizi gadā finanšu ministrs iesniedz MK informatīvo ziņojumu par valsts galvoto aizdevumu portfeļa kvalitāti.</w:t>
      </w:r>
      <w:r w:rsidR="006A7302">
        <w:rPr>
          <w:rFonts w:ascii="Times New Roman" w:eastAsia="Calibri" w:hAnsi="Times New Roman"/>
          <w:sz w:val="24"/>
          <w:szCs w:val="24"/>
        </w:rPr>
        <w:t xml:space="preserve"> </w:t>
      </w:r>
    </w:p>
    <w:p w14:paraId="636237D2" w14:textId="16CC764A" w:rsidR="00E66C88" w:rsidRDefault="00E66C88" w:rsidP="00E66C88">
      <w:pPr>
        <w:spacing w:after="0" w:line="240" w:lineRule="auto"/>
        <w:ind w:firstLine="709"/>
        <w:jc w:val="both"/>
        <w:rPr>
          <w:rFonts w:ascii="Times New Roman" w:eastAsia="Calibri" w:hAnsi="Times New Roman"/>
          <w:sz w:val="24"/>
          <w:szCs w:val="24"/>
        </w:rPr>
      </w:pPr>
      <w:r w:rsidRPr="002D428D">
        <w:rPr>
          <w:rFonts w:ascii="Times New Roman" w:eastAsia="Calibri" w:hAnsi="Times New Roman"/>
          <w:sz w:val="24"/>
          <w:szCs w:val="24"/>
        </w:rPr>
        <w:t xml:space="preserve">Atbilstoši VK novērtējumam </w:t>
      </w:r>
      <w:r w:rsidRPr="002D428D">
        <w:rPr>
          <w:rFonts w:ascii="Times New Roman" w:eastAsia="Calibri" w:hAnsi="Times New Roman" w:cs="Times New Roman"/>
          <w:sz w:val="24"/>
          <w:szCs w:val="24"/>
        </w:rPr>
        <w:t>aprēķinātā galvojumu riska fiskālā ietekme</w:t>
      </w:r>
      <w:r w:rsidRPr="002D428D">
        <w:rPr>
          <w:rStyle w:val="FootnoteReference"/>
          <w:rFonts w:ascii="Times New Roman" w:eastAsia="Calibri" w:hAnsi="Times New Roman"/>
          <w:sz w:val="24"/>
          <w:szCs w:val="24"/>
        </w:rPr>
        <w:footnoteReference w:id="6"/>
      </w:r>
      <w:r w:rsidRPr="002D428D">
        <w:rPr>
          <w:rFonts w:ascii="Times New Roman" w:eastAsia="Calibri" w:hAnsi="Times New Roman" w:cs="Times New Roman"/>
          <w:sz w:val="24"/>
          <w:szCs w:val="24"/>
        </w:rPr>
        <w:t xml:space="preserve"> </w:t>
      </w:r>
      <w:r w:rsidRPr="002D428D">
        <w:rPr>
          <w:rFonts w:ascii="Times New Roman" w:eastAsia="Calibri" w:hAnsi="Times New Roman"/>
          <w:sz w:val="24"/>
          <w:szCs w:val="24"/>
        </w:rPr>
        <w:t xml:space="preserve">2024.gadā veido </w:t>
      </w:r>
      <w:r w:rsidRPr="002D428D">
        <w:rPr>
          <w:rFonts w:ascii="Times New Roman" w:eastAsia="Calibri" w:hAnsi="Times New Roman" w:cs="Times New Roman"/>
          <w:sz w:val="24"/>
          <w:szCs w:val="24"/>
        </w:rPr>
        <w:t>0,40 milj. </w:t>
      </w:r>
      <w:proofErr w:type="spellStart"/>
      <w:r w:rsidRPr="002D428D">
        <w:rPr>
          <w:rFonts w:ascii="Times New Roman" w:hAnsi="Times New Roman" w:cs="Times New Roman"/>
          <w:i/>
          <w:sz w:val="24"/>
        </w:rPr>
        <w:t>euro</w:t>
      </w:r>
      <w:proofErr w:type="spellEnd"/>
      <w:r w:rsidRPr="002D428D">
        <w:rPr>
          <w:rFonts w:ascii="Times New Roman" w:eastAsia="Calibri" w:hAnsi="Times New Roman" w:cs="Times New Roman"/>
          <w:sz w:val="24"/>
          <w:szCs w:val="24"/>
        </w:rPr>
        <w:t xml:space="preserve"> apmērā, 2025.gadā – 0,40 milj. </w:t>
      </w:r>
      <w:proofErr w:type="spellStart"/>
      <w:r w:rsidRPr="002D428D">
        <w:rPr>
          <w:rFonts w:ascii="Times New Roman" w:hAnsi="Times New Roman" w:cs="Times New Roman"/>
          <w:i/>
          <w:sz w:val="24"/>
        </w:rPr>
        <w:t>euro</w:t>
      </w:r>
      <w:proofErr w:type="spellEnd"/>
      <w:r w:rsidRPr="002D428D">
        <w:rPr>
          <w:rFonts w:ascii="Times New Roman" w:eastAsia="Calibri" w:hAnsi="Times New Roman" w:cs="Times New Roman"/>
          <w:sz w:val="24"/>
          <w:szCs w:val="24"/>
        </w:rPr>
        <w:t xml:space="preserve"> apmērā, 2026.gadā – 0,65 milj. </w:t>
      </w:r>
      <w:proofErr w:type="spellStart"/>
      <w:r w:rsidRPr="002D428D">
        <w:rPr>
          <w:rFonts w:ascii="Times New Roman" w:hAnsi="Times New Roman" w:cs="Times New Roman"/>
          <w:i/>
          <w:sz w:val="24"/>
        </w:rPr>
        <w:t>euro</w:t>
      </w:r>
      <w:proofErr w:type="spellEnd"/>
      <w:r w:rsidRPr="002D428D">
        <w:rPr>
          <w:rFonts w:ascii="Times New Roman" w:eastAsia="Calibri" w:hAnsi="Times New Roman" w:cs="Times New Roman"/>
          <w:sz w:val="24"/>
          <w:szCs w:val="24"/>
        </w:rPr>
        <w:t xml:space="preserve"> apmērā</w:t>
      </w:r>
      <w:r w:rsidRPr="002D428D">
        <w:rPr>
          <w:rStyle w:val="FootnoteReference"/>
          <w:rFonts w:ascii="Times New Roman" w:eastAsia="Calibri" w:hAnsi="Times New Roman"/>
          <w:sz w:val="24"/>
          <w:szCs w:val="24"/>
        </w:rPr>
        <w:footnoteReference w:id="7"/>
      </w:r>
      <w:r w:rsidRPr="002D428D">
        <w:rPr>
          <w:rFonts w:ascii="Times New Roman" w:eastAsia="Calibri" w:hAnsi="Times New Roman" w:cs="Times New Roman"/>
          <w:sz w:val="24"/>
          <w:szCs w:val="24"/>
        </w:rPr>
        <w:t xml:space="preserve">. Ņemot vērā MK noteikumos Nr.229 noteikto fiskālā nodrošinājuma rezerves aprēķina metodoloģiju, 2024.gadā </w:t>
      </w:r>
      <w:r w:rsidRPr="002D428D">
        <w:rPr>
          <w:rFonts w:ascii="Times New Roman" w:eastAsia="Calibri" w:hAnsi="Times New Roman" w:cs="Times New Roman"/>
          <w:b/>
          <w:bCs/>
          <w:sz w:val="24"/>
          <w:szCs w:val="24"/>
        </w:rPr>
        <w:t>valsts galvojumu fiskālā nodrošinājuma rezerve</w:t>
      </w:r>
      <w:r w:rsidRPr="002D428D">
        <w:rPr>
          <w:rFonts w:ascii="Times New Roman" w:eastAsia="Calibri" w:hAnsi="Times New Roman" w:cs="Times New Roman"/>
          <w:sz w:val="24"/>
          <w:szCs w:val="24"/>
        </w:rPr>
        <w:t xml:space="preserve"> aprēķināta 0,0009% apmērā, 2025.gadā – 0,0008% un 2026.gadā – 0,0013% apmērā no IKP.</w:t>
      </w:r>
      <w:r>
        <w:rPr>
          <w:rFonts w:ascii="Times New Roman" w:eastAsia="Calibri" w:hAnsi="Times New Roman" w:cs="Times New Roman"/>
          <w:sz w:val="24"/>
          <w:szCs w:val="24"/>
        </w:rPr>
        <w:t xml:space="preserve"> </w:t>
      </w:r>
    </w:p>
    <w:p w14:paraId="060D3B66" w14:textId="2CEAEFA1" w:rsidR="00821D16" w:rsidRDefault="00C85A84" w:rsidP="00821D1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Attiecībā uz </w:t>
      </w:r>
      <w:r w:rsidRPr="0020713B">
        <w:rPr>
          <w:rFonts w:ascii="Times New Roman" w:eastAsia="Calibri" w:hAnsi="Times New Roman"/>
          <w:b/>
          <w:bCs/>
          <w:sz w:val="24"/>
          <w:szCs w:val="24"/>
        </w:rPr>
        <w:t>pašvaldību galvojumiem</w:t>
      </w:r>
      <w:r>
        <w:rPr>
          <w:rFonts w:ascii="Times New Roman" w:eastAsia="Calibri" w:hAnsi="Times New Roman"/>
          <w:sz w:val="24"/>
          <w:szCs w:val="24"/>
        </w:rPr>
        <w:t xml:space="preserve"> 2023</w:t>
      </w:r>
      <w:r w:rsidRPr="00821D16">
        <w:rPr>
          <w:rFonts w:ascii="Times New Roman" w:eastAsia="Calibri" w:hAnsi="Times New Roman"/>
          <w:sz w:val="24"/>
          <w:szCs w:val="24"/>
        </w:rPr>
        <w:t>.gada kopējais pieļaujamais saistību palielinājums 20</w:t>
      </w:r>
      <w:r>
        <w:rPr>
          <w:rFonts w:ascii="Times New Roman" w:eastAsia="Calibri" w:hAnsi="Times New Roman"/>
          <w:sz w:val="24"/>
          <w:szCs w:val="24"/>
        </w:rPr>
        <w:t>23</w:t>
      </w:r>
      <w:r w:rsidRPr="00821D16">
        <w:rPr>
          <w:rFonts w:ascii="Times New Roman" w:eastAsia="Calibri" w:hAnsi="Times New Roman"/>
          <w:sz w:val="24"/>
          <w:szCs w:val="24"/>
        </w:rPr>
        <w:t xml:space="preserve">.gada valsts budžeta </w:t>
      </w:r>
      <w:r w:rsidRPr="00D76F8E">
        <w:rPr>
          <w:rFonts w:ascii="Times New Roman" w:eastAsia="Calibri" w:hAnsi="Times New Roman"/>
          <w:sz w:val="24"/>
          <w:szCs w:val="24"/>
        </w:rPr>
        <w:t xml:space="preserve">un budžeta ietvaru 2023., 2024. un 2025. gadam </w:t>
      </w:r>
      <w:r w:rsidRPr="00821D16">
        <w:rPr>
          <w:rFonts w:ascii="Times New Roman" w:eastAsia="Calibri" w:hAnsi="Times New Roman"/>
          <w:sz w:val="24"/>
          <w:szCs w:val="24"/>
        </w:rPr>
        <w:t xml:space="preserve">likumā </w:t>
      </w:r>
      <w:r>
        <w:rPr>
          <w:rFonts w:ascii="Times New Roman" w:eastAsia="Calibri" w:hAnsi="Times New Roman"/>
          <w:sz w:val="24"/>
          <w:szCs w:val="24"/>
        </w:rPr>
        <w:t>ir noteikts</w:t>
      </w:r>
      <w:r w:rsidR="00D60390" w:rsidRPr="00821D16">
        <w:rPr>
          <w:rFonts w:ascii="Times New Roman" w:eastAsia="Calibri" w:hAnsi="Times New Roman"/>
          <w:sz w:val="24"/>
          <w:szCs w:val="24"/>
        </w:rPr>
        <w:t xml:space="preserve"> </w:t>
      </w:r>
      <w:r w:rsidR="00821D16" w:rsidRPr="00821D16">
        <w:rPr>
          <w:rFonts w:ascii="Times New Roman" w:eastAsia="Calibri" w:hAnsi="Times New Roman"/>
          <w:sz w:val="24"/>
          <w:szCs w:val="24"/>
        </w:rPr>
        <w:t>56</w:t>
      </w:r>
      <w:r w:rsidR="00E8020C">
        <w:rPr>
          <w:rFonts w:ascii="Times New Roman" w:eastAsia="Calibri" w:hAnsi="Times New Roman"/>
          <w:sz w:val="24"/>
          <w:szCs w:val="24"/>
        </w:rPr>
        <w:t>,</w:t>
      </w:r>
      <w:r w:rsidR="00821D16" w:rsidRPr="00821D16">
        <w:rPr>
          <w:rFonts w:ascii="Times New Roman" w:eastAsia="Calibri" w:hAnsi="Times New Roman"/>
          <w:sz w:val="24"/>
          <w:szCs w:val="24"/>
        </w:rPr>
        <w:t>9</w:t>
      </w:r>
      <w:r w:rsidR="00E8020C">
        <w:rPr>
          <w:rFonts w:ascii="Times New Roman" w:eastAsia="Calibri" w:hAnsi="Times New Roman"/>
          <w:sz w:val="24"/>
          <w:szCs w:val="24"/>
        </w:rPr>
        <w:t xml:space="preserve"> milj.</w:t>
      </w:r>
      <w:r w:rsidR="00821D16" w:rsidRPr="00821D16">
        <w:rPr>
          <w:rFonts w:ascii="Times New Roman" w:eastAsia="Calibri" w:hAnsi="Times New Roman"/>
          <w:sz w:val="24"/>
          <w:szCs w:val="24"/>
        </w:rPr>
        <w:t xml:space="preserve"> </w:t>
      </w:r>
      <w:proofErr w:type="spellStart"/>
      <w:r w:rsidR="00821D16" w:rsidRPr="00E752AC">
        <w:rPr>
          <w:rFonts w:ascii="Times New Roman" w:eastAsia="Calibri" w:hAnsi="Times New Roman"/>
          <w:i/>
          <w:sz w:val="24"/>
          <w:szCs w:val="24"/>
        </w:rPr>
        <w:t>euro</w:t>
      </w:r>
      <w:proofErr w:type="spellEnd"/>
      <w:r w:rsidR="002D3ED9">
        <w:rPr>
          <w:rFonts w:ascii="Times New Roman" w:eastAsia="Calibri" w:hAnsi="Times New Roman"/>
          <w:i/>
          <w:sz w:val="24"/>
          <w:szCs w:val="24"/>
        </w:rPr>
        <w:t xml:space="preserve"> </w:t>
      </w:r>
      <w:r w:rsidR="002D3ED9">
        <w:rPr>
          <w:rFonts w:ascii="Times New Roman" w:eastAsia="Calibri" w:hAnsi="Times New Roman"/>
          <w:sz w:val="24"/>
          <w:szCs w:val="24"/>
        </w:rPr>
        <w:t xml:space="preserve">par </w:t>
      </w:r>
      <w:r w:rsidR="002D3ED9" w:rsidRPr="00817006">
        <w:rPr>
          <w:rFonts w:ascii="Times New Roman" w:eastAsia="Calibri" w:hAnsi="Times New Roman"/>
          <w:sz w:val="24"/>
          <w:szCs w:val="24"/>
        </w:rPr>
        <w:t>tām parāda saistībām, kuras uzņemas pašvaldība</w:t>
      </w:r>
      <w:r w:rsidR="007A6A26">
        <w:rPr>
          <w:rFonts w:ascii="Times New Roman" w:eastAsia="Calibri" w:hAnsi="Times New Roman"/>
          <w:sz w:val="24"/>
          <w:szCs w:val="24"/>
        </w:rPr>
        <w:t>s</w:t>
      </w:r>
      <w:r w:rsidR="002D3ED9" w:rsidRPr="00817006">
        <w:rPr>
          <w:rFonts w:ascii="Times New Roman" w:eastAsia="Calibri" w:hAnsi="Times New Roman"/>
          <w:sz w:val="24"/>
          <w:szCs w:val="24"/>
        </w:rPr>
        <w:t xml:space="preserve"> kapitālsabiedrīb</w:t>
      </w:r>
      <w:r w:rsidR="007A6A26">
        <w:rPr>
          <w:rFonts w:ascii="Times New Roman" w:eastAsia="Calibri" w:hAnsi="Times New Roman"/>
          <w:sz w:val="24"/>
          <w:szCs w:val="24"/>
        </w:rPr>
        <w:t>u</w:t>
      </w:r>
      <w:r w:rsidR="002D3ED9" w:rsidRPr="00817006">
        <w:rPr>
          <w:rFonts w:ascii="Times New Roman" w:eastAsia="Calibri" w:hAnsi="Times New Roman"/>
          <w:sz w:val="24"/>
          <w:szCs w:val="24"/>
        </w:rPr>
        <w:t xml:space="preserve"> investīciju projektu īstenošanai</w:t>
      </w:r>
      <w:r w:rsidR="006A7302">
        <w:rPr>
          <w:rFonts w:ascii="Times New Roman" w:eastAsia="Calibri" w:hAnsi="Times New Roman"/>
          <w:sz w:val="24"/>
          <w:szCs w:val="24"/>
        </w:rPr>
        <w:t xml:space="preserve">. </w:t>
      </w:r>
      <w:r w:rsidR="00821D16" w:rsidRPr="00821D16">
        <w:rPr>
          <w:rFonts w:ascii="Times New Roman" w:eastAsia="Calibri" w:hAnsi="Times New Roman"/>
          <w:sz w:val="24"/>
          <w:szCs w:val="24"/>
        </w:rPr>
        <w:t xml:space="preserve">Vērtējot pašvaldības galvojuma pieprasījumu, tiek vērtēta pašvaldības esošo saistību (aizņēmumu saistību izpilde noteiktajos termiņos un apmēros) un pašvaldības spēja uzņemties jaunas galvojumu saistības. Pašvaldībām saistību apmēru vērtē procentos, t.i., attiecīgajā gadā atmaksājamās summas pret pamatbudžeta plānotajiem ieņēmumiem bez valsts budžeta </w:t>
      </w:r>
      <w:proofErr w:type="spellStart"/>
      <w:r w:rsidR="00821D16" w:rsidRPr="00821D16">
        <w:rPr>
          <w:rFonts w:ascii="Times New Roman" w:eastAsia="Calibri" w:hAnsi="Times New Roman"/>
          <w:sz w:val="24"/>
          <w:szCs w:val="24"/>
        </w:rPr>
        <w:t>transfertiem</w:t>
      </w:r>
      <w:proofErr w:type="spellEnd"/>
      <w:r w:rsidR="00821D16" w:rsidRPr="00821D16">
        <w:rPr>
          <w:rFonts w:ascii="Times New Roman" w:eastAsia="Calibri" w:hAnsi="Times New Roman"/>
          <w:sz w:val="24"/>
          <w:szCs w:val="24"/>
        </w:rPr>
        <w:t xml:space="preserve"> noteiktam mērķim un iemaksām Pašvaldību finanšu izlīdzināšanas fondā. Minētais rādītājs tiek vērtēts, jo pašvaldību finanšu stabilizācijas riska iespēja var iestāties, ja pašvaldības parāda saistības, kurām iestājies atmaksāšanas termiņš kārtējā saimnieciskajā gadā, kopā ar iepriekšējo gadu parāda saistībām, kurām iestājies atmaksāšanas termiņš, pārsniedz 20% no pašvaldības kārtējā saimnieciskā gada budžeta kopapjoma. </w:t>
      </w:r>
    </w:p>
    <w:p w14:paraId="22EA9E26" w14:textId="45F216B0" w:rsidR="00C85A84" w:rsidRPr="006E72FB" w:rsidRDefault="00C85A84" w:rsidP="00C85A84">
      <w:pPr>
        <w:pStyle w:val="NormalWeb"/>
        <w:spacing w:before="0" w:beforeAutospacing="0" w:after="0" w:afterAutospacing="0"/>
        <w:ind w:firstLine="720"/>
        <w:jc w:val="both"/>
        <w:textAlignment w:val="baseline"/>
      </w:pPr>
      <w:r w:rsidRPr="003D0CAB">
        <w:t>Kopējais pašvaldību galvojumu portfelis 202</w:t>
      </w:r>
      <w:r>
        <w:t>3</w:t>
      </w:r>
      <w:r w:rsidRPr="003D0CAB">
        <w:t xml:space="preserve">.gada </w:t>
      </w:r>
      <w:r>
        <w:t>30.</w:t>
      </w:r>
      <w:r w:rsidR="003D0F97">
        <w:t>jūnijā</w:t>
      </w:r>
      <w:r>
        <w:t xml:space="preserve"> </w:t>
      </w:r>
      <w:r w:rsidRPr="003D0CAB">
        <w:t xml:space="preserve">bija </w:t>
      </w:r>
      <w:r>
        <w:t>14</w:t>
      </w:r>
      <w:r w:rsidR="003D0F97">
        <w:t>3</w:t>
      </w:r>
      <w:r>
        <w:t>,</w:t>
      </w:r>
      <w:r w:rsidR="003D0F97">
        <w:t>2</w:t>
      </w:r>
      <w:r>
        <w:t> </w:t>
      </w:r>
      <w:r w:rsidRPr="003D0CAB">
        <w:t xml:space="preserve">milj. </w:t>
      </w:r>
      <w:proofErr w:type="spellStart"/>
      <w:r w:rsidRPr="003D0CAB">
        <w:rPr>
          <w:i/>
        </w:rPr>
        <w:t>euro</w:t>
      </w:r>
      <w:proofErr w:type="spellEnd"/>
      <w:r w:rsidRPr="003D0CAB">
        <w:t xml:space="preserve">, t.sk. </w:t>
      </w:r>
      <w:r>
        <w:t>13</w:t>
      </w:r>
      <w:r w:rsidR="003D0F97">
        <w:t>5</w:t>
      </w:r>
      <w:r>
        <w:t>,</w:t>
      </w:r>
      <w:r w:rsidR="003D0F97">
        <w:t>0</w:t>
      </w:r>
      <w:r>
        <w:t> </w:t>
      </w:r>
      <w:r w:rsidRPr="003D0CAB">
        <w:t xml:space="preserve">milj. </w:t>
      </w:r>
      <w:proofErr w:type="spellStart"/>
      <w:r w:rsidRPr="003D0CAB">
        <w:rPr>
          <w:i/>
        </w:rPr>
        <w:t>euro</w:t>
      </w:r>
      <w:proofErr w:type="spellEnd"/>
      <w:r w:rsidRPr="003D0CAB">
        <w:t>, kurus pašvaldības sniegušas par valsts aizdevumiem</w:t>
      </w:r>
      <w:r>
        <w:t>. Līdz 2023.gada 30.</w:t>
      </w:r>
      <w:r w:rsidR="003D0F97">
        <w:t>jūnijam</w:t>
      </w:r>
      <w:r>
        <w:t xml:space="preserve"> pašvaldības izsniegušas galvojumus tikai</w:t>
      </w:r>
      <w:r w:rsidR="00817FBC">
        <w:t xml:space="preserve"> </w:t>
      </w:r>
      <w:r w:rsidR="003D0F97">
        <w:t>17</w:t>
      </w:r>
      <w:r>
        <w:t xml:space="preserve">,2 milj. </w:t>
      </w:r>
      <w:proofErr w:type="spellStart"/>
      <w:r>
        <w:rPr>
          <w:i/>
        </w:rPr>
        <w:t>euro</w:t>
      </w:r>
      <w:proofErr w:type="spellEnd"/>
      <w:r>
        <w:t xml:space="preserve"> apmērā, kas ir </w:t>
      </w:r>
      <w:r w:rsidR="003D0F97">
        <w:t>30</w:t>
      </w:r>
      <w:r>
        <w:t>,</w:t>
      </w:r>
      <w:r w:rsidR="003D0F97">
        <w:t>6</w:t>
      </w:r>
      <w:r>
        <w:t> % no maksimāli pieļaujamā no jauna izsniedzamo galvojumu apmēra.</w:t>
      </w:r>
    </w:p>
    <w:p w14:paraId="171B1E7B" w14:textId="60856E8E" w:rsidR="00C85A84" w:rsidRDefault="009B7B4F" w:rsidP="00497710">
      <w:pPr>
        <w:spacing w:before="240" w:line="240" w:lineRule="auto"/>
        <w:ind w:firstLine="720"/>
        <w:jc w:val="right"/>
        <w:rPr>
          <w:rFonts w:ascii="Times New Roman" w:hAnsi="Times New Roman" w:cs="Times New Roman"/>
          <w:b/>
          <w:i/>
          <w:sz w:val="24"/>
          <w:szCs w:val="24"/>
        </w:rPr>
      </w:pPr>
      <w:r w:rsidRPr="00167534">
        <w:rPr>
          <w:rFonts w:ascii="Times New Roman" w:hAnsi="Times New Roman" w:cs="Times New Roman"/>
          <w:b/>
          <w:sz w:val="24"/>
          <w:szCs w:val="24"/>
        </w:rPr>
        <w:t>Tabula Nr.</w:t>
      </w:r>
      <w:r w:rsidR="004A682A">
        <w:rPr>
          <w:rFonts w:ascii="Times New Roman" w:hAnsi="Times New Roman" w:cs="Times New Roman"/>
          <w:b/>
          <w:sz w:val="24"/>
          <w:szCs w:val="24"/>
        </w:rPr>
        <w:t>2.1.</w:t>
      </w:r>
      <w:r w:rsidR="00323474">
        <w:rPr>
          <w:rFonts w:ascii="Times New Roman" w:hAnsi="Times New Roman" w:cs="Times New Roman"/>
          <w:b/>
          <w:sz w:val="24"/>
          <w:szCs w:val="24"/>
        </w:rPr>
        <w:t>1</w:t>
      </w:r>
      <w:r w:rsidRPr="00167534">
        <w:rPr>
          <w:rFonts w:ascii="Times New Roman" w:hAnsi="Times New Roman" w:cs="Times New Roman"/>
          <w:b/>
          <w:sz w:val="24"/>
          <w:szCs w:val="24"/>
        </w:rPr>
        <w:t xml:space="preserve"> </w:t>
      </w:r>
      <w:r w:rsidR="00E66C88" w:rsidRPr="002D428D">
        <w:rPr>
          <w:rFonts w:ascii="Times New Roman" w:hAnsi="Times New Roman" w:cs="Times New Roman"/>
          <w:b/>
          <w:sz w:val="24"/>
          <w:szCs w:val="24"/>
        </w:rPr>
        <w:t>Lielākie 10 pa</w:t>
      </w:r>
      <w:r w:rsidRPr="008461E3">
        <w:rPr>
          <w:rFonts w:ascii="Times New Roman" w:hAnsi="Times New Roman" w:cs="Times New Roman"/>
          <w:b/>
          <w:sz w:val="24"/>
          <w:szCs w:val="24"/>
        </w:rPr>
        <w:t>švaldību galvojumu apjom</w:t>
      </w:r>
      <w:r w:rsidR="00E66C88" w:rsidRPr="002D428D">
        <w:rPr>
          <w:rFonts w:ascii="Times New Roman" w:hAnsi="Times New Roman" w:cs="Times New Roman"/>
          <w:b/>
          <w:sz w:val="24"/>
          <w:szCs w:val="24"/>
        </w:rPr>
        <w:t>i</w:t>
      </w:r>
      <w:r w:rsidR="00FF319D" w:rsidRPr="008461E3">
        <w:rPr>
          <w:rFonts w:ascii="Times New Roman" w:hAnsi="Times New Roman" w:cs="Times New Roman"/>
          <w:b/>
          <w:sz w:val="24"/>
          <w:szCs w:val="24"/>
        </w:rPr>
        <w:t xml:space="preserve"> 20</w:t>
      </w:r>
      <w:r w:rsidR="00330B7C" w:rsidRPr="008461E3">
        <w:rPr>
          <w:rFonts w:ascii="Times New Roman" w:hAnsi="Times New Roman" w:cs="Times New Roman"/>
          <w:b/>
          <w:sz w:val="24"/>
          <w:szCs w:val="24"/>
        </w:rPr>
        <w:t>2</w:t>
      </w:r>
      <w:r w:rsidR="00C85A84" w:rsidRPr="008461E3">
        <w:rPr>
          <w:rFonts w:ascii="Times New Roman" w:hAnsi="Times New Roman" w:cs="Times New Roman"/>
          <w:b/>
          <w:sz w:val="24"/>
          <w:szCs w:val="24"/>
        </w:rPr>
        <w:t>3</w:t>
      </w:r>
      <w:r w:rsidR="00FF319D" w:rsidRPr="008461E3">
        <w:rPr>
          <w:rFonts w:ascii="Times New Roman" w:hAnsi="Times New Roman" w:cs="Times New Roman"/>
          <w:b/>
          <w:sz w:val="24"/>
          <w:szCs w:val="24"/>
        </w:rPr>
        <w:t>.gada 3</w:t>
      </w:r>
      <w:r w:rsidR="00A1225B" w:rsidRPr="008461E3">
        <w:rPr>
          <w:rFonts w:ascii="Times New Roman" w:hAnsi="Times New Roman" w:cs="Times New Roman"/>
          <w:b/>
          <w:sz w:val="24"/>
          <w:szCs w:val="24"/>
        </w:rPr>
        <w:t>0</w:t>
      </w:r>
      <w:r w:rsidR="00FF319D" w:rsidRPr="008461E3">
        <w:rPr>
          <w:rFonts w:ascii="Times New Roman" w:hAnsi="Times New Roman" w:cs="Times New Roman"/>
          <w:b/>
          <w:sz w:val="24"/>
          <w:szCs w:val="24"/>
        </w:rPr>
        <w:t>.</w:t>
      </w:r>
      <w:r w:rsidR="003D0F97" w:rsidRPr="008461E3">
        <w:rPr>
          <w:rFonts w:ascii="Times New Roman" w:hAnsi="Times New Roman" w:cs="Times New Roman"/>
          <w:b/>
          <w:sz w:val="24"/>
          <w:szCs w:val="24"/>
        </w:rPr>
        <w:t>jūnijs</w:t>
      </w:r>
      <w:r w:rsidR="00E37F22">
        <w:rPr>
          <w:rFonts w:ascii="Times New Roman" w:hAnsi="Times New Roman" w:cs="Times New Roman"/>
          <w:b/>
          <w:sz w:val="24"/>
          <w:szCs w:val="24"/>
        </w:rPr>
        <w:t xml:space="preserve">, </w:t>
      </w:r>
      <w:proofErr w:type="spellStart"/>
      <w:r w:rsidR="00E37F22" w:rsidRPr="00220967">
        <w:rPr>
          <w:rFonts w:ascii="Times New Roman" w:hAnsi="Times New Roman" w:cs="Times New Roman"/>
          <w:b/>
          <w:i/>
          <w:iCs/>
          <w:sz w:val="24"/>
          <w:szCs w:val="24"/>
        </w:rPr>
        <w:t>euro</w:t>
      </w:r>
      <w:proofErr w:type="spellEnd"/>
    </w:p>
    <w:tbl>
      <w:tblPr>
        <w:tblW w:w="9810" w:type="dxa"/>
        <w:tblInd w:w="-5" w:type="dxa"/>
        <w:tblLook w:val="04A0" w:firstRow="1" w:lastRow="0" w:firstColumn="1" w:lastColumn="0" w:noHBand="0" w:noVBand="1"/>
      </w:tblPr>
      <w:tblGrid>
        <w:gridCol w:w="5670"/>
        <w:gridCol w:w="4140"/>
      </w:tblGrid>
      <w:tr w:rsidR="00C85A84" w:rsidRPr="00A14B4C" w14:paraId="0457BE28" w14:textId="77777777" w:rsidTr="00611959">
        <w:trPr>
          <w:trHeight w:val="600"/>
        </w:trPr>
        <w:tc>
          <w:tcPr>
            <w:tcW w:w="56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8DD7688" w14:textId="635A9DCA" w:rsidR="00C85A84" w:rsidRPr="0058124B" w:rsidRDefault="00C85A84" w:rsidP="00C85A84">
            <w:pPr>
              <w:spacing w:after="0" w:line="240" w:lineRule="auto"/>
              <w:jc w:val="center"/>
              <w:rPr>
                <w:rFonts w:ascii="Times New Roman" w:eastAsia="Times New Roman" w:hAnsi="Times New Roman" w:cs="Times New Roman"/>
                <w:b/>
                <w:bCs/>
                <w:color w:val="000000"/>
                <w:lang w:eastAsia="lv-LV"/>
              </w:rPr>
            </w:pPr>
            <w:r w:rsidRPr="0058124B">
              <w:rPr>
                <w:rFonts w:ascii="Times New Roman" w:eastAsia="Times New Roman" w:hAnsi="Times New Roman" w:cs="Times New Roman"/>
                <w:b/>
                <w:bCs/>
                <w:color w:val="000000"/>
                <w:lang w:eastAsia="lv-LV"/>
              </w:rPr>
              <w:t>Pašvaldība</w:t>
            </w:r>
          </w:p>
        </w:tc>
        <w:tc>
          <w:tcPr>
            <w:tcW w:w="414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319156C" w14:textId="0CCC7832" w:rsidR="00C85A84" w:rsidRPr="0058124B" w:rsidRDefault="00C85A84" w:rsidP="00C85A84">
            <w:pPr>
              <w:spacing w:after="0" w:line="240" w:lineRule="auto"/>
              <w:jc w:val="center"/>
              <w:rPr>
                <w:rFonts w:ascii="Times New Roman" w:eastAsia="Times New Roman" w:hAnsi="Times New Roman" w:cs="Times New Roman"/>
                <w:b/>
                <w:bCs/>
                <w:color w:val="000000"/>
                <w:lang w:eastAsia="lv-LV"/>
              </w:rPr>
            </w:pPr>
            <w:r w:rsidRPr="0058124B">
              <w:rPr>
                <w:rFonts w:ascii="Times New Roman" w:eastAsia="Times New Roman" w:hAnsi="Times New Roman" w:cs="Times New Roman"/>
                <w:b/>
                <w:bCs/>
                <w:color w:val="000000"/>
                <w:lang w:eastAsia="lv-LV"/>
              </w:rPr>
              <w:t xml:space="preserve">Kopējais galvojuma apmērs </w:t>
            </w:r>
          </w:p>
        </w:tc>
      </w:tr>
      <w:tr w:rsidR="003D0F97" w:rsidRPr="00A14B4C" w14:paraId="6E4F5C4F"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3526C9EA" w14:textId="59ABCE6D"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 xml:space="preserve">Jūrmalas </w:t>
            </w:r>
            <w:proofErr w:type="spellStart"/>
            <w:r w:rsidRPr="00F83A7A">
              <w:rPr>
                <w:rFonts w:ascii="Times New Roman" w:eastAsia="Times New Roman" w:hAnsi="Times New Roman" w:cs="Times New Roman"/>
                <w:color w:val="000000"/>
                <w:lang w:eastAsia="lv-LV"/>
              </w:rPr>
              <w:t>valstspilsētas</w:t>
            </w:r>
            <w:proofErr w:type="spellEnd"/>
            <w:r w:rsidRPr="00F83A7A">
              <w:rPr>
                <w:rFonts w:ascii="Times New Roman" w:eastAsia="Times New Roman" w:hAnsi="Times New Roman" w:cs="Times New Roman"/>
                <w:color w:val="000000"/>
                <w:lang w:eastAsia="lv-LV"/>
              </w:rPr>
              <w:t xml:space="preserve">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C1CF77E" w14:textId="2F1B1DF1"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39 005 269.00 </w:t>
            </w:r>
          </w:p>
        </w:tc>
      </w:tr>
      <w:tr w:rsidR="003D0F97" w:rsidRPr="00A14B4C" w14:paraId="2C2D1D71"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75954419" w14:textId="3E586112"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Daugavpils pilsētas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7A626798" w14:textId="5F90C40E"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21 518 542.00 </w:t>
            </w:r>
          </w:p>
        </w:tc>
      </w:tr>
      <w:tr w:rsidR="003D0F97" w:rsidRPr="00A14B4C" w14:paraId="744648D3"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59CF4F31" w14:textId="4FBE4917"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 xml:space="preserve">Jelgavas </w:t>
            </w:r>
            <w:proofErr w:type="spellStart"/>
            <w:r w:rsidRPr="00F83A7A">
              <w:rPr>
                <w:rFonts w:ascii="Times New Roman" w:eastAsia="Times New Roman" w:hAnsi="Times New Roman" w:cs="Times New Roman"/>
                <w:color w:val="000000"/>
                <w:lang w:eastAsia="lv-LV"/>
              </w:rPr>
              <w:t>valstspilsētas</w:t>
            </w:r>
            <w:proofErr w:type="spellEnd"/>
            <w:r w:rsidRPr="00F83A7A">
              <w:rPr>
                <w:rFonts w:ascii="Times New Roman" w:eastAsia="Times New Roman" w:hAnsi="Times New Roman" w:cs="Times New Roman"/>
                <w:color w:val="000000"/>
                <w:lang w:eastAsia="lv-LV"/>
              </w:rPr>
              <w:t xml:space="preserve">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011DEE29" w14:textId="5206E8CC"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6 713 065.00 </w:t>
            </w:r>
          </w:p>
        </w:tc>
      </w:tr>
      <w:tr w:rsidR="003D0F97" w:rsidRPr="00A14B4C" w14:paraId="22BF7889"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4764ADC1" w14:textId="6E1DB419"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Tukuma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7C6AA817" w14:textId="049302B2"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5 943 344.00 </w:t>
            </w:r>
          </w:p>
        </w:tc>
      </w:tr>
      <w:tr w:rsidR="003D0F97" w:rsidRPr="00A14B4C" w14:paraId="7A7AE2EA"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267FF51D" w14:textId="16DB1173"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lastRenderedPageBreak/>
              <w:t>Madonas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15EB2F1B" w14:textId="6D3937C0"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5 384 855.00 </w:t>
            </w:r>
          </w:p>
        </w:tc>
      </w:tr>
      <w:tr w:rsidR="003D0F97" w:rsidRPr="00A14B4C" w14:paraId="4934EC0A"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57602F7B" w14:textId="471CABD3"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Jēkabpils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00A60EB" w14:textId="31F886DC"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5 043 474.00 </w:t>
            </w:r>
          </w:p>
        </w:tc>
      </w:tr>
      <w:tr w:rsidR="003D0F97" w:rsidRPr="00A14B4C" w14:paraId="149883AB"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0E501F37" w14:textId="265A6B28"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Bauskas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32CA43D1" w14:textId="75CDB113"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4 872 668.00 </w:t>
            </w:r>
          </w:p>
        </w:tc>
      </w:tr>
      <w:tr w:rsidR="003D0F97" w:rsidRPr="00A14B4C" w14:paraId="0270ABDE"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39FFE953" w14:textId="6F0F140B"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Jelgavas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9A6E374" w14:textId="3080EACD"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4 469 988.00 </w:t>
            </w:r>
          </w:p>
        </w:tc>
      </w:tr>
      <w:tr w:rsidR="003D0F97" w:rsidRPr="00A14B4C" w14:paraId="7DC4263D"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377E0524" w14:textId="5CBC773D"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Ogres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78981756" w14:textId="453744EA"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4 247 024.00 </w:t>
            </w:r>
          </w:p>
        </w:tc>
      </w:tr>
      <w:tr w:rsidR="003D0F97" w:rsidRPr="00A14B4C" w14:paraId="427B3234"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68FBF6DB" w14:textId="745B921B"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Mārupes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53A23C6" w14:textId="7801127C"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3 947 314.00 </w:t>
            </w:r>
          </w:p>
        </w:tc>
      </w:tr>
    </w:tbl>
    <w:p w14:paraId="6E304C08" w14:textId="77777777" w:rsidR="001A5260" w:rsidRPr="0058124B" w:rsidRDefault="001A5260" w:rsidP="0058124B">
      <w:pPr>
        <w:pStyle w:val="NormalWeb"/>
        <w:spacing w:before="0" w:beforeAutospacing="0" w:after="0" w:afterAutospacing="0"/>
        <w:ind w:firstLine="709"/>
        <w:jc w:val="both"/>
        <w:textAlignment w:val="baseline"/>
        <w:rPr>
          <w:rFonts w:eastAsia="Calibri"/>
        </w:rPr>
      </w:pPr>
    </w:p>
    <w:p w14:paraId="7C9044FB" w14:textId="77777777" w:rsidR="00D41016" w:rsidRPr="00AE19D7" w:rsidRDefault="00D41016" w:rsidP="00D41016">
      <w:pPr>
        <w:pStyle w:val="NormalWeb"/>
        <w:spacing w:before="0" w:beforeAutospacing="0" w:after="0" w:afterAutospacing="0"/>
        <w:ind w:firstLine="709"/>
        <w:jc w:val="both"/>
        <w:textAlignment w:val="baseline"/>
      </w:pPr>
      <w:bookmarkStart w:id="26" w:name="_Toc405371081"/>
      <w:bookmarkStart w:id="27" w:name="_Toc536779061"/>
      <w:bookmarkStart w:id="28" w:name="_Toc405371077"/>
      <w:r>
        <w:t xml:space="preserve">Galvoto valsts aizdevumu atmaksa tiek veikta atbilstoši to atmaksu grafikiem un nav bijusi nepieciešamība pieprasīt pašvaldību galvojumu izpildi. Tādējādi </w:t>
      </w:r>
      <w:r w:rsidRPr="00D824B9">
        <w:t>20</w:t>
      </w:r>
      <w:r>
        <w:t>23</w:t>
      </w:r>
      <w:r w:rsidRPr="00D824B9">
        <w:t>.gadā ir nodrošināts stingrs un fiskāli atbildīgs aizņēmumu un galvojumu saistību uzņemšanās un izpildes process</w:t>
      </w:r>
      <w:r>
        <w:t>.</w:t>
      </w:r>
      <w:r w:rsidRPr="00330B7C">
        <w:t xml:space="preserve"> </w:t>
      </w:r>
    </w:p>
    <w:p w14:paraId="45B35F2C" w14:textId="77777777" w:rsidR="00D41016" w:rsidRPr="00237DD2" w:rsidRDefault="00D41016" w:rsidP="0004033A">
      <w:pPr>
        <w:pStyle w:val="NormalWeb"/>
        <w:spacing w:before="0" w:beforeAutospacing="0"/>
        <w:ind w:firstLine="709"/>
        <w:jc w:val="both"/>
        <w:textAlignment w:val="baseline"/>
        <w:rPr>
          <w:rFonts w:eastAsia="Calibri"/>
          <w:b/>
          <w:bCs/>
        </w:rPr>
      </w:pPr>
      <w:r>
        <w:rPr>
          <w:rFonts w:eastAsia="Calibri"/>
        </w:rPr>
        <w:t>Ņ</w:t>
      </w:r>
      <w:r w:rsidRPr="009B53B2">
        <w:rPr>
          <w:rFonts w:eastAsia="Calibri"/>
        </w:rPr>
        <w:t>emot vērā</w:t>
      </w:r>
      <w:r>
        <w:rPr>
          <w:rFonts w:eastAsia="Calibri"/>
        </w:rPr>
        <w:t xml:space="preserve">, </w:t>
      </w:r>
      <w:r w:rsidRPr="00145E9D">
        <w:rPr>
          <w:rFonts w:eastAsia="Calibri"/>
        </w:rPr>
        <w:t>ka līdz šim</w:t>
      </w:r>
      <w:r>
        <w:rPr>
          <w:rFonts w:eastAsia="Calibri"/>
        </w:rPr>
        <w:t xml:space="preserve"> </w:t>
      </w:r>
      <w:r w:rsidRPr="00237DD2">
        <w:rPr>
          <w:rFonts w:eastAsia="Calibri"/>
          <w:b/>
          <w:bCs/>
        </w:rPr>
        <w:t>pašvaldību galvojumu izpildes risks</w:t>
      </w:r>
      <w:r w:rsidRPr="00145E9D">
        <w:rPr>
          <w:rFonts w:eastAsia="Calibri"/>
        </w:rPr>
        <w:t xml:space="preserve"> nav iestājies</w:t>
      </w:r>
      <w:r>
        <w:rPr>
          <w:rFonts w:eastAsia="Calibri"/>
        </w:rPr>
        <w:t>, kā arī nav indikāciju, ka tas varētu iestāties vidēja termiņa perspektīvā</w:t>
      </w:r>
      <w:r w:rsidRPr="00145E9D">
        <w:rPr>
          <w:rFonts w:eastAsia="Calibri"/>
        </w:rPr>
        <w:t xml:space="preserve">, tas tiek vērtēts kā tuvs nullei un </w:t>
      </w:r>
      <w:r w:rsidRPr="00237DD2">
        <w:rPr>
          <w:rFonts w:eastAsia="Calibri"/>
          <w:b/>
          <w:bCs/>
        </w:rPr>
        <w:t>netiek ietverts fiskālā nodrošinājuma rezerves aprēķinā.</w:t>
      </w:r>
    </w:p>
    <w:p w14:paraId="770AFD1D" w14:textId="616EBFB6" w:rsidR="006B5E3D" w:rsidRPr="00247DE9" w:rsidRDefault="006B5E3D" w:rsidP="006B5E3D">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9" w:name="_Toc125316291"/>
      <w:bookmarkStart w:id="30" w:name="_Toc125316652"/>
      <w:bookmarkStart w:id="31" w:name="_Toc125362713"/>
      <w:bookmarkStart w:id="32" w:name="_Toc125382133"/>
      <w:bookmarkStart w:id="33" w:name="_Toc125399725"/>
      <w:bookmarkStart w:id="34" w:name="_Toc125316292"/>
      <w:bookmarkStart w:id="35" w:name="_Toc125316653"/>
      <w:bookmarkStart w:id="36" w:name="_Toc125362714"/>
      <w:bookmarkStart w:id="37" w:name="_Toc125382134"/>
      <w:bookmarkStart w:id="38" w:name="_Toc125399726"/>
      <w:bookmarkStart w:id="39" w:name="_Toc125316293"/>
      <w:bookmarkStart w:id="40" w:name="_Toc125316654"/>
      <w:bookmarkStart w:id="41" w:name="_Toc125362715"/>
      <w:bookmarkStart w:id="42" w:name="_Toc125382135"/>
      <w:bookmarkStart w:id="43" w:name="_Toc125399727"/>
      <w:bookmarkStart w:id="44" w:name="_Toc125316294"/>
      <w:bookmarkStart w:id="45" w:name="_Toc125316655"/>
      <w:bookmarkStart w:id="46" w:name="_Toc125362716"/>
      <w:bookmarkStart w:id="47" w:name="_Toc125382136"/>
      <w:bookmarkStart w:id="48" w:name="_Toc125399728"/>
      <w:bookmarkStart w:id="49" w:name="_Toc125316295"/>
      <w:bookmarkStart w:id="50" w:name="_Toc125316656"/>
      <w:bookmarkStart w:id="51" w:name="_Toc125362717"/>
      <w:bookmarkStart w:id="52" w:name="_Toc125382137"/>
      <w:bookmarkStart w:id="53" w:name="_Toc125399729"/>
      <w:bookmarkStart w:id="54" w:name="_Toc125316296"/>
      <w:bookmarkStart w:id="55" w:name="_Toc125316657"/>
      <w:bookmarkStart w:id="56" w:name="_Toc125362718"/>
      <w:bookmarkStart w:id="57" w:name="_Toc125382138"/>
      <w:bookmarkStart w:id="58" w:name="_Toc125399730"/>
      <w:bookmarkStart w:id="59" w:name="_Toc1423880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247DE9">
        <w:rPr>
          <w:rFonts w:ascii="Times New Roman" w:hAnsi="Times New Roman" w:cs="Times New Roman"/>
          <w:color w:val="auto"/>
          <w:sz w:val="24"/>
          <w:szCs w:val="24"/>
        </w:rPr>
        <w:t>Valsts galvojums studiju un studējošo kreditēšanai</w:t>
      </w:r>
      <w:bookmarkEnd w:id="26"/>
      <w:bookmarkEnd w:id="27"/>
      <w:bookmarkEnd w:id="59"/>
    </w:p>
    <w:p w14:paraId="3CFF00BD" w14:textId="5404400E" w:rsidR="00247DE9" w:rsidRDefault="00247DE9" w:rsidP="00247DE9">
      <w:pPr>
        <w:spacing w:after="0" w:line="240" w:lineRule="auto"/>
        <w:ind w:firstLine="720"/>
        <w:jc w:val="both"/>
        <w:rPr>
          <w:rFonts w:ascii="Times New Roman" w:eastAsiaTheme="minorHAnsi" w:hAnsi="Times New Roman" w:cs="Times New Roman"/>
          <w:sz w:val="24"/>
        </w:rPr>
      </w:pPr>
      <w:bookmarkStart w:id="60" w:name="_Toc536779062"/>
      <w:r w:rsidRPr="0089209F">
        <w:rPr>
          <w:rFonts w:ascii="Times New Roman" w:eastAsiaTheme="minorHAnsi" w:hAnsi="Times New Roman" w:cs="Times New Roman"/>
          <w:sz w:val="24"/>
        </w:rPr>
        <w:t>Fiskālais risks var iestāties, ja valstij vienlaicīgi ir jāveic liels skaits maksājumu attiecībā pret sniegtaj</w:t>
      </w:r>
      <w:r>
        <w:rPr>
          <w:rFonts w:ascii="Times New Roman" w:eastAsiaTheme="minorHAnsi" w:hAnsi="Times New Roman" w:cs="Times New Roman"/>
          <w:sz w:val="24"/>
        </w:rPr>
        <w:t>iem</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galvojumiem</w:t>
      </w:r>
      <w:r w:rsidRPr="0089209F">
        <w:rPr>
          <w:rFonts w:ascii="Times New Roman" w:eastAsiaTheme="minorHAnsi" w:hAnsi="Times New Roman" w:cs="Times New Roman"/>
          <w:sz w:val="24"/>
        </w:rPr>
        <w:t xml:space="preserve">, kas var palielināt vispārējās valdības budžeta </w:t>
      </w:r>
      <w:r>
        <w:rPr>
          <w:rFonts w:ascii="Times New Roman" w:eastAsiaTheme="minorHAnsi" w:hAnsi="Times New Roman" w:cs="Times New Roman"/>
          <w:sz w:val="24"/>
        </w:rPr>
        <w:t>deficītu</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J</w:t>
      </w:r>
      <w:r w:rsidRPr="0089209F">
        <w:rPr>
          <w:rFonts w:ascii="Times New Roman" w:eastAsiaTheme="minorHAnsi" w:hAnsi="Times New Roman" w:cs="Times New Roman"/>
          <w:sz w:val="24"/>
        </w:rPr>
        <w:t xml:space="preserve">āatzīmē, ka valsts galvojumu sistēma paredz, ka papildus valsts galvojumam </w:t>
      </w:r>
      <w:r w:rsidR="00D9382C">
        <w:rPr>
          <w:rFonts w:ascii="Times New Roman" w:eastAsiaTheme="minorHAnsi" w:hAnsi="Times New Roman" w:cs="Times New Roman"/>
          <w:sz w:val="24"/>
        </w:rPr>
        <w:t>tika</w:t>
      </w:r>
      <w:r w:rsidR="00D9382C" w:rsidRPr="0089209F">
        <w:rPr>
          <w:rFonts w:ascii="Times New Roman" w:eastAsiaTheme="minorHAnsi" w:hAnsi="Times New Roman" w:cs="Times New Roman"/>
          <w:sz w:val="24"/>
        </w:rPr>
        <w:t xml:space="preserve"> </w:t>
      </w:r>
      <w:r w:rsidR="00D9382C">
        <w:rPr>
          <w:rFonts w:ascii="Times New Roman" w:eastAsiaTheme="minorHAnsi" w:hAnsi="Times New Roman" w:cs="Times New Roman"/>
          <w:sz w:val="24"/>
        </w:rPr>
        <w:t>sniegti</w:t>
      </w:r>
      <w:r w:rsidR="00D9382C" w:rsidRPr="0089209F">
        <w:rPr>
          <w:rFonts w:ascii="Times New Roman" w:eastAsiaTheme="minorHAnsi" w:hAnsi="Times New Roman" w:cs="Times New Roman"/>
          <w:sz w:val="24"/>
        </w:rPr>
        <w:t xml:space="preserve"> </w:t>
      </w:r>
      <w:r w:rsidRPr="0089209F">
        <w:rPr>
          <w:rFonts w:ascii="Times New Roman" w:eastAsiaTheme="minorHAnsi" w:hAnsi="Times New Roman" w:cs="Times New Roman"/>
          <w:sz w:val="24"/>
        </w:rPr>
        <w:t>arī trešo personu galvojumi, kas iestājas pirms valsts galvojuma.</w:t>
      </w:r>
    </w:p>
    <w:p w14:paraId="36E63B2B" w14:textId="526FB3BB" w:rsidR="00607A86" w:rsidRDefault="000138D9" w:rsidP="00607A86">
      <w:pPr>
        <w:spacing w:after="0"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 xml:space="preserve">Uz </w:t>
      </w:r>
      <w:r w:rsidR="00247DE9">
        <w:rPr>
          <w:rFonts w:ascii="Times New Roman" w:eastAsiaTheme="minorHAnsi" w:hAnsi="Times New Roman" w:cs="Times New Roman"/>
          <w:sz w:val="24"/>
        </w:rPr>
        <w:t>20</w:t>
      </w:r>
      <w:r w:rsidR="00DC21BD">
        <w:rPr>
          <w:rFonts w:ascii="Times New Roman" w:eastAsiaTheme="minorHAnsi" w:hAnsi="Times New Roman" w:cs="Times New Roman"/>
          <w:sz w:val="24"/>
        </w:rPr>
        <w:t>2</w:t>
      </w:r>
      <w:r w:rsidR="00607A86">
        <w:rPr>
          <w:rFonts w:ascii="Times New Roman" w:eastAsiaTheme="minorHAnsi" w:hAnsi="Times New Roman" w:cs="Times New Roman"/>
          <w:sz w:val="24"/>
        </w:rPr>
        <w:t>3</w:t>
      </w:r>
      <w:r w:rsidR="00247DE9">
        <w:rPr>
          <w:rFonts w:ascii="Times New Roman" w:eastAsiaTheme="minorHAnsi" w:hAnsi="Times New Roman" w:cs="Times New Roman"/>
          <w:sz w:val="24"/>
        </w:rPr>
        <w:t>.gad</w:t>
      </w:r>
      <w:r>
        <w:rPr>
          <w:rFonts w:ascii="Times New Roman" w:eastAsiaTheme="minorHAnsi" w:hAnsi="Times New Roman" w:cs="Times New Roman"/>
          <w:sz w:val="24"/>
        </w:rPr>
        <w:t>a 1.jūniju</w:t>
      </w:r>
      <w:r w:rsidR="00247DE9">
        <w:rPr>
          <w:rFonts w:ascii="Times New Roman" w:eastAsiaTheme="minorHAnsi" w:hAnsi="Times New Roman" w:cs="Times New Roman"/>
          <w:sz w:val="24"/>
        </w:rPr>
        <w:t xml:space="preserve"> </w:t>
      </w:r>
      <w:r w:rsidR="00247DE9" w:rsidRPr="00EA3337">
        <w:rPr>
          <w:rFonts w:ascii="Times New Roman" w:eastAsiaTheme="minorHAnsi" w:hAnsi="Times New Roman" w:cs="Times New Roman"/>
          <w:sz w:val="24"/>
        </w:rPr>
        <w:t xml:space="preserve">valsts ir veikusi galvojumu saistību izpildi </w:t>
      </w:r>
      <w:r w:rsidR="00607A86">
        <w:rPr>
          <w:rFonts w:ascii="Times New Roman" w:eastAsiaTheme="minorHAnsi" w:hAnsi="Times New Roman" w:cs="Times New Roman"/>
          <w:sz w:val="24"/>
        </w:rPr>
        <w:t>13</w:t>
      </w:r>
      <w:r w:rsidR="00543109">
        <w:rPr>
          <w:rFonts w:ascii="Times New Roman" w:eastAsiaTheme="minorHAnsi" w:hAnsi="Times New Roman" w:cs="Times New Roman"/>
          <w:sz w:val="24"/>
        </w:rPr>
        <w:t>,</w:t>
      </w:r>
      <w:r w:rsidR="00607A86">
        <w:rPr>
          <w:rFonts w:ascii="Times New Roman" w:eastAsiaTheme="minorHAnsi" w:hAnsi="Times New Roman" w:cs="Times New Roman"/>
          <w:sz w:val="24"/>
        </w:rPr>
        <w:t xml:space="preserve">3 </w:t>
      </w:r>
      <w:r w:rsidR="00543109">
        <w:rPr>
          <w:rFonts w:ascii="Times New Roman" w:eastAsiaTheme="minorHAnsi" w:hAnsi="Times New Roman" w:cs="Times New Roman"/>
          <w:sz w:val="24"/>
        </w:rPr>
        <w:t>tūkst.</w:t>
      </w:r>
      <w:r w:rsidR="00D9382C">
        <w:rPr>
          <w:rFonts w:ascii="Times New Roman" w:eastAsiaTheme="minorHAnsi" w:hAnsi="Times New Roman" w:cs="Times New Roman"/>
          <w:sz w:val="24"/>
        </w:rPr>
        <w:t> </w:t>
      </w:r>
      <w:proofErr w:type="spellStart"/>
      <w:r w:rsidR="00247DE9" w:rsidRPr="00EA3337">
        <w:rPr>
          <w:rFonts w:ascii="Times New Roman" w:eastAsiaTheme="minorHAnsi" w:hAnsi="Times New Roman" w:cs="Times New Roman"/>
          <w:i/>
          <w:sz w:val="24"/>
        </w:rPr>
        <w:t>euro</w:t>
      </w:r>
      <w:proofErr w:type="spellEnd"/>
      <w:r w:rsidR="00247DE9" w:rsidRPr="00EA3337">
        <w:rPr>
          <w:rFonts w:ascii="Times New Roman" w:eastAsiaTheme="minorHAnsi" w:hAnsi="Times New Roman" w:cs="Times New Roman"/>
          <w:sz w:val="24"/>
        </w:rPr>
        <w:t xml:space="preserve"> apmērā, </w:t>
      </w:r>
      <w:r w:rsidR="00607A86">
        <w:rPr>
          <w:rFonts w:ascii="Times New Roman" w:eastAsiaTheme="minorHAnsi" w:hAnsi="Times New Roman" w:cs="Times New Roman"/>
          <w:sz w:val="24"/>
        </w:rPr>
        <w:t xml:space="preserve">kuru veido veiktie </w:t>
      </w:r>
      <w:proofErr w:type="spellStart"/>
      <w:r w:rsidR="00607A86">
        <w:rPr>
          <w:rFonts w:ascii="Times New Roman" w:eastAsiaTheme="minorHAnsi" w:hAnsi="Times New Roman" w:cs="Times New Roman"/>
          <w:sz w:val="24"/>
        </w:rPr>
        <w:t>pārskaitījumi</w:t>
      </w:r>
      <w:proofErr w:type="spellEnd"/>
      <w:r w:rsidR="00607A86">
        <w:rPr>
          <w:rFonts w:ascii="Times New Roman" w:eastAsiaTheme="minorHAnsi" w:hAnsi="Times New Roman" w:cs="Times New Roman"/>
          <w:sz w:val="24"/>
        </w:rPr>
        <w:t xml:space="preserve">: </w:t>
      </w:r>
    </w:p>
    <w:p w14:paraId="3CF0BAE1" w14:textId="409CE944" w:rsidR="00247DE9" w:rsidRPr="00436799" w:rsidRDefault="00607A86"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7,8</w:t>
      </w:r>
      <w:r w:rsidR="00543109">
        <w:rPr>
          <w:rFonts w:ascii="Times New Roman" w:eastAsiaTheme="minorHAnsi" w:hAnsi="Times New Roman"/>
          <w:sz w:val="24"/>
        </w:rPr>
        <w:t xml:space="preserve"> tūkst.</w:t>
      </w:r>
      <w:r w:rsidR="00D9382C">
        <w:rPr>
          <w:rFonts w:ascii="Times New Roman" w:eastAsiaTheme="minorHAnsi" w:hAnsi="Times New Roman"/>
          <w:sz w:val="24"/>
        </w:rPr>
        <w:t> </w:t>
      </w:r>
      <w:proofErr w:type="spellStart"/>
      <w:r w:rsidR="00247DE9" w:rsidRPr="00F7750E">
        <w:rPr>
          <w:rFonts w:ascii="Times New Roman" w:eastAsiaTheme="minorHAnsi" w:hAnsi="Times New Roman"/>
          <w:i/>
          <w:sz w:val="24"/>
        </w:rPr>
        <w:t>euro</w:t>
      </w:r>
      <w:proofErr w:type="spellEnd"/>
      <w:r w:rsidR="00247DE9" w:rsidRPr="00F7750E">
        <w:rPr>
          <w:rFonts w:ascii="Times New Roman" w:eastAsiaTheme="minorHAnsi" w:hAnsi="Times New Roman"/>
          <w:i/>
          <w:sz w:val="24"/>
        </w:rPr>
        <w:t xml:space="preserve"> </w:t>
      </w:r>
      <w:r w:rsidR="00247DE9" w:rsidRPr="00436799">
        <w:rPr>
          <w:rFonts w:ascii="Times New Roman" w:eastAsiaTheme="minorHAnsi" w:hAnsi="Times New Roman"/>
          <w:sz w:val="24"/>
        </w:rPr>
        <w:t xml:space="preserve">noslēgtajiem kredīta līgumiem un kuros atbilstoši MK noteikumu tiesību normām kredītiestāde pēc valsts galvojuma saistību izpildes turpina veikt neatmaksātā kredīta piedziņu, </w:t>
      </w:r>
    </w:p>
    <w:p w14:paraId="7A3E2047" w14:textId="25583CCE" w:rsidR="00247DE9" w:rsidRPr="00436799" w:rsidRDefault="00543109"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5,</w:t>
      </w:r>
      <w:r w:rsidR="00607A86">
        <w:rPr>
          <w:rFonts w:ascii="Times New Roman" w:eastAsiaTheme="minorHAnsi" w:hAnsi="Times New Roman"/>
          <w:sz w:val="24"/>
        </w:rPr>
        <w:t>5</w:t>
      </w:r>
      <w:r>
        <w:rPr>
          <w:rFonts w:ascii="Times New Roman" w:eastAsiaTheme="minorHAnsi" w:hAnsi="Times New Roman"/>
          <w:sz w:val="24"/>
        </w:rPr>
        <w:t xml:space="preserve"> tūkst.</w:t>
      </w:r>
      <w:r w:rsidR="00D9382C">
        <w:rPr>
          <w:rFonts w:ascii="Times New Roman" w:eastAsiaTheme="minorHAnsi" w:hAnsi="Times New Roman"/>
          <w:sz w:val="24"/>
        </w:rPr>
        <w:t> </w:t>
      </w:r>
      <w:proofErr w:type="spellStart"/>
      <w:r w:rsidR="00247DE9" w:rsidRPr="00436799">
        <w:rPr>
          <w:rFonts w:ascii="Times New Roman" w:eastAsiaTheme="minorHAnsi" w:hAnsi="Times New Roman"/>
          <w:i/>
          <w:sz w:val="24"/>
        </w:rPr>
        <w:t>euro</w:t>
      </w:r>
      <w:proofErr w:type="spellEnd"/>
      <w:r w:rsidR="00247DE9" w:rsidRPr="00436799">
        <w:rPr>
          <w:rFonts w:ascii="Times New Roman" w:eastAsiaTheme="minorHAnsi" w:hAnsi="Times New Roman"/>
          <w:sz w:val="24"/>
        </w:rPr>
        <w:t xml:space="preserve"> apmērā, kad maksātnespējas procesā ar tiesas lēmumu studējošo un to galvinieku (fizisku personu) saistības ir dzēstas un nav pret ko vērst savu regresa prasību. </w:t>
      </w:r>
    </w:p>
    <w:p w14:paraId="3C693C21" w14:textId="6BE59F06" w:rsidR="00247DE9" w:rsidRDefault="00247DE9" w:rsidP="0004033A">
      <w:pPr>
        <w:spacing w:after="100" w:afterAutospacing="1"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F</w:t>
      </w:r>
      <w:r w:rsidRPr="00EA3337">
        <w:rPr>
          <w:rFonts w:ascii="Times New Roman" w:eastAsiaTheme="minorHAnsi" w:hAnsi="Times New Roman" w:cs="Times New Roman"/>
          <w:sz w:val="24"/>
        </w:rPr>
        <w:t xml:space="preserve">iskālā ietekme un iestāšanās varbūtība šim specifiskajam fiskālajam riskam tiek novērtēta tuvu nullei, jo vēsturiskā pieredze neliecina par būtisku ietekmi uz valsts budžetu. Ņemot vērā minēto, </w:t>
      </w:r>
      <w:r w:rsidRPr="0020713B">
        <w:rPr>
          <w:rFonts w:ascii="Times New Roman" w:hAnsi="Times New Roman"/>
          <w:b/>
          <w:bCs/>
          <w:sz w:val="24"/>
        </w:rPr>
        <w:t>fiskālā nodrošinājuma rezerve šim riskam netiek veidota</w:t>
      </w:r>
      <w:r w:rsidRPr="0020713B">
        <w:rPr>
          <w:rFonts w:ascii="Times New Roman" w:eastAsiaTheme="minorHAnsi" w:hAnsi="Times New Roman" w:cs="Times New Roman"/>
          <w:b/>
          <w:bCs/>
          <w:sz w:val="24"/>
        </w:rPr>
        <w:t>.</w:t>
      </w:r>
    </w:p>
    <w:p w14:paraId="0EF08545" w14:textId="5B613A21" w:rsidR="00822D84" w:rsidRPr="00552573"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1" w:name="_Toc142388029"/>
      <w:r w:rsidRPr="00552573">
        <w:rPr>
          <w:rFonts w:ascii="Times New Roman" w:hAnsi="Times New Roman" w:cs="Times New Roman"/>
          <w:color w:val="auto"/>
          <w:sz w:val="24"/>
          <w:szCs w:val="24"/>
        </w:rPr>
        <w:t>Valsts aizdevumi</w:t>
      </w:r>
      <w:bookmarkEnd w:id="28"/>
      <w:bookmarkEnd w:id="60"/>
      <w:bookmarkEnd w:id="61"/>
    </w:p>
    <w:p w14:paraId="3C355878" w14:textId="2BA1D3EF" w:rsidR="005C32F2" w:rsidRPr="00552573" w:rsidRDefault="005C32F2" w:rsidP="005C32F2">
      <w:pPr>
        <w:spacing w:after="0" w:line="240" w:lineRule="auto"/>
        <w:ind w:firstLine="709"/>
        <w:jc w:val="both"/>
        <w:rPr>
          <w:rFonts w:ascii="Times New Roman" w:hAnsi="Times New Roman"/>
          <w:sz w:val="24"/>
        </w:rPr>
      </w:pPr>
      <w:r w:rsidRPr="00552573">
        <w:rPr>
          <w:rFonts w:ascii="Times New Roman" w:eastAsia="Calibri" w:hAnsi="Times New Roman"/>
          <w:sz w:val="24"/>
        </w:rPr>
        <w:t xml:space="preserve">Valsts aizdevumu fiskālais risks </w:t>
      </w:r>
      <w:r w:rsidRPr="00552573">
        <w:rPr>
          <w:rFonts w:ascii="Times New Roman" w:eastAsia="Calibri" w:hAnsi="Times New Roman"/>
          <w:sz w:val="24"/>
          <w:szCs w:val="24"/>
        </w:rPr>
        <w:t>saskaņā ar fiskālo risku avotu klasifikāciju ir iespējamās saistības (izdevumi), kas izriet no līgumiem.</w:t>
      </w:r>
      <w:r w:rsidRPr="00552573">
        <w:rPr>
          <w:rFonts w:ascii="Times New Roman" w:eastAsia="Calibri" w:hAnsi="Times New Roman"/>
          <w:sz w:val="24"/>
        </w:rPr>
        <w:t xml:space="preserve"> </w:t>
      </w:r>
      <w:r w:rsidRPr="00552573">
        <w:rPr>
          <w:rFonts w:ascii="Times New Roman" w:eastAsia="Calibri" w:hAnsi="Times New Roman"/>
          <w:sz w:val="24"/>
          <w:szCs w:val="24"/>
        </w:rPr>
        <w:t xml:space="preserve">Valsts </w:t>
      </w:r>
      <w:r w:rsidRPr="00784A7D">
        <w:rPr>
          <w:rFonts w:ascii="Times New Roman" w:eastAsia="Calibri" w:hAnsi="Times New Roman"/>
          <w:sz w:val="24"/>
          <w:szCs w:val="24"/>
        </w:rPr>
        <w:t xml:space="preserve">aizdevumu </w:t>
      </w:r>
      <w:r w:rsidRPr="0058124B">
        <w:rPr>
          <w:rFonts w:ascii="Times New Roman" w:eastAsia="Calibri" w:hAnsi="Times New Roman"/>
          <w:sz w:val="24"/>
          <w:szCs w:val="24"/>
        </w:rPr>
        <w:t>fiskālais risks</w:t>
      </w:r>
      <w:r w:rsidRPr="00552573">
        <w:rPr>
          <w:rFonts w:ascii="Times New Roman" w:eastAsia="Calibri" w:hAnsi="Times New Roman"/>
          <w:sz w:val="24"/>
          <w:szCs w:val="24"/>
        </w:rPr>
        <w:t xml:space="preserve"> (</w:t>
      </w:r>
      <w:r w:rsidR="0099117B">
        <w:rPr>
          <w:rFonts w:ascii="Times New Roman" w:eastAsia="Calibri" w:hAnsi="Times New Roman"/>
          <w:sz w:val="24"/>
          <w:szCs w:val="24"/>
        </w:rPr>
        <w:t xml:space="preserve">šīs deklarācijas </w:t>
      </w:r>
      <w:proofErr w:type="spellStart"/>
      <w:r w:rsidR="0099117B">
        <w:rPr>
          <w:rFonts w:ascii="Times New Roman" w:eastAsia="Calibri" w:hAnsi="Times New Roman"/>
          <w:sz w:val="24"/>
          <w:szCs w:val="24"/>
        </w:rPr>
        <w:t>apakšsadaļas</w:t>
      </w:r>
      <w:proofErr w:type="spellEnd"/>
      <w:r w:rsidR="0099117B">
        <w:rPr>
          <w:rFonts w:ascii="Times New Roman" w:eastAsia="Calibri" w:hAnsi="Times New Roman"/>
          <w:sz w:val="24"/>
          <w:szCs w:val="24"/>
        </w:rPr>
        <w:t xml:space="preserve"> ietvaros </w:t>
      </w:r>
      <w:r w:rsidRPr="00552573">
        <w:rPr>
          <w:rFonts w:ascii="Times New Roman" w:eastAsia="Calibri" w:hAnsi="Times New Roman"/>
          <w:sz w:val="24"/>
          <w:szCs w:val="24"/>
        </w:rPr>
        <w:t>turpmāk – aizdevumu risks) ir nenoteiktības ietekme uz valsts aizdevumu saņēmēju (</w:t>
      </w:r>
      <w:r w:rsidR="0099117B">
        <w:rPr>
          <w:rFonts w:ascii="Times New Roman" w:eastAsia="Calibri" w:hAnsi="Times New Roman"/>
          <w:sz w:val="24"/>
          <w:szCs w:val="24"/>
        </w:rPr>
        <w:t xml:space="preserve">šīs deklarācijas </w:t>
      </w:r>
      <w:proofErr w:type="spellStart"/>
      <w:r w:rsidR="0099117B">
        <w:rPr>
          <w:rFonts w:ascii="Times New Roman" w:eastAsia="Calibri" w:hAnsi="Times New Roman"/>
          <w:sz w:val="24"/>
          <w:szCs w:val="24"/>
        </w:rPr>
        <w:t>apakšsadaļas</w:t>
      </w:r>
      <w:proofErr w:type="spellEnd"/>
      <w:r w:rsidR="0099117B">
        <w:rPr>
          <w:rFonts w:ascii="Times New Roman" w:eastAsia="Calibri" w:hAnsi="Times New Roman"/>
          <w:sz w:val="24"/>
          <w:szCs w:val="24"/>
        </w:rPr>
        <w:t xml:space="preserve"> ietvaros</w:t>
      </w:r>
      <w:r w:rsidR="0099117B" w:rsidRPr="00552573">
        <w:rPr>
          <w:rFonts w:ascii="Times New Roman" w:eastAsia="Calibri" w:hAnsi="Times New Roman"/>
          <w:sz w:val="24"/>
          <w:szCs w:val="24"/>
        </w:rPr>
        <w:t xml:space="preserve"> </w:t>
      </w:r>
      <w:r w:rsidRPr="00552573">
        <w:rPr>
          <w:rFonts w:ascii="Times New Roman" w:eastAsia="Calibri" w:hAnsi="Times New Roman"/>
          <w:sz w:val="24"/>
          <w:szCs w:val="24"/>
        </w:rPr>
        <w:t xml:space="preserve">turpmāk – aizdevumu saņēmēju) spēju segt savas saistības savlaicīgi un pilnā apmērā, kā rezultātā valsts var nesaņemt plānotos valsts aizdevumu pamatsummu un procentu maksājumus. </w:t>
      </w:r>
      <w:r w:rsidRPr="00552573">
        <w:rPr>
          <w:rFonts w:ascii="Times New Roman" w:eastAsia="Calibri" w:hAnsi="Times New Roman"/>
          <w:sz w:val="24"/>
        </w:rPr>
        <w:t xml:space="preserve">Saskaņā ar MK noteikumiem Nr.229 aizdevumu riska </w:t>
      </w:r>
      <w:r w:rsidRPr="0058124B">
        <w:rPr>
          <w:rFonts w:ascii="Times New Roman" w:eastAsia="Calibri" w:hAnsi="Times New Roman"/>
          <w:bCs/>
          <w:sz w:val="24"/>
        </w:rPr>
        <w:t>fiskālo ietekmi</w:t>
      </w:r>
      <w:r w:rsidRPr="00784A7D">
        <w:rPr>
          <w:rFonts w:ascii="Times New Roman" w:eastAsia="Calibri" w:hAnsi="Times New Roman"/>
          <w:bCs/>
          <w:sz w:val="24"/>
        </w:rPr>
        <w:t xml:space="preserve"> katrā gadā aprēķina kā katra </w:t>
      </w:r>
      <w:r w:rsidRPr="0058124B">
        <w:rPr>
          <w:rFonts w:ascii="Times New Roman" w:eastAsia="Calibri" w:hAnsi="Times New Roman"/>
          <w:bCs/>
          <w:sz w:val="24"/>
        </w:rPr>
        <w:t xml:space="preserve">valsts aizdevuma </w:t>
      </w:r>
      <w:r w:rsidRPr="0058124B">
        <w:rPr>
          <w:rFonts w:ascii="Times New Roman" w:eastAsia="Calibri" w:hAnsi="Times New Roman"/>
          <w:bCs/>
          <w:sz w:val="24"/>
          <w:szCs w:val="24"/>
        </w:rPr>
        <w:t>ārpus vispārējās valdības sektora klasificētām iestādēm</w:t>
      </w:r>
      <w:r w:rsidRPr="00784A7D">
        <w:rPr>
          <w:rFonts w:ascii="Times New Roman" w:eastAsia="Calibri" w:hAnsi="Times New Roman"/>
          <w:bCs/>
          <w:sz w:val="24"/>
        </w:rPr>
        <w:t xml:space="preserve"> attiecīgajā gadā saskaņā ar aizdevuma līguma grafiku plānoto maksājumu kopsummu. Savukārt </w:t>
      </w:r>
      <w:r w:rsidRPr="0058124B">
        <w:rPr>
          <w:rFonts w:ascii="Times New Roman" w:eastAsia="Calibri" w:hAnsi="Times New Roman"/>
          <w:bCs/>
          <w:sz w:val="24"/>
        </w:rPr>
        <w:t>fiskālā nodrošinājuma rezervi</w:t>
      </w:r>
      <w:r w:rsidRPr="00784A7D">
        <w:rPr>
          <w:rFonts w:ascii="Times New Roman" w:eastAsia="Calibri" w:hAnsi="Times New Roman"/>
          <w:bCs/>
          <w:sz w:val="24"/>
        </w:rPr>
        <w:t xml:space="preserve"> v</w:t>
      </w:r>
      <w:r w:rsidRPr="00552573">
        <w:rPr>
          <w:rFonts w:ascii="Times New Roman" w:eastAsia="Calibri" w:hAnsi="Times New Roman"/>
          <w:sz w:val="24"/>
        </w:rPr>
        <w:t>alsts aizdevumiem aprēķina, reizinot aizdevumu risku fiskālās ietekmes vērtības ar aizdevumu risku iestāšanās varbūtībām.</w:t>
      </w:r>
    </w:p>
    <w:p w14:paraId="70754B41" w14:textId="42C0A1DF" w:rsidR="00607A86" w:rsidRDefault="00607A86" w:rsidP="00607A86">
      <w:pPr>
        <w:spacing w:after="0" w:line="240" w:lineRule="auto"/>
        <w:ind w:firstLine="709"/>
        <w:jc w:val="both"/>
        <w:rPr>
          <w:rFonts w:ascii="Times New Roman" w:hAnsi="Times New Roman"/>
          <w:sz w:val="24"/>
        </w:rPr>
      </w:pPr>
      <w:r w:rsidRPr="00C04236">
        <w:rPr>
          <w:rFonts w:ascii="Times New Roman" w:hAnsi="Times New Roman"/>
          <w:sz w:val="24"/>
        </w:rPr>
        <w:t>Valsts atbalsta pasāku</w:t>
      </w:r>
      <w:r>
        <w:rPr>
          <w:rFonts w:ascii="Times New Roman" w:hAnsi="Times New Roman"/>
          <w:sz w:val="24"/>
        </w:rPr>
        <w:t xml:space="preserve">mu rezultātā </w:t>
      </w:r>
      <w:r w:rsidRPr="00C04236">
        <w:rPr>
          <w:rFonts w:ascii="Times New Roman" w:hAnsi="Times New Roman"/>
          <w:sz w:val="24"/>
        </w:rPr>
        <w:t>Covid-19 pandēmij</w:t>
      </w:r>
      <w:r>
        <w:rPr>
          <w:rFonts w:ascii="Times New Roman" w:hAnsi="Times New Roman"/>
          <w:sz w:val="24"/>
        </w:rPr>
        <w:t xml:space="preserve">as un energoresursu cenu pieauguma ietekme uz valsts aizdevumu kvalitāti </w:t>
      </w:r>
      <w:r w:rsidRPr="00C04236">
        <w:rPr>
          <w:rFonts w:ascii="Times New Roman" w:hAnsi="Times New Roman"/>
          <w:sz w:val="24"/>
        </w:rPr>
        <w:t>pagaidām ir bijusi ierobežota</w:t>
      </w:r>
      <w:r>
        <w:rPr>
          <w:rFonts w:ascii="Times New Roman" w:hAnsi="Times New Roman"/>
          <w:sz w:val="24"/>
        </w:rPr>
        <w:t xml:space="preserve"> un</w:t>
      </w:r>
      <w:r w:rsidRPr="00C04236">
        <w:rPr>
          <w:rFonts w:ascii="Times New Roman" w:hAnsi="Times New Roman"/>
          <w:sz w:val="24"/>
        </w:rPr>
        <w:t xml:space="preserve"> </w:t>
      </w:r>
      <w:r w:rsidRPr="0078099F">
        <w:rPr>
          <w:rFonts w:ascii="Times New Roman" w:hAnsi="Times New Roman"/>
          <w:sz w:val="24"/>
        </w:rPr>
        <w:t>20</w:t>
      </w:r>
      <w:r>
        <w:rPr>
          <w:rFonts w:ascii="Times New Roman" w:hAnsi="Times New Roman"/>
          <w:sz w:val="24"/>
        </w:rPr>
        <w:t>21</w:t>
      </w:r>
      <w:r w:rsidRPr="0078099F">
        <w:rPr>
          <w:rFonts w:ascii="Times New Roman" w:hAnsi="Times New Roman"/>
          <w:sz w:val="24"/>
        </w:rPr>
        <w:t>.</w:t>
      </w:r>
      <w:r>
        <w:rPr>
          <w:rFonts w:ascii="Times New Roman" w:hAnsi="Times New Roman"/>
          <w:sz w:val="24"/>
        </w:rPr>
        <w:t>-2022.</w:t>
      </w:r>
      <w:r w:rsidRPr="0078099F">
        <w:rPr>
          <w:rFonts w:ascii="Times New Roman" w:hAnsi="Times New Roman"/>
          <w:sz w:val="24"/>
        </w:rPr>
        <w:t>gadā valsts aizdevum</w:t>
      </w:r>
      <w:r>
        <w:rPr>
          <w:rFonts w:ascii="Times New Roman" w:hAnsi="Times New Roman"/>
          <w:sz w:val="24"/>
        </w:rPr>
        <w:t>u</w:t>
      </w:r>
      <w:r w:rsidRPr="0078099F">
        <w:rPr>
          <w:rFonts w:ascii="Times New Roman" w:hAnsi="Times New Roman"/>
          <w:sz w:val="24"/>
        </w:rPr>
        <w:t xml:space="preserve"> fiskālie riski nav iestājušies. </w:t>
      </w:r>
      <w:r>
        <w:rPr>
          <w:rFonts w:ascii="Times New Roman" w:hAnsi="Times New Roman"/>
          <w:sz w:val="24"/>
        </w:rPr>
        <w:t>V</w:t>
      </w:r>
      <w:r w:rsidRPr="0078099F">
        <w:rPr>
          <w:rFonts w:ascii="Times New Roman" w:hAnsi="Times New Roman"/>
          <w:sz w:val="24"/>
        </w:rPr>
        <w:t xml:space="preserve">alsts aizdevumu </w:t>
      </w:r>
      <w:r w:rsidRPr="0052579E">
        <w:rPr>
          <w:rFonts w:ascii="Times New Roman" w:hAnsi="Times New Roman"/>
          <w:sz w:val="24"/>
        </w:rPr>
        <w:t>atlikums 202</w:t>
      </w:r>
      <w:r>
        <w:rPr>
          <w:rFonts w:ascii="Times New Roman" w:hAnsi="Times New Roman"/>
          <w:sz w:val="24"/>
        </w:rPr>
        <w:t>3</w:t>
      </w:r>
      <w:r w:rsidRPr="0052579E">
        <w:rPr>
          <w:rFonts w:ascii="Times New Roman" w:hAnsi="Times New Roman"/>
          <w:sz w:val="24"/>
        </w:rPr>
        <w:t xml:space="preserve">.gada </w:t>
      </w:r>
      <w:r>
        <w:rPr>
          <w:rFonts w:ascii="Times New Roman" w:hAnsi="Times New Roman"/>
          <w:sz w:val="24"/>
        </w:rPr>
        <w:t>1</w:t>
      </w:r>
      <w:r w:rsidRPr="0052579E">
        <w:rPr>
          <w:rFonts w:ascii="Times New Roman" w:hAnsi="Times New Roman"/>
          <w:sz w:val="24"/>
        </w:rPr>
        <w:t>.</w:t>
      </w:r>
      <w:r>
        <w:rPr>
          <w:rFonts w:ascii="Times New Roman" w:hAnsi="Times New Roman"/>
          <w:sz w:val="24"/>
        </w:rPr>
        <w:t>jūnijā</w:t>
      </w:r>
      <w:r w:rsidRPr="00E91197">
        <w:rPr>
          <w:rFonts w:ascii="Times New Roman" w:hAnsi="Times New Roman"/>
          <w:sz w:val="24"/>
        </w:rPr>
        <w:t xml:space="preserve"> bija </w:t>
      </w:r>
      <w:r>
        <w:rPr>
          <w:rFonts w:ascii="Times New Roman" w:hAnsi="Times New Roman"/>
          <w:sz w:val="24"/>
        </w:rPr>
        <w:t>2 120,3 </w:t>
      </w:r>
      <w:r w:rsidRPr="006C2B52">
        <w:rPr>
          <w:rFonts w:ascii="Times New Roman" w:hAnsi="Times New Roman"/>
          <w:sz w:val="24"/>
        </w:rPr>
        <w:t xml:space="preserve">milj. </w:t>
      </w:r>
      <w:proofErr w:type="spellStart"/>
      <w:r w:rsidRPr="006C2B52">
        <w:rPr>
          <w:rFonts w:ascii="Times New Roman" w:hAnsi="Times New Roman"/>
          <w:i/>
          <w:sz w:val="24"/>
        </w:rPr>
        <w:t>euro</w:t>
      </w:r>
      <w:proofErr w:type="spellEnd"/>
      <w:r>
        <w:rPr>
          <w:rFonts w:ascii="Times New Roman" w:hAnsi="Times New Roman"/>
          <w:sz w:val="24"/>
        </w:rPr>
        <w:t>.</w:t>
      </w:r>
      <w:r w:rsidRPr="0052579E">
        <w:rPr>
          <w:rFonts w:ascii="Times New Roman" w:hAnsi="Times New Roman"/>
          <w:sz w:val="24"/>
        </w:rPr>
        <w:t xml:space="preserve"> 202</w:t>
      </w:r>
      <w:r>
        <w:rPr>
          <w:rFonts w:ascii="Times New Roman" w:hAnsi="Times New Roman"/>
          <w:sz w:val="24"/>
        </w:rPr>
        <w:t>4</w:t>
      </w:r>
      <w:r w:rsidRPr="0052579E">
        <w:rPr>
          <w:rFonts w:ascii="Times New Roman" w:hAnsi="Times New Roman"/>
          <w:sz w:val="24"/>
        </w:rPr>
        <w:t>.gadā ir aprēķināta aizdevumu riska fiskālā ietekme</w:t>
      </w:r>
      <w:r w:rsidRPr="0052579E">
        <w:rPr>
          <w:rStyle w:val="FootnoteReference"/>
          <w:rFonts w:ascii="Times New Roman" w:hAnsi="Times New Roman"/>
          <w:sz w:val="24"/>
        </w:rPr>
        <w:footnoteReference w:id="8"/>
      </w:r>
      <w:r w:rsidRPr="0052579E">
        <w:rPr>
          <w:rFonts w:ascii="Times New Roman" w:hAnsi="Times New Roman"/>
          <w:sz w:val="24"/>
        </w:rPr>
        <w:t xml:space="preserve"> </w:t>
      </w:r>
      <w:r>
        <w:rPr>
          <w:rFonts w:ascii="Times New Roman" w:eastAsia="Calibri" w:hAnsi="Times New Roman"/>
          <w:sz w:val="24"/>
        </w:rPr>
        <w:t>5,7</w:t>
      </w:r>
      <w:r>
        <w:rPr>
          <w:rFonts w:ascii="Times New Roman" w:hAnsi="Times New Roman"/>
          <w:sz w:val="24"/>
        </w:rPr>
        <w:t> </w:t>
      </w:r>
      <w:r w:rsidRPr="0052579E">
        <w:rPr>
          <w:rFonts w:ascii="Times New Roman" w:hAnsi="Times New Roman"/>
          <w:sz w:val="24"/>
        </w:rPr>
        <w:t>milj.</w:t>
      </w:r>
      <w:r>
        <w:rPr>
          <w:rFonts w:ascii="Times New Roman" w:hAnsi="Times New Roman"/>
          <w:sz w:val="24"/>
        </w:rPr>
        <w:t> </w:t>
      </w:r>
      <w:proofErr w:type="spellStart"/>
      <w:r w:rsidRPr="00E91197">
        <w:rPr>
          <w:rFonts w:ascii="Times New Roman" w:hAnsi="Times New Roman"/>
          <w:i/>
          <w:sz w:val="24"/>
        </w:rPr>
        <w:t>euro</w:t>
      </w:r>
      <w:proofErr w:type="spellEnd"/>
      <w:r w:rsidRPr="00E91197">
        <w:rPr>
          <w:rFonts w:ascii="Times New Roman" w:hAnsi="Times New Roman"/>
          <w:sz w:val="24"/>
        </w:rPr>
        <w:t xml:space="preserve"> apmērā, </w:t>
      </w:r>
      <w:r w:rsidRPr="00E91197">
        <w:rPr>
          <w:rFonts w:ascii="Times New Roman" w:hAnsi="Times New Roman"/>
          <w:sz w:val="24"/>
        </w:rPr>
        <w:lastRenderedPageBreak/>
        <w:t>202</w:t>
      </w:r>
      <w:r>
        <w:rPr>
          <w:rFonts w:ascii="Times New Roman" w:hAnsi="Times New Roman"/>
          <w:sz w:val="24"/>
        </w:rPr>
        <w:t>5</w:t>
      </w:r>
      <w:r w:rsidRPr="0052579E">
        <w:rPr>
          <w:rFonts w:ascii="Times New Roman" w:hAnsi="Times New Roman"/>
          <w:sz w:val="24"/>
        </w:rPr>
        <w:t>.gadam – 5,</w:t>
      </w:r>
      <w:r>
        <w:rPr>
          <w:rFonts w:ascii="Times New Roman" w:hAnsi="Times New Roman"/>
          <w:sz w:val="24"/>
        </w:rPr>
        <w:t>7 </w:t>
      </w:r>
      <w:r w:rsidRPr="0052579E">
        <w:rPr>
          <w:rFonts w:ascii="Times New Roman" w:hAnsi="Times New Roman"/>
          <w:sz w:val="24"/>
        </w:rPr>
        <w:t>milj.</w:t>
      </w:r>
      <w:r>
        <w:rPr>
          <w:rFonts w:ascii="Times New Roman" w:hAnsi="Times New Roman"/>
          <w:sz w:val="24"/>
        </w:rPr>
        <w:t> </w:t>
      </w:r>
      <w:proofErr w:type="spellStart"/>
      <w:r w:rsidRPr="0052579E">
        <w:rPr>
          <w:rFonts w:ascii="Times New Roman" w:hAnsi="Times New Roman"/>
          <w:i/>
          <w:sz w:val="24"/>
        </w:rPr>
        <w:t>euro</w:t>
      </w:r>
      <w:proofErr w:type="spellEnd"/>
      <w:r>
        <w:rPr>
          <w:rFonts w:ascii="Times New Roman" w:hAnsi="Times New Roman"/>
          <w:i/>
          <w:sz w:val="24"/>
        </w:rPr>
        <w:t xml:space="preserve"> </w:t>
      </w:r>
      <w:r>
        <w:rPr>
          <w:rFonts w:ascii="Times New Roman" w:hAnsi="Times New Roman"/>
          <w:sz w:val="24"/>
        </w:rPr>
        <w:t>un</w:t>
      </w:r>
      <w:r w:rsidRPr="0052579E">
        <w:rPr>
          <w:rFonts w:ascii="Times New Roman" w:hAnsi="Times New Roman"/>
          <w:sz w:val="24"/>
        </w:rPr>
        <w:t xml:space="preserve"> 202</w:t>
      </w:r>
      <w:r>
        <w:rPr>
          <w:rFonts w:ascii="Times New Roman" w:hAnsi="Times New Roman"/>
          <w:sz w:val="24"/>
        </w:rPr>
        <w:t>6</w:t>
      </w:r>
      <w:r w:rsidRPr="0052579E">
        <w:rPr>
          <w:rFonts w:ascii="Times New Roman" w:hAnsi="Times New Roman"/>
          <w:sz w:val="24"/>
        </w:rPr>
        <w:t xml:space="preserve">.gadam – </w:t>
      </w:r>
      <w:r>
        <w:rPr>
          <w:rFonts w:ascii="Times New Roman" w:hAnsi="Times New Roman"/>
          <w:sz w:val="24"/>
        </w:rPr>
        <w:t>27</w:t>
      </w:r>
      <w:r w:rsidRPr="0052579E">
        <w:rPr>
          <w:rFonts w:ascii="Times New Roman" w:hAnsi="Times New Roman"/>
          <w:sz w:val="24"/>
        </w:rPr>
        <w:t>,</w:t>
      </w:r>
      <w:r>
        <w:rPr>
          <w:rFonts w:ascii="Times New Roman" w:hAnsi="Times New Roman"/>
          <w:sz w:val="24"/>
        </w:rPr>
        <w:t>1 </w:t>
      </w:r>
      <w:r w:rsidRPr="0052579E">
        <w:rPr>
          <w:rFonts w:ascii="Times New Roman" w:hAnsi="Times New Roman"/>
          <w:sz w:val="24"/>
        </w:rPr>
        <w:t>milj.</w:t>
      </w:r>
      <w:r>
        <w:rPr>
          <w:rFonts w:ascii="Times New Roman" w:hAnsi="Times New Roman"/>
          <w:sz w:val="24"/>
        </w:rPr>
        <w:t> </w:t>
      </w:r>
      <w:proofErr w:type="spellStart"/>
      <w:r w:rsidRPr="0052579E">
        <w:rPr>
          <w:rFonts w:ascii="Times New Roman" w:hAnsi="Times New Roman"/>
          <w:i/>
          <w:sz w:val="24"/>
        </w:rPr>
        <w:t>euro</w:t>
      </w:r>
      <w:proofErr w:type="spellEnd"/>
      <w:r w:rsidR="000138D9" w:rsidRPr="000138D9">
        <w:rPr>
          <w:rFonts w:ascii="Times New Roman" w:hAnsi="Times New Roman"/>
          <w:i/>
          <w:sz w:val="24"/>
        </w:rPr>
        <w:t>.</w:t>
      </w:r>
      <w:r w:rsidR="000138D9" w:rsidRPr="00656DCF">
        <w:rPr>
          <w:rStyle w:val="FootnoteReference"/>
          <w:rFonts w:ascii="Times New Roman" w:eastAsia="Calibri" w:hAnsi="Times New Roman"/>
          <w:sz w:val="24"/>
        </w:rPr>
        <w:footnoteReference w:id="9"/>
      </w:r>
      <w:r w:rsidR="000138D9">
        <w:rPr>
          <w:rFonts w:ascii="Times New Roman" w:hAnsi="Times New Roman"/>
          <w:i/>
          <w:sz w:val="24"/>
        </w:rPr>
        <w:t xml:space="preserve"> </w:t>
      </w:r>
      <w:r w:rsidRPr="0052579E">
        <w:rPr>
          <w:rFonts w:ascii="Times New Roman" w:hAnsi="Times New Roman"/>
          <w:sz w:val="24"/>
        </w:rPr>
        <w:t>Ņemot vērā MK noteikumos Nr.229 noteikto fiskālā nodrošinājuma rezerves aprēķina metodoloģiju 202</w:t>
      </w:r>
      <w:r>
        <w:rPr>
          <w:rFonts w:ascii="Times New Roman" w:hAnsi="Times New Roman"/>
          <w:sz w:val="24"/>
        </w:rPr>
        <w:t>4</w:t>
      </w:r>
      <w:r w:rsidRPr="0052579E">
        <w:rPr>
          <w:rFonts w:ascii="Times New Roman" w:hAnsi="Times New Roman"/>
          <w:sz w:val="24"/>
        </w:rPr>
        <w:t xml:space="preserve">.gadā valsts aizdevumiem </w:t>
      </w:r>
      <w:r w:rsidRPr="0020713B">
        <w:rPr>
          <w:rFonts w:ascii="Times New Roman" w:hAnsi="Times New Roman"/>
          <w:b/>
          <w:bCs/>
          <w:sz w:val="24"/>
        </w:rPr>
        <w:t>fiskālā nodrošinājuma rezerve</w:t>
      </w:r>
      <w:r w:rsidRPr="0052579E">
        <w:rPr>
          <w:rFonts w:ascii="Times New Roman" w:hAnsi="Times New Roman"/>
          <w:sz w:val="24"/>
        </w:rPr>
        <w:t xml:space="preserve"> ir aprēķināta 0,</w:t>
      </w:r>
      <w:r w:rsidRPr="0052579E">
        <w:rPr>
          <w:rFonts w:ascii="Times New Roman" w:eastAsia="Calibri" w:hAnsi="Times New Roman"/>
          <w:sz w:val="24"/>
          <w:szCs w:val="24"/>
        </w:rPr>
        <w:t>0</w:t>
      </w:r>
      <w:r>
        <w:rPr>
          <w:rFonts w:ascii="Times New Roman" w:eastAsia="Calibri" w:hAnsi="Times New Roman"/>
          <w:sz w:val="24"/>
          <w:szCs w:val="24"/>
        </w:rPr>
        <w:t>12</w:t>
      </w:r>
      <w:r w:rsidRPr="0052579E">
        <w:rPr>
          <w:rFonts w:ascii="Times New Roman" w:hAnsi="Times New Roman"/>
          <w:sz w:val="24"/>
        </w:rPr>
        <w:t>%, 202</w:t>
      </w:r>
      <w:r>
        <w:rPr>
          <w:rFonts w:ascii="Times New Roman" w:hAnsi="Times New Roman"/>
          <w:sz w:val="24"/>
        </w:rPr>
        <w:t>5</w:t>
      </w:r>
      <w:r w:rsidRPr="0052579E">
        <w:rPr>
          <w:rFonts w:ascii="Times New Roman" w:hAnsi="Times New Roman"/>
          <w:sz w:val="24"/>
        </w:rPr>
        <w:t>.gadā 0,012%</w:t>
      </w:r>
      <w:r>
        <w:rPr>
          <w:rFonts w:ascii="Times New Roman" w:hAnsi="Times New Roman"/>
          <w:sz w:val="24"/>
        </w:rPr>
        <w:t xml:space="preserve"> un </w:t>
      </w:r>
      <w:r w:rsidRPr="0052579E">
        <w:rPr>
          <w:rFonts w:ascii="Times New Roman" w:hAnsi="Times New Roman"/>
          <w:sz w:val="24"/>
        </w:rPr>
        <w:t>202</w:t>
      </w:r>
      <w:r>
        <w:rPr>
          <w:rFonts w:ascii="Times New Roman" w:hAnsi="Times New Roman"/>
          <w:sz w:val="24"/>
        </w:rPr>
        <w:t>6</w:t>
      </w:r>
      <w:r w:rsidRPr="0052579E">
        <w:rPr>
          <w:rFonts w:ascii="Times New Roman" w:hAnsi="Times New Roman"/>
          <w:sz w:val="24"/>
        </w:rPr>
        <w:t>.gadā 0,0</w:t>
      </w:r>
      <w:r>
        <w:rPr>
          <w:rFonts w:ascii="Times New Roman" w:hAnsi="Times New Roman"/>
          <w:sz w:val="24"/>
        </w:rPr>
        <w:t>53</w:t>
      </w:r>
      <w:r w:rsidRPr="0052579E">
        <w:rPr>
          <w:rFonts w:ascii="Times New Roman" w:hAnsi="Times New Roman"/>
          <w:sz w:val="24"/>
        </w:rPr>
        <w:t>% apmērā no IKP.</w:t>
      </w:r>
    </w:p>
    <w:p w14:paraId="11492BF7" w14:textId="0B7510C7" w:rsidR="008A497A" w:rsidRDefault="008A497A" w:rsidP="008A497A">
      <w:pPr>
        <w:spacing w:after="0" w:line="240" w:lineRule="auto"/>
        <w:ind w:firstLine="720"/>
        <w:jc w:val="both"/>
        <w:rPr>
          <w:rFonts w:ascii="Times New Roman" w:eastAsia="Calibri" w:hAnsi="Times New Roman"/>
          <w:sz w:val="24"/>
        </w:rPr>
      </w:pPr>
      <w:r w:rsidRPr="006F1E49">
        <w:rPr>
          <w:rFonts w:ascii="Times New Roman" w:eastAsia="Calibri" w:hAnsi="Times New Roman"/>
          <w:sz w:val="24"/>
        </w:rPr>
        <w:t xml:space="preserve">Covid-19 infekcijas izplatības seku pārvarēšanas likuma 29.panta </w:t>
      </w:r>
      <w:r>
        <w:rPr>
          <w:rFonts w:ascii="Times New Roman" w:eastAsia="Calibri" w:hAnsi="Times New Roman"/>
          <w:sz w:val="24"/>
        </w:rPr>
        <w:t>nosacījumus izmantojusi viena speciālā ekonomiskās</w:t>
      </w:r>
      <w:r w:rsidRPr="006F1E49">
        <w:rPr>
          <w:rFonts w:ascii="Times New Roman" w:eastAsia="Calibri" w:hAnsi="Times New Roman"/>
          <w:sz w:val="24"/>
        </w:rPr>
        <w:t xml:space="preserve"> zon</w:t>
      </w:r>
      <w:r>
        <w:rPr>
          <w:rFonts w:ascii="Times New Roman" w:eastAsia="Calibri" w:hAnsi="Times New Roman"/>
          <w:sz w:val="24"/>
        </w:rPr>
        <w:t>as pārvalde, saņemot jaunus valsts aizdevumus</w:t>
      </w:r>
      <w:r w:rsidRPr="006F1E49">
        <w:rPr>
          <w:rFonts w:ascii="Times New Roman" w:eastAsia="Calibri" w:hAnsi="Times New Roman"/>
          <w:sz w:val="24"/>
        </w:rPr>
        <w:t xml:space="preserve"> Covid-19 izraisītās krīzes seku mazināšanai, novēršanai un </w:t>
      </w:r>
      <w:r>
        <w:rPr>
          <w:rFonts w:ascii="Times New Roman" w:eastAsia="Calibri" w:hAnsi="Times New Roman"/>
          <w:sz w:val="24"/>
        </w:rPr>
        <w:t xml:space="preserve">finanšu vadības </w:t>
      </w:r>
      <w:r w:rsidRPr="006F1E49">
        <w:rPr>
          <w:rFonts w:ascii="Times New Roman" w:eastAsia="Calibri" w:hAnsi="Times New Roman"/>
          <w:sz w:val="24"/>
        </w:rPr>
        <w:t>atbalstam</w:t>
      </w:r>
      <w:r>
        <w:rPr>
          <w:rFonts w:ascii="Times New Roman" w:eastAsia="Calibri" w:hAnsi="Times New Roman"/>
          <w:sz w:val="24"/>
        </w:rPr>
        <w:t>, kā arī restrukturizējot spēkā esošo valsts aizdevumu atmaksas termiņus, tādējādi saglabājot tautsaimnieciskas nozīmes pārvaldes maksātspēju.</w:t>
      </w:r>
    </w:p>
    <w:p w14:paraId="35DDC05A" w14:textId="2526E4AC" w:rsidR="00552573" w:rsidRPr="00103B4E" w:rsidRDefault="00552573" w:rsidP="00552573">
      <w:pPr>
        <w:spacing w:after="0" w:line="240" w:lineRule="auto"/>
        <w:ind w:firstLine="709"/>
        <w:jc w:val="both"/>
        <w:rPr>
          <w:rFonts w:ascii="Times New Roman" w:hAnsi="Times New Roman"/>
          <w:sz w:val="24"/>
          <w:szCs w:val="24"/>
        </w:rPr>
      </w:pPr>
      <w:r w:rsidRPr="00103B4E">
        <w:rPr>
          <w:rFonts w:ascii="Times New Roman" w:eastAsia="Calibri" w:hAnsi="Times New Roman"/>
          <w:sz w:val="24"/>
          <w:szCs w:val="24"/>
        </w:rPr>
        <w:t xml:space="preserve">Aizdevumu risks tiek vadīts, regulāri uzraugot aizdevumu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aizdevumu saņēmēju </w:t>
      </w:r>
      <w:proofErr w:type="spellStart"/>
      <w:r w:rsidRPr="00103B4E">
        <w:rPr>
          <w:rFonts w:ascii="Times New Roman" w:eastAsia="Calibri" w:hAnsi="Times New Roman"/>
          <w:sz w:val="24"/>
          <w:szCs w:val="24"/>
        </w:rPr>
        <w:t>pelnītspēja</w:t>
      </w:r>
      <w:proofErr w:type="spellEnd"/>
      <w:r w:rsidRPr="00103B4E">
        <w:rPr>
          <w:rFonts w:ascii="Times New Roman" w:eastAsia="Calibri" w:hAnsi="Times New Roman"/>
          <w:sz w:val="24"/>
          <w:szCs w:val="24"/>
        </w:rPr>
        <w:t xml:space="preserve">, apgrozāmo līdzekļu pietiekamība īstermiņa saistību segšanai un kapitāla struktūra), </w:t>
      </w:r>
      <w:proofErr w:type="spellStart"/>
      <w:r w:rsidRPr="00103B4E">
        <w:rPr>
          <w:rFonts w:ascii="Times New Roman" w:eastAsia="Calibri" w:hAnsi="Times New Roman"/>
          <w:sz w:val="24"/>
          <w:szCs w:val="24"/>
        </w:rPr>
        <w:t>kredītvēsturi</w:t>
      </w:r>
      <w:proofErr w:type="spellEnd"/>
      <w:r w:rsidR="00372BBF">
        <w:rPr>
          <w:rFonts w:ascii="Times New Roman" w:eastAsia="Calibri" w:hAnsi="Times New Roman"/>
          <w:sz w:val="24"/>
          <w:szCs w:val="24"/>
        </w:rPr>
        <w:t xml:space="preserve">, kā arī </w:t>
      </w:r>
      <w:r w:rsidRPr="00103B4E">
        <w:rPr>
          <w:rFonts w:ascii="Times New Roman" w:eastAsia="Calibri" w:hAnsi="Times New Roman"/>
          <w:sz w:val="24"/>
          <w:szCs w:val="24"/>
        </w:rPr>
        <w:t>nodrošinājuma likviditāti un pietiekamību. Situācijās, kad aizdevumu risks ir paaugstināts, tiek veikti papildu uzraudzības pasākumi, tai skaitā atjaunotu biznesa plānu pieprasīšana un tikšanās ar aizdevuma saņēmēja vadību.</w:t>
      </w:r>
    </w:p>
    <w:p w14:paraId="17290F92" w14:textId="161B03F9" w:rsidR="00552573" w:rsidRPr="00103B4E" w:rsidRDefault="00F0641B" w:rsidP="00552573">
      <w:pPr>
        <w:spacing w:after="0" w:line="240" w:lineRule="auto"/>
        <w:ind w:firstLine="709"/>
        <w:jc w:val="both"/>
        <w:rPr>
          <w:rFonts w:ascii="Times New Roman" w:hAnsi="Times New Roman"/>
          <w:sz w:val="24"/>
        </w:rPr>
      </w:pPr>
      <w:r>
        <w:rPr>
          <w:rFonts w:ascii="Times New Roman" w:hAnsi="Times New Roman" w:cs="Times New Roman"/>
          <w:color w:val="000000"/>
          <w:sz w:val="24"/>
          <w:szCs w:val="24"/>
        </w:rPr>
        <w:t>Likumā par budžeta un finanšu vadību</w:t>
      </w:r>
      <w:r>
        <w:rPr>
          <w:rFonts w:ascii="Times New Roman" w:eastAsia="Calibri" w:hAnsi="Times New Roman"/>
          <w:sz w:val="24"/>
          <w:szCs w:val="24"/>
        </w:rPr>
        <w:t xml:space="preserve"> (turpmāk </w:t>
      </w:r>
      <w:r w:rsidR="00555D1E">
        <w:rPr>
          <w:rFonts w:ascii="Times New Roman" w:eastAsia="Calibri" w:hAnsi="Times New Roman"/>
          <w:sz w:val="24"/>
          <w:szCs w:val="24"/>
        </w:rPr>
        <w:t>LBFV</w:t>
      </w:r>
      <w:r>
        <w:rPr>
          <w:rFonts w:ascii="Times New Roman" w:eastAsia="Calibri" w:hAnsi="Times New Roman"/>
          <w:sz w:val="24"/>
          <w:szCs w:val="24"/>
        </w:rPr>
        <w:t>)</w:t>
      </w:r>
      <w:r w:rsidR="00552573" w:rsidRPr="00103B4E">
        <w:rPr>
          <w:rFonts w:ascii="Times New Roman" w:eastAsia="Calibri" w:hAnsi="Times New Roman"/>
          <w:sz w:val="24"/>
          <w:szCs w:val="24"/>
        </w:rPr>
        <w:t xml:space="preserve"> ir noteikts potenciālo valsts aizdevuma saņēmēju loks un mērķi. Valsts aizdevumu izsniegšanas un apkalpošanas kārtību nosaka MK </w:t>
      </w:r>
      <w:r w:rsidR="00FC7091" w:rsidRPr="005C5289">
        <w:rPr>
          <w:rFonts w:ascii="Times New Roman" w:eastAsia="Calibri" w:hAnsi="Times New Roman" w:cs="Times New Roman"/>
          <w:sz w:val="24"/>
          <w:szCs w:val="24"/>
        </w:rPr>
        <w:t>2021.</w:t>
      </w:r>
      <w:r w:rsidR="00FC7091" w:rsidRPr="000E0302">
        <w:rPr>
          <w:rFonts w:ascii="Times New Roman" w:hAnsi="Times New Roman" w:cs="Times New Roman"/>
          <w:sz w:val="24"/>
          <w:szCs w:val="24"/>
        </w:rPr>
        <w:t>gada 21.decembra</w:t>
      </w:r>
      <w:r w:rsidR="00FC7091" w:rsidRPr="00103B4E">
        <w:rPr>
          <w:rFonts w:ascii="Times New Roman" w:eastAsia="Calibri" w:hAnsi="Times New Roman"/>
          <w:sz w:val="24"/>
          <w:szCs w:val="24"/>
        </w:rPr>
        <w:t xml:space="preserve"> </w:t>
      </w:r>
      <w:r w:rsidR="00552573" w:rsidRPr="00103B4E">
        <w:rPr>
          <w:rFonts w:ascii="Times New Roman" w:eastAsia="Calibri" w:hAnsi="Times New Roman"/>
          <w:sz w:val="24"/>
          <w:szCs w:val="24"/>
        </w:rPr>
        <w:t>noteikumi</w:t>
      </w:r>
      <w:r w:rsidR="00552573" w:rsidRPr="00103B4E">
        <w:rPr>
          <w:rFonts w:ascii="Times New Roman" w:eastAsia="Calibri" w:hAnsi="Times New Roman"/>
          <w:sz w:val="24"/>
        </w:rPr>
        <w:t xml:space="preserve"> Nr.</w:t>
      </w:r>
      <w:r w:rsidR="00FC7091" w:rsidRPr="002719AA">
        <w:rPr>
          <w:rFonts w:ascii="Times New Roman" w:eastAsia="Calibri" w:hAnsi="Times New Roman" w:cs="Times New Roman"/>
          <w:sz w:val="24"/>
          <w:szCs w:val="24"/>
        </w:rPr>
        <w:t xml:space="preserve">888 </w:t>
      </w:r>
      <w:r w:rsidR="00552573" w:rsidRPr="00103B4E">
        <w:rPr>
          <w:rFonts w:ascii="Times New Roman" w:eastAsia="Calibri" w:hAnsi="Times New Roman"/>
          <w:sz w:val="24"/>
        </w:rPr>
        <w:t>„</w:t>
      </w:r>
      <w:r w:rsidR="00552573" w:rsidRPr="0058124B">
        <w:rPr>
          <w:rFonts w:ascii="Times New Roman" w:eastAsia="Calibri" w:hAnsi="Times New Roman"/>
          <w:i/>
          <w:iCs/>
          <w:sz w:val="24"/>
        </w:rPr>
        <w:t>Kārtība, kādā ministrijas un citas centrālās valsts iestādes iekļauj gadskārtējā valsts budžeta likumprojektā valsts aizdevumu pieprasījumus un valsts aizdevumu izsniegšanas un apkalpošanas kārtība</w:t>
      </w:r>
      <w:r w:rsidR="00552573" w:rsidRPr="00103B4E">
        <w:rPr>
          <w:rFonts w:ascii="Times New Roman" w:eastAsia="Calibri" w:hAnsi="Times New Roman"/>
          <w:sz w:val="24"/>
        </w:rPr>
        <w:t xml:space="preserve">”, kuros noteikts valsts aizdevuma saņemšanas process un tā saderība ar valsts atbalsta normām, iekļauti paaugstināta aizdevuma atmaksas riska noteikšanas kritēriji, noteikta rīcība gadījumos, kad pasliktinās aizdevuma saņēmēja finanšu rādītāji vai samazinās nodrošinājuma vērtība, tādējādi nodrošinot valsts interešu aizsardzību, kā arī noteikta nozares ministriju atbildība par projekta īstenošanu, nodrošinot projekta atbilstību attiecīgās nozares ministrijas politikas plānošanas dokumentos noteikto mērķu sasniegšanai. </w:t>
      </w:r>
    </w:p>
    <w:p w14:paraId="1D470379" w14:textId="71ABE50D" w:rsidR="00552573" w:rsidRDefault="00552573" w:rsidP="00552573">
      <w:pPr>
        <w:spacing w:after="0" w:line="240" w:lineRule="auto"/>
        <w:ind w:firstLine="709"/>
        <w:jc w:val="both"/>
        <w:rPr>
          <w:rFonts w:ascii="Times New Roman" w:eastAsia="Calibri" w:hAnsi="Times New Roman"/>
          <w:sz w:val="24"/>
          <w:szCs w:val="24"/>
        </w:rPr>
      </w:pPr>
      <w:r w:rsidRPr="00103B4E">
        <w:rPr>
          <w:rFonts w:ascii="Times New Roman" w:eastAsia="Calibri" w:hAnsi="Times New Roman"/>
          <w:sz w:val="24"/>
        </w:rPr>
        <w:t xml:space="preserve">Valsts aizdevumu </w:t>
      </w:r>
      <w:r w:rsidRPr="00103B4E">
        <w:rPr>
          <w:rFonts w:ascii="Times New Roman" w:eastAsia="Calibri" w:hAnsi="Times New Roman"/>
          <w:sz w:val="24"/>
          <w:szCs w:val="24"/>
        </w:rPr>
        <w:t>portfeļa uzraudzības procesa ietvaros divas reizes gadā finanšu ministram tiek sagatavots ziņojums par valsts aizdevumu portfeli ar priekšlikumiem par nepieciešamo rīcību valsts interešu ievērošanai.</w:t>
      </w:r>
    </w:p>
    <w:p w14:paraId="35151186" w14:textId="77777777" w:rsidR="005C32F2" w:rsidRPr="001054F7" w:rsidRDefault="005C32F2" w:rsidP="005C32F2">
      <w:pPr>
        <w:rPr>
          <w:highlight w:val="yellow"/>
        </w:rPr>
      </w:pPr>
    </w:p>
    <w:p w14:paraId="044E2291" w14:textId="77777777" w:rsidR="00822D84" w:rsidRPr="00B97861"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2" w:name="_Toc405371078"/>
      <w:bookmarkStart w:id="63" w:name="_Toc536779063"/>
      <w:bookmarkStart w:id="64" w:name="_Toc142388030"/>
      <w:r w:rsidRPr="00B97861">
        <w:rPr>
          <w:rFonts w:ascii="Times New Roman" w:hAnsi="Times New Roman" w:cs="Times New Roman"/>
          <w:color w:val="auto"/>
          <w:sz w:val="24"/>
          <w:szCs w:val="24"/>
        </w:rPr>
        <w:t>Kvantificējamie riski labklājības nozarē</w:t>
      </w:r>
      <w:bookmarkEnd w:id="62"/>
      <w:bookmarkEnd w:id="63"/>
      <w:bookmarkEnd w:id="64"/>
    </w:p>
    <w:p w14:paraId="4490C2D5" w14:textId="479EA09F" w:rsidR="00D535FD" w:rsidRPr="00E32E5E" w:rsidRDefault="00F0641B" w:rsidP="000D02B5">
      <w:pPr>
        <w:spacing w:after="0" w:line="240" w:lineRule="auto"/>
        <w:ind w:firstLine="720"/>
        <w:jc w:val="both"/>
        <w:rPr>
          <w:rFonts w:ascii="Times New Roman" w:eastAsiaTheme="minorHAnsi" w:hAnsi="Times New Roman"/>
          <w:sz w:val="24"/>
          <w:szCs w:val="20"/>
        </w:rPr>
      </w:pPr>
      <w:r>
        <w:rPr>
          <w:rFonts w:ascii="Times New Roman" w:eastAsiaTheme="minorHAnsi" w:hAnsi="Times New Roman"/>
          <w:sz w:val="24"/>
          <w:szCs w:val="20"/>
        </w:rPr>
        <w:t xml:space="preserve">Labklājības ministrijas (turpmāk </w:t>
      </w:r>
      <w:r w:rsidR="00D535FD" w:rsidRPr="00CA7612">
        <w:rPr>
          <w:rFonts w:ascii="Times New Roman" w:eastAsiaTheme="minorHAnsi" w:hAnsi="Times New Roman"/>
          <w:sz w:val="24"/>
          <w:szCs w:val="20"/>
        </w:rPr>
        <w:t>LM</w:t>
      </w:r>
      <w:r>
        <w:rPr>
          <w:rFonts w:ascii="Times New Roman" w:eastAsiaTheme="minorHAnsi" w:hAnsi="Times New Roman"/>
          <w:sz w:val="24"/>
          <w:szCs w:val="20"/>
        </w:rPr>
        <w:t>)</w:t>
      </w:r>
      <w:r w:rsidR="00D535FD" w:rsidRPr="00E32E5E">
        <w:rPr>
          <w:rFonts w:ascii="Times New Roman" w:eastAsiaTheme="minorHAnsi" w:hAnsi="Times New Roman"/>
          <w:sz w:val="24"/>
          <w:szCs w:val="20"/>
        </w:rPr>
        <w:t xml:space="preserve"> pārziņā ir vairāki specifiskie fiskālie riski, kas ir saistīti gan ar valsts pamatbudžeta maksājumiem</w:t>
      </w:r>
      <w:r w:rsidR="0061709B">
        <w:rPr>
          <w:rFonts w:ascii="Times New Roman" w:eastAsiaTheme="minorHAnsi" w:hAnsi="Times New Roman"/>
          <w:sz w:val="24"/>
          <w:szCs w:val="20"/>
        </w:rPr>
        <w:t>,</w:t>
      </w:r>
      <w:r w:rsidR="00D535FD" w:rsidRPr="00E32E5E">
        <w:rPr>
          <w:rFonts w:ascii="Times New Roman" w:eastAsiaTheme="minorHAnsi" w:hAnsi="Times New Roman"/>
          <w:sz w:val="24"/>
          <w:szCs w:val="20"/>
        </w:rPr>
        <w:t xml:space="preserve"> valsts sociālajiem pabalstiem un izdienas pensijām, gan ar valsts atbalsta sociālajai apdrošināšanai nodrošināšanu, gan ar speciālā valsts budžeta veidiem</w:t>
      </w:r>
      <w:r w:rsidR="00DD6ACA" w:rsidRPr="00E32E5E">
        <w:rPr>
          <w:rFonts w:ascii="Times New Roman" w:eastAsiaTheme="minorHAnsi" w:hAnsi="Times New Roman"/>
          <w:sz w:val="24"/>
          <w:szCs w:val="20"/>
        </w:rPr>
        <w:t xml:space="preserve"> </w:t>
      </w:r>
      <w:r w:rsidR="00D535FD" w:rsidRPr="00E32E5E">
        <w:rPr>
          <w:rFonts w:ascii="Times New Roman" w:eastAsiaTheme="minorHAnsi" w:hAnsi="Times New Roman"/>
          <w:sz w:val="24"/>
          <w:szCs w:val="20"/>
        </w:rPr>
        <w:t>– pensiju, nodarbinātības, invaliditātes, maternitātes un slimības, darba negadījuma speciālo budžetu.</w:t>
      </w:r>
    </w:p>
    <w:p w14:paraId="008F3B07" w14:textId="77777777" w:rsidR="004A6489" w:rsidRPr="00E32E5E" w:rsidRDefault="004A6489" w:rsidP="000D02B5">
      <w:pPr>
        <w:spacing w:after="0" w:line="240" w:lineRule="auto"/>
        <w:ind w:firstLine="720"/>
        <w:jc w:val="both"/>
        <w:rPr>
          <w:rFonts w:ascii="Times New Roman" w:eastAsiaTheme="minorHAnsi" w:hAnsi="Times New Roman" w:cs="Times New Roman"/>
          <w:sz w:val="24"/>
          <w:szCs w:val="20"/>
        </w:rPr>
      </w:pPr>
      <w:r w:rsidRPr="00E32E5E">
        <w:rPr>
          <w:rFonts w:ascii="Times New Roman" w:eastAsiaTheme="minorHAnsi" w:hAnsi="Times New Roman" w:cs="Times New Roman"/>
          <w:sz w:val="24"/>
          <w:szCs w:val="20"/>
        </w:rPr>
        <w:t>Fiskālie riski šajā gadījumā ir saistīti ar augstāk minēto valsts pamatbudžeta un valsts speciālā budžeta rādītāju novirzīšanos no plānotajām vērtībām. Var izšķirt vairākas fiskālo risku grupas:</w:t>
      </w:r>
    </w:p>
    <w:p w14:paraId="11D82043" w14:textId="77777777" w:rsidR="004A6489" w:rsidRPr="00F951DB" w:rsidRDefault="004A6489" w:rsidP="000D02B5">
      <w:pPr>
        <w:numPr>
          <w:ilvl w:val="0"/>
          <w:numId w:val="2"/>
        </w:numPr>
        <w:spacing w:after="0" w:line="240" w:lineRule="auto"/>
        <w:ind w:left="709" w:hanging="357"/>
        <w:jc w:val="both"/>
        <w:rPr>
          <w:rFonts w:ascii="Calibri" w:eastAsia="Calibri" w:hAnsi="Calibri" w:cs="Times New Roman"/>
          <w:szCs w:val="24"/>
        </w:rPr>
      </w:pPr>
      <w:r w:rsidRPr="00F951DB">
        <w:rPr>
          <w:rFonts w:ascii="Times New Roman" w:eastAsia="Calibri" w:hAnsi="Times New Roman" w:cs="Times New Roman"/>
          <w:sz w:val="24"/>
          <w:szCs w:val="24"/>
          <w:u w:val="single"/>
        </w:rPr>
        <w:t>Valsts pamatbudžeta vai valsts speciālā budžeta izdevumi pieaug vairāk nekā iepriekš prognozēts, sakarā ar faktiskām izmaiņām sociālās apdrošināšanas pakalpojumu saņēmēju kontingentā un/vai pensiju un pabalstu vidējā apmērā.</w:t>
      </w:r>
    </w:p>
    <w:p w14:paraId="2B5A5DF8" w14:textId="61C506B7" w:rsidR="004A6489" w:rsidRPr="00F951DB" w:rsidRDefault="004A6489" w:rsidP="000D02B5">
      <w:pPr>
        <w:spacing w:after="0" w:line="240" w:lineRule="auto"/>
        <w:ind w:left="709"/>
        <w:jc w:val="both"/>
        <w:rPr>
          <w:rFonts w:ascii="Calibri" w:eastAsia="Calibri" w:hAnsi="Calibri" w:cs="Times New Roman"/>
          <w:szCs w:val="24"/>
        </w:rPr>
      </w:pPr>
      <w:r w:rsidRPr="00F951DB">
        <w:rPr>
          <w:rFonts w:ascii="Times New Roman" w:eastAsia="Calibri" w:hAnsi="Times New Roman" w:cs="Times New Roman"/>
          <w:sz w:val="24"/>
          <w:szCs w:val="24"/>
        </w:rPr>
        <w:t>Attiecībā uz šiem LM pārziņā esošajiem fiskālajiem riskiem nav identificēti papildu nepieciešamie pasākumi fiskālo risku mazināšanai, jo FDL šādā gadījumā pieļauj koriģēto maksimāli pieļaujamo valsts budžeta izdevumu pārsniegumu. Riski ir simetriski, tas ir, pastāv vienāda varbūtība, ka izmaksas var būt gan lielākas, gan mazākas par prognozēto apjomu. Līdz ar to arī varbūtība, ka budžeta deficīts pieaugs</w:t>
      </w:r>
      <w:r w:rsidR="008D62B8" w:rsidRPr="00F951DB">
        <w:rPr>
          <w:rFonts w:ascii="Times New Roman" w:eastAsia="Calibri" w:hAnsi="Times New Roman" w:cs="Times New Roman"/>
          <w:sz w:val="24"/>
          <w:szCs w:val="24"/>
        </w:rPr>
        <w:t>,</w:t>
      </w:r>
      <w:r w:rsidRPr="00F951DB">
        <w:rPr>
          <w:rFonts w:ascii="Times New Roman" w:eastAsia="Calibri" w:hAnsi="Times New Roman" w:cs="Times New Roman"/>
          <w:sz w:val="24"/>
          <w:szCs w:val="24"/>
        </w:rPr>
        <w:t xml:space="preserve"> ir 50%. Fiskālā ietekme konkrētajā gadā nav nosakāma, bet ilgtermiņa fiskālā ietekme ir tuva nullei, jo risks ir simetrisks. </w:t>
      </w:r>
    </w:p>
    <w:p w14:paraId="44D3B7D7" w14:textId="77777777" w:rsidR="004A6489" w:rsidRPr="00A8097C" w:rsidRDefault="004A6489" w:rsidP="00A8097C">
      <w:pPr>
        <w:pStyle w:val="ListParagraph"/>
        <w:numPr>
          <w:ilvl w:val="0"/>
          <w:numId w:val="39"/>
        </w:numPr>
        <w:ind w:left="709"/>
        <w:rPr>
          <w:rFonts w:ascii="Times New Roman" w:hAnsi="Times New Roman"/>
          <w:sz w:val="24"/>
        </w:rPr>
      </w:pPr>
      <w:r w:rsidRPr="00A8097C">
        <w:rPr>
          <w:rFonts w:ascii="Times New Roman" w:hAnsi="Times New Roman"/>
          <w:sz w:val="24"/>
          <w:szCs w:val="24"/>
          <w:u w:val="single"/>
        </w:rPr>
        <w:lastRenderedPageBreak/>
        <w:t xml:space="preserve">Valsts sociālās apdrošināšanas speciālā budžetā plānoto ieņēmumu neizpilde, salīdzinot ar valsts </w:t>
      </w:r>
      <w:r w:rsidRPr="00A8097C">
        <w:rPr>
          <w:rFonts w:ascii="Times New Roman" w:hAnsi="Times New Roman"/>
          <w:sz w:val="24"/>
        </w:rPr>
        <w:t>budžetā apstiprinātajiem ieņēmumiem.</w:t>
      </w:r>
    </w:p>
    <w:p w14:paraId="094092E8" w14:textId="27E25F27" w:rsidR="004A6489" w:rsidRPr="00F951DB" w:rsidRDefault="004A6489" w:rsidP="00191E2E">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 xml:space="preserve">Faktiskie ieņēmumi valsts sociālās apdrošināšanas speciālajā budžetā </w:t>
      </w:r>
      <w:r w:rsidR="00F82A0D" w:rsidRPr="00F951DB">
        <w:rPr>
          <w:rFonts w:ascii="Times New Roman" w:eastAsiaTheme="minorHAnsi" w:hAnsi="Times New Roman" w:cs="Times New Roman"/>
          <w:sz w:val="24"/>
          <w:szCs w:val="20"/>
        </w:rPr>
        <w:t xml:space="preserve">var </w:t>
      </w:r>
      <w:r w:rsidRPr="00F951DB">
        <w:rPr>
          <w:rFonts w:ascii="Times New Roman" w:eastAsiaTheme="minorHAnsi" w:hAnsi="Times New Roman" w:cs="Times New Roman"/>
          <w:sz w:val="24"/>
          <w:szCs w:val="20"/>
        </w:rPr>
        <w:t>a</w:t>
      </w:r>
      <w:r w:rsidR="00F82A0D" w:rsidRPr="00F951DB">
        <w:rPr>
          <w:rFonts w:ascii="Times New Roman" w:eastAsiaTheme="minorHAnsi" w:hAnsi="Times New Roman" w:cs="Times New Roman"/>
          <w:sz w:val="24"/>
          <w:szCs w:val="20"/>
        </w:rPr>
        <w:t>tšķirt</w:t>
      </w:r>
      <w:r w:rsidRPr="00F951DB">
        <w:rPr>
          <w:rFonts w:ascii="Times New Roman" w:eastAsiaTheme="minorHAnsi" w:hAnsi="Times New Roman" w:cs="Times New Roman"/>
          <w:sz w:val="24"/>
          <w:szCs w:val="20"/>
        </w:rPr>
        <w:t>ies no plānotajiem. Risks ir saistīts ar ieņēmum</w:t>
      </w:r>
      <w:r w:rsidR="00214D26">
        <w:rPr>
          <w:rFonts w:ascii="Times New Roman" w:eastAsiaTheme="minorHAnsi" w:hAnsi="Times New Roman" w:cs="Times New Roman"/>
          <w:sz w:val="24"/>
          <w:szCs w:val="20"/>
        </w:rPr>
        <w:t>u</w:t>
      </w:r>
      <w:r w:rsidRPr="00F951DB">
        <w:rPr>
          <w:rFonts w:ascii="Times New Roman" w:eastAsiaTheme="minorHAnsi" w:hAnsi="Times New Roman" w:cs="Times New Roman"/>
          <w:sz w:val="24"/>
          <w:szCs w:val="20"/>
        </w:rPr>
        <w:t xml:space="preserve"> plāna faktisko izpildi, kas neizpildes gadījumā negatīvi ietekmē valsts budžeta bilanci, kā arī izmaiņām ieņēmumu prognozēs (ieņēmumu plāna samazinājums), kas lielākoties nav līdzvērtīgs un tieši saistīts ar attiecīgu izdevumu samazinājumu. Tā kā novirzes ar vienādu varbūtību var būt gan bilances palielinājuma, gan samazinājuma virzienā, risks ir simetrisks un līdz ar to arī varbūtība, ka deficīts pieaugs</w:t>
      </w:r>
      <w:r w:rsidR="008D62B8" w:rsidRPr="00F951DB">
        <w:rPr>
          <w:rFonts w:ascii="Times New Roman" w:eastAsiaTheme="minorHAnsi" w:hAnsi="Times New Roman" w:cs="Times New Roman"/>
          <w:sz w:val="24"/>
          <w:szCs w:val="20"/>
        </w:rPr>
        <w:t>,</w:t>
      </w:r>
      <w:r w:rsidRPr="00F951DB">
        <w:rPr>
          <w:rFonts w:ascii="Times New Roman" w:eastAsiaTheme="minorHAnsi" w:hAnsi="Times New Roman" w:cs="Times New Roman"/>
          <w:sz w:val="24"/>
          <w:szCs w:val="20"/>
        </w:rPr>
        <w:t xml:space="preserve"> ir 50%. Fiskālā ietekme konkrētajā gadā nav prognozējama, bet ilgtermiņa fiskālā ietekme ir tuva nulle</w:t>
      </w:r>
      <w:r w:rsidR="00F87DA6">
        <w:rPr>
          <w:rFonts w:ascii="Times New Roman" w:eastAsiaTheme="minorHAnsi" w:hAnsi="Times New Roman" w:cs="Times New Roman"/>
          <w:sz w:val="24"/>
          <w:szCs w:val="20"/>
        </w:rPr>
        <w:t>i</w:t>
      </w:r>
      <w:r w:rsidRPr="00F951DB">
        <w:rPr>
          <w:rFonts w:ascii="Times New Roman" w:eastAsiaTheme="minorHAnsi" w:hAnsi="Times New Roman" w:cs="Times New Roman"/>
          <w:sz w:val="24"/>
          <w:szCs w:val="20"/>
        </w:rPr>
        <w:t xml:space="preserve">, jo risks ir simetrisks. </w:t>
      </w:r>
    </w:p>
    <w:p w14:paraId="44660503" w14:textId="586D4CBF" w:rsidR="00F60DB3" w:rsidRPr="00F951DB" w:rsidRDefault="006259C6" w:rsidP="00F60DB3">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Tabulā Nr.</w:t>
      </w:r>
      <w:r w:rsidR="004A682A">
        <w:rPr>
          <w:rFonts w:ascii="Times New Roman" w:eastAsiaTheme="minorHAnsi" w:hAnsi="Times New Roman" w:cs="Times New Roman"/>
          <w:sz w:val="24"/>
          <w:szCs w:val="20"/>
        </w:rPr>
        <w:t>2.4.1</w:t>
      </w:r>
      <w:r w:rsidR="00893FEA" w:rsidRPr="00F951DB">
        <w:rPr>
          <w:rFonts w:ascii="Times New Roman" w:hAnsi="Times New Roman"/>
          <w:sz w:val="24"/>
        </w:rPr>
        <w:t xml:space="preserve"> </w:t>
      </w:r>
      <w:r w:rsidRPr="00F951DB">
        <w:rPr>
          <w:rFonts w:ascii="Times New Roman" w:eastAsiaTheme="minorHAnsi" w:hAnsi="Times New Roman" w:cs="Times New Roman"/>
          <w:sz w:val="24"/>
          <w:szCs w:val="20"/>
        </w:rPr>
        <w:t xml:space="preserve">ir redzama valsts speciālā budžeta izdevumu sociālajiem pabalstiem dinamika apakšprogrammu griezumā no </w:t>
      </w:r>
      <w:r w:rsidR="00F60DB3">
        <w:rPr>
          <w:rFonts w:ascii="Times New Roman" w:eastAsiaTheme="minorHAnsi" w:hAnsi="Times New Roman" w:cs="Times New Roman"/>
          <w:sz w:val="24"/>
          <w:szCs w:val="20"/>
        </w:rPr>
        <w:t>2011</w:t>
      </w:r>
      <w:r w:rsidRPr="00F951DB">
        <w:rPr>
          <w:rFonts w:ascii="Times New Roman" w:eastAsiaTheme="minorHAnsi" w:hAnsi="Times New Roman" w:cs="Times New Roman"/>
          <w:sz w:val="24"/>
          <w:szCs w:val="20"/>
        </w:rPr>
        <w:t xml:space="preserve">.gada līdz </w:t>
      </w:r>
      <w:r w:rsidR="00B85B2A" w:rsidRPr="00F951DB">
        <w:rPr>
          <w:rFonts w:ascii="Times New Roman" w:eastAsiaTheme="minorHAnsi" w:hAnsi="Times New Roman" w:cs="Times New Roman"/>
          <w:sz w:val="24"/>
          <w:szCs w:val="20"/>
        </w:rPr>
        <w:t>20</w:t>
      </w:r>
      <w:r w:rsidR="000967DB">
        <w:rPr>
          <w:rFonts w:ascii="Times New Roman" w:eastAsiaTheme="minorHAnsi" w:hAnsi="Times New Roman" w:cs="Times New Roman"/>
          <w:sz w:val="24"/>
          <w:szCs w:val="20"/>
        </w:rPr>
        <w:t>2</w:t>
      </w:r>
      <w:r w:rsidR="008D63D7">
        <w:rPr>
          <w:rFonts w:ascii="Times New Roman" w:eastAsiaTheme="minorHAnsi" w:hAnsi="Times New Roman" w:cs="Times New Roman"/>
          <w:sz w:val="24"/>
          <w:szCs w:val="20"/>
        </w:rPr>
        <w:t>2</w:t>
      </w:r>
      <w:r w:rsidRPr="00F951DB">
        <w:rPr>
          <w:rFonts w:ascii="Times New Roman" w:eastAsiaTheme="minorHAnsi" w:hAnsi="Times New Roman" w:cs="Times New Roman"/>
          <w:sz w:val="24"/>
          <w:szCs w:val="20"/>
        </w:rPr>
        <w:t>.gadam, kā rezultātā, simetriskuma princips tiek noteikts šim laika periodam. Teorētiski fiskālajam riskam ir jābūt simetriskam</w:t>
      </w:r>
      <w:r w:rsidR="002A15FA">
        <w:rPr>
          <w:rFonts w:ascii="Times New Roman" w:eastAsiaTheme="minorHAnsi" w:hAnsi="Times New Roman" w:cs="Times New Roman"/>
          <w:sz w:val="24"/>
          <w:szCs w:val="20"/>
        </w:rPr>
        <w:t xml:space="preserve">. </w:t>
      </w:r>
      <w:r w:rsidRPr="00F951DB">
        <w:rPr>
          <w:rFonts w:ascii="Times New Roman" w:eastAsiaTheme="minorHAnsi" w:hAnsi="Times New Roman" w:cs="Times New Roman"/>
          <w:sz w:val="24"/>
          <w:szCs w:val="20"/>
        </w:rPr>
        <w:t xml:space="preserve">No </w:t>
      </w:r>
      <w:r w:rsidR="00F60DB3">
        <w:rPr>
          <w:rFonts w:ascii="Times New Roman" w:eastAsiaTheme="minorHAnsi" w:hAnsi="Times New Roman" w:cs="Times New Roman"/>
          <w:sz w:val="24"/>
          <w:szCs w:val="20"/>
        </w:rPr>
        <w:t>2011</w:t>
      </w:r>
      <w:r w:rsidRPr="00F951DB">
        <w:rPr>
          <w:rFonts w:ascii="Times New Roman" w:eastAsiaTheme="minorHAnsi" w:hAnsi="Times New Roman" w:cs="Times New Roman"/>
          <w:sz w:val="24"/>
          <w:szCs w:val="20"/>
        </w:rPr>
        <w:t xml:space="preserve">.gada līdz 2012.gadam novirze ir izdevumu samazinājuma virzienā, bet no 2013.gada līdz 2016.gadam tā ir izdevumu pieauguma virzienā. 2017. </w:t>
      </w:r>
      <w:r w:rsidR="002C717F" w:rsidRPr="00265D29">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 xml:space="preserve"> 2019</w:t>
      </w:r>
      <w:r w:rsidRPr="00F951DB">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gad</w:t>
      </w:r>
      <w:r w:rsidR="001A5806">
        <w:rPr>
          <w:rFonts w:ascii="Times New Roman" w:eastAsiaTheme="minorHAnsi" w:hAnsi="Times New Roman" w:cs="Times New Roman"/>
          <w:sz w:val="24"/>
          <w:szCs w:val="20"/>
        </w:rPr>
        <w:t>ā</w:t>
      </w:r>
      <w:r w:rsidR="00B85B2A" w:rsidRPr="00F951DB">
        <w:rPr>
          <w:rFonts w:ascii="Times New Roman" w:eastAsiaTheme="minorHAnsi" w:hAnsi="Times New Roman" w:cs="Times New Roman"/>
          <w:sz w:val="24"/>
          <w:szCs w:val="20"/>
        </w:rPr>
        <w:t xml:space="preserve"> </w:t>
      </w:r>
      <w:r w:rsidRPr="00F951DB">
        <w:rPr>
          <w:rFonts w:ascii="Times New Roman" w:eastAsiaTheme="minorHAnsi" w:hAnsi="Times New Roman" w:cs="Times New Roman"/>
          <w:sz w:val="24"/>
          <w:szCs w:val="20"/>
        </w:rPr>
        <w:t>atkal ir vērojams samazinājums</w:t>
      </w:r>
      <w:r w:rsidR="00A72DF5">
        <w:rPr>
          <w:rFonts w:ascii="Times New Roman" w:eastAsiaTheme="minorHAnsi" w:hAnsi="Times New Roman" w:cs="Times New Roman"/>
          <w:sz w:val="24"/>
          <w:szCs w:val="20"/>
        </w:rPr>
        <w:t>, bet 2020.</w:t>
      </w:r>
      <w:r w:rsidR="00F60DB3">
        <w:rPr>
          <w:rFonts w:ascii="Times New Roman" w:eastAsiaTheme="minorHAnsi" w:hAnsi="Times New Roman" w:cs="Times New Roman"/>
          <w:sz w:val="24"/>
          <w:szCs w:val="20"/>
        </w:rPr>
        <w:t>-202</w:t>
      </w:r>
      <w:r w:rsidR="008D63D7">
        <w:rPr>
          <w:rFonts w:ascii="Times New Roman" w:eastAsiaTheme="minorHAnsi" w:hAnsi="Times New Roman" w:cs="Times New Roman"/>
          <w:sz w:val="24"/>
          <w:szCs w:val="20"/>
        </w:rPr>
        <w:t>2</w:t>
      </w:r>
      <w:r w:rsidR="00F60DB3">
        <w:rPr>
          <w:rFonts w:ascii="Times New Roman" w:eastAsiaTheme="minorHAnsi" w:hAnsi="Times New Roman" w:cs="Times New Roman"/>
          <w:sz w:val="24"/>
          <w:szCs w:val="20"/>
        </w:rPr>
        <w:t>.</w:t>
      </w:r>
      <w:r w:rsidR="00A72DF5">
        <w:rPr>
          <w:rFonts w:ascii="Times New Roman" w:eastAsiaTheme="minorHAnsi" w:hAnsi="Times New Roman" w:cs="Times New Roman"/>
          <w:sz w:val="24"/>
          <w:szCs w:val="20"/>
        </w:rPr>
        <w:t>gadā palielinājums.</w:t>
      </w:r>
      <w:r w:rsidR="00F60DB3">
        <w:rPr>
          <w:rFonts w:ascii="Times New Roman" w:eastAsiaTheme="minorHAnsi" w:hAnsi="Times New Roman" w:cs="Times New Roman"/>
          <w:sz w:val="24"/>
          <w:szCs w:val="20"/>
        </w:rPr>
        <w:t xml:space="preserve"> 2020. un 2021.gadā novērotais izdevumu pieaug</w:t>
      </w:r>
      <w:r w:rsidR="007F1DA8">
        <w:rPr>
          <w:rFonts w:ascii="Times New Roman" w:eastAsiaTheme="minorHAnsi" w:hAnsi="Times New Roman" w:cs="Times New Roman"/>
          <w:sz w:val="24"/>
          <w:szCs w:val="20"/>
        </w:rPr>
        <w:t>um</w:t>
      </w:r>
      <w:r w:rsidR="00F60DB3">
        <w:rPr>
          <w:rFonts w:ascii="Times New Roman" w:eastAsiaTheme="minorHAnsi" w:hAnsi="Times New Roman" w:cs="Times New Roman"/>
          <w:sz w:val="24"/>
          <w:szCs w:val="20"/>
        </w:rPr>
        <w:t>s ir saistīts ar Covid-19 izplatību</w:t>
      </w:r>
      <w:r w:rsidR="008D63D7">
        <w:rPr>
          <w:rFonts w:ascii="Times New Roman" w:eastAsiaTheme="minorHAnsi" w:hAnsi="Times New Roman" w:cs="Times New Roman"/>
          <w:sz w:val="24"/>
          <w:szCs w:val="20"/>
        </w:rPr>
        <w:t>, savukārt 2022.gadā izdevumu pieaugums saistīts ar augsto inflāciju, kuras rezultātā gan pensiju indeksācija tika veikta ar augstākiem koeficientiem, gan tika nodrošināts atbalsts iedzīvotājiem energoresursu cenu ārkārtējā pieauguma apstākļos.</w:t>
      </w:r>
    </w:p>
    <w:p w14:paraId="1B9D492A" w14:textId="77777777" w:rsidR="0020533D" w:rsidRDefault="0020533D" w:rsidP="004A6489">
      <w:pPr>
        <w:spacing w:after="0" w:line="240" w:lineRule="auto"/>
        <w:jc w:val="right"/>
        <w:rPr>
          <w:rFonts w:ascii="Times New Roman" w:eastAsiaTheme="minorHAnsi" w:hAnsi="Times New Roman" w:cs="Times New Roman"/>
          <w:b/>
          <w:sz w:val="24"/>
          <w:szCs w:val="20"/>
        </w:rPr>
      </w:pPr>
    </w:p>
    <w:p w14:paraId="75EF16CA" w14:textId="0D202D62" w:rsidR="004A6489" w:rsidRPr="00E50B3E" w:rsidRDefault="004A6489" w:rsidP="004A6489">
      <w:pPr>
        <w:spacing w:after="0"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Tabula Nr.</w:t>
      </w:r>
      <w:r w:rsidR="004A682A">
        <w:rPr>
          <w:rFonts w:ascii="Times New Roman" w:eastAsiaTheme="minorHAnsi" w:hAnsi="Times New Roman" w:cs="Times New Roman"/>
          <w:b/>
          <w:sz w:val="24"/>
          <w:szCs w:val="20"/>
        </w:rPr>
        <w:t>2.4.1</w:t>
      </w:r>
      <w:r w:rsidR="00893FEA" w:rsidRPr="00E50B3E">
        <w:rPr>
          <w:rFonts w:ascii="Times New Roman" w:eastAsiaTheme="minorHAnsi" w:hAnsi="Times New Roman" w:cs="Times New Roman"/>
          <w:b/>
          <w:sz w:val="24"/>
          <w:szCs w:val="20"/>
        </w:rPr>
        <w:t xml:space="preserve"> </w:t>
      </w:r>
      <w:r w:rsidRPr="00E50B3E">
        <w:rPr>
          <w:rFonts w:ascii="Times New Roman" w:eastAsiaTheme="minorHAnsi" w:hAnsi="Times New Roman" w:cs="Times New Roman"/>
          <w:b/>
          <w:sz w:val="24"/>
          <w:szCs w:val="20"/>
        </w:rPr>
        <w:t>Valsts speciālā</w:t>
      </w:r>
      <w:r w:rsidR="001E3D89" w:rsidRPr="00E50B3E">
        <w:rPr>
          <w:rFonts w:ascii="Times New Roman" w:eastAsiaTheme="minorHAnsi" w:hAnsi="Times New Roman" w:cs="Times New Roman"/>
          <w:b/>
          <w:sz w:val="24"/>
          <w:szCs w:val="20"/>
        </w:rPr>
        <w:t xml:space="preserve"> un pamata</w:t>
      </w:r>
      <w:r w:rsidRPr="00E50B3E">
        <w:rPr>
          <w:rFonts w:ascii="Times New Roman" w:eastAsiaTheme="minorHAnsi" w:hAnsi="Times New Roman" w:cs="Times New Roman"/>
          <w:b/>
          <w:sz w:val="24"/>
          <w:szCs w:val="20"/>
        </w:rPr>
        <w:t xml:space="preserve"> budžeta izdevumi sociālajiem pabalstiem</w:t>
      </w:r>
    </w:p>
    <w:p w14:paraId="704A4827" w14:textId="2AB8B5ED" w:rsidR="004A6489" w:rsidRDefault="004A6489" w:rsidP="00B66BC9">
      <w:pPr>
        <w:spacing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 xml:space="preserve">sadalījumā pa apakšprogrammām, milj. </w:t>
      </w:r>
      <w:proofErr w:type="spellStart"/>
      <w:r w:rsidRPr="00E50B3E">
        <w:rPr>
          <w:rFonts w:ascii="Times New Roman" w:eastAsiaTheme="minorHAnsi" w:hAnsi="Times New Roman" w:cs="Times New Roman"/>
          <w:b/>
          <w:i/>
          <w:sz w:val="24"/>
          <w:szCs w:val="20"/>
        </w:rPr>
        <w:t>euro</w:t>
      </w:r>
      <w:proofErr w:type="spellEnd"/>
      <w:r w:rsidRPr="00E50B3E">
        <w:rPr>
          <w:rFonts w:ascii="Times New Roman" w:eastAsiaTheme="minorHAnsi" w:hAnsi="Times New Roman" w:cs="Times New Roman"/>
          <w:b/>
          <w:sz w:val="24"/>
          <w:szCs w:val="20"/>
        </w:rPr>
        <w:t xml:space="preserve"> </w:t>
      </w:r>
    </w:p>
    <w:tbl>
      <w:tblPr>
        <w:tblStyle w:val="GridTable6Colorful-Accent11"/>
        <w:tblpPr w:leftFromText="180" w:rightFromText="180" w:vertAnchor="text" w:tblpX="-140" w:tblpY="1"/>
        <w:tblW w:w="5000" w:type="pct"/>
        <w:tblLook w:val="04A0" w:firstRow="1" w:lastRow="0" w:firstColumn="1" w:lastColumn="0" w:noHBand="0" w:noVBand="1"/>
      </w:tblPr>
      <w:tblGrid>
        <w:gridCol w:w="1036"/>
        <w:gridCol w:w="2524"/>
        <w:gridCol w:w="1041"/>
        <w:gridCol w:w="1021"/>
        <w:gridCol w:w="1019"/>
        <w:gridCol w:w="1019"/>
        <w:gridCol w:w="1166"/>
        <w:gridCol w:w="974"/>
      </w:tblGrid>
      <w:tr w:rsidR="00532E54" w:rsidRPr="008842FC" w14:paraId="1D78006F" w14:textId="77777777" w:rsidTr="00E830A8">
        <w:trPr>
          <w:cnfStyle w:val="100000000000" w:firstRow="1" w:lastRow="0" w:firstColumn="0" w:lastColumn="0" w:oddVBand="0" w:evenVBand="0" w:oddHBand="0" w:evenHBand="0" w:firstRowFirstColumn="0" w:firstRowLastColumn="0" w:lastRowFirstColumn="0" w:lastRowLastColumn="0"/>
          <w:trHeight w:val="1719"/>
        </w:trPr>
        <w:tc>
          <w:tcPr>
            <w:cnfStyle w:val="001000000000" w:firstRow="0" w:lastRow="0" w:firstColumn="1" w:lastColumn="0" w:oddVBand="0" w:evenVBand="0" w:oddHBand="0" w:evenHBand="0" w:firstRowFirstColumn="0" w:firstRowLastColumn="0" w:lastRowFirstColumn="0" w:lastRowLastColumn="0"/>
            <w:tcW w:w="1816" w:type="pct"/>
            <w:gridSpan w:val="2"/>
            <w:noWrap/>
            <w:textDirection w:val="btLr"/>
            <w:vAlign w:val="center"/>
            <w:hideMark/>
          </w:tcPr>
          <w:p w14:paraId="25BE9E2A" w14:textId="77777777" w:rsidR="00532E54" w:rsidRPr="008842FC" w:rsidRDefault="00532E54" w:rsidP="00532E54">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Gads/rādītājs</w:t>
            </w:r>
          </w:p>
        </w:tc>
        <w:tc>
          <w:tcPr>
            <w:tcW w:w="531" w:type="pct"/>
            <w:textDirection w:val="btLr"/>
            <w:vAlign w:val="center"/>
            <w:hideMark/>
          </w:tcPr>
          <w:p w14:paraId="1CC67525"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AB207C">
              <w:rPr>
                <w:rFonts w:eastAsia="Times New Roman" w:cs="Times New Roman"/>
                <w:color w:val="000000"/>
                <w:sz w:val="20"/>
                <w:szCs w:val="20"/>
                <w:lang w:eastAsia="lv-LV"/>
              </w:rPr>
              <w:t>Sociālie pabalsti</w:t>
            </w:r>
            <w:r w:rsidRPr="008842FC">
              <w:rPr>
                <w:rFonts w:eastAsia="Times New Roman" w:cs="Times New Roman"/>
                <w:color w:val="2E74B5"/>
                <w:szCs w:val="24"/>
                <w:lang w:eastAsia="lv-LV"/>
              </w:rPr>
              <w:t>*</w:t>
            </w:r>
          </w:p>
        </w:tc>
        <w:tc>
          <w:tcPr>
            <w:tcW w:w="521" w:type="pct"/>
            <w:textDirection w:val="btLr"/>
            <w:vAlign w:val="center"/>
            <w:hideMark/>
          </w:tcPr>
          <w:p w14:paraId="0488D5A6"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xml:space="preserve">Valsts pensiju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520" w:type="pct"/>
            <w:textDirection w:val="btLr"/>
            <w:vAlign w:val="center"/>
            <w:hideMark/>
          </w:tcPr>
          <w:p w14:paraId="1079068B"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proofErr w:type="spellStart"/>
            <w:r w:rsidRPr="008842FC">
              <w:rPr>
                <w:rFonts w:eastAsia="Times New Roman" w:cs="Times New Roman"/>
                <w:color w:val="000000"/>
                <w:sz w:val="20"/>
                <w:szCs w:val="20"/>
                <w:lang w:eastAsia="lv-LV"/>
              </w:rPr>
              <w:t>Nodarbinātības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520" w:type="pct"/>
            <w:textDirection w:val="btLr"/>
            <w:vAlign w:val="center"/>
            <w:hideMark/>
          </w:tcPr>
          <w:p w14:paraId="0DFCAFAE"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xml:space="preserve">Darba </w:t>
            </w:r>
            <w:proofErr w:type="spellStart"/>
            <w:r w:rsidRPr="008842FC">
              <w:rPr>
                <w:rFonts w:eastAsia="Times New Roman" w:cs="Times New Roman"/>
                <w:color w:val="000000"/>
                <w:sz w:val="20"/>
                <w:szCs w:val="20"/>
                <w:lang w:eastAsia="lv-LV"/>
              </w:rPr>
              <w:t>negadījumu</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595" w:type="pct"/>
            <w:textDirection w:val="btLr"/>
            <w:vAlign w:val="center"/>
            <w:hideMark/>
          </w:tcPr>
          <w:p w14:paraId="31EC6DFE"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proofErr w:type="spellStart"/>
            <w:r w:rsidRPr="008842FC">
              <w:rPr>
                <w:rFonts w:eastAsia="Times New Roman" w:cs="Times New Roman"/>
                <w:color w:val="000000"/>
                <w:sz w:val="20"/>
                <w:szCs w:val="20"/>
                <w:lang w:eastAsia="lv-LV"/>
              </w:rPr>
              <w:t>Invaliditātes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maternitātes</w:t>
            </w:r>
            <w:proofErr w:type="spellEnd"/>
            <w:r w:rsidRPr="008842FC">
              <w:rPr>
                <w:rFonts w:eastAsia="Times New Roman" w:cs="Times New Roman"/>
                <w:color w:val="000000"/>
                <w:sz w:val="20"/>
                <w:szCs w:val="20"/>
                <w:lang w:eastAsia="lv-LV"/>
              </w:rPr>
              <w:t xml:space="preserve"> un </w:t>
            </w:r>
            <w:proofErr w:type="spellStart"/>
            <w:r w:rsidRPr="008842FC">
              <w:rPr>
                <w:rFonts w:eastAsia="Times New Roman" w:cs="Times New Roman"/>
                <w:color w:val="000000"/>
                <w:sz w:val="20"/>
                <w:szCs w:val="20"/>
                <w:lang w:eastAsia="lv-LV"/>
              </w:rPr>
              <w:t>slimības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497" w:type="pct"/>
            <w:textDirection w:val="btLr"/>
            <w:vAlign w:val="center"/>
            <w:hideMark/>
          </w:tcPr>
          <w:p w14:paraId="56448390"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Vidējā izpilde gadā</w:t>
            </w:r>
          </w:p>
        </w:tc>
      </w:tr>
      <w:tr w:rsidR="00532E54" w:rsidRPr="008842FC" w14:paraId="469DAEC5" w14:textId="77777777" w:rsidTr="00E830A8">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1FB562FD"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2011</w:t>
            </w:r>
          </w:p>
        </w:tc>
        <w:tc>
          <w:tcPr>
            <w:tcW w:w="1288" w:type="pct"/>
            <w:noWrap/>
            <w:hideMark/>
          </w:tcPr>
          <w:p w14:paraId="0CA3546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70E9109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141,2</w:t>
            </w:r>
          </w:p>
        </w:tc>
        <w:tc>
          <w:tcPr>
            <w:tcW w:w="521" w:type="pct"/>
            <w:noWrap/>
            <w:hideMark/>
          </w:tcPr>
          <w:p w14:paraId="382E344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1548,0</w:t>
            </w:r>
          </w:p>
        </w:tc>
        <w:tc>
          <w:tcPr>
            <w:tcW w:w="520" w:type="pct"/>
            <w:noWrap/>
            <w:hideMark/>
          </w:tcPr>
          <w:p w14:paraId="5F98E70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108,8</w:t>
            </w:r>
          </w:p>
        </w:tc>
        <w:tc>
          <w:tcPr>
            <w:tcW w:w="520" w:type="pct"/>
            <w:noWrap/>
            <w:hideMark/>
          </w:tcPr>
          <w:p w14:paraId="07E2EF5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19,8</w:t>
            </w:r>
          </w:p>
        </w:tc>
        <w:tc>
          <w:tcPr>
            <w:tcW w:w="595" w:type="pct"/>
            <w:noWrap/>
            <w:hideMark/>
          </w:tcPr>
          <w:p w14:paraId="2804147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325,7</w:t>
            </w:r>
          </w:p>
        </w:tc>
        <w:tc>
          <w:tcPr>
            <w:tcW w:w="497" w:type="pct"/>
            <w:vMerge w:val="restart"/>
            <w:noWrap/>
            <w:hideMark/>
          </w:tcPr>
          <w:p w14:paraId="3F915CB0"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565B47E4"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2A468573"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6E7A43FF"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638F88D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156,1</w:t>
            </w:r>
          </w:p>
        </w:tc>
        <w:tc>
          <w:tcPr>
            <w:tcW w:w="521" w:type="pct"/>
            <w:noWrap/>
            <w:hideMark/>
          </w:tcPr>
          <w:p w14:paraId="1480AB72"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1555,0</w:t>
            </w:r>
          </w:p>
        </w:tc>
        <w:tc>
          <w:tcPr>
            <w:tcW w:w="520" w:type="pct"/>
            <w:noWrap/>
            <w:hideMark/>
          </w:tcPr>
          <w:p w14:paraId="273DEF0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62,3</w:t>
            </w:r>
          </w:p>
        </w:tc>
        <w:tc>
          <w:tcPr>
            <w:tcW w:w="520" w:type="pct"/>
            <w:noWrap/>
            <w:hideMark/>
          </w:tcPr>
          <w:p w14:paraId="0E06FB3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20,8</w:t>
            </w:r>
          </w:p>
        </w:tc>
        <w:tc>
          <w:tcPr>
            <w:tcW w:w="595" w:type="pct"/>
            <w:noWrap/>
            <w:hideMark/>
          </w:tcPr>
          <w:p w14:paraId="3CE03E8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302,3</w:t>
            </w:r>
          </w:p>
        </w:tc>
        <w:tc>
          <w:tcPr>
            <w:tcW w:w="497" w:type="pct"/>
            <w:vMerge/>
            <w:hideMark/>
          </w:tcPr>
          <w:p w14:paraId="01CAA652"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12864A34"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6E1E733"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36F5331"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00D7331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10,5%</w:t>
            </w:r>
          </w:p>
        </w:tc>
        <w:tc>
          <w:tcPr>
            <w:tcW w:w="521" w:type="pct"/>
            <w:hideMark/>
          </w:tcPr>
          <w:p w14:paraId="5AD03E0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0,4%</w:t>
            </w:r>
          </w:p>
        </w:tc>
        <w:tc>
          <w:tcPr>
            <w:tcW w:w="520" w:type="pct"/>
            <w:hideMark/>
          </w:tcPr>
          <w:p w14:paraId="01E8FE6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-42,7%</w:t>
            </w:r>
          </w:p>
        </w:tc>
        <w:tc>
          <w:tcPr>
            <w:tcW w:w="520" w:type="pct"/>
            <w:hideMark/>
          </w:tcPr>
          <w:p w14:paraId="62752CA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5,0%</w:t>
            </w:r>
          </w:p>
        </w:tc>
        <w:tc>
          <w:tcPr>
            <w:tcW w:w="595" w:type="pct"/>
            <w:hideMark/>
          </w:tcPr>
          <w:p w14:paraId="443FF8F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-7,2%</w:t>
            </w:r>
          </w:p>
        </w:tc>
        <w:tc>
          <w:tcPr>
            <w:tcW w:w="497" w:type="pct"/>
            <w:noWrap/>
            <w:hideMark/>
          </w:tcPr>
          <w:p w14:paraId="653DE4F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-2,2%</w:t>
            </w:r>
          </w:p>
        </w:tc>
      </w:tr>
      <w:tr w:rsidR="00532E54" w:rsidRPr="008842FC" w14:paraId="42D90D94"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44D95846"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2012</w:t>
            </w:r>
          </w:p>
        </w:tc>
        <w:tc>
          <w:tcPr>
            <w:tcW w:w="1288" w:type="pct"/>
            <w:noWrap/>
            <w:hideMark/>
          </w:tcPr>
          <w:p w14:paraId="611C55C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713F07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159,4</w:t>
            </w:r>
          </w:p>
        </w:tc>
        <w:tc>
          <w:tcPr>
            <w:tcW w:w="521" w:type="pct"/>
            <w:noWrap/>
            <w:hideMark/>
          </w:tcPr>
          <w:p w14:paraId="72FDB78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1600,4</w:t>
            </w:r>
          </w:p>
        </w:tc>
        <w:tc>
          <w:tcPr>
            <w:tcW w:w="520" w:type="pct"/>
            <w:noWrap/>
            <w:hideMark/>
          </w:tcPr>
          <w:p w14:paraId="0A76F19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67,1</w:t>
            </w:r>
          </w:p>
        </w:tc>
        <w:tc>
          <w:tcPr>
            <w:tcW w:w="520" w:type="pct"/>
            <w:noWrap/>
            <w:hideMark/>
          </w:tcPr>
          <w:p w14:paraId="101EFA3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22,7</w:t>
            </w:r>
          </w:p>
        </w:tc>
        <w:tc>
          <w:tcPr>
            <w:tcW w:w="595" w:type="pct"/>
            <w:noWrap/>
            <w:hideMark/>
          </w:tcPr>
          <w:p w14:paraId="0F71A09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298,0</w:t>
            </w:r>
          </w:p>
        </w:tc>
        <w:tc>
          <w:tcPr>
            <w:tcW w:w="497" w:type="pct"/>
            <w:vMerge w:val="restart"/>
            <w:noWrap/>
            <w:hideMark/>
          </w:tcPr>
          <w:p w14:paraId="152B8D51"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671E5D9A"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BEAC69A"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8D1C1A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41FE4CD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160,4</w:t>
            </w:r>
          </w:p>
        </w:tc>
        <w:tc>
          <w:tcPr>
            <w:tcW w:w="521" w:type="pct"/>
            <w:noWrap/>
            <w:hideMark/>
          </w:tcPr>
          <w:p w14:paraId="53D626D9"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1600,2</w:t>
            </w:r>
          </w:p>
        </w:tc>
        <w:tc>
          <w:tcPr>
            <w:tcW w:w="520" w:type="pct"/>
            <w:noWrap/>
            <w:hideMark/>
          </w:tcPr>
          <w:p w14:paraId="599D37C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58,2</w:t>
            </w:r>
          </w:p>
        </w:tc>
        <w:tc>
          <w:tcPr>
            <w:tcW w:w="520" w:type="pct"/>
            <w:noWrap/>
            <w:hideMark/>
          </w:tcPr>
          <w:p w14:paraId="7F71010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22,1</w:t>
            </w:r>
          </w:p>
        </w:tc>
        <w:tc>
          <w:tcPr>
            <w:tcW w:w="595" w:type="pct"/>
            <w:noWrap/>
            <w:hideMark/>
          </w:tcPr>
          <w:p w14:paraId="2D40D3B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291,9</w:t>
            </w:r>
          </w:p>
        </w:tc>
        <w:tc>
          <w:tcPr>
            <w:tcW w:w="497" w:type="pct"/>
            <w:vMerge/>
            <w:hideMark/>
          </w:tcPr>
          <w:p w14:paraId="2B07D90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4DF7730A"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2F9B849"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11F8C1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024EBB82"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0,6%</w:t>
            </w:r>
          </w:p>
        </w:tc>
        <w:tc>
          <w:tcPr>
            <w:tcW w:w="521" w:type="pct"/>
            <w:hideMark/>
          </w:tcPr>
          <w:p w14:paraId="217C199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0,0%</w:t>
            </w:r>
          </w:p>
        </w:tc>
        <w:tc>
          <w:tcPr>
            <w:tcW w:w="520" w:type="pct"/>
            <w:hideMark/>
          </w:tcPr>
          <w:p w14:paraId="30EE3B2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-13,3%</w:t>
            </w:r>
          </w:p>
        </w:tc>
        <w:tc>
          <w:tcPr>
            <w:tcW w:w="520" w:type="pct"/>
            <w:hideMark/>
          </w:tcPr>
          <w:p w14:paraId="3E611A3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-2,8%</w:t>
            </w:r>
          </w:p>
        </w:tc>
        <w:tc>
          <w:tcPr>
            <w:tcW w:w="595" w:type="pct"/>
            <w:hideMark/>
          </w:tcPr>
          <w:p w14:paraId="2E37AD4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-2,0%</w:t>
            </w:r>
          </w:p>
        </w:tc>
        <w:tc>
          <w:tcPr>
            <w:tcW w:w="497" w:type="pct"/>
            <w:noWrap/>
            <w:hideMark/>
          </w:tcPr>
          <w:p w14:paraId="28FEB1C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-0,7%</w:t>
            </w:r>
          </w:p>
        </w:tc>
      </w:tr>
      <w:tr w:rsidR="00532E54" w:rsidRPr="008842FC" w14:paraId="6CF72C11"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29052C9D"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2013</w:t>
            </w:r>
          </w:p>
        </w:tc>
        <w:tc>
          <w:tcPr>
            <w:tcW w:w="1288" w:type="pct"/>
            <w:noWrap/>
            <w:hideMark/>
          </w:tcPr>
          <w:p w14:paraId="468D3EAE"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33AA632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177,8</w:t>
            </w:r>
          </w:p>
        </w:tc>
        <w:tc>
          <w:tcPr>
            <w:tcW w:w="521" w:type="pct"/>
            <w:noWrap/>
            <w:hideMark/>
          </w:tcPr>
          <w:p w14:paraId="2AAB26D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1604,3</w:t>
            </w:r>
          </w:p>
        </w:tc>
        <w:tc>
          <w:tcPr>
            <w:tcW w:w="520" w:type="pct"/>
            <w:noWrap/>
            <w:hideMark/>
          </w:tcPr>
          <w:p w14:paraId="02FCCA4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66,9</w:t>
            </w:r>
          </w:p>
        </w:tc>
        <w:tc>
          <w:tcPr>
            <w:tcW w:w="520" w:type="pct"/>
            <w:noWrap/>
            <w:hideMark/>
          </w:tcPr>
          <w:p w14:paraId="36E837D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23,3</w:t>
            </w:r>
          </w:p>
        </w:tc>
        <w:tc>
          <w:tcPr>
            <w:tcW w:w="595" w:type="pct"/>
            <w:noWrap/>
            <w:hideMark/>
          </w:tcPr>
          <w:p w14:paraId="05B41D17"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310,9</w:t>
            </w:r>
          </w:p>
        </w:tc>
        <w:tc>
          <w:tcPr>
            <w:tcW w:w="497" w:type="pct"/>
            <w:vMerge w:val="restart"/>
            <w:noWrap/>
            <w:hideMark/>
          </w:tcPr>
          <w:p w14:paraId="69CCB2E0"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338879D3"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1626935"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76AF8CA"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DD70B6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183,0</w:t>
            </w:r>
          </w:p>
        </w:tc>
        <w:tc>
          <w:tcPr>
            <w:tcW w:w="521" w:type="pct"/>
            <w:noWrap/>
            <w:hideMark/>
          </w:tcPr>
          <w:p w14:paraId="3DDCC30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1647,2</w:t>
            </w:r>
          </w:p>
        </w:tc>
        <w:tc>
          <w:tcPr>
            <w:tcW w:w="520" w:type="pct"/>
            <w:noWrap/>
            <w:hideMark/>
          </w:tcPr>
          <w:p w14:paraId="593303A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74,3</w:t>
            </w:r>
          </w:p>
        </w:tc>
        <w:tc>
          <w:tcPr>
            <w:tcW w:w="520" w:type="pct"/>
            <w:noWrap/>
            <w:hideMark/>
          </w:tcPr>
          <w:p w14:paraId="152070F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24,6</w:t>
            </w:r>
          </w:p>
        </w:tc>
        <w:tc>
          <w:tcPr>
            <w:tcW w:w="595" w:type="pct"/>
            <w:noWrap/>
            <w:hideMark/>
          </w:tcPr>
          <w:p w14:paraId="189A964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325,5</w:t>
            </w:r>
          </w:p>
        </w:tc>
        <w:tc>
          <w:tcPr>
            <w:tcW w:w="497" w:type="pct"/>
            <w:vMerge/>
            <w:hideMark/>
          </w:tcPr>
          <w:p w14:paraId="7D835CB5"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25C0BE34"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5B6670D"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19C179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2C40F83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2,9%</w:t>
            </w:r>
          </w:p>
        </w:tc>
        <w:tc>
          <w:tcPr>
            <w:tcW w:w="521" w:type="pct"/>
            <w:hideMark/>
          </w:tcPr>
          <w:p w14:paraId="537EDD9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2,7%</w:t>
            </w:r>
          </w:p>
        </w:tc>
        <w:tc>
          <w:tcPr>
            <w:tcW w:w="520" w:type="pct"/>
            <w:hideMark/>
          </w:tcPr>
          <w:p w14:paraId="45090AD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11,0%</w:t>
            </w:r>
          </w:p>
        </w:tc>
        <w:tc>
          <w:tcPr>
            <w:tcW w:w="520" w:type="pct"/>
            <w:hideMark/>
          </w:tcPr>
          <w:p w14:paraId="06F160B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5,2%</w:t>
            </w:r>
          </w:p>
        </w:tc>
        <w:tc>
          <w:tcPr>
            <w:tcW w:w="595" w:type="pct"/>
            <w:hideMark/>
          </w:tcPr>
          <w:p w14:paraId="75178C4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4,7%</w:t>
            </w:r>
          </w:p>
        </w:tc>
        <w:tc>
          <w:tcPr>
            <w:tcW w:w="497" w:type="pct"/>
            <w:noWrap/>
            <w:hideMark/>
          </w:tcPr>
          <w:p w14:paraId="236CF35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3,3%</w:t>
            </w:r>
          </w:p>
        </w:tc>
      </w:tr>
      <w:tr w:rsidR="00532E54" w:rsidRPr="008842FC" w14:paraId="74C4AF14"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E4DAA0E"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2014</w:t>
            </w:r>
          </w:p>
        </w:tc>
        <w:tc>
          <w:tcPr>
            <w:tcW w:w="1288" w:type="pct"/>
            <w:noWrap/>
            <w:hideMark/>
          </w:tcPr>
          <w:p w14:paraId="3481BAC5"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6FE6EFC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204,3</w:t>
            </w:r>
          </w:p>
        </w:tc>
        <w:tc>
          <w:tcPr>
            <w:tcW w:w="521" w:type="pct"/>
            <w:noWrap/>
            <w:hideMark/>
          </w:tcPr>
          <w:p w14:paraId="0988B74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1632,6</w:t>
            </w:r>
          </w:p>
        </w:tc>
        <w:tc>
          <w:tcPr>
            <w:tcW w:w="520" w:type="pct"/>
            <w:noWrap/>
            <w:hideMark/>
          </w:tcPr>
          <w:p w14:paraId="5CECC5E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71,4</w:t>
            </w:r>
          </w:p>
        </w:tc>
        <w:tc>
          <w:tcPr>
            <w:tcW w:w="520" w:type="pct"/>
            <w:noWrap/>
            <w:hideMark/>
          </w:tcPr>
          <w:p w14:paraId="02724E2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24,7</w:t>
            </w:r>
          </w:p>
        </w:tc>
        <w:tc>
          <w:tcPr>
            <w:tcW w:w="595" w:type="pct"/>
            <w:noWrap/>
            <w:hideMark/>
          </w:tcPr>
          <w:p w14:paraId="762DBA7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322,9</w:t>
            </w:r>
          </w:p>
        </w:tc>
        <w:tc>
          <w:tcPr>
            <w:tcW w:w="497" w:type="pct"/>
            <w:vMerge w:val="restart"/>
            <w:noWrap/>
            <w:hideMark/>
          </w:tcPr>
          <w:p w14:paraId="53581258"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48A87FB8"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87D8ECC"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43DBFDC1"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69A2A03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203,3</w:t>
            </w:r>
          </w:p>
        </w:tc>
        <w:tc>
          <w:tcPr>
            <w:tcW w:w="521" w:type="pct"/>
            <w:noWrap/>
            <w:hideMark/>
          </w:tcPr>
          <w:p w14:paraId="1EE851C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1645,4</w:t>
            </w:r>
          </w:p>
        </w:tc>
        <w:tc>
          <w:tcPr>
            <w:tcW w:w="520" w:type="pct"/>
            <w:noWrap/>
            <w:hideMark/>
          </w:tcPr>
          <w:p w14:paraId="519691F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85,3</w:t>
            </w:r>
          </w:p>
        </w:tc>
        <w:tc>
          <w:tcPr>
            <w:tcW w:w="520" w:type="pct"/>
            <w:noWrap/>
            <w:hideMark/>
          </w:tcPr>
          <w:p w14:paraId="186B8E6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26,6</w:t>
            </w:r>
          </w:p>
        </w:tc>
        <w:tc>
          <w:tcPr>
            <w:tcW w:w="595" w:type="pct"/>
            <w:noWrap/>
            <w:hideMark/>
          </w:tcPr>
          <w:p w14:paraId="7143943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341,7</w:t>
            </w:r>
          </w:p>
        </w:tc>
        <w:tc>
          <w:tcPr>
            <w:tcW w:w="497" w:type="pct"/>
            <w:vMerge/>
            <w:hideMark/>
          </w:tcPr>
          <w:p w14:paraId="4899A054"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3352C3D9"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338A172"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E963F9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5512985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-0,5%</w:t>
            </w:r>
          </w:p>
        </w:tc>
        <w:tc>
          <w:tcPr>
            <w:tcW w:w="521" w:type="pct"/>
            <w:hideMark/>
          </w:tcPr>
          <w:p w14:paraId="456C191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0,8%</w:t>
            </w:r>
          </w:p>
        </w:tc>
        <w:tc>
          <w:tcPr>
            <w:tcW w:w="520" w:type="pct"/>
            <w:hideMark/>
          </w:tcPr>
          <w:p w14:paraId="5F0AE05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19,6%</w:t>
            </w:r>
          </w:p>
        </w:tc>
        <w:tc>
          <w:tcPr>
            <w:tcW w:w="520" w:type="pct"/>
            <w:hideMark/>
          </w:tcPr>
          <w:p w14:paraId="3F4C6B4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7,9%</w:t>
            </w:r>
          </w:p>
        </w:tc>
        <w:tc>
          <w:tcPr>
            <w:tcW w:w="595" w:type="pct"/>
            <w:hideMark/>
          </w:tcPr>
          <w:p w14:paraId="71BC533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5,8%</w:t>
            </w:r>
          </w:p>
        </w:tc>
        <w:tc>
          <w:tcPr>
            <w:tcW w:w="497" w:type="pct"/>
            <w:noWrap/>
            <w:hideMark/>
          </w:tcPr>
          <w:p w14:paraId="60D054D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2,1%</w:t>
            </w:r>
          </w:p>
        </w:tc>
      </w:tr>
      <w:tr w:rsidR="00532E54" w:rsidRPr="008842FC" w14:paraId="6E4DBE5C"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09302138"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2015</w:t>
            </w:r>
          </w:p>
        </w:tc>
        <w:tc>
          <w:tcPr>
            <w:tcW w:w="1288" w:type="pct"/>
            <w:noWrap/>
            <w:hideMark/>
          </w:tcPr>
          <w:p w14:paraId="16771C77"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728BC0C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268,2</w:t>
            </w:r>
          </w:p>
        </w:tc>
        <w:tc>
          <w:tcPr>
            <w:tcW w:w="521" w:type="pct"/>
            <w:noWrap/>
            <w:hideMark/>
          </w:tcPr>
          <w:p w14:paraId="766F209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1641,8</w:t>
            </w:r>
          </w:p>
        </w:tc>
        <w:tc>
          <w:tcPr>
            <w:tcW w:w="520" w:type="pct"/>
            <w:noWrap/>
            <w:hideMark/>
          </w:tcPr>
          <w:p w14:paraId="2042A87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97,3</w:t>
            </w:r>
          </w:p>
        </w:tc>
        <w:tc>
          <w:tcPr>
            <w:tcW w:w="520" w:type="pct"/>
            <w:noWrap/>
            <w:hideMark/>
          </w:tcPr>
          <w:p w14:paraId="38457BB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29,2</w:t>
            </w:r>
          </w:p>
        </w:tc>
        <w:tc>
          <w:tcPr>
            <w:tcW w:w="595" w:type="pct"/>
            <w:noWrap/>
            <w:hideMark/>
          </w:tcPr>
          <w:p w14:paraId="5CA865A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355,0</w:t>
            </w:r>
          </w:p>
        </w:tc>
        <w:tc>
          <w:tcPr>
            <w:tcW w:w="497" w:type="pct"/>
            <w:vMerge w:val="restart"/>
            <w:noWrap/>
            <w:hideMark/>
          </w:tcPr>
          <w:p w14:paraId="434FFA9A"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31B7A915"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78CB626"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C34AAD8"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B8AEE8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261,1</w:t>
            </w:r>
          </w:p>
        </w:tc>
        <w:tc>
          <w:tcPr>
            <w:tcW w:w="521" w:type="pct"/>
            <w:noWrap/>
            <w:hideMark/>
          </w:tcPr>
          <w:p w14:paraId="1BEE2EA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1660,9</w:t>
            </w:r>
          </w:p>
        </w:tc>
        <w:tc>
          <w:tcPr>
            <w:tcW w:w="520" w:type="pct"/>
            <w:noWrap/>
            <w:hideMark/>
          </w:tcPr>
          <w:p w14:paraId="1B81772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102,3</w:t>
            </w:r>
          </w:p>
        </w:tc>
        <w:tc>
          <w:tcPr>
            <w:tcW w:w="520" w:type="pct"/>
            <w:noWrap/>
            <w:hideMark/>
          </w:tcPr>
          <w:p w14:paraId="50C4872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29,5</w:t>
            </w:r>
          </w:p>
        </w:tc>
        <w:tc>
          <w:tcPr>
            <w:tcW w:w="595" w:type="pct"/>
            <w:noWrap/>
            <w:hideMark/>
          </w:tcPr>
          <w:p w14:paraId="1E82C72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386,8</w:t>
            </w:r>
          </w:p>
        </w:tc>
        <w:tc>
          <w:tcPr>
            <w:tcW w:w="497" w:type="pct"/>
            <w:vMerge/>
            <w:hideMark/>
          </w:tcPr>
          <w:p w14:paraId="1A1EFC0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222B31E2"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DDE4CDD"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0437AA0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6681BB9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-2,6%</w:t>
            </w:r>
          </w:p>
        </w:tc>
        <w:tc>
          <w:tcPr>
            <w:tcW w:w="521" w:type="pct"/>
            <w:hideMark/>
          </w:tcPr>
          <w:p w14:paraId="1A0721F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1,2%</w:t>
            </w:r>
          </w:p>
        </w:tc>
        <w:tc>
          <w:tcPr>
            <w:tcW w:w="520" w:type="pct"/>
            <w:hideMark/>
          </w:tcPr>
          <w:p w14:paraId="1EAE055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5,1%</w:t>
            </w:r>
          </w:p>
        </w:tc>
        <w:tc>
          <w:tcPr>
            <w:tcW w:w="520" w:type="pct"/>
            <w:hideMark/>
          </w:tcPr>
          <w:p w14:paraId="150F14C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1,1%</w:t>
            </w:r>
          </w:p>
        </w:tc>
        <w:tc>
          <w:tcPr>
            <w:tcW w:w="595" w:type="pct"/>
            <w:hideMark/>
          </w:tcPr>
          <w:p w14:paraId="7E9CBEA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8,9%</w:t>
            </w:r>
          </w:p>
        </w:tc>
        <w:tc>
          <w:tcPr>
            <w:tcW w:w="497" w:type="pct"/>
            <w:noWrap/>
            <w:hideMark/>
          </w:tcPr>
          <w:p w14:paraId="5E4BEF6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2,0%</w:t>
            </w:r>
          </w:p>
        </w:tc>
      </w:tr>
      <w:tr w:rsidR="00532E54" w:rsidRPr="008842FC" w14:paraId="7E2FA1F8"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E25762D"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2016</w:t>
            </w:r>
          </w:p>
        </w:tc>
        <w:tc>
          <w:tcPr>
            <w:tcW w:w="1288" w:type="pct"/>
            <w:noWrap/>
            <w:hideMark/>
          </w:tcPr>
          <w:p w14:paraId="2E339CB4"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0D0F5EB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283,9</w:t>
            </w:r>
          </w:p>
        </w:tc>
        <w:tc>
          <w:tcPr>
            <w:tcW w:w="521" w:type="pct"/>
            <w:noWrap/>
            <w:hideMark/>
          </w:tcPr>
          <w:p w14:paraId="21B1443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1689,4</w:t>
            </w:r>
          </w:p>
        </w:tc>
        <w:tc>
          <w:tcPr>
            <w:tcW w:w="520" w:type="pct"/>
            <w:noWrap/>
            <w:hideMark/>
          </w:tcPr>
          <w:p w14:paraId="28937CA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102,3</w:t>
            </w:r>
          </w:p>
        </w:tc>
        <w:tc>
          <w:tcPr>
            <w:tcW w:w="520" w:type="pct"/>
            <w:noWrap/>
            <w:hideMark/>
          </w:tcPr>
          <w:p w14:paraId="3D21D7C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31,1</w:t>
            </w:r>
          </w:p>
        </w:tc>
        <w:tc>
          <w:tcPr>
            <w:tcW w:w="595" w:type="pct"/>
            <w:noWrap/>
            <w:hideMark/>
          </w:tcPr>
          <w:p w14:paraId="565ECCB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396,3</w:t>
            </w:r>
          </w:p>
        </w:tc>
        <w:tc>
          <w:tcPr>
            <w:tcW w:w="497" w:type="pct"/>
            <w:vMerge w:val="restart"/>
            <w:noWrap/>
            <w:hideMark/>
          </w:tcPr>
          <w:p w14:paraId="0DE0A53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 </w:t>
            </w:r>
          </w:p>
        </w:tc>
      </w:tr>
      <w:tr w:rsidR="00532E54" w:rsidRPr="008842FC" w14:paraId="648D202B"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465A99F"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4B28FC6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E6895E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275,1</w:t>
            </w:r>
          </w:p>
        </w:tc>
        <w:tc>
          <w:tcPr>
            <w:tcW w:w="521" w:type="pct"/>
            <w:noWrap/>
            <w:hideMark/>
          </w:tcPr>
          <w:p w14:paraId="0D4B6A2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1687,0</w:t>
            </w:r>
          </w:p>
        </w:tc>
        <w:tc>
          <w:tcPr>
            <w:tcW w:w="520" w:type="pct"/>
            <w:noWrap/>
            <w:hideMark/>
          </w:tcPr>
          <w:p w14:paraId="21342CA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116,5</w:t>
            </w:r>
          </w:p>
        </w:tc>
        <w:tc>
          <w:tcPr>
            <w:tcW w:w="520" w:type="pct"/>
            <w:noWrap/>
            <w:hideMark/>
          </w:tcPr>
          <w:p w14:paraId="69A24F1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32,8</w:t>
            </w:r>
          </w:p>
        </w:tc>
        <w:tc>
          <w:tcPr>
            <w:tcW w:w="595" w:type="pct"/>
            <w:noWrap/>
            <w:hideMark/>
          </w:tcPr>
          <w:p w14:paraId="12C0532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431,1</w:t>
            </w:r>
          </w:p>
        </w:tc>
        <w:tc>
          <w:tcPr>
            <w:tcW w:w="497" w:type="pct"/>
            <w:vMerge/>
            <w:hideMark/>
          </w:tcPr>
          <w:p w14:paraId="77431BC4"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32E54" w:rsidRPr="008842FC" w14:paraId="0A4EE0EE"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517F61A"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53490D2D"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348B46F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-3,1%</w:t>
            </w:r>
          </w:p>
        </w:tc>
        <w:tc>
          <w:tcPr>
            <w:tcW w:w="521" w:type="pct"/>
            <w:hideMark/>
          </w:tcPr>
          <w:p w14:paraId="5E2F81B2"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-0,1%</w:t>
            </w:r>
          </w:p>
        </w:tc>
        <w:tc>
          <w:tcPr>
            <w:tcW w:w="520" w:type="pct"/>
            <w:hideMark/>
          </w:tcPr>
          <w:p w14:paraId="5F8F7A6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13,9%</w:t>
            </w:r>
          </w:p>
        </w:tc>
        <w:tc>
          <w:tcPr>
            <w:tcW w:w="520" w:type="pct"/>
            <w:hideMark/>
          </w:tcPr>
          <w:p w14:paraId="1E58B5F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5,4%</w:t>
            </w:r>
          </w:p>
        </w:tc>
        <w:tc>
          <w:tcPr>
            <w:tcW w:w="595" w:type="pct"/>
            <w:hideMark/>
          </w:tcPr>
          <w:p w14:paraId="4C497CB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8,8%</w:t>
            </w:r>
          </w:p>
        </w:tc>
        <w:tc>
          <w:tcPr>
            <w:tcW w:w="497" w:type="pct"/>
            <w:noWrap/>
            <w:hideMark/>
          </w:tcPr>
          <w:p w14:paraId="3A41D32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1,6%</w:t>
            </w:r>
          </w:p>
        </w:tc>
      </w:tr>
      <w:tr w:rsidR="00532E54" w:rsidRPr="008842FC" w14:paraId="47904AF0"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0F17C8CE"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2017</w:t>
            </w:r>
          </w:p>
        </w:tc>
        <w:tc>
          <w:tcPr>
            <w:tcW w:w="1288" w:type="pct"/>
            <w:noWrap/>
            <w:hideMark/>
          </w:tcPr>
          <w:p w14:paraId="1E7F3F1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2A4D87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296,4</w:t>
            </w:r>
          </w:p>
        </w:tc>
        <w:tc>
          <w:tcPr>
            <w:tcW w:w="521" w:type="pct"/>
            <w:noWrap/>
            <w:hideMark/>
          </w:tcPr>
          <w:p w14:paraId="5910DEB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1756,9</w:t>
            </w:r>
          </w:p>
        </w:tc>
        <w:tc>
          <w:tcPr>
            <w:tcW w:w="520" w:type="pct"/>
            <w:noWrap/>
            <w:hideMark/>
          </w:tcPr>
          <w:p w14:paraId="773BEC2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121,9</w:t>
            </w:r>
          </w:p>
        </w:tc>
        <w:tc>
          <w:tcPr>
            <w:tcW w:w="520" w:type="pct"/>
            <w:noWrap/>
            <w:hideMark/>
          </w:tcPr>
          <w:p w14:paraId="50DEF1A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36,1</w:t>
            </w:r>
          </w:p>
        </w:tc>
        <w:tc>
          <w:tcPr>
            <w:tcW w:w="595" w:type="pct"/>
            <w:noWrap/>
            <w:hideMark/>
          </w:tcPr>
          <w:p w14:paraId="13E86B2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479,1</w:t>
            </w:r>
          </w:p>
        </w:tc>
        <w:tc>
          <w:tcPr>
            <w:tcW w:w="497" w:type="pct"/>
            <w:vMerge w:val="restart"/>
            <w:noWrap/>
            <w:hideMark/>
          </w:tcPr>
          <w:p w14:paraId="5663A3D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 </w:t>
            </w:r>
          </w:p>
        </w:tc>
      </w:tr>
      <w:tr w:rsidR="00532E54" w:rsidRPr="008842FC" w14:paraId="44A6EF33"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597B401"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7E1438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07E8A8F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289,5</w:t>
            </w:r>
          </w:p>
        </w:tc>
        <w:tc>
          <w:tcPr>
            <w:tcW w:w="521" w:type="pct"/>
            <w:noWrap/>
            <w:hideMark/>
          </w:tcPr>
          <w:p w14:paraId="03A6456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1757,5</w:t>
            </w:r>
          </w:p>
        </w:tc>
        <w:tc>
          <w:tcPr>
            <w:tcW w:w="520" w:type="pct"/>
            <w:noWrap/>
            <w:hideMark/>
          </w:tcPr>
          <w:p w14:paraId="1CC0383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112,9</w:t>
            </w:r>
          </w:p>
        </w:tc>
        <w:tc>
          <w:tcPr>
            <w:tcW w:w="520" w:type="pct"/>
            <w:noWrap/>
            <w:hideMark/>
          </w:tcPr>
          <w:p w14:paraId="15393C4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37,6</w:t>
            </w:r>
          </w:p>
        </w:tc>
        <w:tc>
          <w:tcPr>
            <w:tcW w:w="595" w:type="pct"/>
            <w:noWrap/>
            <w:hideMark/>
          </w:tcPr>
          <w:p w14:paraId="4FC9F5F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455,7</w:t>
            </w:r>
          </w:p>
        </w:tc>
        <w:tc>
          <w:tcPr>
            <w:tcW w:w="497" w:type="pct"/>
            <w:vMerge/>
            <w:hideMark/>
          </w:tcPr>
          <w:p w14:paraId="11ECCDF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p>
        </w:tc>
      </w:tr>
      <w:tr w:rsidR="00532E54" w:rsidRPr="008842FC" w14:paraId="3ADB9148"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53334946"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718EE2C9"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119F297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-2,3%</w:t>
            </w:r>
          </w:p>
        </w:tc>
        <w:tc>
          <w:tcPr>
            <w:tcW w:w="521" w:type="pct"/>
            <w:hideMark/>
          </w:tcPr>
          <w:p w14:paraId="22076C9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0,0%</w:t>
            </w:r>
          </w:p>
        </w:tc>
        <w:tc>
          <w:tcPr>
            <w:tcW w:w="520" w:type="pct"/>
            <w:hideMark/>
          </w:tcPr>
          <w:p w14:paraId="11DE927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-7,3%</w:t>
            </w:r>
          </w:p>
        </w:tc>
        <w:tc>
          <w:tcPr>
            <w:tcW w:w="520" w:type="pct"/>
            <w:hideMark/>
          </w:tcPr>
          <w:p w14:paraId="22A5810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4,1%</w:t>
            </w:r>
          </w:p>
        </w:tc>
        <w:tc>
          <w:tcPr>
            <w:tcW w:w="595" w:type="pct"/>
            <w:hideMark/>
          </w:tcPr>
          <w:p w14:paraId="425399F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-4,9%</w:t>
            </w:r>
          </w:p>
        </w:tc>
        <w:tc>
          <w:tcPr>
            <w:tcW w:w="497" w:type="pct"/>
            <w:noWrap/>
            <w:hideMark/>
          </w:tcPr>
          <w:p w14:paraId="1C45BFC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-1,4%</w:t>
            </w:r>
          </w:p>
        </w:tc>
      </w:tr>
      <w:tr w:rsidR="00532E54" w:rsidRPr="008842FC" w14:paraId="24CB90F9"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14615C63"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2018</w:t>
            </w:r>
          </w:p>
        </w:tc>
        <w:tc>
          <w:tcPr>
            <w:tcW w:w="1288" w:type="pct"/>
            <w:noWrap/>
            <w:hideMark/>
          </w:tcPr>
          <w:p w14:paraId="762204A6"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219477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337,3</w:t>
            </w:r>
          </w:p>
        </w:tc>
        <w:tc>
          <w:tcPr>
            <w:tcW w:w="521" w:type="pct"/>
            <w:noWrap/>
            <w:hideMark/>
          </w:tcPr>
          <w:p w14:paraId="6ED7A77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1916,4</w:t>
            </w:r>
          </w:p>
        </w:tc>
        <w:tc>
          <w:tcPr>
            <w:tcW w:w="520" w:type="pct"/>
            <w:noWrap/>
            <w:hideMark/>
          </w:tcPr>
          <w:p w14:paraId="6240C7D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127,8</w:t>
            </w:r>
          </w:p>
        </w:tc>
        <w:tc>
          <w:tcPr>
            <w:tcW w:w="520" w:type="pct"/>
            <w:noWrap/>
            <w:hideMark/>
          </w:tcPr>
          <w:p w14:paraId="6A3F58B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44,1</w:t>
            </w:r>
          </w:p>
        </w:tc>
        <w:tc>
          <w:tcPr>
            <w:tcW w:w="595" w:type="pct"/>
            <w:noWrap/>
            <w:hideMark/>
          </w:tcPr>
          <w:p w14:paraId="1B3C88D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534,0</w:t>
            </w:r>
          </w:p>
        </w:tc>
        <w:tc>
          <w:tcPr>
            <w:tcW w:w="497" w:type="pct"/>
            <w:vMerge w:val="restart"/>
            <w:noWrap/>
            <w:hideMark/>
          </w:tcPr>
          <w:p w14:paraId="7C5A0700"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w:t>
            </w:r>
          </w:p>
        </w:tc>
      </w:tr>
      <w:tr w:rsidR="00532E54" w:rsidRPr="008842FC" w14:paraId="44F4E50C"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085719B"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0A641649"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3CB7B33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325,3</w:t>
            </w:r>
          </w:p>
        </w:tc>
        <w:tc>
          <w:tcPr>
            <w:tcW w:w="521" w:type="pct"/>
            <w:noWrap/>
            <w:hideMark/>
          </w:tcPr>
          <w:p w14:paraId="6E63A79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1903,5</w:t>
            </w:r>
          </w:p>
        </w:tc>
        <w:tc>
          <w:tcPr>
            <w:tcW w:w="520" w:type="pct"/>
            <w:noWrap/>
            <w:hideMark/>
          </w:tcPr>
          <w:p w14:paraId="002023F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120,0</w:t>
            </w:r>
          </w:p>
        </w:tc>
        <w:tc>
          <w:tcPr>
            <w:tcW w:w="520" w:type="pct"/>
            <w:noWrap/>
            <w:hideMark/>
          </w:tcPr>
          <w:p w14:paraId="6C0FAC4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43,4</w:t>
            </w:r>
          </w:p>
        </w:tc>
        <w:tc>
          <w:tcPr>
            <w:tcW w:w="595" w:type="pct"/>
            <w:noWrap/>
            <w:hideMark/>
          </w:tcPr>
          <w:p w14:paraId="305187A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484,5</w:t>
            </w:r>
          </w:p>
        </w:tc>
        <w:tc>
          <w:tcPr>
            <w:tcW w:w="497" w:type="pct"/>
            <w:vMerge/>
            <w:hideMark/>
          </w:tcPr>
          <w:p w14:paraId="42CCC6D6"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p>
        </w:tc>
      </w:tr>
      <w:tr w:rsidR="00532E54" w:rsidRPr="008842FC" w14:paraId="32037B72"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203C705"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65F6AD22"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435CD28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-3,6%</w:t>
            </w:r>
          </w:p>
        </w:tc>
        <w:tc>
          <w:tcPr>
            <w:tcW w:w="521" w:type="pct"/>
            <w:hideMark/>
          </w:tcPr>
          <w:p w14:paraId="5B05B2C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-0,7%</w:t>
            </w:r>
          </w:p>
        </w:tc>
        <w:tc>
          <w:tcPr>
            <w:tcW w:w="520" w:type="pct"/>
            <w:hideMark/>
          </w:tcPr>
          <w:p w14:paraId="04A944E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-6,1%</w:t>
            </w:r>
          </w:p>
        </w:tc>
        <w:tc>
          <w:tcPr>
            <w:tcW w:w="520" w:type="pct"/>
            <w:hideMark/>
          </w:tcPr>
          <w:p w14:paraId="6CC62BD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-1,4%</w:t>
            </w:r>
          </w:p>
        </w:tc>
        <w:tc>
          <w:tcPr>
            <w:tcW w:w="595" w:type="pct"/>
            <w:hideMark/>
          </w:tcPr>
          <w:p w14:paraId="098D891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-9,3%</w:t>
            </w:r>
          </w:p>
        </w:tc>
        <w:tc>
          <w:tcPr>
            <w:tcW w:w="497" w:type="pct"/>
            <w:noWrap/>
            <w:hideMark/>
          </w:tcPr>
          <w:p w14:paraId="15D1F07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-2,8%</w:t>
            </w:r>
          </w:p>
        </w:tc>
      </w:tr>
      <w:tr w:rsidR="00532E54" w:rsidRPr="008842FC" w14:paraId="43352FE4"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4AA3994F"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2019</w:t>
            </w:r>
          </w:p>
        </w:tc>
        <w:tc>
          <w:tcPr>
            <w:tcW w:w="1288" w:type="pct"/>
            <w:noWrap/>
            <w:hideMark/>
          </w:tcPr>
          <w:p w14:paraId="013D3DD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25797E2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345,3</w:t>
            </w:r>
          </w:p>
        </w:tc>
        <w:tc>
          <w:tcPr>
            <w:tcW w:w="521" w:type="pct"/>
            <w:noWrap/>
            <w:hideMark/>
          </w:tcPr>
          <w:p w14:paraId="40E86D7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2032,5</w:t>
            </w:r>
          </w:p>
        </w:tc>
        <w:tc>
          <w:tcPr>
            <w:tcW w:w="520" w:type="pct"/>
            <w:noWrap/>
            <w:hideMark/>
          </w:tcPr>
          <w:p w14:paraId="2FBD2DE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130,5</w:t>
            </w:r>
          </w:p>
        </w:tc>
        <w:tc>
          <w:tcPr>
            <w:tcW w:w="520" w:type="pct"/>
            <w:noWrap/>
            <w:hideMark/>
          </w:tcPr>
          <w:p w14:paraId="07972F8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50,0</w:t>
            </w:r>
          </w:p>
        </w:tc>
        <w:tc>
          <w:tcPr>
            <w:tcW w:w="595" w:type="pct"/>
            <w:noWrap/>
            <w:hideMark/>
          </w:tcPr>
          <w:p w14:paraId="4E07B08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524,7</w:t>
            </w:r>
          </w:p>
        </w:tc>
        <w:tc>
          <w:tcPr>
            <w:tcW w:w="497" w:type="pct"/>
            <w:vMerge w:val="restart"/>
            <w:noWrap/>
            <w:hideMark/>
          </w:tcPr>
          <w:p w14:paraId="180CEEE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w:t>
            </w:r>
          </w:p>
        </w:tc>
      </w:tr>
      <w:tr w:rsidR="00532E54" w:rsidRPr="008842FC" w14:paraId="4DCA9FC9"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A7B04DC"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0C764D42"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317E8E9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337,7</w:t>
            </w:r>
          </w:p>
        </w:tc>
        <w:tc>
          <w:tcPr>
            <w:tcW w:w="521" w:type="pct"/>
            <w:noWrap/>
            <w:hideMark/>
          </w:tcPr>
          <w:p w14:paraId="5F30A70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2011,2</w:t>
            </w:r>
          </w:p>
        </w:tc>
        <w:tc>
          <w:tcPr>
            <w:tcW w:w="520" w:type="pct"/>
            <w:noWrap/>
            <w:hideMark/>
          </w:tcPr>
          <w:p w14:paraId="688544A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132,1</w:t>
            </w:r>
          </w:p>
        </w:tc>
        <w:tc>
          <w:tcPr>
            <w:tcW w:w="520" w:type="pct"/>
            <w:noWrap/>
            <w:hideMark/>
          </w:tcPr>
          <w:p w14:paraId="5BA8D8C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50,2</w:t>
            </w:r>
          </w:p>
        </w:tc>
        <w:tc>
          <w:tcPr>
            <w:tcW w:w="595" w:type="pct"/>
            <w:noWrap/>
            <w:hideMark/>
          </w:tcPr>
          <w:p w14:paraId="7791E12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529,2</w:t>
            </w:r>
          </w:p>
        </w:tc>
        <w:tc>
          <w:tcPr>
            <w:tcW w:w="497" w:type="pct"/>
            <w:vMerge/>
            <w:hideMark/>
          </w:tcPr>
          <w:p w14:paraId="327857B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p>
        </w:tc>
      </w:tr>
      <w:tr w:rsidR="00532E54" w:rsidRPr="008842FC" w14:paraId="011D2A5E"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7160CFB6"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A0D765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618115B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-2,2%</w:t>
            </w:r>
          </w:p>
        </w:tc>
        <w:tc>
          <w:tcPr>
            <w:tcW w:w="521" w:type="pct"/>
            <w:hideMark/>
          </w:tcPr>
          <w:p w14:paraId="302AAC8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w:t>
            </w:r>
          </w:p>
        </w:tc>
        <w:tc>
          <w:tcPr>
            <w:tcW w:w="520" w:type="pct"/>
            <w:hideMark/>
          </w:tcPr>
          <w:p w14:paraId="70288BF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1,2%</w:t>
            </w:r>
          </w:p>
        </w:tc>
        <w:tc>
          <w:tcPr>
            <w:tcW w:w="520" w:type="pct"/>
            <w:hideMark/>
          </w:tcPr>
          <w:p w14:paraId="5E8F021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0,6%</w:t>
            </w:r>
          </w:p>
        </w:tc>
        <w:tc>
          <w:tcPr>
            <w:tcW w:w="595" w:type="pct"/>
            <w:hideMark/>
          </w:tcPr>
          <w:p w14:paraId="2F4FE10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0,9%</w:t>
            </w:r>
          </w:p>
        </w:tc>
        <w:tc>
          <w:tcPr>
            <w:tcW w:w="497" w:type="pct"/>
            <w:hideMark/>
          </w:tcPr>
          <w:p w14:paraId="2678BDF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-0,7%</w:t>
            </w:r>
          </w:p>
        </w:tc>
      </w:tr>
      <w:tr w:rsidR="00532E54" w:rsidRPr="008842FC" w14:paraId="26721125"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56EF0601"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2020</w:t>
            </w:r>
          </w:p>
        </w:tc>
        <w:tc>
          <w:tcPr>
            <w:tcW w:w="1288" w:type="pct"/>
            <w:noWrap/>
            <w:hideMark/>
          </w:tcPr>
          <w:p w14:paraId="2AC63480"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0D8D32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355,2</w:t>
            </w:r>
          </w:p>
        </w:tc>
        <w:tc>
          <w:tcPr>
            <w:tcW w:w="521" w:type="pct"/>
            <w:noWrap/>
            <w:hideMark/>
          </w:tcPr>
          <w:p w14:paraId="6929C2B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2192,4</w:t>
            </w:r>
          </w:p>
        </w:tc>
        <w:tc>
          <w:tcPr>
            <w:tcW w:w="520" w:type="pct"/>
            <w:noWrap/>
            <w:hideMark/>
          </w:tcPr>
          <w:p w14:paraId="02205CE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124,5</w:t>
            </w:r>
          </w:p>
        </w:tc>
        <w:tc>
          <w:tcPr>
            <w:tcW w:w="520" w:type="pct"/>
            <w:noWrap/>
            <w:hideMark/>
          </w:tcPr>
          <w:p w14:paraId="2E998D2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56,6</w:t>
            </w:r>
          </w:p>
        </w:tc>
        <w:tc>
          <w:tcPr>
            <w:tcW w:w="595" w:type="pct"/>
            <w:noWrap/>
            <w:hideMark/>
          </w:tcPr>
          <w:p w14:paraId="53C996B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573,3</w:t>
            </w:r>
          </w:p>
        </w:tc>
        <w:tc>
          <w:tcPr>
            <w:tcW w:w="497" w:type="pct"/>
            <w:vMerge w:val="restart"/>
            <w:noWrap/>
            <w:hideMark/>
          </w:tcPr>
          <w:p w14:paraId="77A8EBF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61149577"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1086FD1"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3BB6615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5EC049B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382,9</w:t>
            </w:r>
          </w:p>
        </w:tc>
        <w:tc>
          <w:tcPr>
            <w:tcW w:w="521" w:type="pct"/>
            <w:noWrap/>
            <w:hideMark/>
          </w:tcPr>
          <w:p w14:paraId="11D8453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2158,6</w:t>
            </w:r>
          </w:p>
        </w:tc>
        <w:tc>
          <w:tcPr>
            <w:tcW w:w="520" w:type="pct"/>
            <w:noWrap/>
            <w:hideMark/>
          </w:tcPr>
          <w:p w14:paraId="30E381F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155,3</w:t>
            </w:r>
          </w:p>
        </w:tc>
        <w:tc>
          <w:tcPr>
            <w:tcW w:w="520" w:type="pct"/>
            <w:noWrap/>
            <w:hideMark/>
          </w:tcPr>
          <w:p w14:paraId="22FD51F9"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57,4</w:t>
            </w:r>
          </w:p>
        </w:tc>
        <w:tc>
          <w:tcPr>
            <w:tcW w:w="595" w:type="pct"/>
            <w:noWrap/>
            <w:hideMark/>
          </w:tcPr>
          <w:p w14:paraId="6B3E793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591,2</w:t>
            </w:r>
          </w:p>
        </w:tc>
        <w:tc>
          <w:tcPr>
            <w:tcW w:w="497" w:type="pct"/>
            <w:vMerge/>
            <w:hideMark/>
          </w:tcPr>
          <w:p w14:paraId="56BE6424"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5E0481BD"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DB6CEA5"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92276A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5A2F592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7,8%</w:t>
            </w:r>
          </w:p>
        </w:tc>
        <w:tc>
          <w:tcPr>
            <w:tcW w:w="521" w:type="pct"/>
            <w:hideMark/>
          </w:tcPr>
          <w:p w14:paraId="657C47F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-1,5%</w:t>
            </w:r>
          </w:p>
        </w:tc>
        <w:tc>
          <w:tcPr>
            <w:tcW w:w="520" w:type="pct"/>
            <w:hideMark/>
          </w:tcPr>
          <w:p w14:paraId="6BE1D94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24,8%</w:t>
            </w:r>
          </w:p>
        </w:tc>
        <w:tc>
          <w:tcPr>
            <w:tcW w:w="520" w:type="pct"/>
            <w:hideMark/>
          </w:tcPr>
          <w:p w14:paraId="525926A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1,4%</w:t>
            </w:r>
          </w:p>
        </w:tc>
        <w:tc>
          <w:tcPr>
            <w:tcW w:w="595" w:type="pct"/>
            <w:hideMark/>
          </w:tcPr>
          <w:p w14:paraId="412C8E7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3,1%</w:t>
            </w:r>
          </w:p>
        </w:tc>
        <w:tc>
          <w:tcPr>
            <w:tcW w:w="497" w:type="pct"/>
            <w:noWrap/>
            <w:hideMark/>
          </w:tcPr>
          <w:p w14:paraId="65613A3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w:t>
            </w:r>
          </w:p>
        </w:tc>
      </w:tr>
      <w:tr w:rsidR="00532E54" w:rsidRPr="008842FC" w14:paraId="02B20B4E"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DF21D5A"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2021</w:t>
            </w:r>
          </w:p>
        </w:tc>
        <w:tc>
          <w:tcPr>
            <w:tcW w:w="1288" w:type="pct"/>
            <w:noWrap/>
            <w:hideMark/>
          </w:tcPr>
          <w:p w14:paraId="7C5D02E6"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7451F7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374,3</w:t>
            </w:r>
          </w:p>
        </w:tc>
        <w:tc>
          <w:tcPr>
            <w:tcW w:w="521" w:type="pct"/>
            <w:noWrap/>
            <w:hideMark/>
          </w:tcPr>
          <w:p w14:paraId="51D550C7"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2261,0</w:t>
            </w:r>
          </w:p>
        </w:tc>
        <w:tc>
          <w:tcPr>
            <w:tcW w:w="520" w:type="pct"/>
            <w:noWrap/>
            <w:hideMark/>
          </w:tcPr>
          <w:p w14:paraId="7F88CAB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175,7</w:t>
            </w:r>
          </w:p>
        </w:tc>
        <w:tc>
          <w:tcPr>
            <w:tcW w:w="520" w:type="pct"/>
            <w:noWrap/>
            <w:hideMark/>
          </w:tcPr>
          <w:p w14:paraId="3DD6BCC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66,6</w:t>
            </w:r>
          </w:p>
        </w:tc>
        <w:tc>
          <w:tcPr>
            <w:tcW w:w="595" w:type="pct"/>
            <w:noWrap/>
            <w:hideMark/>
          </w:tcPr>
          <w:p w14:paraId="7216065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636,4</w:t>
            </w:r>
          </w:p>
        </w:tc>
        <w:tc>
          <w:tcPr>
            <w:tcW w:w="497" w:type="pct"/>
            <w:vMerge w:val="restart"/>
            <w:noWrap/>
            <w:hideMark/>
          </w:tcPr>
          <w:p w14:paraId="51FD6FA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44A73162"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3685F72"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56223D0E"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A8D2C1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701,8</w:t>
            </w:r>
          </w:p>
        </w:tc>
        <w:tc>
          <w:tcPr>
            <w:tcW w:w="521" w:type="pct"/>
            <w:noWrap/>
            <w:hideMark/>
          </w:tcPr>
          <w:p w14:paraId="14E1ACD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2291,2</w:t>
            </w:r>
          </w:p>
        </w:tc>
        <w:tc>
          <w:tcPr>
            <w:tcW w:w="520" w:type="pct"/>
            <w:noWrap/>
            <w:hideMark/>
          </w:tcPr>
          <w:p w14:paraId="30AFEA4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121,1</w:t>
            </w:r>
          </w:p>
        </w:tc>
        <w:tc>
          <w:tcPr>
            <w:tcW w:w="520" w:type="pct"/>
            <w:noWrap/>
            <w:hideMark/>
          </w:tcPr>
          <w:p w14:paraId="67BC690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64,1</w:t>
            </w:r>
          </w:p>
        </w:tc>
        <w:tc>
          <w:tcPr>
            <w:tcW w:w="595" w:type="pct"/>
            <w:noWrap/>
            <w:hideMark/>
          </w:tcPr>
          <w:p w14:paraId="421648A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701,8</w:t>
            </w:r>
          </w:p>
        </w:tc>
        <w:tc>
          <w:tcPr>
            <w:tcW w:w="497" w:type="pct"/>
            <w:vMerge/>
            <w:hideMark/>
          </w:tcPr>
          <w:p w14:paraId="6BEED67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61B3DC8F"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5D1E4A73"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6E1B136A"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1FC4AA1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87,5%</w:t>
            </w:r>
          </w:p>
        </w:tc>
        <w:tc>
          <w:tcPr>
            <w:tcW w:w="521" w:type="pct"/>
            <w:hideMark/>
          </w:tcPr>
          <w:p w14:paraId="56BE137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w:t>
            </w:r>
          </w:p>
        </w:tc>
        <w:tc>
          <w:tcPr>
            <w:tcW w:w="520" w:type="pct"/>
            <w:hideMark/>
          </w:tcPr>
          <w:p w14:paraId="54FC9CC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-31,1%</w:t>
            </w:r>
          </w:p>
        </w:tc>
        <w:tc>
          <w:tcPr>
            <w:tcW w:w="520" w:type="pct"/>
            <w:hideMark/>
          </w:tcPr>
          <w:p w14:paraId="7A17907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-3,7%</w:t>
            </w:r>
          </w:p>
        </w:tc>
        <w:tc>
          <w:tcPr>
            <w:tcW w:w="595" w:type="pct"/>
            <w:hideMark/>
          </w:tcPr>
          <w:p w14:paraId="750E80C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10,3%</w:t>
            </w:r>
          </w:p>
        </w:tc>
        <w:tc>
          <w:tcPr>
            <w:tcW w:w="497" w:type="pct"/>
            <w:hideMark/>
          </w:tcPr>
          <w:p w14:paraId="486EE77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10,4%</w:t>
            </w:r>
          </w:p>
        </w:tc>
      </w:tr>
      <w:tr w:rsidR="00532E54" w:rsidRPr="008842FC" w14:paraId="69B86785"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4C214998"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2022</w:t>
            </w:r>
          </w:p>
        </w:tc>
        <w:tc>
          <w:tcPr>
            <w:tcW w:w="1288" w:type="pct"/>
            <w:noWrap/>
            <w:hideMark/>
          </w:tcPr>
          <w:p w14:paraId="3411186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r w:rsidRPr="008842FC">
              <w:rPr>
                <w:rFonts w:eastAsia="Times New Roman" w:cs="Times New Roman"/>
                <w:color w:val="000000"/>
                <w:szCs w:val="24"/>
                <w:lang w:eastAsia="lv-LV"/>
              </w:rPr>
              <w:t>**</w:t>
            </w:r>
          </w:p>
        </w:tc>
        <w:tc>
          <w:tcPr>
            <w:tcW w:w="531" w:type="pct"/>
            <w:noWrap/>
            <w:hideMark/>
          </w:tcPr>
          <w:p w14:paraId="0EE2B6A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473,6</w:t>
            </w:r>
          </w:p>
        </w:tc>
        <w:tc>
          <w:tcPr>
            <w:tcW w:w="521" w:type="pct"/>
            <w:noWrap/>
            <w:hideMark/>
          </w:tcPr>
          <w:p w14:paraId="2A86398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2386,1</w:t>
            </w:r>
          </w:p>
        </w:tc>
        <w:tc>
          <w:tcPr>
            <w:tcW w:w="520" w:type="pct"/>
            <w:noWrap/>
            <w:hideMark/>
          </w:tcPr>
          <w:p w14:paraId="7A5AACF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150,6</w:t>
            </w:r>
          </w:p>
        </w:tc>
        <w:tc>
          <w:tcPr>
            <w:tcW w:w="520" w:type="pct"/>
            <w:noWrap/>
            <w:hideMark/>
          </w:tcPr>
          <w:p w14:paraId="03AB4CC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75,3</w:t>
            </w:r>
          </w:p>
        </w:tc>
        <w:tc>
          <w:tcPr>
            <w:tcW w:w="595" w:type="pct"/>
            <w:noWrap/>
            <w:hideMark/>
          </w:tcPr>
          <w:p w14:paraId="5DADA3F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739,8</w:t>
            </w:r>
          </w:p>
        </w:tc>
        <w:tc>
          <w:tcPr>
            <w:tcW w:w="497" w:type="pct"/>
            <w:vMerge w:val="restart"/>
            <w:noWrap/>
            <w:hideMark/>
          </w:tcPr>
          <w:p w14:paraId="69793378"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 </w:t>
            </w:r>
          </w:p>
        </w:tc>
      </w:tr>
      <w:tr w:rsidR="00532E54" w:rsidRPr="008842FC" w14:paraId="7065DEFF"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2684CDB"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56594AD8"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3A991FC7"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651,0</w:t>
            </w:r>
          </w:p>
        </w:tc>
        <w:tc>
          <w:tcPr>
            <w:tcW w:w="521" w:type="pct"/>
            <w:noWrap/>
            <w:hideMark/>
          </w:tcPr>
          <w:p w14:paraId="1F64F0E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2560,0</w:t>
            </w:r>
          </w:p>
        </w:tc>
        <w:tc>
          <w:tcPr>
            <w:tcW w:w="520" w:type="pct"/>
            <w:noWrap/>
            <w:hideMark/>
          </w:tcPr>
          <w:p w14:paraId="7E7BB9E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143,0</w:t>
            </w:r>
          </w:p>
        </w:tc>
        <w:tc>
          <w:tcPr>
            <w:tcW w:w="520" w:type="pct"/>
            <w:noWrap/>
            <w:hideMark/>
          </w:tcPr>
          <w:p w14:paraId="6B9855F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75,4</w:t>
            </w:r>
          </w:p>
        </w:tc>
        <w:tc>
          <w:tcPr>
            <w:tcW w:w="595" w:type="pct"/>
            <w:noWrap/>
            <w:hideMark/>
          </w:tcPr>
          <w:p w14:paraId="4E25FC3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778,5</w:t>
            </w:r>
          </w:p>
        </w:tc>
        <w:tc>
          <w:tcPr>
            <w:tcW w:w="497" w:type="pct"/>
            <w:vMerge/>
            <w:hideMark/>
          </w:tcPr>
          <w:p w14:paraId="2249484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32E54" w:rsidRPr="008842FC" w14:paraId="61FCA176"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F28C05F"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968A6FF"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2EDB5E1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37,5%</w:t>
            </w:r>
          </w:p>
        </w:tc>
        <w:tc>
          <w:tcPr>
            <w:tcW w:w="521" w:type="pct"/>
            <w:hideMark/>
          </w:tcPr>
          <w:p w14:paraId="30B5E0A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7,3%</w:t>
            </w:r>
          </w:p>
        </w:tc>
        <w:tc>
          <w:tcPr>
            <w:tcW w:w="520" w:type="pct"/>
            <w:hideMark/>
          </w:tcPr>
          <w:p w14:paraId="4C77BB3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-5,0%</w:t>
            </w:r>
          </w:p>
        </w:tc>
        <w:tc>
          <w:tcPr>
            <w:tcW w:w="520" w:type="pct"/>
            <w:hideMark/>
          </w:tcPr>
          <w:p w14:paraId="2855D2F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0,2%</w:t>
            </w:r>
          </w:p>
        </w:tc>
        <w:tc>
          <w:tcPr>
            <w:tcW w:w="595" w:type="pct"/>
            <w:hideMark/>
          </w:tcPr>
          <w:p w14:paraId="7F8B517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5,2%</w:t>
            </w:r>
          </w:p>
        </w:tc>
        <w:tc>
          <w:tcPr>
            <w:tcW w:w="497" w:type="pct"/>
            <w:hideMark/>
          </w:tcPr>
          <w:p w14:paraId="1EC0B56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10,0%</w:t>
            </w:r>
          </w:p>
        </w:tc>
      </w:tr>
    </w:tbl>
    <w:p w14:paraId="2CB4CC94" w14:textId="032BD999" w:rsidR="00A85DE5" w:rsidRPr="002D428D" w:rsidRDefault="00A85DE5" w:rsidP="002D428D">
      <w:pPr>
        <w:pStyle w:val="BodyText"/>
        <w:spacing w:after="0"/>
        <w:ind w:left="-142"/>
        <w:jc w:val="both"/>
        <w:rPr>
          <w:rFonts w:ascii="Times New Roman" w:hAnsi="Times New Roman" w:cs="Times New Roman"/>
          <w:bCs/>
          <w:i/>
          <w:sz w:val="20"/>
          <w:szCs w:val="20"/>
          <w:lang w:eastAsia="lv-LV"/>
        </w:rPr>
      </w:pPr>
      <w:r w:rsidRPr="002D428D">
        <w:rPr>
          <w:rFonts w:ascii="Times New Roman" w:hAnsi="Times New Roman" w:cs="Times New Roman"/>
          <w:bCs/>
          <w:i/>
          <w:sz w:val="20"/>
          <w:szCs w:val="20"/>
          <w:lang w:eastAsia="lv-LV"/>
        </w:rPr>
        <w:t xml:space="preserve">* </w:t>
      </w:r>
      <w:r w:rsidR="00CA7612" w:rsidRPr="002D428D">
        <w:rPr>
          <w:rFonts w:ascii="Times New Roman" w:hAnsi="Times New Roman" w:cs="Times New Roman"/>
          <w:bCs/>
          <w:i/>
          <w:sz w:val="20"/>
          <w:szCs w:val="20"/>
          <w:lang w:eastAsia="lv-LV"/>
        </w:rPr>
        <w:t>LM</w:t>
      </w:r>
      <w:r w:rsidRPr="002D428D">
        <w:rPr>
          <w:rFonts w:ascii="Times New Roman" w:hAnsi="Times New Roman" w:cs="Times New Roman"/>
          <w:bCs/>
          <w:i/>
          <w:sz w:val="20"/>
          <w:szCs w:val="20"/>
          <w:lang w:eastAsia="lv-LV"/>
        </w:rPr>
        <w:t xml:space="preserve"> pamatbudžeta izdevumi sociālajiem pabalstiem (EKK 6000)</w:t>
      </w:r>
    </w:p>
    <w:p w14:paraId="2F191AD7" w14:textId="78C9806A" w:rsidR="00A85DE5" w:rsidRPr="002D428D" w:rsidRDefault="00A85DE5" w:rsidP="002D428D">
      <w:pPr>
        <w:pStyle w:val="BodyText"/>
        <w:spacing w:after="0"/>
        <w:ind w:left="-142"/>
        <w:jc w:val="both"/>
        <w:rPr>
          <w:rFonts w:ascii="Times New Roman" w:hAnsi="Times New Roman" w:cs="Times New Roman"/>
          <w:bCs/>
          <w:i/>
          <w:sz w:val="20"/>
          <w:szCs w:val="20"/>
          <w:lang w:eastAsia="lv-LV"/>
        </w:rPr>
      </w:pPr>
      <w:r w:rsidRPr="002D428D">
        <w:rPr>
          <w:rFonts w:ascii="Times New Roman" w:hAnsi="Times New Roman" w:cs="Times New Roman"/>
          <w:bCs/>
          <w:i/>
          <w:sz w:val="20"/>
          <w:szCs w:val="20"/>
          <w:lang w:eastAsia="lv-LV"/>
        </w:rPr>
        <w:t>**</w:t>
      </w:r>
      <w:r w:rsidR="005A07F4">
        <w:rPr>
          <w:rFonts w:ascii="Times New Roman" w:hAnsi="Times New Roman" w:cs="Times New Roman"/>
          <w:bCs/>
          <w:i/>
          <w:sz w:val="20"/>
          <w:szCs w:val="20"/>
          <w:lang w:eastAsia="lv-LV"/>
        </w:rPr>
        <w:t xml:space="preserve"> </w:t>
      </w:r>
      <w:r w:rsidRPr="002D428D">
        <w:rPr>
          <w:rFonts w:ascii="Times New Roman" w:hAnsi="Times New Roman" w:cs="Times New Roman"/>
          <w:bCs/>
          <w:i/>
          <w:sz w:val="20"/>
          <w:szCs w:val="20"/>
          <w:lang w:eastAsia="lv-LV"/>
        </w:rPr>
        <w:t>saskaņā ar likumu „Par valsts budžetu 20</w:t>
      </w:r>
      <w:r w:rsidR="00A72DF5" w:rsidRPr="002D428D">
        <w:rPr>
          <w:rFonts w:ascii="Times New Roman" w:hAnsi="Times New Roman" w:cs="Times New Roman"/>
          <w:bCs/>
          <w:i/>
          <w:sz w:val="20"/>
          <w:szCs w:val="20"/>
          <w:lang w:eastAsia="lv-LV"/>
        </w:rPr>
        <w:t>2</w:t>
      </w:r>
      <w:r w:rsidR="00FC2C34" w:rsidRPr="002D428D">
        <w:rPr>
          <w:rFonts w:ascii="Times New Roman" w:hAnsi="Times New Roman" w:cs="Times New Roman"/>
          <w:bCs/>
          <w:i/>
          <w:sz w:val="20"/>
          <w:szCs w:val="20"/>
          <w:lang w:eastAsia="lv-LV"/>
        </w:rPr>
        <w:t>2</w:t>
      </w:r>
      <w:r w:rsidRPr="002D428D">
        <w:rPr>
          <w:rFonts w:ascii="Times New Roman" w:hAnsi="Times New Roman" w:cs="Times New Roman"/>
          <w:bCs/>
          <w:i/>
          <w:sz w:val="20"/>
          <w:szCs w:val="20"/>
          <w:lang w:eastAsia="lv-LV"/>
        </w:rPr>
        <w:t>.gadam”, bez veiktajām izmaiņām ar FM rīkojumiem</w:t>
      </w:r>
    </w:p>
    <w:p w14:paraId="19212CD7" w14:textId="5F5160B3" w:rsidR="0019574C" w:rsidRPr="0004033A" w:rsidRDefault="0019574C" w:rsidP="00707518">
      <w:pPr>
        <w:shd w:val="clear" w:color="auto" w:fill="FFFFFF" w:themeFill="background1"/>
        <w:spacing w:after="0" w:line="240" w:lineRule="auto"/>
        <w:ind w:firstLine="720"/>
        <w:jc w:val="both"/>
        <w:rPr>
          <w:rFonts w:ascii="Times New Roman" w:eastAsiaTheme="minorHAnsi" w:hAnsi="Times New Roman" w:cs="Times New Roman"/>
          <w:sz w:val="20"/>
          <w:szCs w:val="20"/>
        </w:rPr>
      </w:pPr>
    </w:p>
    <w:p w14:paraId="5C75FA17" w14:textId="74262748" w:rsidR="00C947F7" w:rsidRDefault="00C947F7" w:rsidP="00656DCF">
      <w:pPr>
        <w:spacing w:after="0" w:line="240" w:lineRule="auto"/>
        <w:ind w:firstLine="709"/>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Tabulā Nr.</w:t>
      </w:r>
      <w:r w:rsidR="004A682A">
        <w:rPr>
          <w:rFonts w:ascii="Times New Roman" w:eastAsiaTheme="minorHAnsi" w:hAnsi="Times New Roman" w:cs="Times New Roman"/>
          <w:sz w:val="24"/>
          <w:szCs w:val="20"/>
        </w:rPr>
        <w:t>2.4.2</w:t>
      </w:r>
      <w:r>
        <w:rPr>
          <w:rFonts w:ascii="Times New Roman" w:eastAsiaTheme="minorHAnsi" w:hAnsi="Times New Roman" w:cs="Times New Roman"/>
          <w:sz w:val="24"/>
          <w:szCs w:val="20"/>
        </w:rPr>
        <w:t xml:space="preserve"> ir atspoguļota sociālās apdrošināšanas iemaksu dinamika speciālajā budžetā. No 2011.gada līdz 2013.gadam sociālās apdrošināšanas iemaksu apjoms pārsniedza plānoto, savukārt 2014.gada līdz 2016.gadam faktiskās iemaksas bija zemākas kā plānotās. No 2017.gada līdz 2019.gadam sociālo apdrošināšanas iemaksu apjoms </w:t>
      </w:r>
      <w:r w:rsidR="00784A7D">
        <w:rPr>
          <w:rFonts w:ascii="Times New Roman" w:eastAsiaTheme="minorHAnsi" w:hAnsi="Times New Roman" w:cs="Times New Roman"/>
          <w:sz w:val="24"/>
          <w:szCs w:val="20"/>
        </w:rPr>
        <w:t xml:space="preserve">atkal </w:t>
      </w:r>
      <w:r>
        <w:rPr>
          <w:rFonts w:ascii="Times New Roman" w:eastAsiaTheme="minorHAnsi" w:hAnsi="Times New Roman" w:cs="Times New Roman"/>
          <w:sz w:val="24"/>
          <w:szCs w:val="20"/>
        </w:rPr>
        <w:t xml:space="preserve">pārsniedza plānoto apjomu. Savukārt 2020. un 2021.gadā faktiskās un plānotās sociālo apdrošināšanas iemaksas ietekmēja Covid-19 izplatība. Ja 2020.gadā, sākoties Covid-19 izplatībai, būtiski saruka sociālās apdrošināšanas iemaksas, tad 2021.gadā, sagatavojot prognozes lielas nenoteiktības apstākļos, plānotais sociālo apdrošināšanas iemaksu apjoms bija būtiski zemāks kā faktiski saņemtais. Ekonomiskā aktivitāte strauji atkopās pēc krituma 2020.gadā, nodrošinot sociālo apdrošināšanas iemaksu virsplāna izpildi. </w:t>
      </w:r>
      <w:r w:rsidR="00FC2C34">
        <w:rPr>
          <w:rFonts w:ascii="Times New Roman" w:eastAsiaTheme="minorHAnsi" w:hAnsi="Times New Roman" w:cs="Times New Roman"/>
          <w:sz w:val="24"/>
          <w:szCs w:val="20"/>
        </w:rPr>
        <w:t>2022.gadā, augstas inflācijas apstākļos, faktiskās sociālās apdrošināšanas iemaksas būtiski pārsniedza plānotās.</w:t>
      </w:r>
    </w:p>
    <w:p w14:paraId="634BE349" w14:textId="77777777" w:rsidR="001A5806" w:rsidRPr="0004033A" w:rsidRDefault="001A5806" w:rsidP="00656DCF">
      <w:pPr>
        <w:spacing w:after="0" w:line="240" w:lineRule="auto"/>
        <w:ind w:firstLine="709"/>
        <w:jc w:val="both"/>
        <w:rPr>
          <w:rFonts w:ascii="Times New Roman" w:eastAsiaTheme="minorHAnsi" w:hAnsi="Times New Roman" w:cs="Times New Roman"/>
          <w:sz w:val="20"/>
          <w:szCs w:val="16"/>
        </w:rPr>
      </w:pPr>
    </w:p>
    <w:p w14:paraId="55D424C7" w14:textId="25F20B4B" w:rsidR="00C947F7" w:rsidRDefault="00C947F7" w:rsidP="00B66BC9">
      <w:pPr>
        <w:spacing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Tabula Nr.</w:t>
      </w:r>
      <w:r w:rsidR="004A682A">
        <w:rPr>
          <w:rFonts w:ascii="Times New Roman" w:eastAsiaTheme="minorHAnsi" w:hAnsi="Times New Roman" w:cs="Times New Roman"/>
          <w:b/>
          <w:sz w:val="24"/>
          <w:szCs w:val="20"/>
        </w:rPr>
        <w:t>2.4.2</w:t>
      </w:r>
      <w:r w:rsidRPr="00E50B3E">
        <w:rPr>
          <w:rFonts w:ascii="Times New Roman" w:eastAsiaTheme="minorHAnsi" w:hAnsi="Times New Roman" w:cs="Times New Roman"/>
          <w:b/>
          <w:sz w:val="24"/>
          <w:szCs w:val="20"/>
        </w:rPr>
        <w:t xml:space="preserve"> </w:t>
      </w:r>
      <w:r>
        <w:rPr>
          <w:rFonts w:ascii="Times New Roman" w:eastAsiaTheme="minorHAnsi" w:hAnsi="Times New Roman" w:cs="Times New Roman"/>
          <w:b/>
          <w:sz w:val="24"/>
          <w:szCs w:val="20"/>
        </w:rPr>
        <w:t>Sociālās apdrošināšanas iemaksas speciālajā budžetā</w:t>
      </w:r>
      <w:r w:rsidRPr="00E50B3E">
        <w:rPr>
          <w:rFonts w:ascii="Times New Roman" w:eastAsiaTheme="minorHAnsi" w:hAnsi="Times New Roman" w:cs="Times New Roman"/>
          <w:b/>
          <w:sz w:val="24"/>
          <w:szCs w:val="20"/>
        </w:rPr>
        <w:t xml:space="preserve">, milj. </w:t>
      </w:r>
      <w:proofErr w:type="spellStart"/>
      <w:r w:rsidRPr="00E50B3E">
        <w:rPr>
          <w:rFonts w:ascii="Times New Roman" w:eastAsiaTheme="minorHAnsi" w:hAnsi="Times New Roman" w:cs="Times New Roman"/>
          <w:b/>
          <w:i/>
          <w:sz w:val="24"/>
          <w:szCs w:val="20"/>
        </w:rPr>
        <w:t>euro</w:t>
      </w:r>
      <w:proofErr w:type="spellEnd"/>
      <w:r w:rsidRPr="00E50B3E">
        <w:rPr>
          <w:rFonts w:ascii="Times New Roman" w:eastAsiaTheme="minorHAnsi" w:hAnsi="Times New Roman" w:cs="Times New Roman"/>
          <w:b/>
          <w:sz w:val="24"/>
          <w:szCs w:val="20"/>
        </w:rPr>
        <w:t xml:space="preserve"> </w:t>
      </w:r>
    </w:p>
    <w:tbl>
      <w:tblPr>
        <w:tblStyle w:val="GridTable6Colorful-Accent11"/>
        <w:tblW w:w="9945" w:type="dxa"/>
        <w:tblInd w:w="-5" w:type="dxa"/>
        <w:tblLook w:val="04A0" w:firstRow="1" w:lastRow="0" w:firstColumn="1" w:lastColumn="0" w:noHBand="0" w:noVBand="1"/>
      </w:tblPr>
      <w:tblGrid>
        <w:gridCol w:w="1267"/>
        <w:gridCol w:w="725"/>
        <w:gridCol w:w="725"/>
        <w:gridCol w:w="725"/>
        <w:gridCol w:w="725"/>
        <w:gridCol w:w="726"/>
        <w:gridCol w:w="726"/>
        <w:gridCol w:w="711"/>
        <w:gridCol w:w="711"/>
        <w:gridCol w:w="726"/>
        <w:gridCol w:w="726"/>
        <w:gridCol w:w="726"/>
        <w:gridCol w:w="726"/>
      </w:tblGrid>
      <w:tr w:rsidR="00FC2C34" w:rsidRPr="00703973" w14:paraId="16A461D6" w14:textId="77777777" w:rsidTr="00044BA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0E2CFAF2" w14:textId="77777777" w:rsidR="00FC2C34" w:rsidRPr="00044BA1" w:rsidRDefault="00FC2C34" w:rsidP="00656DCF">
            <w:pPr>
              <w:spacing w:before="20"/>
              <w:rPr>
                <w:rFonts w:eastAsia="Times New Roman" w:cs="Times New Roman"/>
                <w:color w:val="000000"/>
                <w:sz w:val="18"/>
                <w:szCs w:val="18"/>
                <w:lang w:eastAsia="lv-LV"/>
              </w:rPr>
            </w:pPr>
            <w:r w:rsidRPr="00044BA1">
              <w:rPr>
                <w:rFonts w:eastAsia="Times New Roman" w:cs="Times New Roman"/>
                <w:color w:val="000000"/>
                <w:sz w:val="18"/>
                <w:szCs w:val="18"/>
                <w:lang w:eastAsia="lv-LV"/>
              </w:rPr>
              <w:t>Gads/rādītājs</w:t>
            </w:r>
          </w:p>
        </w:tc>
        <w:tc>
          <w:tcPr>
            <w:tcW w:w="725" w:type="dxa"/>
            <w:noWrap/>
            <w:hideMark/>
          </w:tcPr>
          <w:p w14:paraId="6EA3D0E1"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2011</w:t>
            </w:r>
          </w:p>
        </w:tc>
        <w:tc>
          <w:tcPr>
            <w:tcW w:w="725" w:type="dxa"/>
            <w:noWrap/>
            <w:hideMark/>
          </w:tcPr>
          <w:p w14:paraId="1D914612"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2012</w:t>
            </w:r>
          </w:p>
        </w:tc>
        <w:tc>
          <w:tcPr>
            <w:tcW w:w="725" w:type="dxa"/>
            <w:noWrap/>
            <w:hideMark/>
          </w:tcPr>
          <w:p w14:paraId="6939DD9A"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2013</w:t>
            </w:r>
          </w:p>
        </w:tc>
        <w:tc>
          <w:tcPr>
            <w:tcW w:w="725" w:type="dxa"/>
            <w:noWrap/>
            <w:hideMark/>
          </w:tcPr>
          <w:p w14:paraId="6BF75E92"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2014</w:t>
            </w:r>
          </w:p>
        </w:tc>
        <w:tc>
          <w:tcPr>
            <w:tcW w:w="726" w:type="dxa"/>
            <w:noWrap/>
            <w:hideMark/>
          </w:tcPr>
          <w:p w14:paraId="0BF3EA06"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2015</w:t>
            </w:r>
          </w:p>
        </w:tc>
        <w:tc>
          <w:tcPr>
            <w:tcW w:w="726" w:type="dxa"/>
            <w:noWrap/>
            <w:hideMark/>
          </w:tcPr>
          <w:p w14:paraId="276599B6"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2016</w:t>
            </w:r>
          </w:p>
        </w:tc>
        <w:tc>
          <w:tcPr>
            <w:tcW w:w="711" w:type="dxa"/>
            <w:noWrap/>
            <w:hideMark/>
          </w:tcPr>
          <w:p w14:paraId="7FC69110"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2017</w:t>
            </w:r>
          </w:p>
        </w:tc>
        <w:tc>
          <w:tcPr>
            <w:tcW w:w="711" w:type="dxa"/>
            <w:noWrap/>
            <w:hideMark/>
          </w:tcPr>
          <w:p w14:paraId="7FB80A9F"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2018</w:t>
            </w:r>
          </w:p>
        </w:tc>
        <w:tc>
          <w:tcPr>
            <w:tcW w:w="726" w:type="dxa"/>
            <w:noWrap/>
            <w:hideMark/>
          </w:tcPr>
          <w:p w14:paraId="527C60AF"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2019</w:t>
            </w:r>
          </w:p>
        </w:tc>
        <w:tc>
          <w:tcPr>
            <w:tcW w:w="726" w:type="dxa"/>
            <w:noWrap/>
            <w:hideMark/>
          </w:tcPr>
          <w:p w14:paraId="0895FB36"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2020</w:t>
            </w:r>
          </w:p>
        </w:tc>
        <w:tc>
          <w:tcPr>
            <w:tcW w:w="726" w:type="dxa"/>
            <w:noWrap/>
            <w:hideMark/>
          </w:tcPr>
          <w:p w14:paraId="7CD2EDBA"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2021</w:t>
            </w:r>
          </w:p>
        </w:tc>
        <w:tc>
          <w:tcPr>
            <w:tcW w:w="726" w:type="dxa"/>
            <w:noWrap/>
            <w:hideMark/>
          </w:tcPr>
          <w:p w14:paraId="42F6F1BB"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2022</w:t>
            </w:r>
          </w:p>
        </w:tc>
      </w:tr>
      <w:tr w:rsidR="00FC2C34" w:rsidRPr="00703973" w14:paraId="42CC4C35" w14:textId="77777777" w:rsidTr="00044B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3B4A0C7C" w14:textId="77777777" w:rsidR="00FC2C34" w:rsidRPr="00044BA1" w:rsidRDefault="00FC2C34" w:rsidP="00656DCF">
            <w:pPr>
              <w:spacing w:before="20"/>
              <w:rPr>
                <w:rFonts w:eastAsia="Times New Roman" w:cs="Times New Roman"/>
                <w:color w:val="000000"/>
                <w:sz w:val="18"/>
                <w:szCs w:val="18"/>
                <w:lang w:eastAsia="lv-LV"/>
              </w:rPr>
            </w:pPr>
            <w:r w:rsidRPr="00044BA1">
              <w:rPr>
                <w:rFonts w:eastAsia="Times New Roman" w:cs="Times New Roman"/>
                <w:color w:val="000000"/>
                <w:sz w:val="18"/>
                <w:szCs w:val="18"/>
                <w:lang w:eastAsia="lv-LV"/>
              </w:rPr>
              <w:t>Plāns</w:t>
            </w:r>
          </w:p>
        </w:tc>
        <w:tc>
          <w:tcPr>
            <w:tcW w:w="725" w:type="dxa"/>
            <w:noWrap/>
            <w:hideMark/>
          </w:tcPr>
          <w:p w14:paraId="22CDBE4D"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1697,1</w:t>
            </w:r>
          </w:p>
        </w:tc>
        <w:tc>
          <w:tcPr>
            <w:tcW w:w="725" w:type="dxa"/>
            <w:noWrap/>
            <w:hideMark/>
          </w:tcPr>
          <w:p w14:paraId="4A0A4DDD"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1870,3</w:t>
            </w:r>
          </w:p>
        </w:tc>
        <w:tc>
          <w:tcPr>
            <w:tcW w:w="725" w:type="dxa"/>
            <w:noWrap/>
            <w:hideMark/>
          </w:tcPr>
          <w:p w14:paraId="0859F27A"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1911,1</w:t>
            </w:r>
          </w:p>
        </w:tc>
        <w:tc>
          <w:tcPr>
            <w:tcW w:w="725" w:type="dxa"/>
            <w:noWrap/>
            <w:hideMark/>
          </w:tcPr>
          <w:p w14:paraId="7DB7E7F7"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1984,7</w:t>
            </w:r>
          </w:p>
        </w:tc>
        <w:tc>
          <w:tcPr>
            <w:tcW w:w="726" w:type="dxa"/>
            <w:noWrap/>
            <w:hideMark/>
          </w:tcPr>
          <w:p w14:paraId="134AF109"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2070,6</w:t>
            </w:r>
          </w:p>
        </w:tc>
        <w:tc>
          <w:tcPr>
            <w:tcW w:w="726" w:type="dxa"/>
            <w:noWrap/>
            <w:hideMark/>
          </w:tcPr>
          <w:p w14:paraId="3D0D94F3"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2108,9</w:t>
            </w:r>
          </w:p>
        </w:tc>
        <w:tc>
          <w:tcPr>
            <w:tcW w:w="711" w:type="dxa"/>
            <w:noWrap/>
            <w:hideMark/>
          </w:tcPr>
          <w:p w14:paraId="4D180E56"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2244,1</w:t>
            </w:r>
          </w:p>
        </w:tc>
        <w:tc>
          <w:tcPr>
            <w:tcW w:w="711" w:type="dxa"/>
            <w:noWrap/>
            <w:hideMark/>
          </w:tcPr>
          <w:p w14:paraId="2EEACDD6"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2527,5</w:t>
            </w:r>
          </w:p>
        </w:tc>
        <w:tc>
          <w:tcPr>
            <w:tcW w:w="726" w:type="dxa"/>
            <w:noWrap/>
            <w:hideMark/>
          </w:tcPr>
          <w:p w14:paraId="00E7675C"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2727,1</w:t>
            </w:r>
          </w:p>
        </w:tc>
        <w:tc>
          <w:tcPr>
            <w:tcW w:w="726" w:type="dxa"/>
            <w:noWrap/>
            <w:hideMark/>
          </w:tcPr>
          <w:p w14:paraId="4874D504"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2957,7</w:t>
            </w:r>
          </w:p>
        </w:tc>
        <w:tc>
          <w:tcPr>
            <w:tcW w:w="726" w:type="dxa"/>
            <w:noWrap/>
            <w:hideMark/>
          </w:tcPr>
          <w:p w14:paraId="451CD4D1"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2840,4</w:t>
            </w:r>
          </w:p>
        </w:tc>
        <w:tc>
          <w:tcPr>
            <w:tcW w:w="726" w:type="dxa"/>
            <w:noWrap/>
            <w:hideMark/>
          </w:tcPr>
          <w:p w14:paraId="7E1D3D79"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3133,3</w:t>
            </w:r>
          </w:p>
        </w:tc>
      </w:tr>
      <w:tr w:rsidR="00FC2C34" w:rsidRPr="00703973" w14:paraId="4B4A68FD" w14:textId="77777777" w:rsidTr="00044BA1">
        <w:trPr>
          <w:trHeight w:val="28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329473D5" w14:textId="77777777" w:rsidR="00FC2C34" w:rsidRPr="00044BA1" w:rsidRDefault="00FC2C34" w:rsidP="00656DCF">
            <w:pPr>
              <w:spacing w:before="20"/>
              <w:rPr>
                <w:rFonts w:eastAsia="Times New Roman" w:cs="Times New Roman"/>
                <w:color w:val="000000"/>
                <w:sz w:val="18"/>
                <w:szCs w:val="18"/>
                <w:lang w:eastAsia="lv-LV"/>
              </w:rPr>
            </w:pPr>
            <w:r w:rsidRPr="00044BA1">
              <w:rPr>
                <w:rFonts w:eastAsia="Times New Roman" w:cs="Times New Roman"/>
                <w:color w:val="000000"/>
                <w:sz w:val="18"/>
                <w:szCs w:val="18"/>
                <w:lang w:eastAsia="lv-LV"/>
              </w:rPr>
              <w:t>Izpilde</w:t>
            </w:r>
          </w:p>
        </w:tc>
        <w:tc>
          <w:tcPr>
            <w:tcW w:w="0" w:type="dxa"/>
            <w:noWrap/>
            <w:hideMark/>
          </w:tcPr>
          <w:p w14:paraId="042C7F69"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1749,6</w:t>
            </w:r>
          </w:p>
        </w:tc>
        <w:tc>
          <w:tcPr>
            <w:tcW w:w="0" w:type="dxa"/>
            <w:noWrap/>
            <w:hideMark/>
          </w:tcPr>
          <w:p w14:paraId="3A208822"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1883,9</w:t>
            </w:r>
          </w:p>
        </w:tc>
        <w:tc>
          <w:tcPr>
            <w:tcW w:w="0" w:type="dxa"/>
            <w:noWrap/>
            <w:hideMark/>
          </w:tcPr>
          <w:p w14:paraId="0D13418B"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1980,8</w:t>
            </w:r>
          </w:p>
        </w:tc>
        <w:tc>
          <w:tcPr>
            <w:tcW w:w="0" w:type="dxa"/>
            <w:noWrap/>
            <w:hideMark/>
          </w:tcPr>
          <w:p w14:paraId="36C62606"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1976,1</w:t>
            </w:r>
          </w:p>
        </w:tc>
        <w:tc>
          <w:tcPr>
            <w:tcW w:w="0" w:type="dxa"/>
            <w:noWrap/>
            <w:hideMark/>
          </w:tcPr>
          <w:p w14:paraId="6AAD7451"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2048,7</w:t>
            </w:r>
          </w:p>
        </w:tc>
        <w:tc>
          <w:tcPr>
            <w:tcW w:w="0" w:type="dxa"/>
            <w:noWrap/>
            <w:hideMark/>
          </w:tcPr>
          <w:p w14:paraId="1B5433D9"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2104,9</w:t>
            </w:r>
          </w:p>
        </w:tc>
        <w:tc>
          <w:tcPr>
            <w:tcW w:w="711" w:type="dxa"/>
            <w:noWrap/>
            <w:hideMark/>
          </w:tcPr>
          <w:p w14:paraId="0855DF4E"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2257,0</w:t>
            </w:r>
          </w:p>
        </w:tc>
        <w:tc>
          <w:tcPr>
            <w:tcW w:w="711" w:type="dxa"/>
            <w:noWrap/>
            <w:hideMark/>
          </w:tcPr>
          <w:p w14:paraId="61647426"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2543,2</w:t>
            </w:r>
          </w:p>
        </w:tc>
        <w:tc>
          <w:tcPr>
            <w:tcW w:w="0" w:type="dxa"/>
            <w:noWrap/>
            <w:hideMark/>
          </w:tcPr>
          <w:p w14:paraId="65C8B436"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2795,0</w:t>
            </w:r>
          </w:p>
        </w:tc>
        <w:tc>
          <w:tcPr>
            <w:tcW w:w="0" w:type="dxa"/>
            <w:noWrap/>
            <w:hideMark/>
          </w:tcPr>
          <w:p w14:paraId="5FB676B9"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2815,9</w:t>
            </w:r>
          </w:p>
        </w:tc>
        <w:tc>
          <w:tcPr>
            <w:tcW w:w="0" w:type="dxa"/>
            <w:noWrap/>
            <w:hideMark/>
          </w:tcPr>
          <w:p w14:paraId="75F581C1"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3018,0</w:t>
            </w:r>
          </w:p>
        </w:tc>
        <w:tc>
          <w:tcPr>
            <w:tcW w:w="0" w:type="dxa"/>
            <w:noWrap/>
            <w:hideMark/>
          </w:tcPr>
          <w:p w14:paraId="667FAE31"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3539,5</w:t>
            </w:r>
          </w:p>
        </w:tc>
      </w:tr>
      <w:tr w:rsidR="00FC2C34" w:rsidRPr="00703973" w14:paraId="2F562968" w14:textId="77777777" w:rsidTr="00044B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00AA8DED" w14:textId="77777777" w:rsidR="00FC2C34" w:rsidRPr="00044BA1" w:rsidRDefault="00FC2C34" w:rsidP="00044BA1">
            <w:pPr>
              <w:rPr>
                <w:rFonts w:eastAsia="Times New Roman" w:cs="Times New Roman"/>
                <w:color w:val="000000"/>
                <w:sz w:val="18"/>
                <w:szCs w:val="18"/>
                <w:lang w:eastAsia="lv-LV"/>
              </w:rPr>
            </w:pPr>
            <w:r w:rsidRPr="00044BA1">
              <w:rPr>
                <w:rFonts w:eastAsia="Times New Roman" w:cs="Times New Roman"/>
                <w:color w:val="000000"/>
                <w:sz w:val="18"/>
                <w:szCs w:val="18"/>
                <w:lang w:eastAsia="lv-LV"/>
              </w:rPr>
              <w:t>Novirze no plāna %</w:t>
            </w:r>
          </w:p>
        </w:tc>
        <w:tc>
          <w:tcPr>
            <w:tcW w:w="725" w:type="dxa"/>
            <w:noWrap/>
            <w:hideMark/>
          </w:tcPr>
          <w:p w14:paraId="2A1372AC"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3,1%</w:t>
            </w:r>
          </w:p>
        </w:tc>
        <w:tc>
          <w:tcPr>
            <w:tcW w:w="725" w:type="dxa"/>
            <w:noWrap/>
            <w:hideMark/>
          </w:tcPr>
          <w:p w14:paraId="47230574"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0,7%</w:t>
            </w:r>
          </w:p>
        </w:tc>
        <w:tc>
          <w:tcPr>
            <w:tcW w:w="725" w:type="dxa"/>
            <w:noWrap/>
            <w:hideMark/>
          </w:tcPr>
          <w:p w14:paraId="259517BC"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3,6%</w:t>
            </w:r>
          </w:p>
        </w:tc>
        <w:tc>
          <w:tcPr>
            <w:tcW w:w="725" w:type="dxa"/>
            <w:noWrap/>
            <w:hideMark/>
          </w:tcPr>
          <w:p w14:paraId="63BC4855"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-0,4%</w:t>
            </w:r>
          </w:p>
        </w:tc>
        <w:tc>
          <w:tcPr>
            <w:tcW w:w="726" w:type="dxa"/>
            <w:noWrap/>
            <w:hideMark/>
          </w:tcPr>
          <w:p w14:paraId="492FD831"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-1,1%</w:t>
            </w:r>
          </w:p>
        </w:tc>
        <w:tc>
          <w:tcPr>
            <w:tcW w:w="726" w:type="dxa"/>
            <w:noWrap/>
            <w:hideMark/>
          </w:tcPr>
          <w:p w14:paraId="4B85BE8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-0,2%</w:t>
            </w:r>
          </w:p>
        </w:tc>
        <w:tc>
          <w:tcPr>
            <w:tcW w:w="711" w:type="dxa"/>
            <w:noWrap/>
            <w:hideMark/>
          </w:tcPr>
          <w:p w14:paraId="64EBC62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0,6%</w:t>
            </w:r>
          </w:p>
        </w:tc>
        <w:tc>
          <w:tcPr>
            <w:tcW w:w="711" w:type="dxa"/>
            <w:noWrap/>
            <w:hideMark/>
          </w:tcPr>
          <w:p w14:paraId="441E3A22"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0,6%</w:t>
            </w:r>
          </w:p>
        </w:tc>
        <w:tc>
          <w:tcPr>
            <w:tcW w:w="726" w:type="dxa"/>
            <w:noWrap/>
            <w:hideMark/>
          </w:tcPr>
          <w:p w14:paraId="56A91460"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2,5%</w:t>
            </w:r>
          </w:p>
        </w:tc>
        <w:tc>
          <w:tcPr>
            <w:tcW w:w="726" w:type="dxa"/>
            <w:noWrap/>
            <w:hideMark/>
          </w:tcPr>
          <w:p w14:paraId="2F7F818A"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-4,8%</w:t>
            </w:r>
          </w:p>
        </w:tc>
        <w:tc>
          <w:tcPr>
            <w:tcW w:w="726" w:type="dxa"/>
            <w:noWrap/>
            <w:hideMark/>
          </w:tcPr>
          <w:p w14:paraId="49995CB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6,3%</w:t>
            </w:r>
          </w:p>
        </w:tc>
        <w:tc>
          <w:tcPr>
            <w:tcW w:w="726" w:type="dxa"/>
            <w:noWrap/>
            <w:hideMark/>
          </w:tcPr>
          <w:p w14:paraId="1B87445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13,0%</w:t>
            </w:r>
          </w:p>
        </w:tc>
      </w:tr>
    </w:tbl>
    <w:p w14:paraId="1A5B3DE1" w14:textId="0419AFA6" w:rsidR="00F12A45" w:rsidRPr="0020713B" w:rsidRDefault="00F12A45" w:rsidP="0004033A">
      <w:pPr>
        <w:spacing w:before="120" w:after="100" w:afterAutospacing="1" w:line="240" w:lineRule="auto"/>
        <w:ind w:firstLine="709"/>
        <w:jc w:val="both"/>
        <w:rPr>
          <w:rFonts w:ascii="Times New Roman" w:hAnsi="Times New Roman" w:cs="Times New Roman"/>
          <w:b/>
          <w:bCs/>
          <w:sz w:val="24"/>
          <w:szCs w:val="24"/>
          <w:lang w:eastAsia="lv-LV"/>
        </w:rPr>
      </w:pPr>
      <w:r>
        <w:rPr>
          <w:rFonts w:ascii="Times New Roman" w:hAnsi="Times New Roman" w:cs="Times New Roman"/>
          <w:sz w:val="24"/>
          <w:szCs w:val="24"/>
          <w:lang w:eastAsia="lv-LV"/>
        </w:rPr>
        <w:t xml:space="preserve">Ņemot vērā sociālās apdrošināšanas iemaksu </w:t>
      </w:r>
      <w:r w:rsidR="00AB086E">
        <w:rPr>
          <w:rFonts w:ascii="Times New Roman" w:hAnsi="Times New Roman" w:cs="Times New Roman"/>
          <w:sz w:val="24"/>
          <w:szCs w:val="24"/>
          <w:lang w:eastAsia="lv-LV"/>
        </w:rPr>
        <w:t xml:space="preserve">un izdevumu </w:t>
      </w:r>
      <w:r>
        <w:rPr>
          <w:rFonts w:ascii="Times New Roman" w:hAnsi="Times New Roman" w:cs="Times New Roman"/>
          <w:sz w:val="24"/>
          <w:szCs w:val="24"/>
          <w:lang w:eastAsia="lv-LV"/>
        </w:rPr>
        <w:t>datus, šajā deklarācijā risks tiek uzskatīts par simetrisku</w:t>
      </w:r>
      <w:r w:rsidR="00AE5FC2">
        <w:rPr>
          <w:rFonts w:ascii="Times New Roman" w:hAnsi="Times New Roman" w:cs="Times New Roman"/>
          <w:sz w:val="24"/>
          <w:szCs w:val="24"/>
          <w:lang w:eastAsia="lv-LV"/>
        </w:rPr>
        <w:t xml:space="preserve"> </w:t>
      </w:r>
      <w:r w:rsidR="00AE5FC2">
        <w:rPr>
          <w:rFonts w:ascii="Times New Roman" w:eastAsiaTheme="minorHAnsi" w:hAnsi="Times New Roman" w:cs="Times New Roman"/>
          <w:sz w:val="24"/>
        </w:rPr>
        <w:t xml:space="preserve">un </w:t>
      </w:r>
      <w:r w:rsidR="00AE5FC2" w:rsidRPr="0020713B">
        <w:rPr>
          <w:rFonts w:ascii="Times New Roman" w:eastAsiaTheme="minorHAnsi" w:hAnsi="Times New Roman" w:cs="Times New Roman"/>
          <w:b/>
          <w:bCs/>
          <w:sz w:val="24"/>
          <w:szCs w:val="20"/>
        </w:rPr>
        <w:t>fiskālā nodrošinājuma rezerve šim riskam netiek veidota</w:t>
      </w:r>
      <w:r w:rsidRPr="0020713B">
        <w:rPr>
          <w:rFonts w:ascii="Times New Roman" w:hAnsi="Times New Roman" w:cs="Times New Roman"/>
          <w:b/>
          <w:bCs/>
          <w:sz w:val="24"/>
          <w:szCs w:val="24"/>
          <w:lang w:eastAsia="lv-LV"/>
        </w:rPr>
        <w:t>.</w:t>
      </w:r>
    </w:p>
    <w:p w14:paraId="7AFD72E4" w14:textId="77777777" w:rsidR="00822D84" w:rsidRPr="006848B0"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5" w:name="_Toc405371079"/>
      <w:bookmarkStart w:id="66" w:name="_Toc536779064"/>
      <w:bookmarkStart w:id="67" w:name="_Toc142388031"/>
      <w:r w:rsidRPr="006848B0">
        <w:rPr>
          <w:rFonts w:ascii="Times New Roman" w:hAnsi="Times New Roman" w:cs="Times New Roman"/>
          <w:color w:val="auto"/>
          <w:sz w:val="24"/>
          <w:szCs w:val="24"/>
        </w:rPr>
        <w:t>Kārtējo maksājumu Eiropas Savienības budžetā un starptautiskai sadarbībai pieaugums</w:t>
      </w:r>
      <w:bookmarkEnd w:id="65"/>
      <w:bookmarkEnd w:id="66"/>
      <w:bookmarkEnd w:id="67"/>
    </w:p>
    <w:p w14:paraId="682D8D16" w14:textId="5F28477B"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 xml:space="preserve">Fiskālais risks iestājas gadījumā, ja kārtējo maksājumu ES budžetā nodrošināšanai ir nepieciešams veikt apropriācijas palielināšanu, kā rezultātā rodas negatīva ietekme uz vispārējās valdības budžeta bilanci. Savukārt, ja notiek apropriācijas samazināšana, tad </w:t>
      </w:r>
      <w:r w:rsidR="009D6109" w:rsidRPr="006848B0">
        <w:rPr>
          <w:rFonts w:ascii="Times New Roman" w:hAnsi="Times New Roman"/>
          <w:sz w:val="24"/>
          <w:szCs w:val="24"/>
        </w:rPr>
        <w:t xml:space="preserve">tai </w:t>
      </w:r>
      <w:r w:rsidRPr="006848B0">
        <w:rPr>
          <w:rFonts w:ascii="Times New Roman" w:hAnsi="Times New Roman"/>
          <w:sz w:val="24"/>
          <w:szCs w:val="24"/>
        </w:rPr>
        <w:t xml:space="preserve">ir pozitīva ietekme uz vispārējās valdības budžeta bilanci. </w:t>
      </w:r>
    </w:p>
    <w:p w14:paraId="368A735D" w14:textId="77777777"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Iemaksu ES budžetā apmēru ietekmē šādi faktori:</w:t>
      </w:r>
    </w:p>
    <w:p w14:paraId="78787F9D" w14:textId="461A03C5"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lastRenderedPageBreak/>
        <w:t>ES budžeta kopapjoms, kas nosaka izdevumu apmēru</w:t>
      </w:r>
      <w:r w:rsidR="00604F97">
        <w:rPr>
          <w:rFonts w:ascii="Times New Roman" w:hAnsi="Times New Roman"/>
          <w:sz w:val="24"/>
          <w:szCs w:val="24"/>
        </w:rPr>
        <w:t xml:space="preserve">, </w:t>
      </w:r>
      <w:r w:rsidRPr="006848B0">
        <w:rPr>
          <w:rFonts w:ascii="Times New Roman" w:hAnsi="Times New Roman"/>
          <w:sz w:val="24"/>
          <w:szCs w:val="24"/>
        </w:rPr>
        <w:t>un ES budžeta grozījumi, ar kuru palīdzību ES budžeta kopapjoms var tikt mainīts. Ja ES budžeta izdevumi pieaug, iemaksas ES budžetā arī palielinās un otrādi;</w:t>
      </w:r>
    </w:p>
    <w:p w14:paraId="41C49927" w14:textId="77777777"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ES budžeta grozījumu apstiprināšanas gaita. Ja ES budžeta grozījumi tiek apstiprināti tekošā gada beigās, tie var faktiski (pēc naudas plūsmas) ietekmēt nākamā gada maksājumus ES budžetā;</w:t>
      </w:r>
    </w:p>
    <w:p w14:paraId="2E345565" w14:textId="2BC6C9D5" w:rsidR="00A93036" w:rsidRPr="0058124B" w:rsidRDefault="00A93036" w:rsidP="00CA6102">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 xml:space="preserve">Latvijas </w:t>
      </w:r>
      <w:r w:rsidR="00CA6102">
        <w:rPr>
          <w:rFonts w:ascii="Times New Roman" w:hAnsi="Times New Roman"/>
          <w:sz w:val="24"/>
          <w:szCs w:val="24"/>
        </w:rPr>
        <w:t xml:space="preserve">un citu ES dalībvalstu </w:t>
      </w:r>
      <w:r w:rsidRPr="006848B0">
        <w:rPr>
          <w:rFonts w:ascii="Times New Roman" w:hAnsi="Times New Roman"/>
          <w:sz w:val="24"/>
          <w:szCs w:val="24"/>
        </w:rPr>
        <w:t xml:space="preserve">izaugsmes </w:t>
      </w:r>
      <w:r w:rsidR="00604F97">
        <w:rPr>
          <w:rFonts w:ascii="Times New Roman" w:hAnsi="Times New Roman"/>
          <w:sz w:val="24"/>
          <w:szCs w:val="24"/>
        </w:rPr>
        <w:t xml:space="preserve">un citi ekonomiskie </w:t>
      </w:r>
      <w:r w:rsidRPr="006848B0">
        <w:rPr>
          <w:rFonts w:ascii="Times New Roman" w:hAnsi="Times New Roman"/>
          <w:sz w:val="24"/>
          <w:szCs w:val="24"/>
        </w:rPr>
        <w:t xml:space="preserve">rādītāji un to izmaiņas, ņemot vērā, ka ES izdevumus dalībvalstis finansē </w:t>
      </w:r>
      <w:r w:rsidR="001A5806">
        <w:rPr>
          <w:rFonts w:ascii="Times New Roman" w:hAnsi="Times New Roman"/>
          <w:sz w:val="24"/>
          <w:szCs w:val="24"/>
        </w:rPr>
        <w:t xml:space="preserve">galvenokārt </w:t>
      </w:r>
      <w:r w:rsidRPr="006848B0">
        <w:rPr>
          <w:rFonts w:ascii="Times New Roman" w:hAnsi="Times New Roman"/>
          <w:sz w:val="24"/>
          <w:szCs w:val="24"/>
        </w:rPr>
        <w:t>proporcionāli to labklājības līmenim</w:t>
      </w:r>
      <w:r w:rsidR="00CA6102">
        <w:rPr>
          <w:rFonts w:ascii="Times New Roman" w:hAnsi="Times New Roman"/>
          <w:sz w:val="24"/>
          <w:szCs w:val="24"/>
        </w:rPr>
        <w:t xml:space="preserve">. Pašu resursu bāzes, kas ir pamats, lai aprēķinātu dalībvalstu iemaksas ES budžetā, reizi gadā tiek pārskatītas un atjaunotas, pielāgojot tās jaunākajām ekonomikas prognozēm. </w:t>
      </w:r>
      <w:r w:rsidR="00CA6102" w:rsidRPr="00274F2D">
        <w:rPr>
          <w:rFonts w:ascii="Times New Roman" w:hAnsi="Times New Roman"/>
          <w:sz w:val="24"/>
          <w:szCs w:val="24"/>
        </w:rPr>
        <w:t>Vienlaikus jāņem vērā, ka</w:t>
      </w:r>
      <w:r w:rsidR="00F64903">
        <w:rPr>
          <w:rFonts w:ascii="Times New Roman" w:hAnsi="Times New Roman"/>
          <w:sz w:val="24"/>
          <w:szCs w:val="24"/>
        </w:rPr>
        <w:t xml:space="preserve"> t</w:t>
      </w:r>
      <w:r w:rsidR="00F64903" w:rsidRPr="00F64903">
        <w:rPr>
          <w:rFonts w:ascii="Times New Roman" w:hAnsi="Times New Roman"/>
          <w:sz w:val="24"/>
          <w:szCs w:val="24"/>
        </w:rPr>
        <w:t>radicionāl</w:t>
      </w:r>
      <w:r w:rsidR="00F64903">
        <w:rPr>
          <w:rFonts w:ascii="Times New Roman" w:hAnsi="Times New Roman"/>
          <w:sz w:val="24"/>
          <w:szCs w:val="24"/>
        </w:rPr>
        <w:t>o</w:t>
      </w:r>
      <w:r w:rsidR="00F64903" w:rsidRPr="00F64903">
        <w:rPr>
          <w:rFonts w:ascii="Times New Roman" w:hAnsi="Times New Roman"/>
          <w:sz w:val="24"/>
          <w:szCs w:val="24"/>
        </w:rPr>
        <w:t xml:space="preserve"> pašu resurs</w:t>
      </w:r>
      <w:r w:rsidR="00F64903">
        <w:rPr>
          <w:rFonts w:ascii="Times New Roman" w:hAnsi="Times New Roman"/>
          <w:sz w:val="24"/>
          <w:szCs w:val="24"/>
        </w:rPr>
        <w:t>u</w:t>
      </w:r>
      <w:r w:rsidR="00CA6102" w:rsidRPr="00274F2D">
        <w:rPr>
          <w:rFonts w:ascii="Times New Roman" w:hAnsi="Times New Roman"/>
          <w:sz w:val="24"/>
          <w:szCs w:val="24"/>
        </w:rPr>
        <w:t xml:space="preserve"> </w:t>
      </w:r>
      <w:r w:rsidR="00F64903">
        <w:rPr>
          <w:rFonts w:ascii="Times New Roman" w:hAnsi="Times New Roman"/>
          <w:sz w:val="24"/>
          <w:szCs w:val="24"/>
        </w:rPr>
        <w:t xml:space="preserve">(turpmāk </w:t>
      </w:r>
      <w:r w:rsidR="00CA6102" w:rsidRPr="00274F2D">
        <w:rPr>
          <w:rFonts w:ascii="Times New Roman" w:hAnsi="Times New Roman"/>
          <w:sz w:val="24"/>
          <w:szCs w:val="24"/>
        </w:rPr>
        <w:t>TPR</w:t>
      </w:r>
      <w:r w:rsidR="00F64903">
        <w:rPr>
          <w:rFonts w:ascii="Times New Roman" w:hAnsi="Times New Roman"/>
          <w:sz w:val="24"/>
          <w:szCs w:val="24"/>
        </w:rPr>
        <w:t>)</w:t>
      </w:r>
      <w:r w:rsidR="00CA6102" w:rsidRPr="00274F2D">
        <w:rPr>
          <w:rFonts w:ascii="Times New Roman" w:hAnsi="Times New Roman"/>
          <w:sz w:val="24"/>
          <w:szCs w:val="24"/>
        </w:rPr>
        <w:t xml:space="preserve"> apmērs atkarīgs no faktiski iekasētiem līdzekļiem</w:t>
      </w:r>
      <w:r w:rsidR="00CA6102" w:rsidRPr="006848B0">
        <w:rPr>
          <w:rFonts w:ascii="Times New Roman" w:hAnsi="Times New Roman"/>
          <w:sz w:val="24"/>
          <w:szCs w:val="24"/>
        </w:rPr>
        <w:t>;</w:t>
      </w:r>
    </w:p>
    <w:p w14:paraId="28BCD092" w14:textId="113A219C"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 xml:space="preserve">citu ES budžeta ieņēmumu apmērs (iekasētās soda naudas, kavējumu procenti, iepriekšējā gada ES budžeta izpildes pārpalikums u.tml.), jo ES budžets tiek finansēts </w:t>
      </w:r>
      <w:r w:rsidR="001A5806">
        <w:rPr>
          <w:rFonts w:ascii="Times New Roman" w:hAnsi="Times New Roman"/>
          <w:sz w:val="24"/>
          <w:szCs w:val="24"/>
        </w:rPr>
        <w:t>ne tikai</w:t>
      </w:r>
      <w:r w:rsidRPr="006848B0">
        <w:rPr>
          <w:rFonts w:ascii="Times New Roman" w:hAnsi="Times New Roman"/>
          <w:sz w:val="24"/>
          <w:szCs w:val="24"/>
        </w:rPr>
        <w:t xml:space="preserve"> ar dalībvalstu iemaksām. Ja citi ES budžeta ieņēmumi pieaug, iemaksas ES budžetā samazinās;</w:t>
      </w:r>
    </w:p>
    <w:p w14:paraId="6A9B4B28" w14:textId="3A2DA0B2" w:rsidR="0092276B" w:rsidRDefault="00A93036" w:rsidP="0092276B">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korekcijas maksājuma apmērs, kas tiek veikts, balstoties uz faktiskajiem PVN un NKI bāzes apjomiem par iepriekšējiem saimnieciskajiem gadiem. Tam var būt gan iemaksas samazinoša, gan iemaksas palielinoša ietekme atkarībā no tā, kāda ir faktisko un prognozēto PVN un NKI bā</w:t>
      </w:r>
      <w:r w:rsidR="00CA6102">
        <w:rPr>
          <w:rFonts w:ascii="Times New Roman" w:hAnsi="Times New Roman"/>
          <w:sz w:val="24"/>
          <w:szCs w:val="24"/>
        </w:rPr>
        <w:t>z</w:t>
      </w:r>
      <w:r w:rsidRPr="006848B0">
        <w:rPr>
          <w:rFonts w:ascii="Times New Roman" w:hAnsi="Times New Roman"/>
          <w:sz w:val="24"/>
          <w:szCs w:val="24"/>
        </w:rPr>
        <w:t>u atšķirība</w:t>
      </w:r>
      <w:r w:rsidR="00365894">
        <w:rPr>
          <w:rFonts w:ascii="Times New Roman" w:hAnsi="Times New Roman"/>
          <w:sz w:val="24"/>
          <w:szCs w:val="24"/>
        </w:rPr>
        <w:t>;</w:t>
      </w:r>
    </w:p>
    <w:p w14:paraId="673042A9" w14:textId="77777777" w:rsidR="00365894" w:rsidRDefault="00365894" w:rsidP="00365894">
      <w:pPr>
        <w:pStyle w:val="ListParagraph"/>
        <w:numPr>
          <w:ilvl w:val="0"/>
          <w:numId w:val="2"/>
        </w:numPr>
        <w:ind w:left="709"/>
        <w:rPr>
          <w:rFonts w:ascii="Times New Roman" w:hAnsi="Times New Roman"/>
          <w:sz w:val="24"/>
          <w:szCs w:val="24"/>
        </w:rPr>
      </w:pPr>
      <w:r>
        <w:rPr>
          <w:rFonts w:ascii="Times New Roman" w:hAnsi="Times New Roman"/>
          <w:sz w:val="24"/>
          <w:szCs w:val="24"/>
        </w:rPr>
        <w:t>soda procentu maksājumi par pašu resursiem, kas darīti pieejami ES budžetam ar kavējumiem</w:t>
      </w:r>
      <w:r w:rsidRPr="006848B0">
        <w:rPr>
          <w:rFonts w:ascii="Times New Roman" w:hAnsi="Times New Roman"/>
          <w:sz w:val="24"/>
          <w:szCs w:val="24"/>
        </w:rPr>
        <w:t>.</w:t>
      </w:r>
      <w:r>
        <w:rPr>
          <w:rFonts w:ascii="Times New Roman" w:hAnsi="Times New Roman"/>
          <w:sz w:val="24"/>
          <w:szCs w:val="24"/>
        </w:rPr>
        <w:t xml:space="preserve"> Potenciālos soda procentu maksājumus nav iespējams paredzēt uz priekšu un priekšlaicīgi iestrādāt iemaksu prognozēs, tāpēc tiem ir tieša un palielinoša ietekme uz kārtējiem maksājumiem ES budžetā;</w:t>
      </w:r>
    </w:p>
    <w:p w14:paraId="40A6D723" w14:textId="76BDE492" w:rsidR="00365894" w:rsidRPr="00F56613" w:rsidRDefault="00365894" w:rsidP="00F56613">
      <w:pPr>
        <w:pStyle w:val="ListParagraph"/>
        <w:numPr>
          <w:ilvl w:val="0"/>
          <w:numId w:val="2"/>
        </w:numPr>
        <w:ind w:left="709"/>
        <w:rPr>
          <w:rFonts w:ascii="Times New Roman" w:eastAsiaTheme="minorHAnsi" w:hAnsi="Times New Roman"/>
        </w:rPr>
      </w:pPr>
      <w:r>
        <w:rPr>
          <w:rFonts w:ascii="Times New Roman" w:hAnsi="Times New Roman"/>
          <w:sz w:val="24"/>
          <w:szCs w:val="24"/>
        </w:rPr>
        <w:t xml:space="preserve">nestandarta TPR maksājumi saistībā ar atklātiem pārkāpumiem un juridiskām sekām, kas izriet no tiesvedībām starp dalībvalstīm un ES institūcijām. </w:t>
      </w:r>
      <w:r w:rsidRPr="00B03A7E">
        <w:rPr>
          <w:rFonts w:ascii="Times New Roman" w:hAnsi="Times New Roman"/>
          <w:sz w:val="24"/>
          <w:szCs w:val="24"/>
        </w:rPr>
        <w:t>Līdzīgi kā soda procentu maksājumus arī šāda veida maksājumus nav iespējams iepriekš paredzēt, tāpēc tiem ir tieša un palielinoša ietekme uz kārtējiem maksājumiem ES budžetā.</w:t>
      </w:r>
    </w:p>
    <w:p w14:paraId="78BE01A0" w14:textId="51A812B6" w:rsidR="00BD7F2B" w:rsidRDefault="00A75EE2" w:rsidP="00656DCF">
      <w:pPr>
        <w:spacing w:after="0" w:line="240" w:lineRule="auto"/>
        <w:ind w:firstLine="709"/>
        <w:jc w:val="both"/>
        <w:rPr>
          <w:rFonts w:ascii="Times New Roman" w:eastAsiaTheme="minorHAnsi" w:hAnsi="Times New Roman"/>
          <w:b/>
          <w:bCs/>
          <w:sz w:val="24"/>
        </w:rPr>
      </w:pPr>
      <w:r w:rsidRPr="0058124B">
        <w:rPr>
          <w:rFonts w:ascii="Times New Roman" w:eastAsiaTheme="minorHAnsi" w:hAnsi="Times New Roman"/>
          <w:sz w:val="24"/>
        </w:rPr>
        <w:t>Ņemot vērā iepriekš minētos faktorus, kas ietekmē kārtējos maksājumus ES budžetā, fiskālajam riskam ir jābūt simetriskam. Tomēr faktiskās novirzes, kas attēlotas tabulā Nr.</w:t>
      </w:r>
      <w:r w:rsidR="00136721">
        <w:rPr>
          <w:rFonts w:ascii="Times New Roman" w:eastAsiaTheme="minorHAnsi" w:hAnsi="Times New Roman"/>
          <w:sz w:val="24"/>
        </w:rPr>
        <w:t>2.5.1</w:t>
      </w:r>
      <w:r w:rsidRPr="0058124B">
        <w:rPr>
          <w:rFonts w:ascii="Times New Roman" w:eastAsiaTheme="minorHAnsi" w:hAnsi="Times New Roman"/>
          <w:sz w:val="24"/>
        </w:rPr>
        <w:t xml:space="preserve">, norāda uz sistēmiska rakstura novirzēm, kas vairākus gadus pēc kārtas saglabā vienu noteiktu virzienu </w:t>
      </w:r>
      <w:r w:rsidRPr="0058124B">
        <w:rPr>
          <w:rFonts w:ascii="Times New Roman" w:hAnsi="Times New Roman"/>
          <w:sz w:val="24"/>
          <w:szCs w:val="24"/>
        </w:rPr>
        <w:t>–</w:t>
      </w:r>
      <w:r w:rsidRPr="0058124B">
        <w:rPr>
          <w:rFonts w:ascii="Times New Roman" w:eastAsiaTheme="minorHAnsi" w:hAnsi="Times New Roman"/>
          <w:sz w:val="24"/>
        </w:rPr>
        <w:t xml:space="preserve"> laika periods no 2006. līdz 2010.gadam raksturīgs ar zemāku faktisko izpildi pret plānu, savukārt laika periods no 2011.gada līdz 2014.gadam iezīmē augstākus faktiskos izdevumus nekā tika iepriekš prognozēts. Turpretī laika periods no 2015.gada līdz 2018.gadam atkal ir bijis raksturīgs ar zemāku izdevumu apmēru nekā prognozēts.</w:t>
      </w:r>
      <w:r w:rsidR="006848B0" w:rsidRPr="0058124B">
        <w:rPr>
          <w:rFonts w:ascii="Times New Roman" w:eastAsiaTheme="minorHAnsi" w:hAnsi="Times New Roman"/>
          <w:sz w:val="24"/>
        </w:rPr>
        <w:t xml:space="preserve"> 2019.gada iemaksas atkal maina virzienu, proti, faktiskie izdevumi bija augstāki nekā sākotnēji tika prognozēts</w:t>
      </w:r>
      <w:r w:rsidR="00D51027">
        <w:rPr>
          <w:rFonts w:ascii="Times New Roman" w:eastAsiaTheme="minorHAnsi" w:hAnsi="Times New Roman"/>
          <w:sz w:val="24"/>
        </w:rPr>
        <w:t xml:space="preserve"> un tāda pati tendence saglabājās arī 2020.</w:t>
      </w:r>
      <w:r w:rsidR="00CA6102">
        <w:rPr>
          <w:rFonts w:ascii="Times New Roman" w:eastAsiaTheme="minorHAnsi" w:hAnsi="Times New Roman"/>
          <w:sz w:val="24"/>
        </w:rPr>
        <w:t xml:space="preserve">, </w:t>
      </w:r>
      <w:r w:rsidR="00D51027">
        <w:rPr>
          <w:rFonts w:ascii="Times New Roman" w:eastAsiaTheme="minorHAnsi" w:hAnsi="Times New Roman"/>
          <w:sz w:val="24"/>
        </w:rPr>
        <w:t>2021.</w:t>
      </w:r>
      <w:r w:rsidR="00CA6102">
        <w:rPr>
          <w:rFonts w:ascii="Times New Roman" w:eastAsiaTheme="minorHAnsi" w:hAnsi="Times New Roman"/>
          <w:sz w:val="24"/>
        </w:rPr>
        <w:t xml:space="preserve"> un 2022.</w:t>
      </w:r>
      <w:r w:rsidR="00D51027">
        <w:rPr>
          <w:rFonts w:ascii="Times New Roman" w:eastAsiaTheme="minorHAnsi" w:hAnsi="Times New Roman"/>
          <w:sz w:val="24"/>
        </w:rPr>
        <w:t>gadā.</w:t>
      </w:r>
      <w:r w:rsidR="004B557C">
        <w:rPr>
          <w:rFonts w:ascii="Times New Roman" w:eastAsiaTheme="minorHAnsi" w:hAnsi="Times New Roman"/>
          <w:sz w:val="24"/>
        </w:rPr>
        <w:t xml:space="preserve"> </w:t>
      </w:r>
      <w:r w:rsidR="00BD7F2B" w:rsidRPr="005946B4">
        <w:rPr>
          <w:rFonts w:ascii="Times New Roman" w:eastAsiaTheme="minorHAnsi" w:hAnsi="Times New Roman"/>
          <w:sz w:val="24"/>
        </w:rPr>
        <w:t>Tā kā iemaksu apmērs</w:t>
      </w:r>
      <w:r w:rsidR="00604F97">
        <w:rPr>
          <w:rFonts w:ascii="Times New Roman" w:eastAsiaTheme="minorHAnsi" w:hAnsi="Times New Roman"/>
          <w:sz w:val="24"/>
        </w:rPr>
        <w:t>, galvenokārt,</w:t>
      </w:r>
      <w:r w:rsidR="00BD7F2B" w:rsidRPr="005946B4">
        <w:rPr>
          <w:rFonts w:ascii="Times New Roman" w:eastAsiaTheme="minorHAnsi" w:hAnsi="Times New Roman"/>
          <w:sz w:val="24"/>
        </w:rPr>
        <w:t xml:space="preserve"> ir saistīts ar IKP, pastāv korelācija starp novirzēm iemaksu apjomā un novirzēm IKP prognozēs. Var secināt, ka ekonomikas lejupslīdes gados pastāv tendence nenovērtēt ekonomikas sabremzēšanās tempu, bet ekonomikas augšupejas periodā nenovērtēt izaugsmes apmēru. Šie faktori daļēji skaidro sistēmiskā rakstura novirzes iemaksu apjomā. Vienlaicīgi, tie apstiprina pieņēmumu, ka ekonomikas cikla periodā fiskālais risks ir simetrisks. Līdz ar to tiek saglabāts pieņēmums, ka varbūtība kārtējiem maksājumiem</w:t>
      </w:r>
      <w:r w:rsidR="00214D26">
        <w:rPr>
          <w:rFonts w:ascii="Times New Roman" w:eastAsiaTheme="minorHAnsi" w:hAnsi="Times New Roman"/>
          <w:sz w:val="24"/>
        </w:rPr>
        <w:t xml:space="preserve"> ES budžetā</w:t>
      </w:r>
      <w:r w:rsidR="00BD7F2B" w:rsidRPr="005946B4">
        <w:rPr>
          <w:rFonts w:ascii="Times New Roman" w:eastAsiaTheme="minorHAnsi" w:hAnsi="Times New Roman"/>
          <w:sz w:val="24"/>
        </w:rPr>
        <w:t xml:space="preserve"> būt virs vai zem prognozētās vērtības, ir </w:t>
      </w:r>
      <w:r w:rsidR="00365894">
        <w:rPr>
          <w:rFonts w:ascii="Times New Roman" w:eastAsiaTheme="minorHAnsi" w:hAnsi="Times New Roman"/>
          <w:sz w:val="24"/>
        </w:rPr>
        <w:t xml:space="preserve">apmēram </w:t>
      </w:r>
      <w:r w:rsidR="00BD7F2B" w:rsidRPr="005946B4">
        <w:rPr>
          <w:rFonts w:ascii="Times New Roman" w:eastAsiaTheme="minorHAnsi" w:hAnsi="Times New Roman"/>
          <w:sz w:val="24"/>
        </w:rPr>
        <w:t xml:space="preserve">50% un fiskālā ietekme ilgtermiņā ir tuva nullei. Līdz ar to fiskālais risks, kas attiecas uz kārtējiem </w:t>
      </w:r>
      <w:r w:rsidR="00BD7F2B" w:rsidRPr="00075814">
        <w:rPr>
          <w:rFonts w:ascii="Times New Roman" w:eastAsiaTheme="minorHAnsi" w:hAnsi="Times New Roman"/>
          <w:sz w:val="24"/>
        </w:rPr>
        <w:t xml:space="preserve">maksājumiem ES budžetā, </w:t>
      </w:r>
      <w:r w:rsidR="00BD7F2B" w:rsidRPr="0020713B">
        <w:rPr>
          <w:rFonts w:ascii="Times New Roman" w:eastAsiaTheme="minorHAnsi" w:hAnsi="Times New Roman"/>
          <w:b/>
          <w:bCs/>
          <w:sz w:val="24"/>
        </w:rPr>
        <w:t xml:space="preserve">netiek </w:t>
      </w:r>
      <w:r w:rsidR="00BD7F2B" w:rsidRPr="0020713B">
        <w:rPr>
          <w:rFonts w:ascii="Times New Roman" w:eastAsiaTheme="minorHAnsi" w:hAnsi="Times New Roman" w:cs="Times New Roman"/>
          <w:b/>
          <w:bCs/>
          <w:sz w:val="24"/>
        </w:rPr>
        <w:t>ietverts fiskālā nodrošinājuma rezerves aprēķinā</w:t>
      </w:r>
      <w:r w:rsidR="00BD7F2B" w:rsidRPr="0020713B">
        <w:rPr>
          <w:rFonts w:ascii="Times New Roman" w:eastAsiaTheme="minorHAnsi" w:hAnsi="Times New Roman"/>
          <w:b/>
          <w:bCs/>
          <w:sz w:val="24"/>
        </w:rPr>
        <w:t>.</w:t>
      </w:r>
    </w:p>
    <w:p w14:paraId="7EB1FA2C" w14:textId="77777777" w:rsidR="001F3606" w:rsidRDefault="001F3606" w:rsidP="00656DCF">
      <w:pPr>
        <w:spacing w:after="0" w:line="240" w:lineRule="auto"/>
        <w:ind w:firstLine="709"/>
        <w:jc w:val="both"/>
        <w:rPr>
          <w:rFonts w:ascii="Times New Roman" w:eastAsiaTheme="minorHAnsi" w:hAnsi="Times New Roman"/>
          <w:b/>
          <w:bCs/>
          <w:sz w:val="24"/>
        </w:rPr>
      </w:pPr>
    </w:p>
    <w:p w14:paraId="6961658B" w14:textId="77777777" w:rsidR="001F3606" w:rsidRDefault="001F3606" w:rsidP="00656DCF">
      <w:pPr>
        <w:spacing w:after="0" w:line="240" w:lineRule="auto"/>
        <w:ind w:firstLine="709"/>
        <w:jc w:val="both"/>
        <w:rPr>
          <w:rFonts w:ascii="Times New Roman" w:eastAsiaTheme="minorHAnsi" w:hAnsi="Times New Roman"/>
          <w:b/>
          <w:bCs/>
          <w:sz w:val="24"/>
        </w:rPr>
      </w:pPr>
    </w:p>
    <w:p w14:paraId="11FA9179" w14:textId="77777777" w:rsidR="001F3606" w:rsidRDefault="001F3606" w:rsidP="00656DCF">
      <w:pPr>
        <w:spacing w:after="0" w:line="240" w:lineRule="auto"/>
        <w:ind w:firstLine="709"/>
        <w:jc w:val="both"/>
        <w:rPr>
          <w:rFonts w:ascii="Times New Roman" w:eastAsiaTheme="minorHAnsi" w:hAnsi="Times New Roman"/>
          <w:b/>
          <w:bCs/>
          <w:sz w:val="24"/>
        </w:rPr>
      </w:pPr>
    </w:p>
    <w:p w14:paraId="1AEB8A57" w14:textId="77777777" w:rsidR="001F3606" w:rsidRDefault="001F3606" w:rsidP="00656DCF">
      <w:pPr>
        <w:spacing w:after="0" w:line="240" w:lineRule="auto"/>
        <w:ind w:firstLine="709"/>
        <w:jc w:val="both"/>
        <w:rPr>
          <w:rFonts w:ascii="Times New Roman" w:eastAsiaTheme="minorHAnsi" w:hAnsi="Times New Roman"/>
          <w:b/>
          <w:bCs/>
          <w:sz w:val="24"/>
        </w:rPr>
      </w:pPr>
    </w:p>
    <w:p w14:paraId="48CBEE37" w14:textId="77777777" w:rsidR="0004033A" w:rsidRDefault="0004033A" w:rsidP="00656DCF">
      <w:pPr>
        <w:spacing w:after="0" w:line="240" w:lineRule="auto"/>
        <w:ind w:firstLine="709"/>
        <w:jc w:val="both"/>
        <w:rPr>
          <w:rFonts w:ascii="Times New Roman" w:eastAsiaTheme="minorHAnsi" w:hAnsi="Times New Roman"/>
          <w:b/>
          <w:bCs/>
          <w:sz w:val="24"/>
        </w:rPr>
      </w:pPr>
    </w:p>
    <w:p w14:paraId="7A710088" w14:textId="77777777" w:rsidR="001F3606" w:rsidRPr="0020713B" w:rsidRDefault="001F3606" w:rsidP="00656DCF">
      <w:pPr>
        <w:spacing w:after="0" w:line="240" w:lineRule="auto"/>
        <w:ind w:firstLine="709"/>
        <w:jc w:val="both"/>
        <w:rPr>
          <w:rFonts w:ascii="Times New Roman" w:eastAsiaTheme="minorHAnsi" w:hAnsi="Times New Roman"/>
          <w:b/>
          <w:bCs/>
          <w:sz w:val="24"/>
        </w:rPr>
      </w:pPr>
    </w:p>
    <w:p w14:paraId="28C049CC" w14:textId="37E2C17C" w:rsidR="00A93036" w:rsidRPr="002B5128" w:rsidRDefault="00792E56" w:rsidP="00497710">
      <w:pPr>
        <w:spacing w:before="240" w:line="240" w:lineRule="auto"/>
        <w:jc w:val="right"/>
        <w:rPr>
          <w:rFonts w:ascii="Times New Roman" w:eastAsiaTheme="minorHAnsi" w:hAnsi="Times New Roman"/>
          <w:b/>
          <w:i/>
          <w:sz w:val="24"/>
        </w:rPr>
      </w:pPr>
      <w:r w:rsidRPr="002B5128">
        <w:rPr>
          <w:rFonts w:ascii="Times New Roman" w:eastAsiaTheme="minorHAnsi" w:hAnsi="Times New Roman"/>
          <w:b/>
          <w:sz w:val="24"/>
        </w:rPr>
        <w:lastRenderedPageBreak/>
        <w:t>T</w:t>
      </w:r>
      <w:r w:rsidR="00A93036" w:rsidRPr="002B5128">
        <w:rPr>
          <w:rFonts w:ascii="Times New Roman" w:eastAsiaTheme="minorHAnsi" w:hAnsi="Times New Roman"/>
          <w:b/>
          <w:sz w:val="24"/>
        </w:rPr>
        <w:t>abula Nr.</w:t>
      </w:r>
      <w:r w:rsidR="004A682A">
        <w:rPr>
          <w:rFonts w:ascii="Times New Roman" w:eastAsiaTheme="minorHAnsi" w:hAnsi="Times New Roman"/>
          <w:b/>
          <w:sz w:val="24"/>
        </w:rPr>
        <w:t>2.5.1</w:t>
      </w:r>
      <w:r w:rsidR="00BA7CFE" w:rsidRPr="002B5128">
        <w:rPr>
          <w:rFonts w:ascii="Times New Roman" w:eastAsiaTheme="minorHAnsi" w:hAnsi="Times New Roman"/>
          <w:b/>
          <w:sz w:val="24"/>
        </w:rPr>
        <w:t xml:space="preserve"> </w:t>
      </w:r>
      <w:r w:rsidR="00A93036" w:rsidRPr="002B5128">
        <w:rPr>
          <w:rFonts w:ascii="Times New Roman" w:eastAsiaTheme="minorHAnsi" w:hAnsi="Times New Roman"/>
          <w:b/>
          <w:sz w:val="24"/>
        </w:rPr>
        <w:t xml:space="preserve">Kārtējie maksājumi ES budžetā, milj. </w:t>
      </w:r>
      <w:proofErr w:type="spellStart"/>
      <w:r w:rsidR="00A93036" w:rsidRPr="002B5128">
        <w:rPr>
          <w:rFonts w:ascii="Times New Roman" w:eastAsiaTheme="minorHAnsi" w:hAnsi="Times New Roman"/>
          <w:b/>
          <w:i/>
          <w:sz w:val="24"/>
        </w:rPr>
        <w:t>euro</w:t>
      </w:r>
      <w:proofErr w:type="spellEnd"/>
    </w:p>
    <w:tbl>
      <w:tblPr>
        <w:tblStyle w:val="GridTable6Colorful-Accent11"/>
        <w:tblW w:w="5000" w:type="pct"/>
        <w:jc w:val="center"/>
        <w:tblLook w:val="04A0" w:firstRow="1" w:lastRow="0" w:firstColumn="1" w:lastColumn="0" w:noHBand="0" w:noVBand="1"/>
      </w:tblPr>
      <w:tblGrid>
        <w:gridCol w:w="1410"/>
        <w:gridCol w:w="1692"/>
        <w:gridCol w:w="1691"/>
        <w:gridCol w:w="2973"/>
        <w:gridCol w:w="2034"/>
      </w:tblGrid>
      <w:tr w:rsidR="00A93036" w:rsidRPr="002B5128" w14:paraId="3E6BCD41" w14:textId="77777777" w:rsidTr="00E830A8">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3DBEC13" w14:textId="77777777" w:rsidR="00A93036" w:rsidRPr="002B5128" w:rsidRDefault="00A93036" w:rsidP="006F69AD">
            <w:pPr>
              <w:rPr>
                <w:rFonts w:cs="Times New Roman"/>
                <w:color w:val="000000"/>
                <w:sz w:val="22"/>
                <w:lang w:eastAsia="lv-LV"/>
              </w:rPr>
            </w:pPr>
            <w:r w:rsidRPr="002B5128">
              <w:rPr>
                <w:rFonts w:cs="Times New Roman"/>
                <w:color w:val="000000"/>
                <w:sz w:val="22"/>
                <w:lang w:eastAsia="lv-LV"/>
              </w:rPr>
              <w:t> </w:t>
            </w:r>
          </w:p>
        </w:tc>
        <w:tc>
          <w:tcPr>
            <w:tcW w:w="863" w:type="pct"/>
            <w:noWrap/>
            <w:hideMark/>
          </w:tcPr>
          <w:p w14:paraId="56FC945B"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Plāns</w:t>
            </w:r>
          </w:p>
        </w:tc>
        <w:tc>
          <w:tcPr>
            <w:tcW w:w="863" w:type="pct"/>
            <w:noWrap/>
            <w:hideMark/>
          </w:tcPr>
          <w:p w14:paraId="32D43FD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Fakts</w:t>
            </w:r>
          </w:p>
        </w:tc>
        <w:tc>
          <w:tcPr>
            <w:tcW w:w="1517" w:type="pct"/>
            <w:noWrap/>
            <w:hideMark/>
          </w:tcPr>
          <w:p w14:paraId="13A24B0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 xml:space="preserve">Izmaiņas, milj. </w:t>
            </w:r>
            <w:proofErr w:type="spellStart"/>
            <w:r w:rsidRPr="002B5128">
              <w:rPr>
                <w:rFonts w:cs="Times New Roman"/>
                <w:i/>
                <w:iCs/>
                <w:color w:val="000000"/>
                <w:sz w:val="22"/>
                <w:lang w:eastAsia="lv-LV"/>
              </w:rPr>
              <w:t>euro</w:t>
            </w:r>
            <w:proofErr w:type="spellEnd"/>
          </w:p>
        </w:tc>
        <w:tc>
          <w:tcPr>
            <w:tcW w:w="1038" w:type="pct"/>
            <w:noWrap/>
            <w:hideMark/>
          </w:tcPr>
          <w:p w14:paraId="542584FD"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Izpilde, %</w:t>
            </w:r>
          </w:p>
        </w:tc>
      </w:tr>
      <w:tr w:rsidR="00A93036" w:rsidRPr="002B5128" w14:paraId="3CA76653" w14:textId="77777777" w:rsidTr="00E830A8">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48AE0D4E"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2006</w:t>
            </w:r>
          </w:p>
        </w:tc>
        <w:tc>
          <w:tcPr>
            <w:tcW w:w="863" w:type="pct"/>
            <w:noWrap/>
            <w:vAlign w:val="center"/>
            <w:hideMark/>
          </w:tcPr>
          <w:p w14:paraId="5841493E"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163,8</w:t>
            </w:r>
          </w:p>
        </w:tc>
        <w:tc>
          <w:tcPr>
            <w:tcW w:w="863" w:type="pct"/>
            <w:noWrap/>
            <w:vAlign w:val="center"/>
            <w:hideMark/>
          </w:tcPr>
          <w:p w14:paraId="5BA3BC8B"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159,0</w:t>
            </w:r>
          </w:p>
        </w:tc>
        <w:tc>
          <w:tcPr>
            <w:tcW w:w="1517" w:type="pct"/>
            <w:noWrap/>
            <w:vAlign w:val="center"/>
            <w:hideMark/>
          </w:tcPr>
          <w:p w14:paraId="3385055A"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w:t>
            </w:r>
          </w:p>
        </w:tc>
        <w:tc>
          <w:tcPr>
            <w:tcW w:w="1038" w:type="pct"/>
            <w:noWrap/>
            <w:vAlign w:val="center"/>
            <w:hideMark/>
          </w:tcPr>
          <w:p w14:paraId="112B13E8"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97,1</w:t>
            </w:r>
          </w:p>
        </w:tc>
      </w:tr>
      <w:tr w:rsidR="00A93036" w:rsidRPr="002B5128" w14:paraId="7DBB5932" w14:textId="77777777" w:rsidTr="00E830A8">
        <w:trPr>
          <w:trHeight w:val="172"/>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D0D5D15"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2007</w:t>
            </w:r>
          </w:p>
        </w:tc>
        <w:tc>
          <w:tcPr>
            <w:tcW w:w="863" w:type="pct"/>
            <w:noWrap/>
            <w:vAlign w:val="center"/>
            <w:hideMark/>
          </w:tcPr>
          <w:p w14:paraId="04B8F428"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207,6</w:t>
            </w:r>
          </w:p>
        </w:tc>
        <w:tc>
          <w:tcPr>
            <w:tcW w:w="863" w:type="pct"/>
            <w:noWrap/>
            <w:vAlign w:val="center"/>
            <w:hideMark/>
          </w:tcPr>
          <w:p w14:paraId="467B4A05"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197,8</w:t>
            </w:r>
          </w:p>
        </w:tc>
        <w:tc>
          <w:tcPr>
            <w:tcW w:w="1517" w:type="pct"/>
            <w:noWrap/>
            <w:vAlign w:val="center"/>
            <w:hideMark/>
          </w:tcPr>
          <w:p w14:paraId="02D37118"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-9,8</w:t>
            </w:r>
          </w:p>
        </w:tc>
        <w:tc>
          <w:tcPr>
            <w:tcW w:w="1038" w:type="pct"/>
            <w:noWrap/>
            <w:vAlign w:val="center"/>
            <w:hideMark/>
          </w:tcPr>
          <w:p w14:paraId="04A65FF1"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95,3</w:t>
            </w:r>
          </w:p>
        </w:tc>
      </w:tr>
      <w:tr w:rsidR="00A93036" w:rsidRPr="002B5128" w14:paraId="00865D69" w14:textId="77777777" w:rsidTr="00E830A8">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1759D04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2008</w:t>
            </w:r>
          </w:p>
        </w:tc>
        <w:tc>
          <w:tcPr>
            <w:tcW w:w="863" w:type="pct"/>
            <w:noWrap/>
            <w:vAlign w:val="center"/>
            <w:hideMark/>
          </w:tcPr>
          <w:p w14:paraId="6B985842"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239,9</w:t>
            </w:r>
          </w:p>
        </w:tc>
        <w:tc>
          <w:tcPr>
            <w:tcW w:w="863" w:type="pct"/>
            <w:noWrap/>
            <w:vAlign w:val="center"/>
            <w:hideMark/>
          </w:tcPr>
          <w:p w14:paraId="4E7ED0B7"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218,5</w:t>
            </w:r>
          </w:p>
        </w:tc>
        <w:tc>
          <w:tcPr>
            <w:tcW w:w="1517" w:type="pct"/>
            <w:noWrap/>
            <w:vAlign w:val="center"/>
            <w:hideMark/>
          </w:tcPr>
          <w:p w14:paraId="7219D651"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-21,4</w:t>
            </w:r>
          </w:p>
        </w:tc>
        <w:tc>
          <w:tcPr>
            <w:tcW w:w="1038" w:type="pct"/>
            <w:noWrap/>
            <w:vAlign w:val="center"/>
            <w:hideMark/>
          </w:tcPr>
          <w:p w14:paraId="643FD976"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91,1</w:t>
            </w:r>
          </w:p>
        </w:tc>
      </w:tr>
      <w:tr w:rsidR="00A93036" w:rsidRPr="002B5128" w14:paraId="5C672D53" w14:textId="77777777" w:rsidTr="00E830A8">
        <w:trPr>
          <w:trHeight w:val="54"/>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3DBA3AF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2009</w:t>
            </w:r>
          </w:p>
        </w:tc>
        <w:tc>
          <w:tcPr>
            <w:tcW w:w="863" w:type="pct"/>
            <w:noWrap/>
            <w:vAlign w:val="center"/>
            <w:hideMark/>
          </w:tcPr>
          <w:p w14:paraId="2C74196D"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258,2</w:t>
            </w:r>
          </w:p>
        </w:tc>
        <w:tc>
          <w:tcPr>
            <w:tcW w:w="863" w:type="pct"/>
            <w:noWrap/>
            <w:vAlign w:val="center"/>
            <w:hideMark/>
          </w:tcPr>
          <w:p w14:paraId="7D0042C9"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209,9</w:t>
            </w:r>
          </w:p>
        </w:tc>
        <w:tc>
          <w:tcPr>
            <w:tcW w:w="1517" w:type="pct"/>
            <w:noWrap/>
            <w:vAlign w:val="center"/>
            <w:hideMark/>
          </w:tcPr>
          <w:p w14:paraId="0E0F1135"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-48,3</w:t>
            </w:r>
          </w:p>
        </w:tc>
        <w:tc>
          <w:tcPr>
            <w:tcW w:w="1038" w:type="pct"/>
            <w:noWrap/>
            <w:vAlign w:val="center"/>
            <w:hideMark/>
          </w:tcPr>
          <w:p w14:paraId="7313DF37"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81,3</w:t>
            </w:r>
          </w:p>
        </w:tc>
      </w:tr>
      <w:tr w:rsidR="00A93036" w:rsidRPr="002B5128" w14:paraId="1733D333" w14:textId="77777777" w:rsidTr="00E830A8">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D42BC2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2010</w:t>
            </w:r>
          </w:p>
        </w:tc>
        <w:tc>
          <w:tcPr>
            <w:tcW w:w="863" w:type="pct"/>
            <w:noWrap/>
            <w:vAlign w:val="center"/>
            <w:hideMark/>
          </w:tcPr>
          <w:p w14:paraId="0439907F"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199,1</w:t>
            </w:r>
          </w:p>
        </w:tc>
        <w:tc>
          <w:tcPr>
            <w:tcW w:w="863" w:type="pct"/>
            <w:noWrap/>
            <w:vAlign w:val="center"/>
            <w:hideMark/>
          </w:tcPr>
          <w:p w14:paraId="2F6907B8"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170,6</w:t>
            </w:r>
          </w:p>
        </w:tc>
        <w:tc>
          <w:tcPr>
            <w:tcW w:w="1517" w:type="pct"/>
            <w:noWrap/>
            <w:vAlign w:val="center"/>
            <w:hideMark/>
          </w:tcPr>
          <w:p w14:paraId="6B59DE6E"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-28,5</w:t>
            </w:r>
          </w:p>
        </w:tc>
        <w:tc>
          <w:tcPr>
            <w:tcW w:w="1038" w:type="pct"/>
            <w:noWrap/>
            <w:vAlign w:val="center"/>
            <w:hideMark/>
          </w:tcPr>
          <w:p w14:paraId="71B711D4"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85,7</w:t>
            </w:r>
          </w:p>
        </w:tc>
      </w:tr>
      <w:tr w:rsidR="00A93036" w:rsidRPr="002B5128" w14:paraId="58A2B2AD" w14:textId="77777777" w:rsidTr="00E830A8">
        <w:trPr>
          <w:trHeight w:val="216"/>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3A3A15A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2011</w:t>
            </w:r>
          </w:p>
        </w:tc>
        <w:tc>
          <w:tcPr>
            <w:tcW w:w="863" w:type="pct"/>
            <w:noWrap/>
            <w:vAlign w:val="center"/>
            <w:hideMark/>
          </w:tcPr>
          <w:p w14:paraId="615CB3FA"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185,0</w:t>
            </w:r>
          </w:p>
        </w:tc>
        <w:tc>
          <w:tcPr>
            <w:tcW w:w="863" w:type="pct"/>
            <w:noWrap/>
            <w:vAlign w:val="center"/>
            <w:hideMark/>
          </w:tcPr>
          <w:p w14:paraId="3C716CA4"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185,1</w:t>
            </w:r>
          </w:p>
        </w:tc>
        <w:tc>
          <w:tcPr>
            <w:tcW w:w="1517" w:type="pct"/>
            <w:noWrap/>
            <w:vAlign w:val="center"/>
            <w:hideMark/>
          </w:tcPr>
          <w:p w14:paraId="66619BDA"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0,1</w:t>
            </w:r>
          </w:p>
        </w:tc>
        <w:tc>
          <w:tcPr>
            <w:tcW w:w="1038" w:type="pct"/>
            <w:noWrap/>
            <w:vAlign w:val="center"/>
            <w:hideMark/>
          </w:tcPr>
          <w:p w14:paraId="49A4F6F3"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100,1</w:t>
            </w:r>
          </w:p>
        </w:tc>
      </w:tr>
      <w:tr w:rsidR="00A93036" w:rsidRPr="002B5128" w14:paraId="608B7F75" w14:textId="77777777" w:rsidTr="00E830A8">
        <w:trPr>
          <w:cnfStyle w:val="000000100000" w:firstRow="0" w:lastRow="0" w:firstColumn="0" w:lastColumn="0" w:oddVBand="0" w:evenVBand="0" w:oddHBand="1"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4AD6DFD"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2012</w:t>
            </w:r>
          </w:p>
        </w:tc>
        <w:tc>
          <w:tcPr>
            <w:tcW w:w="863" w:type="pct"/>
            <w:noWrap/>
            <w:vAlign w:val="center"/>
            <w:hideMark/>
          </w:tcPr>
          <w:p w14:paraId="3C616644"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197,6</w:t>
            </w:r>
          </w:p>
        </w:tc>
        <w:tc>
          <w:tcPr>
            <w:tcW w:w="863" w:type="pct"/>
            <w:noWrap/>
            <w:vAlign w:val="center"/>
            <w:hideMark/>
          </w:tcPr>
          <w:p w14:paraId="7F9D1325"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220,1</w:t>
            </w:r>
          </w:p>
        </w:tc>
        <w:tc>
          <w:tcPr>
            <w:tcW w:w="1517" w:type="pct"/>
            <w:noWrap/>
            <w:vAlign w:val="center"/>
            <w:hideMark/>
          </w:tcPr>
          <w:p w14:paraId="47F4677B"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22,4</w:t>
            </w:r>
          </w:p>
        </w:tc>
        <w:tc>
          <w:tcPr>
            <w:tcW w:w="1038" w:type="pct"/>
            <w:noWrap/>
            <w:vAlign w:val="center"/>
            <w:hideMark/>
          </w:tcPr>
          <w:p w14:paraId="0632A909"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111,4</w:t>
            </w:r>
          </w:p>
        </w:tc>
      </w:tr>
      <w:tr w:rsidR="00A93036" w:rsidRPr="002B5128" w14:paraId="315F2876" w14:textId="77777777" w:rsidTr="00E830A8">
        <w:trPr>
          <w:trHeight w:val="11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62A58664"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2013</w:t>
            </w:r>
          </w:p>
        </w:tc>
        <w:tc>
          <w:tcPr>
            <w:tcW w:w="863" w:type="pct"/>
            <w:noWrap/>
            <w:vAlign w:val="center"/>
            <w:hideMark/>
          </w:tcPr>
          <w:p w14:paraId="032190D6"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225,8</w:t>
            </w:r>
          </w:p>
        </w:tc>
        <w:tc>
          <w:tcPr>
            <w:tcW w:w="863" w:type="pct"/>
            <w:noWrap/>
            <w:vAlign w:val="center"/>
            <w:hideMark/>
          </w:tcPr>
          <w:p w14:paraId="39BE0170"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267,3</w:t>
            </w:r>
          </w:p>
        </w:tc>
        <w:tc>
          <w:tcPr>
            <w:tcW w:w="1517" w:type="pct"/>
            <w:noWrap/>
            <w:vAlign w:val="center"/>
            <w:hideMark/>
          </w:tcPr>
          <w:p w14:paraId="4949F929"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41,5</w:t>
            </w:r>
          </w:p>
        </w:tc>
        <w:tc>
          <w:tcPr>
            <w:tcW w:w="1038" w:type="pct"/>
            <w:noWrap/>
            <w:vAlign w:val="center"/>
            <w:hideMark/>
          </w:tcPr>
          <w:p w14:paraId="35E871B6"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118,4</w:t>
            </w:r>
          </w:p>
        </w:tc>
      </w:tr>
      <w:tr w:rsidR="00A93036" w:rsidRPr="002B5128" w14:paraId="111452C7" w14:textId="77777777" w:rsidTr="00E830A8">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2AA00C70"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2014</w:t>
            </w:r>
          </w:p>
        </w:tc>
        <w:tc>
          <w:tcPr>
            <w:tcW w:w="863" w:type="pct"/>
            <w:noWrap/>
            <w:vAlign w:val="center"/>
            <w:hideMark/>
          </w:tcPr>
          <w:p w14:paraId="5909E8CC"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254,7</w:t>
            </w:r>
          </w:p>
        </w:tc>
        <w:tc>
          <w:tcPr>
            <w:tcW w:w="863" w:type="pct"/>
            <w:noWrap/>
            <w:vAlign w:val="center"/>
            <w:hideMark/>
          </w:tcPr>
          <w:p w14:paraId="6C34B838"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284,4</w:t>
            </w:r>
          </w:p>
        </w:tc>
        <w:tc>
          <w:tcPr>
            <w:tcW w:w="1517" w:type="pct"/>
            <w:noWrap/>
            <w:vAlign w:val="center"/>
            <w:hideMark/>
          </w:tcPr>
          <w:p w14:paraId="3D8C1B94"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29,7</w:t>
            </w:r>
          </w:p>
        </w:tc>
        <w:tc>
          <w:tcPr>
            <w:tcW w:w="1038" w:type="pct"/>
            <w:noWrap/>
            <w:vAlign w:val="center"/>
            <w:hideMark/>
          </w:tcPr>
          <w:p w14:paraId="430AD182"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111,7</w:t>
            </w:r>
          </w:p>
        </w:tc>
      </w:tr>
      <w:tr w:rsidR="00A93036" w:rsidRPr="002B5128" w14:paraId="6263AE59" w14:textId="77777777" w:rsidTr="00E830A8">
        <w:trPr>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53B85B0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2015</w:t>
            </w:r>
          </w:p>
        </w:tc>
        <w:tc>
          <w:tcPr>
            <w:tcW w:w="863" w:type="pct"/>
            <w:noWrap/>
            <w:vAlign w:val="center"/>
            <w:hideMark/>
          </w:tcPr>
          <w:p w14:paraId="628836D6"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284,5</w:t>
            </w:r>
          </w:p>
        </w:tc>
        <w:tc>
          <w:tcPr>
            <w:tcW w:w="863" w:type="pct"/>
            <w:noWrap/>
            <w:vAlign w:val="center"/>
            <w:hideMark/>
          </w:tcPr>
          <w:p w14:paraId="1EACAB27"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244,8</w:t>
            </w:r>
          </w:p>
        </w:tc>
        <w:tc>
          <w:tcPr>
            <w:tcW w:w="1517" w:type="pct"/>
            <w:noWrap/>
            <w:vAlign w:val="center"/>
            <w:hideMark/>
          </w:tcPr>
          <w:p w14:paraId="612EB0DC"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-39,7</w:t>
            </w:r>
          </w:p>
        </w:tc>
        <w:tc>
          <w:tcPr>
            <w:tcW w:w="1038" w:type="pct"/>
            <w:noWrap/>
            <w:vAlign w:val="center"/>
            <w:hideMark/>
          </w:tcPr>
          <w:p w14:paraId="5743E2E1"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86,1</w:t>
            </w:r>
          </w:p>
        </w:tc>
      </w:tr>
      <w:tr w:rsidR="00A93036" w:rsidRPr="002B5128" w14:paraId="20DACF6A" w14:textId="77777777" w:rsidTr="00E830A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tcPr>
          <w:p w14:paraId="252479A8"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2016</w:t>
            </w:r>
          </w:p>
        </w:tc>
        <w:tc>
          <w:tcPr>
            <w:tcW w:w="863" w:type="pct"/>
            <w:noWrap/>
            <w:vAlign w:val="center"/>
          </w:tcPr>
          <w:p w14:paraId="035BD609"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292,6</w:t>
            </w:r>
          </w:p>
        </w:tc>
        <w:tc>
          <w:tcPr>
            <w:tcW w:w="863" w:type="pct"/>
            <w:noWrap/>
            <w:vAlign w:val="center"/>
          </w:tcPr>
          <w:p w14:paraId="752ECCFD"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258,0</w:t>
            </w:r>
          </w:p>
        </w:tc>
        <w:tc>
          <w:tcPr>
            <w:tcW w:w="1517" w:type="pct"/>
            <w:noWrap/>
            <w:vAlign w:val="center"/>
          </w:tcPr>
          <w:p w14:paraId="1F7B0F2E"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-34,6</w:t>
            </w:r>
          </w:p>
        </w:tc>
        <w:tc>
          <w:tcPr>
            <w:tcW w:w="1038" w:type="pct"/>
            <w:noWrap/>
            <w:vAlign w:val="center"/>
          </w:tcPr>
          <w:p w14:paraId="4F02288F"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88,2</w:t>
            </w:r>
          </w:p>
        </w:tc>
      </w:tr>
      <w:tr w:rsidR="00A93036" w:rsidRPr="002B5128" w14:paraId="1CD61C18" w14:textId="77777777" w:rsidTr="00E830A8">
        <w:trPr>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tcPr>
          <w:p w14:paraId="0553EAB5" w14:textId="77777777" w:rsidR="00A93036" w:rsidRPr="002B5128" w:rsidRDefault="00A93036" w:rsidP="006F69AD">
            <w:pPr>
              <w:jc w:val="center"/>
              <w:rPr>
                <w:rFonts w:cs="Times New Roman"/>
                <w:color w:val="000000"/>
                <w:sz w:val="22"/>
                <w:lang w:eastAsia="lv-LV"/>
              </w:rPr>
            </w:pPr>
            <w:r w:rsidRPr="002B5128">
              <w:rPr>
                <w:rFonts w:cs="Times New Roman"/>
                <w:color w:val="000000"/>
                <w:sz w:val="22"/>
                <w:lang w:eastAsia="lv-LV"/>
              </w:rPr>
              <w:t>2017</w:t>
            </w:r>
          </w:p>
        </w:tc>
        <w:tc>
          <w:tcPr>
            <w:tcW w:w="863" w:type="pct"/>
            <w:noWrap/>
            <w:vAlign w:val="center"/>
          </w:tcPr>
          <w:p w14:paraId="7F5FC305"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289,8</w:t>
            </w:r>
          </w:p>
        </w:tc>
        <w:tc>
          <w:tcPr>
            <w:tcW w:w="863" w:type="pct"/>
            <w:noWrap/>
            <w:vAlign w:val="center"/>
          </w:tcPr>
          <w:p w14:paraId="17C98989"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223,3</w:t>
            </w:r>
          </w:p>
        </w:tc>
        <w:tc>
          <w:tcPr>
            <w:tcW w:w="1517" w:type="pct"/>
            <w:noWrap/>
            <w:vAlign w:val="center"/>
          </w:tcPr>
          <w:p w14:paraId="29AE03D8"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-66,5</w:t>
            </w:r>
          </w:p>
        </w:tc>
        <w:tc>
          <w:tcPr>
            <w:tcW w:w="1038" w:type="pct"/>
            <w:noWrap/>
            <w:vAlign w:val="center"/>
          </w:tcPr>
          <w:p w14:paraId="13D63C5B"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77,1</w:t>
            </w:r>
          </w:p>
        </w:tc>
      </w:tr>
      <w:tr w:rsidR="007A2195" w:rsidRPr="002B5128" w14:paraId="198FDDFF" w14:textId="77777777" w:rsidTr="00E830A8">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5D007E90" w14:textId="12394CF0" w:rsidR="007A2195" w:rsidRPr="002B5128" w:rsidRDefault="007A2195" w:rsidP="007A2195">
            <w:pPr>
              <w:jc w:val="center"/>
              <w:rPr>
                <w:rFonts w:cs="Times New Roman"/>
                <w:color w:val="000000"/>
                <w:sz w:val="22"/>
                <w:lang w:eastAsia="lv-LV"/>
              </w:rPr>
            </w:pPr>
            <w:r w:rsidRPr="002B5128">
              <w:rPr>
                <w:rFonts w:cs="Times New Roman"/>
                <w:color w:val="000000"/>
                <w:sz w:val="22"/>
                <w:lang w:eastAsia="lv-LV"/>
              </w:rPr>
              <w:t>2018</w:t>
            </w:r>
          </w:p>
        </w:tc>
        <w:tc>
          <w:tcPr>
            <w:tcW w:w="863" w:type="pct"/>
            <w:noWrap/>
            <w:vAlign w:val="center"/>
          </w:tcPr>
          <w:p w14:paraId="77043CD7" w14:textId="045F827D"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275,5</w:t>
            </w:r>
          </w:p>
        </w:tc>
        <w:tc>
          <w:tcPr>
            <w:tcW w:w="863" w:type="pct"/>
            <w:noWrap/>
            <w:vAlign w:val="center"/>
          </w:tcPr>
          <w:p w14:paraId="789EFED6" w14:textId="0D107EBB"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257,4</w:t>
            </w:r>
          </w:p>
        </w:tc>
        <w:tc>
          <w:tcPr>
            <w:tcW w:w="1517" w:type="pct"/>
            <w:noWrap/>
            <w:vAlign w:val="center"/>
          </w:tcPr>
          <w:p w14:paraId="06A345F7" w14:textId="75ACECEF"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-18,1</w:t>
            </w:r>
          </w:p>
        </w:tc>
        <w:tc>
          <w:tcPr>
            <w:tcW w:w="1038" w:type="pct"/>
            <w:noWrap/>
            <w:vAlign w:val="center"/>
          </w:tcPr>
          <w:p w14:paraId="40BFCFB3" w14:textId="5C7826CF"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93,4</w:t>
            </w:r>
          </w:p>
        </w:tc>
      </w:tr>
      <w:tr w:rsidR="002B5128" w:rsidRPr="001054F7" w14:paraId="3A59C9F6" w14:textId="77777777" w:rsidTr="00E830A8">
        <w:tblPrEx>
          <w:jc w:val="left"/>
        </w:tblPrEx>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437D49C6" w14:textId="1948E5E1" w:rsidR="002B5128" w:rsidRPr="002B5128" w:rsidRDefault="002B5128" w:rsidP="002B5128">
            <w:pPr>
              <w:jc w:val="center"/>
              <w:rPr>
                <w:rFonts w:cs="Times New Roman"/>
                <w:color w:val="000000"/>
                <w:sz w:val="22"/>
                <w:lang w:eastAsia="lv-LV"/>
              </w:rPr>
            </w:pPr>
            <w:r w:rsidRPr="002B5128">
              <w:rPr>
                <w:rFonts w:cs="Times New Roman"/>
                <w:color w:val="000000"/>
                <w:sz w:val="22"/>
                <w:lang w:eastAsia="lv-LV"/>
              </w:rPr>
              <w:t>2019</w:t>
            </w:r>
          </w:p>
        </w:tc>
        <w:tc>
          <w:tcPr>
            <w:tcW w:w="863" w:type="pct"/>
            <w:noWrap/>
            <w:vAlign w:val="center"/>
          </w:tcPr>
          <w:p w14:paraId="38840560" w14:textId="1CA7AF8C"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272,6</w:t>
            </w:r>
          </w:p>
        </w:tc>
        <w:tc>
          <w:tcPr>
            <w:tcW w:w="863" w:type="pct"/>
            <w:noWrap/>
            <w:vAlign w:val="center"/>
          </w:tcPr>
          <w:p w14:paraId="3BCF028D" w14:textId="68065A49"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287,4</w:t>
            </w:r>
          </w:p>
        </w:tc>
        <w:tc>
          <w:tcPr>
            <w:tcW w:w="1517" w:type="pct"/>
            <w:noWrap/>
            <w:vAlign w:val="center"/>
          </w:tcPr>
          <w:p w14:paraId="0FA1AA6D" w14:textId="56C286D9"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14,8</w:t>
            </w:r>
          </w:p>
        </w:tc>
        <w:tc>
          <w:tcPr>
            <w:tcW w:w="1038" w:type="pct"/>
            <w:noWrap/>
            <w:vAlign w:val="center"/>
          </w:tcPr>
          <w:p w14:paraId="4813CAD9" w14:textId="7FBC14FC"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105,4</w:t>
            </w:r>
          </w:p>
        </w:tc>
      </w:tr>
      <w:tr w:rsidR="00EC5865" w:rsidRPr="001054F7" w14:paraId="5B36AB68" w14:textId="77777777" w:rsidTr="00E830A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tcPr>
          <w:p w14:paraId="33BDD023" w14:textId="4BE868BB" w:rsidR="00EC5865" w:rsidRPr="00817FBC" w:rsidRDefault="00EC5865" w:rsidP="00EC5865">
            <w:pPr>
              <w:jc w:val="center"/>
              <w:rPr>
                <w:rFonts w:cs="Times New Roman"/>
                <w:color w:val="000000"/>
                <w:sz w:val="22"/>
                <w:lang w:eastAsia="lv-LV"/>
              </w:rPr>
            </w:pPr>
            <w:r w:rsidRPr="00817FBC">
              <w:rPr>
                <w:rFonts w:cs="Times New Roman"/>
                <w:color w:val="000000"/>
                <w:sz w:val="22"/>
                <w:lang w:eastAsia="lv-LV"/>
              </w:rPr>
              <w:t>2020</w:t>
            </w:r>
          </w:p>
        </w:tc>
        <w:tc>
          <w:tcPr>
            <w:tcW w:w="863" w:type="pct"/>
            <w:noWrap/>
            <w:vAlign w:val="center"/>
          </w:tcPr>
          <w:p w14:paraId="13E6AE67" w14:textId="3B5C8EB4"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317,3</w:t>
            </w:r>
          </w:p>
        </w:tc>
        <w:tc>
          <w:tcPr>
            <w:tcW w:w="863" w:type="pct"/>
            <w:noWrap/>
            <w:vAlign w:val="center"/>
          </w:tcPr>
          <w:p w14:paraId="13BD572C" w14:textId="68DB737E"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318,3</w:t>
            </w:r>
          </w:p>
        </w:tc>
        <w:tc>
          <w:tcPr>
            <w:tcW w:w="1517" w:type="pct"/>
            <w:noWrap/>
            <w:vAlign w:val="center"/>
          </w:tcPr>
          <w:p w14:paraId="61C5FDD6" w14:textId="45EA9C63"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1,0</w:t>
            </w:r>
          </w:p>
        </w:tc>
        <w:tc>
          <w:tcPr>
            <w:tcW w:w="1038" w:type="pct"/>
            <w:noWrap/>
            <w:vAlign w:val="center"/>
          </w:tcPr>
          <w:p w14:paraId="03A7E632" w14:textId="547E6638"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100,3</w:t>
            </w:r>
          </w:p>
        </w:tc>
      </w:tr>
      <w:tr w:rsidR="00EC5865" w:rsidRPr="001054F7" w14:paraId="4D527E81" w14:textId="77777777" w:rsidTr="00E830A8">
        <w:tblPrEx>
          <w:jc w:val="left"/>
        </w:tblPrEx>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1DF4AA80" w14:textId="0466B529" w:rsidR="00EC5865" w:rsidRPr="00817FBC" w:rsidRDefault="00EC5865" w:rsidP="00EC5865">
            <w:pPr>
              <w:jc w:val="center"/>
              <w:rPr>
                <w:rFonts w:cs="Times New Roman"/>
                <w:color w:val="000000"/>
                <w:sz w:val="22"/>
                <w:lang w:eastAsia="lv-LV"/>
              </w:rPr>
            </w:pPr>
            <w:r w:rsidRPr="00817FBC">
              <w:rPr>
                <w:rFonts w:cs="Times New Roman"/>
                <w:color w:val="000000"/>
                <w:sz w:val="22"/>
                <w:lang w:eastAsia="lv-LV"/>
              </w:rPr>
              <w:t>2021</w:t>
            </w:r>
          </w:p>
        </w:tc>
        <w:tc>
          <w:tcPr>
            <w:tcW w:w="863" w:type="pct"/>
            <w:noWrap/>
            <w:vAlign w:val="center"/>
          </w:tcPr>
          <w:p w14:paraId="4E3D9FDB" w14:textId="36520FC4"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356,0</w:t>
            </w:r>
          </w:p>
        </w:tc>
        <w:tc>
          <w:tcPr>
            <w:tcW w:w="863" w:type="pct"/>
            <w:noWrap/>
            <w:vAlign w:val="center"/>
          </w:tcPr>
          <w:p w14:paraId="2D2A669B" w14:textId="3AD571B4"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398,1</w:t>
            </w:r>
          </w:p>
        </w:tc>
        <w:tc>
          <w:tcPr>
            <w:tcW w:w="1517" w:type="pct"/>
            <w:noWrap/>
            <w:vAlign w:val="center"/>
          </w:tcPr>
          <w:p w14:paraId="4EAF1E2D" w14:textId="0086CFEB"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42,1</w:t>
            </w:r>
          </w:p>
        </w:tc>
        <w:tc>
          <w:tcPr>
            <w:tcW w:w="1038" w:type="pct"/>
            <w:noWrap/>
            <w:vAlign w:val="center"/>
          </w:tcPr>
          <w:p w14:paraId="2F258455" w14:textId="2083A226"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111,8</w:t>
            </w:r>
          </w:p>
        </w:tc>
      </w:tr>
      <w:tr w:rsidR="00CA6102" w:rsidRPr="001054F7" w14:paraId="08CD9478" w14:textId="77777777" w:rsidTr="00E830A8">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6057A688" w14:textId="77777777" w:rsidR="00CA6102" w:rsidRPr="00817FBC" w:rsidRDefault="00CA6102" w:rsidP="00EC24CA">
            <w:pPr>
              <w:jc w:val="center"/>
              <w:rPr>
                <w:rFonts w:cs="Times New Roman"/>
                <w:color w:val="000000"/>
                <w:sz w:val="22"/>
                <w:lang w:eastAsia="lv-LV"/>
              </w:rPr>
            </w:pPr>
            <w:r w:rsidRPr="00817FBC">
              <w:rPr>
                <w:rFonts w:cs="Times New Roman"/>
                <w:color w:val="000000"/>
                <w:sz w:val="22"/>
                <w:lang w:eastAsia="lv-LV"/>
              </w:rPr>
              <w:t>2022</w:t>
            </w:r>
          </w:p>
        </w:tc>
        <w:tc>
          <w:tcPr>
            <w:tcW w:w="863" w:type="pct"/>
            <w:noWrap/>
            <w:vAlign w:val="center"/>
          </w:tcPr>
          <w:p w14:paraId="1D9C995B"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373,8</w:t>
            </w:r>
          </w:p>
        </w:tc>
        <w:tc>
          <w:tcPr>
            <w:tcW w:w="863" w:type="pct"/>
            <w:noWrap/>
            <w:vAlign w:val="center"/>
          </w:tcPr>
          <w:p w14:paraId="1BB40BC2"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391,2</w:t>
            </w:r>
          </w:p>
        </w:tc>
        <w:tc>
          <w:tcPr>
            <w:tcW w:w="1517" w:type="pct"/>
            <w:noWrap/>
            <w:vAlign w:val="center"/>
          </w:tcPr>
          <w:p w14:paraId="6533C0D4"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17,4</w:t>
            </w:r>
          </w:p>
        </w:tc>
        <w:tc>
          <w:tcPr>
            <w:tcW w:w="1038" w:type="pct"/>
            <w:noWrap/>
            <w:vAlign w:val="center"/>
          </w:tcPr>
          <w:p w14:paraId="0D797D6E"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104,7</w:t>
            </w:r>
          </w:p>
        </w:tc>
      </w:tr>
    </w:tbl>
    <w:p w14:paraId="3F443C8E" w14:textId="77777777" w:rsidR="00A93036" w:rsidRPr="001054F7" w:rsidRDefault="00A93036" w:rsidP="00A93036">
      <w:pPr>
        <w:spacing w:after="0" w:line="240" w:lineRule="auto"/>
        <w:jc w:val="both"/>
        <w:rPr>
          <w:rFonts w:ascii="Times New Roman" w:hAnsi="Times New Roman" w:cs="Times New Roman"/>
          <w:i/>
          <w:color w:val="000000"/>
          <w:sz w:val="20"/>
          <w:szCs w:val="20"/>
          <w:highlight w:val="yellow"/>
          <w:lang w:eastAsia="lv-LV"/>
        </w:rPr>
      </w:pPr>
    </w:p>
    <w:p w14:paraId="64A791F4" w14:textId="77777777" w:rsidR="00D41016" w:rsidRPr="00EA3A47" w:rsidRDefault="00D41016" w:rsidP="00D41016">
      <w:pPr>
        <w:spacing w:after="0" w:line="240" w:lineRule="auto"/>
        <w:ind w:firstLine="709"/>
        <w:jc w:val="both"/>
        <w:rPr>
          <w:rFonts w:ascii="Times New Roman" w:hAnsi="Times New Roman" w:cs="Times New Roman"/>
          <w:noProof/>
          <w:sz w:val="24"/>
          <w:szCs w:val="24"/>
        </w:rPr>
      </w:pPr>
      <w:r w:rsidRPr="00EA3A47">
        <w:rPr>
          <w:rFonts w:ascii="Times New Roman" w:hAnsi="Times New Roman" w:cs="Times New Roman"/>
          <w:noProof/>
          <w:color w:val="000000" w:themeColor="text1"/>
          <w:sz w:val="24"/>
          <w:szCs w:val="24"/>
        </w:rPr>
        <w:t xml:space="preserve">ES dalībvalstis </w:t>
      </w:r>
      <w:r>
        <w:rPr>
          <w:rFonts w:ascii="Times New Roman" w:hAnsi="Times New Roman" w:cs="Times New Roman"/>
          <w:noProof/>
          <w:color w:val="000000" w:themeColor="text1"/>
          <w:sz w:val="24"/>
          <w:szCs w:val="24"/>
        </w:rPr>
        <w:t>2020.gada</w:t>
      </w:r>
      <w:r w:rsidRPr="00EA3A47">
        <w:rPr>
          <w:rFonts w:ascii="Times New Roman" w:hAnsi="Times New Roman" w:cs="Times New Roman"/>
          <w:noProof/>
          <w:color w:val="000000" w:themeColor="text1"/>
          <w:sz w:val="24"/>
          <w:szCs w:val="24"/>
        </w:rPr>
        <w:t xml:space="preserve"> jūlija Eiropadomes ārkārtas sanāksmē panāca vienošanos par ES </w:t>
      </w:r>
      <w:r>
        <w:rPr>
          <w:rFonts w:ascii="Times New Roman" w:hAnsi="Times New Roman" w:cs="Times New Roman"/>
          <w:noProof/>
          <w:color w:val="000000" w:themeColor="text1"/>
          <w:sz w:val="24"/>
          <w:szCs w:val="24"/>
        </w:rPr>
        <w:t>daudzgadu budžetu 2021. – 2027.</w:t>
      </w:r>
      <w:r w:rsidRPr="00EA3A47">
        <w:rPr>
          <w:rFonts w:ascii="Times New Roman" w:hAnsi="Times New Roman" w:cs="Times New Roman"/>
          <w:noProof/>
          <w:color w:val="000000" w:themeColor="text1"/>
          <w:sz w:val="24"/>
          <w:szCs w:val="24"/>
        </w:rPr>
        <w:t xml:space="preserve">gadiem un ES Atveseļošanas instrumentu </w:t>
      </w:r>
      <w:r>
        <w:rPr>
          <w:rFonts w:ascii="Times New Roman" w:hAnsi="Times New Roman" w:cs="Times New Roman"/>
          <w:noProof/>
          <w:color w:val="000000" w:themeColor="text1"/>
          <w:sz w:val="24"/>
          <w:szCs w:val="24"/>
        </w:rPr>
        <w:t>(</w:t>
      </w:r>
      <w:r w:rsidRPr="00FE68B3">
        <w:rPr>
          <w:rFonts w:ascii="Times New Roman" w:hAnsi="Times New Roman" w:cs="Times New Roman"/>
          <w:i/>
          <w:iCs/>
          <w:noProof/>
          <w:color w:val="000000" w:themeColor="text1"/>
          <w:sz w:val="24"/>
          <w:szCs w:val="24"/>
        </w:rPr>
        <w:t>Next Generation EU</w:t>
      </w:r>
      <w:r>
        <w:rPr>
          <w:rFonts w:ascii="Times New Roman" w:hAnsi="Times New Roman" w:cs="Times New Roman"/>
          <w:i/>
          <w:iCs/>
          <w:noProof/>
          <w:color w:val="000000" w:themeColor="text1"/>
          <w:sz w:val="24"/>
          <w:szCs w:val="24"/>
        </w:rPr>
        <w:t>, NGEU</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ES ekonomikas atbalstam izejai no Covid</w:t>
      </w:r>
      <w:r>
        <w:rPr>
          <w:rFonts w:ascii="Times New Roman" w:hAnsi="Times New Roman" w:cs="Times New Roman"/>
          <w:color w:val="000000"/>
          <w:sz w:val="24"/>
          <w:szCs w:val="24"/>
        </w:rPr>
        <w:t>-</w:t>
      </w:r>
      <w:r w:rsidRPr="00EA3A47">
        <w:rPr>
          <w:rFonts w:ascii="Times New Roman" w:hAnsi="Times New Roman" w:cs="Times New Roman"/>
          <w:noProof/>
          <w:color w:val="000000" w:themeColor="text1"/>
          <w:sz w:val="24"/>
          <w:szCs w:val="24"/>
        </w:rPr>
        <w:t>19 krīzes elementiem. ES līmeņa Parāda vērtspapīru emisij</w:t>
      </w:r>
      <w:r>
        <w:rPr>
          <w:rFonts w:ascii="Times New Roman" w:hAnsi="Times New Roman" w:cs="Times New Roman"/>
          <w:noProof/>
          <w:color w:val="000000" w:themeColor="text1"/>
          <w:sz w:val="24"/>
          <w:szCs w:val="24"/>
        </w:rPr>
        <w:t>as rezultātā aizņēmumu veidā pakāpeniski iegūstāmie 750 mljrd.</w:t>
      </w:r>
      <w:r w:rsidRPr="00EA3A47">
        <w:rPr>
          <w:rFonts w:ascii="Times New Roman" w:hAnsi="Times New Roman" w:cs="Times New Roman"/>
          <w:noProof/>
          <w:color w:val="000000" w:themeColor="text1"/>
          <w:sz w:val="24"/>
          <w:szCs w:val="24"/>
        </w:rPr>
        <w:t xml:space="preserve"> </w:t>
      </w:r>
      <w:r w:rsidRPr="00EA3A47">
        <w:rPr>
          <w:rFonts w:ascii="Times New Roman" w:hAnsi="Times New Roman" w:cs="Times New Roman"/>
          <w:i/>
          <w:noProof/>
          <w:color w:val="000000" w:themeColor="text1"/>
          <w:sz w:val="24"/>
          <w:szCs w:val="24"/>
        </w:rPr>
        <w:t>eur</w:t>
      </w:r>
      <w:r>
        <w:rPr>
          <w:rFonts w:ascii="Times New Roman" w:hAnsi="Times New Roman" w:cs="Times New Roman"/>
          <w:i/>
          <w:noProof/>
          <w:color w:val="000000" w:themeColor="text1"/>
          <w:sz w:val="24"/>
          <w:szCs w:val="24"/>
        </w:rPr>
        <w:t xml:space="preserve">o </w:t>
      </w:r>
      <w:r w:rsidRPr="00BB69DC">
        <w:rPr>
          <w:rFonts w:ascii="Times New Roman" w:hAnsi="Times New Roman" w:cs="Times New Roman"/>
          <w:noProof/>
          <w:color w:val="000000" w:themeColor="text1"/>
          <w:sz w:val="24"/>
          <w:szCs w:val="24"/>
        </w:rPr>
        <w:t>(2018.gada cenās)</w:t>
      </w:r>
      <w:r w:rsidRPr="00EA3A47">
        <w:rPr>
          <w:rFonts w:ascii="Times New Roman" w:hAnsi="Times New Roman" w:cs="Times New Roman"/>
          <w:noProof/>
          <w:color w:val="000000" w:themeColor="text1"/>
          <w:sz w:val="24"/>
          <w:szCs w:val="24"/>
        </w:rPr>
        <w:t xml:space="preserve">, attiecīgi 390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apmērā tiks piešķirti dalībvalstīm kā</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granti</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un</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 xml:space="preserve">360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tiks izsniegti aizdevumu formā. Šie līdzekļi ti</w:t>
      </w:r>
      <w:r>
        <w:rPr>
          <w:rFonts w:ascii="Times New Roman" w:hAnsi="Times New Roman" w:cs="Times New Roman"/>
          <w:noProof/>
          <w:color w:val="000000" w:themeColor="text1"/>
          <w:sz w:val="24"/>
          <w:szCs w:val="24"/>
        </w:rPr>
        <w:t>ek</w:t>
      </w:r>
      <w:r w:rsidRPr="00EA3A47">
        <w:rPr>
          <w:rFonts w:ascii="Times New Roman" w:hAnsi="Times New Roman" w:cs="Times New Roman"/>
          <w:noProof/>
          <w:color w:val="000000" w:themeColor="text1"/>
          <w:sz w:val="24"/>
          <w:szCs w:val="24"/>
        </w:rPr>
        <w:t xml:space="preserve"> integrēti ES budžetā un izmantoti ES budž</w:t>
      </w:r>
      <w:r>
        <w:rPr>
          <w:rFonts w:ascii="Times New Roman" w:hAnsi="Times New Roman" w:cs="Times New Roman"/>
          <w:noProof/>
          <w:color w:val="000000" w:themeColor="text1"/>
          <w:sz w:val="24"/>
          <w:szCs w:val="24"/>
        </w:rPr>
        <w:t xml:space="preserve">eta </w:t>
      </w:r>
      <w:r w:rsidRPr="00EA3A47">
        <w:rPr>
          <w:rFonts w:ascii="Times New Roman" w:hAnsi="Times New Roman" w:cs="Times New Roman"/>
          <w:noProof/>
          <w:color w:val="000000" w:themeColor="text1"/>
          <w:sz w:val="24"/>
          <w:szCs w:val="24"/>
        </w:rPr>
        <w:t>programmām un fondiem. ES aizņēmumu</w:t>
      </w:r>
      <w:r>
        <w:rPr>
          <w:rFonts w:ascii="Times New Roman" w:hAnsi="Times New Roman" w:cs="Times New Roman"/>
          <w:noProof/>
          <w:color w:val="000000" w:themeColor="text1"/>
          <w:sz w:val="24"/>
          <w:szCs w:val="24"/>
        </w:rPr>
        <w:t>s</w:t>
      </w:r>
      <w:r w:rsidRPr="00EA3A47">
        <w:rPr>
          <w:rFonts w:ascii="Times New Roman" w:hAnsi="Times New Roman" w:cs="Times New Roman"/>
          <w:noProof/>
          <w:color w:val="000000" w:themeColor="text1"/>
          <w:sz w:val="24"/>
          <w:szCs w:val="24"/>
        </w:rPr>
        <w:t xml:space="preserve"> starptautiskajos finanšu tirgos</w:t>
      </w:r>
      <w:r>
        <w:rPr>
          <w:rFonts w:ascii="Times New Roman" w:hAnsi="Times New Roman" w:cs="Times New Roman"/>
          <w:noProof/>
          <w:color w:val="000000" w:themeColor="text1"/>
          <w:sz w:val="24"/>
          <w:szCs w:val="24"/>
        </w:rPr>
        <w:t xml:space="preserve"> ir plānots atmaksāt līdz 2058.</w:t>
      </w:r>
      <w:r w:rsidRPr="00EA3A47">
        <w:rPr>
          <w:rFonts w:ascii="Times New Roman" w:hAnsi="Times New Roman" w:cs="Times New Roman"/>
          <w:noProof/>
          <w:color w:val="000000" w:themeColor="text1"/>
          <w:sz w:val="24"/>
          <w:szCs w:val="24"/>
        </w:rPr>
        <w:t>gada beigām no jauniem pašu resursiem, kas ierosināti pēc 2021.gada</w:t>
      </w:r>
      <w:r>
        <w:rPr>
          <w:rFonts w:ascii="Times New Roman" w:hAnsi="Times New Roman" w:cs="Times New Roman"/>
          <w:noProof/>
          <w:color w:val="000000" w:themeColor="text1"/>
          <w:sz w:val="24"/>
          <w:szCs w:val="24"/>
        </w:rPr>
        <w:t xml:space="preserve"> un papildu jauniem pašu resursiem, kurus paredzēts ierosināt līdz 2023.gada beigām</w:t>
      </w:r>
      <w:r w:rsidRPr="00EA3A47">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kā arī</w:t>
      </w:r>
      <w:r w:rsidRPr="00EA3A47">
        <w:rPr>
          <w:rFonts w:ascii="Times New Roman" w:hAnsi="Times New Roman" w:cs="Times New Roman"/>
          <w:noProof/>
          <w:color w:val="000000" w:themeColor="text1"/>
          <w:sz w:val="24"/>
          <w:szCs w:val="24"/>
        </w:rPr>
        <w:t xml:space="preserve"> no neizmantotajiem procentu maksājumiem. </w:t>
      </w:r>
    </w:p>
    <w:p w14:paraId="0B9717C8" w14:textId="273DAE0C" w:rsidR="00D41016" w:rsidRPr="00EA3A47" w:rsidRDefault="00D41016" w:rsidP="00D41016">
      <w:pPr>
        <w:pStyle w:val="Text2"/>
        <w:spacing w:after="0"/>
        <w:ind w:left="0" w:firstLine="709"/>
        <w:rPr>
          <w:rFonts w:eastAsia="Arial Unicode MS"/>
          <w:noProof/>
          <w:szCs w:val="24"/>
        </w:rPr>
      </w:pPr>
      <w:r w:rsidRPr="00EA3A47">
        <w:rPr>
          <w:noProof/>
          <w:color w:val="000000" w:themeColor="text1"/>
          <w:szCs w:val="24"/>
        </w:rPr>
        <w:t>Finansējumu nodroši</w:t>
      </w:r>
      <w:r>
        <w:rPr>
          <w:noProof/>
          <w:color w:val="000000" w:themeColor="text1"/>
          <w:szCs w:val="24"/>
        </w:rPr>
        <w:t>na</w:t>
      </w:r>
      <w:r w:rsidRPr="00EA3A47">
        <w:rPr>
          <w:noProof/>
          <w:color w:val="000000" w:themeColor="text1"/>
          <w:szCs w:val="24"/>
        </w:rPr>
        <w:t xml:space="preserve"> Lēmums par pašu resursiem</w:t>
      </w:r>
      <w:r>
        <w:rPr>
          <w:rStyle w:val="FootnoteReference"/>
          <w:noProof/>
          <w:color w:val="000000" w:themeColor="text1"/>
          <w:szCs w:val="24"/>
        </w:rPr>
        <w:footnoteReference w:id="10"/>
      </w:r>
      <w:r w:rsidRPr="00EA3A47">
        <w:rPr>
          <w:noProof/>
          <w:color w:val="000000" w:themeColor="text1"/>
          <w:szCs w:val="24"/>
        </w:rPr>
        <w:t>, kas ļau</w:t>
      </w:r>
      <w:r>
        <w:rPr>
          <w:noProof/>
          <w:color w:val="000000" w:themeColor="text1"/>
          <w:szCs w:val="24"/>
        </w:rPr>
        <w:t>j</w:t>
      </w:r>
      <w:r w:rsidRPr="00EA3A47">
        <w:rPr>
          <w:noProof/>
          <w:color w:val="000000" w:themeColor="text1"/>
          <w:szCs w:val="24"/>
        </w:rPr>
        <w:t xml:space="preserve"> </w:t>
      </w:r>
      <w:r>
        <w:rPr>
          <w:noProof/>
          <w:color w:val="000000" w:themeColor="text1"/>
          <w:szCs w:val="24"/>
        </w:rPr>
        <w:t xml:space="preserve">EK </w:t>
      </w:r>
      <w:r w:rsidRPr="00EA3A47">
        <w:rPr>
          <w:noProof/>
          <w:color w:val="000000" w:themeColor="text1"/>
          <w:szCs w:val="24"/>
        </w:rPr>
        <w:t xml:space="preserve">ES vārdā aizņemties līdz 750 mljrd. </w:t>
      </w:r>
      <w:r w:rsidRPr="00EA3A47">
        <w:rPr>
          <w:i/>
          <w:noProof/>
          <w:color w:val="000000" w:themeColor="text1"/>
          <w:szCs w:val="24"/>
        </w:rPr>
        <w:t>euro</w:t>
      </w:r>
      <w:r w:rsidRPr="00EA3A47">
        <w:rPr>
          <w:noProof/>
          <w:color w:val="000000" w:themeColor="text1"/>
          <w:szCs w:val="24"/>
        </w:rPr>
        <w:t xml:space="preserve"> pasākumiem laikposmā no 2021. līdz 2026.gadam. </w:t>
      </w:r>
      <w:r w:rsidRPr="00EA3A47">
        <w:rPr>
          <w:noProof/>
          <w:szCs w:val="24"/>
        </w:rPr>
        <w:t xml:space="preserve">Nolūkā nodrošināt budžeta spējas, kas vajadzīgas, lai uzņemtos iespējamās saistības, kas attiecas uz </w:t>
      </w:r>
      <w:r w:rsidRPr="00EA3A47">
        <w:rPr>
          <w:i/>
          <w:iCs/>
          <w:noProof/>
          <w:szCs w:val="24"/>
        </w:rPr>
        <w:t>Next Generation EU</w:t>
      </w:r>
      <w:r w:rsidRPr="00EA3A47">
        <w:rPr>
          <w:noProof/>
          <w:szCs w:val="24"/>
        </w:rPr>
        <w:t xml:space="preserve"> instrumenta finansēšanu, un saskaņā ar budžeta disciplīnas prasībām pārskatītais Lēmums par pašu resursiem paredz pašu resursu maksimālo apjomu saistībām un maksājumiem ārkārtas un pagaidu palielinājumu par 0,6% no ES NKI. Maksimālo apjomu palielināšanu izmantos vienīgi, lai risinātu ar Covid</w:t>
      </w:r>
      <w:r>
        <w:rPr>
          <w:color w:val="000000"/>
          <w:szCs w:val="24"/>
        </w:rPr>
        <w:t>-</w:t>
      </w:r>
      <w:r w:rsidRPr="00EA3A47">
        <w:rPr>
          <w:noProof/>
          <w:szCs w:val="24"/>
        </w:rPr>
        <w:t xml:space="preserve">19 krīzi saistītās vajadzības, un tā nepārsniegs laiku, kas vajadzīgs, lai segtu šīs saistības. </w:t>
      </w:r>
    </w:p>
    <w:p w14:paraId="3E781AD7" w14:textId="603277BC" w:rsidR="00D41016" w:rsidRPr="00237DD2" w:rsidRDefault="00D41016" w:rsidP="00D41016">
      <w:pPr>
        <w:spacing w:after="0" w:line="240" w:lineRule="auto"/>
        <w:ind w:firstLine="630"/>
        <w:jc w:val="both"/>
        <w:rPr>
          <w:rFonts w:ascii="Times New Roman" w:hAnsi="Times New Roman" w:cs="Times New Roman"/>
          <w:b/>
          <w:bCs/>
          <w:noProof/>
          <w:color w:val="000000" w:themeColor="text1"/>
          <w:sz w:val="24"/>
          <w:szCs w:val="24"/>
        </w:rPr>
      </w:pPr>
      <w:r w:rsidRPr="00EA3A47">
        <w:rPr>
          <w:rFonts w:ascii="Times New Roman" w:hAnsi="Times New Roman" w:cs="Times New Roman"/>
          <w:noProof/>
          <w:color w:val="000000" w:themeColor="text1"/>
          <w:sz w:val="24"/>
          <w:szCs w:val="24"/>
        </w:rPr>
        <w:t xml:space="preserve">Pašlaik nav zināms, </w:t>
      </w:r>
      <w:r>
        <w:rPr>
          <w:rFonts w:ascii="Times New Roman" w:hAnsi="Times New Roman" w:cs="Times New Roman"/>
          <w:noProof/>
          <w:color w:val="000000" w:themeColor="text1"/>
          <w:sz w:val="24"/>
          <w:szCs w:val="24"/>
        </w:rPr>
        <w:t>vai</w:t>
      </w:r>
      <w:r w:rsidRPr="00EA3A47">
        <w:rPr>
          <w:rFonts w:ascii="Times New Roman" w:hAnsi="Times New Roman" w:cs="Times New Roman"/>
          <w:noProof/>
          <w:color w:val="000000" w:themeColor="text1"/>
          <w:sz w:val="24"/>
          <w:szCs w:val="24"/>
        </w:rPr>
        <w:t xml:space="preserve"> aizņemto līdzekļu pamatsummas atmaksa no jauniem pašu resursiem</w:t>
      </w:r>
      <w:r w:rsidRPr="00A92C7C">
        <w:t xml:space="preserve"> </w:t>
      </w:r>
      <w:r w:rsidRPr="00A92C7C">
        <w:rPr>
          <w:rFonts w:ascii="Times New Roman" w:hAnsi="Times New Roman" w:cs="Times New Roman"/>
          <w:noProof/>
          <w:color w:val="000000" w:themeColor="text1"/>
          <w:sz w:val="24"/>
          <w:szCs w:val="24"/>
        </w:rPr>
        <w:t>sāksies pirms 2027.gada</w:t>
      </w:r>
      <w:r w:rsidRPr="00EA3A47">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jo par to priekšlikumiem vēl aizvien notiek diskusijas.</w:t>
      </w:r>
      <w:r w:rsidRPr="00EA3A47">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Savukārt</w:t>
      </w:r>
      <w:r w:rsidRPr="00EA3A47">
        <w:rPr>
          <w:rFonts w:ascii="Times New Roman" w:hAnsi="Times New Roman" w:cs="Times New Roman"/>
          <w:noProof/>
          <w:color w:val="000000" w:themeColor="text1"/>
          <w:sz w:val="24"/>
          <w:szCs w:val="24"/>
        </w:rPr>
        <w:t xml:space="preserve"> aizņēmuma proc</w:t>
      </w:r>
      <w:r>
        <w:rPr>
          <w:rFonts w:ascii="Times New Roman" w:hAnsi="Times New Roman" w:cs="Times New Roman"/>
          <w:noProof/>
          <w:color w:val="000000" w:themeColor="text1"/>
          <w:sz w:val="24"/>
          <w:szCs w:val="24"/>
        </w:rPr>
        <w:t>entu maksājumu nomaksa ir uzsākta ar 2022.</w:t>
      </w:r>
      <w:r w:rsidRPr="00EA3A47">
        <w:rPr>
          <w:rFonts w:ascii="Times New Roman" w:hAnsi="Times New Roman" w:cs="Times New Roman"/>
          <w:noProof/>
          <w:color w:val="000000" w:themeColor="text1"/>
          <w:sz w:val="24"/>
          <w:szCs w:val="24"/>
        </w:rPr>
        <w:t>gadu</w:t>
      </w:r>
      <w:r>
        <w:rPr>
          <w:rFonts w:ascii="Times New Roman" w:hAnsi="Times New Roman" w:cs="Times New Roman"/>
          <w:noProof/>
          <w:color w:val="000000" w:themeColor="text1"/>
          <w:sz w:val="24"/>
          <w:szCs w:val="24"/>
        </w:rPr>
        <w:t xml:space="preserve">. Aizņēmuma procentu summas ir iekļautas kopējā ES budžetā </w:t>
      </w:r>
      <w:r w:rsidRPr="00E45E12">
        <w:rPr>
          <w:rFonts w:ascii="Times New Roman" w:hAnsi="Times New Roman" w:cs="Times New Roman"/>
          <w:noProof/>
          <w:color w:val="000000" w:themeColor="text1"/>
          <w:sz w:val="24"/>
          <w:szCs w:val="24"/>
        </w:rPr>
        <w:t>(katras dalībvalsts aptuvenā daļa var tikt aprēķināta saskaņā ar NKI atslēgu)</w:t>
      </w:r>
      <w:r>
        <w:rPr>
          <w:rFonts w:ascii="Times New Roman" w:hAnsi="Times New Roman" w:cs="Times New Roman"/>
          <w:noProof/>
          <w:color w:val="000000" w:themeColor="text1"/>
          <w:sz w:val="24"/>
          <w:szCs w:val="24"/>
        </w:rPr>
        <w:t xml:space="preserve"> un par tām netiek saņemts atsevišķs iemaksu pieprasījums. </w:t>
      </w:r>
      <w:r w:rsidRPr="00EA3A47">
        <w:rPr>
          <w:rFonts w:ascii="Times New Roman" w:hAnsi="Times New Roman" w:cs="Times New Roman"/>
          <w:noProof/>
          <w:color w:val="000000" w:themeColor="text1"/>
          <w:sz w:val="24"/>
          <w:szCs w:val="24"/>
        </w:rPr>
        <w:t>Tā kā nav precīzi zināms pamatsummas atmaksas sākuma datums un vai jaun</w:t>
      </w:r>
      <w:r>
        <w:rPr>
          <w:rFonts w:ascii="Times New Roman" w:hAnsi="Times New Roman" w:cs="Times New Roman"/>
          <w:noProof/>
          <w:color w:val="000000" w:themeColor="text1"/>
          <w:sz w:val="24"/>
          <w:szCs w:val="24"/>
        </w:rPr>
        <w:t>u</w:t>
      </w:r>
      <w:r w:rsidRPr="00EA3A47">
        <w:rPr>
          <w:rFonts w:ascii="Times New Roman" w:hAnsi="Times New Roman" w:cs="Times New Roman"/>
          <w:noProof/>
          <w:color w:val="000000" w:themeColor="text1"/>
          <w:sz w:val="24"/>
          <w:szCs w:val="24"/>
        </w:rPr>
        <w:t xml:space="preserve"> pa</w:t>
      </w:r>
      <w:r>
        <w:rPr>
          <w:rFonts w:ascii="Times New Roman" w:hAnsi="Times New Roman" w:cs="Times New Roman"/>
          <w:noProof/>
          <w:color w:val="000000" w:themeColor="text1"/>
          <w:sz w:val="24"/>
          <w:szCs w:val="24"/>
        </w:rPr>
        <w:t>š</w:t>
      </w:r>
      <w:r w:rsidRPr="00EA3A47">
        <w:rPr>
          <w:rFonts w:ascii="Times New Roman" w:hAnsi="Times New Roman" w:cs="Times New Roman"/>
          <w:noProof/>
          <w:color w:val="000000" w:themeColor="text1"/>
          <w:sz w:val="24"/>
          <w:szCs w:val="24"/>
        </w:rPr>
        <w:t>u resurs</w:t>
      </w:r>
      <w:r>
        <w:rPr>
          <w:rFonts w:ascii="Times New Roman" w:hAnsi="Times New Roman" w:cs="Times New Roman"/>
          <w:noProof/>
          <w:color w:val="000000" w:themeColor="text1"/>
          <w:sz w:val="24"/>
          <w:szCs w:val="24"/>
        </w:rPr>
        <w:t>u</w:t>
      </w:r>
      <w:r w:rsidRPr="00EA3A47">
        <w:rPr>
          <w:rFonts w:ascii="Times New Roman" w:hAnsi="Times New Roman" w:cs="Times New Roman"/>
          <w:noProof/>
          <w:color w:val="000000" w:themeColor="text1"/>
          <w:sz w:val="24"/>
          <w:szCs w:val="24"/>
        </w:rPr>
        <w:t xml:space="preserve"> izmantošanas</w:t>
      </w:r>
      <w:r w:rsidRPr="00A92C7C">
        <w:t xml:space="preserve"> </w:t>
      </w:r>
      <w:r w:rsidRPr="00A92C7C">
        <w:rPr>
          <w:rFonts w:ascii="Times New Roman" w:hAnsi="Times New Roman" w:cs="Times New Roman"/>
          <w:noProof/>
          <w:color w:val="000000" w:themeColor="text1"/>
          <w:sz w:val="24"/>
          <w:szCs w:val="24"/>
        </w:rPr>
        <w:t>gadījumā</w:t>
      </w:r>
      <w:r>
        <w:rPr>
          <w:rFonts w:ascii="Times New Roman" w:hAnsi="Times New Roman" w:cs="Times New Roman"/>
          <w:noProof/>
          <w:color w:val="000000" w:themeColor="text1"/>
          <w:sz w:val="24"/>
          <w:szCs w:val="24"/>
        </w:rPr>
        <w:t>, ja iekasētie resursi būs mazāki nekā plānots,</w:t>
      </w:r>
      <w:r w:rsidRPr="00EA3A47">
        <w:rPr>
          <w:rFonts w:ascii="Times New Roman" w:hAnsi="Times New Roman" w:cs="Times New Roman"/>
          <w:noProof/>
          <w:color w:val="000000" w:themeColor="text1"/>
          <w:sz w:val="24"/>
          <w:szCs w:val="24"/>
        </w:rPr>
        <w:t xml:space="preserve"> tas būs jākompensē ar papildu NKI iemaksām, tad pašlaik to var vērtēt kā nekvantificējamu fiskālo risku. Tāpat šobrīd nav konkrēti nosakāms iemaksu apjoms, lai segtu procentu maksājumus</w:t>
      </w:r>
      <w:r>
        <w:rPr>
          <w:rFonts w:ascii="Times New Roman" w:hAnsi="Times New Roman" w:cs="Times New Roman"/>
          <w:noProof/>
          <w:color w:val="000000" w:themeColor="text1"/>
          <w:sz w:val="24"/>
          <w:szCs w:val="24"/>
        </w:rPr>
        <w:t xml:space="preserve">, </w:t>
      </w:r>
      <w:r w:rsidRPr="00E45E12">
        <w:rPr>
          <w:rFonts w:ascii="Times New Roman" w:hAnsi="Times New Roman" w:cs="Times New Roman"/>
          <w:noProof/>
          <w:color w:val="000000" w:themeColor="text1"/>
          <w:sz w:val="24"/>
          <w:szCs w:val="24"/>
        </w:rPr>
        <w:t>tomēr atbilstoši aktuālai tirgus situācijai, ir vērojama to pieauguma tendence, kuru lielās nenoteiktības dēļ nav iespējams kvantificēt</w:t>
      </w:r>
      <w:r w:rsidRPr="00EA3A47">
        <w:rPr>
          <w:rFonts w:ascii="Times New Roman" w:hAnsi="Times New Roman" w:cs="Times New Roman"/>
          <w:noProof/>
          <w:color w:val="000000" w:themeColor="text1"/>
          <w:sz w:val="24"/>
          <w:szCs w:val="24"/>
        </w:rPr>
        <w:t xml:space="preserve">. Tādēļ pašlaik </w:t>
      </w:r>
      <w:r>
        <w:rPr>
          <w:rFonts w:ascii="Times New Roman" w:hAnsi="Times New Roman" w:cs="Times New Roman"/>
          <w:noProof/>
          <w:color w:val="000000" w:themeColor="text1"/>
          <w:sz w:val="24"/>
          <w:szCs w:val="24"/>
        </w:rPr>
        <w:t xml:space="preserve">minētais </w:t>
      </w:r>
      <w:r w:rsidRPr="00237DD2">
        <w:rPr>
          <w:rFonts w:ascii="Times New Roman" w:hAnsi="Times New Roman" w:cs="Times New Roman"/>
          <w:b/>
          <w:bCs/>
          <w:noProof/>
          <w:color w:val="000000" w:themeColor="text1"/>
          <w:sz w:val="24"/>
          <w:szCs w:val="24"/>
        </w:rPr>
        <w:t xml:space="preserve">netiek iekļauts fiskālā nodrošinājuma rezerves aprēķinā. </w:t>
      </w:r>
    </w:p>
    <w:p w14:paraId="20AA7303" w14:textId="77777777" w:rsidR="00D41016" w:rsidRPr="00237DD2" w:rsidRDefault="00D41016" w:rsidP="0043659D">
      <w:pPr>
        <w:spacing w:after="0" w:line="240" w:lineRule="auto"/>
        <w:ind w:firstLine="629"/>
        <w:jc w:val="both"/>
        <w:rPr>
          <w:rFonts w:ascii="Times New Roman" w:eastAsia="Times New Roman" w:hAnsi="Times New Roman"/>
          <w:b/>
          <w:bCs/>
          <w:sz w:val="24"/>
          <w:szCs w:val="24"/>
        </w:rPr>
      </w:pPr>
      <w:r>
        <w:rPr>
          <w:rFonts w:ascii="Times New Roman" w:hAnsi="Times New Roman" w:cs="Times New Roman"/>
          <w:noProof/>
          <w:color w:val="000000" w:themeColor="text1"/>
          <w:sz w:val="24"/>
          <w:szCs w:val="24"/>
        </w:rPr>
        <w:lastRenderedPageBreak/>
        <w:t xml:space="preserve">Sākot ar 2024.gadu paredzēts, ka dalībvalstis ne pašu resursu veidā, bet gan veicot divpusējas iemaksas ES vispārējā budžetā ārējo iezīmēto ieņēmumu veidā, var subsidēt procentu maksājumus Ukrainai piešķirtā aizdevuma finansēšanai. 2022.gada decembrī tika apstiprināts jauns ES līmeņa instruments, kurš paredz piešķirt aizdevumu Ukrainai 18 mljrd. </w:t>
      </w:r>
      <w:r>
        <w:rPr>
          <w:rFonts w:ascii="Times New Roman" w:hAnsi="Times New Roman" w:cs="Times New Roman"/>
          <w:i/>
          <w:iCs/>
          <w:noProof/>
          <w:color w:val="000000" w:themeColor="text1"/>
          <w:sz w:val="24"/>
          <w:szCs w:val="24"/>
        </w:rPr>
        <w:t xml:space="preserve">euro </w:t>
      </w:r>
      <w:r>
        <w:rPr>
          <w:rFonts w:ascii="Times New Roman" w:hAnsi="Times New Roman" w:cs="Times New Roman"/>
          <w:noProof/>
          <w:color w:val="000000" w:themeColor="text1"/>
          <w:sz w:val="24"/>
          <w:szCs w:val="24"/>
        </w:rPr>
        <w:t xml:space="preserve">apmērā ar izmaksu laika posmā no 2023. līdz 2024.gada pirmajam ceturksnim. Aizdevums Ukrainas valdībai ir piešķirts budžeta iztrūkuma segšanai un valsts pamatfunkciju nodrošināšanai. 2.1.sadaļā aprakstīti šim aizdevumam Latvijas sniegtās garantijas apmērs un nosacījumi. </w:t>
      </w:r>
      <w:r w:rsidRPr="003F1907">
        <w:rPr>
          <w:rFonts w:ascii="Times New Roman" w:eastAsia="Times New Roman" w:hAnsi="Times New Roman"/>
          <w:sz w:val="24"/>
          <w:szCs w:val="24"/>
        </w:rPr>
        <w:t>Atkarībā</w:t>
      </w:r>
      <w:r>
        <w:rPr>
          <w:rFonts w:ascii="Times New Roman" w:eastAsia="Times New Roman" w:hAnsi="Times New Roman"/>
          <w:sz w:val="24"/>
          <w:szCs w:val="24"/>
        </w:rPr>
        <w:t xml:space="preserve"> </w:t>
      </w:r>
      <w:r w:rsidRPr="003F1907">
        <w:rPr>
          <w:rFonts w:ascii="Times New Roman" w:eastAsia="Times New Roman" w:hAnsi="Times New Roman"/>
          <w:sz w:val="24"/>
          <w:szCs w:val="24"/>
        </w:rPr>
        <w:t>no</w:t>
      </w:r>
      <w:r>
        <w:rPr>
          <w:rFonts w:ascii="Times New Roman" w:eastAsia="Times New Roman" w:hAnsi="Times New Roman"/>
          <w:sz w:val="24"/>
          <w:szCs w:val="24"/>
        </w:rPr>
        <w:t xml:space="preserve"> aizdevuma</w:t>
      </w:r>
      <w:r w:rsidRPr="003F1907">
        <w:rPr>
          <w:rFonts w:ascii="Times New Roman" w:eastAsia="Times New Roman" w:hAnsi="Times New Roman"/>
          <w:sz w:val="24"/>
          <w:szCs w:val="24"/>
        </w:rPr>
        <w:t xml:space="preserve"> procentu maksājuma apjoma</w:t>
      </w:r>
      <w:r>
        <w:rPr>
          <w:rFonts w:ascii="Times New Roman" w:eastAsia="Times New Roman" w:hAnsi="Times New Roman"/>
          <w:sz w:val="24"/>
          <w:szCs w:val="24"/>
        </w:rPr>
        <w:t>, Ukrainas pieprasījuma un ES budžeta iespēju izskatīšanas,</w:t>
      </w:r>
      <w:r w:rsidRPr="003F1907">
        <w:rPr>
          <w:rFonts w:ascii="Times New Roman" w:eastAsia="Times New Roman" w:hAnsi="Times New Roman"/>
          <w:sz w:val="24"/>
          <w:szCs w:val="24"/>
        </w:rPr>
        <w:t xml:space="preserve"> dalībvalstīm atbilstošā daļa tiks aprēķināta</w:t>
      </w:r>
      <w:r>
        <w:rPr>
          <w:rFonts w:ascii="Times New Roman" w:eastAsia="Times New Roman" w:hAnsi="Times New Roman"/>
          <w:sz w:val="24"/>
          <w:szCs w:val="24"/>
        </w:rPr>
        <w:t>,</w:t>
      </w:r>
      <w:r w:rsidRPr="003F1907">
        <w:rPr>
          <w:rFonts w:ascii="Times New Roman" w:eastAsia="Times New Roman" w:hAnsi="Times New Roman"/>
          <w:sz w:val="24"/>
          <w:szCs w:val="24"/>
        </w:rPr>
        <w:t xml:space="preserve"> izmantojot tām atbilstīgo labklājības rādītāju – NKI </w:t>
      </w:r>
      <w:r>
        <w:rPr>
          <w:rFonts w:ascii="Times New Roman" w:eastAsia="Times New Roman" w:hAnsi="Times New Roman"/>
          <w:sz w:val="24"/>
          <w:szCs w:val="24"/>
        </w:rPr>
        <w:t>sadales.</w:t>
      </w:r>
      <w:r w:rsidRPr="003F1907">
        <w:rPr>
          <w:rFonts w:ascii="Times New Roman" w:eastAsia="Times New Roman" w:hAnsi="Times New Roman"/>
          <w:sz w:val="24"/>
          <w:szCs w:val="24"/>
        </w:rPr>
        <w:t xml:space="preserve"> Katram gadam finansējamo apjomu dalībvalstīm aprēķinās</w:t>
      </w:r>
      <w:r>
        <w:rPr>
          <w:rFonts w:ascii="Times New Roman" w:eastAsia="Times New Roman" w:hAnsi="Times New Roman"/>
          <w:sz w:val="24"/>
          <w:szCs w:val="24"/>
        </w:rPr>
        <w:t>,</w:t>
      </w:r>
      <w:r w:rsidRPr="003F1907">
        <w:rPr>
          <w:rFonts w:ascii="Times New Roman" w:eastAsia="Times New Roman" w:hAnsi="Times New Roman"/>
          <w:sz w:val="24"/>
          <w:szCs w:val="24"/>
        </w:rPr>
        <w:t xml:space="preserve"> izmantojot iepriekšējā gada NKI </w:t>
      </w:r>
      <w:r>
        <w:rPr>
          <w:rFonts w:ascii="Times New Roman" w:eastAsia="Times New Roman" w:hAnsi="Times New Roman"/>
          <w:sz w:val="24"/>
          <w:szCs w:val="24"/>
        </w:rPr>
        <w:t xml:space="preserve">sadales </w:t>
      </w:r>
      <w:r w:rsidRPr="003F1907">
        <w:rPr>
          <w:rFonts w:ascii="Times New Roman" w:eastAsia="Times New Roman" w:hAnsi="Times New Roman"/>
          <w:sz w:val="24"/>
          <w:szCs w:val="24"/>
        </w:rPr>
        <w:t>atslēgu, kāda ir bijusi spēkā, apstiprinot ES vispārējo budžetu konkrētajam finanšu gadam</w:t>
      </w:r>
      <w:r>
        <w:rPr>
          <w:rFonts w:ascii="Times New Roman" w:eastAsia="Times New Roman" w:hAnsi="Times New Roman"/>
          <w:sz w:val="24"/>
          <w:szCs w:val="24"/>
        </w:rPr>
        <w:t xml:space="preserve"> vai tā grozījumus</w:t>
      </w:r>
      <w:r w:rsidRPr="003F1907">
        <w:rPr>
          <w:rFonts w:ascii="Times New Roman" w:eastAsia="Times New Roman" w:hAnsi="Times New Roman"/>
          <w:sz w:val="24"/>
          <w:szCs w:val="24"/>
        </w:rPr>
        <w:t xml:space="preserve">. </w:t>
      </w:r>
      <w:r>
        <w:rPr>
          <w:rFonts w:ascii="Times New Roman" w:eastAsia="Times New Roman" w:hAnsi="Times New Roman"/>
          <w:sz w:val="24"/>
          <w:szCs w:val="24"/>
        </w:rPr>
        <w:t>2023.gadam</w:t>
      </w:r>
      <w:r w:rsidRPr="003F1907">
        <w:rPr>
          <w:rFonts w:ascii="Times New Roman" w:eastAsia="Times New Roman" w:hAnsi="Times New Roman"/>
          <w:sz w:val="24"/>
          <w:szCs w:val="24"/>
        </w:rPr>
        <w:t xml:space="preserve"> Latvija</w:t>
      </w:r>
      <w:r>
        <w:rPr>
          <w:rFonts w:ascii="Times New Roman" w:eastAsia="Times New Roman" w:hAnsi="Times New Roman"/>
          <w:sz w:val="24"/>
          <w:szCs w:val="24"/>
        </w:rPr>
        <w:t>s</w:t>
      </w:r>
      <w:r w:rsidRPr="003F1907">
        <w:rPr>
          <w:rFonts w:ascii="Times New Roman" w:eastAsia="Times New Roman" w:hAnsi="Times New Roman"/>
          <w:sz w:val="24"/>
          <w:szCs w:val="24"/>
        </w:rPr>
        <w:t xml:space="preserve"> NKI </w:t>
      </w:r>
      <w:r>
        <w:rPr>
          <w:rFonts w:ascii="Times New Roman" w:eastAsia="Times New Roman" w:hAnsi="Times New Roman"/>
          <w:sz w:val="24"/>
          <w:szCs w:val="24"/>
        </w:rPr>
        <w:t xml:space="preserve">sadales </w:t>
      </w:r>
      <w:r w:rsidRPr="003F1907">
        <w:rPr>
          <w:rFonts w:ascii="Times New Roman" w:eastAsia="Times New Roman" w:hAnsi="Times New Roman"/>
          <w:sz w:val="24"/>
          <w:szCs w:val="24"/>
        </w:rPr>
        <w:t xml:space="preserve">atslēga veido </w:t>
      </w:r>
      <w:r>
        <w:rPr>
          <w:rFonts w:ascii="Times New Roman" w:eastAsia="Times New Roman" w:hAnsi="Times New Roman"/>
          <w:sz w:val="24"/>
          <w:szCs w:val="24"/>
        </w:rPr>
        <w:t xml:space="preserve">aptuveni </w:t>
      </w:r>
      <w:r w:rsidRPr="003F1907">
        <w:rPr>
          <w:rFonts w:ascii="Times New Roman" w:eastAsia="Times New Roman" w:hAnsi="Times New Roman"/>
          <w:sz w:val="24"/>
          <w:szCs w:val="24"/>
        </w:rPr>
        <w:t>0,2</w:t>
      </w:r>
      <w:r>
        <w:rPr>
          <w:rFonts w:ascii="Times New Roman" w:eastAsia="Times New Roman" w:hAnsi="Times New Roman"/>
          <w:sz w:val="24"/>
          <w:szCs w:val="24"/>
        </w:rPr>
        <w:t>3</w:t>
      </w:r>
      <w:r w:rsidRPr="003F1907">
        <w:rPr>
          <w:rFonts w:ascii="Times New Roman" w:eastAsia="Times New Roman" w:hAnsi="Times New Roman"/>
          <w:sz w:val="24"/>
          <w:szCs w:val="24"/>
        </w:rPr>
        <w:t>% no ES kopējā NKI.</w:t>
      </w:r>
      <w:r>
        <w:rPr>
          <w:rFonts w:ascii="Times New Roman" w:hAnsi="Times New Roman" w:cs="Times New Roman"/>
          <w:noProof/>
          <w:color w:val="000000" w:themeColor="text1"/>
          <w:sz w:val="24"/>
          <w:szCs w:val="24"/>
        </w:rPr>
        <w:t xml:space="preserve"> </w:t>
      </w:r>
      <w:r w:rsidRPr="003F1907">
        <w:rPr>
          <w:rFonts w:ascii="Times New Roman" w:eastAsia="Times New Roman" w:hAnsi="Times New Roman"/>
          <w:sz w:val="24"/>
          <w:szCs w:val="24"/>
        </w:rPr>
        <w:t xml:space="preserve">Ņemot vērā to, ka aizdevuma procentu maksājumu summa nav precīzi nosakāma, konkrētus dalībvalstu maksājumus aprēķināt nav iespējams. </w:t>
      </w:r>
      <w:r>
        <w:rPr>
          <w:rFonts w:ascii="Times New Roman" w:eastAsia="Times New Roman" w:hAnsi="Times New Roman"/>
          <w:sz w:val="24"/>
          <w:szCs w:val="24"/>
        </w:rPr>
        <w:t>Šobrīd iemaksu nolīgumos, kurus paredzēts noslēgt starp dalībvalstīm un EK, Latvijai maksimālais iemaksu apjoms laika posmam no 2024.-2027.gadam</w:t>
      </w:r>
      <w:r w:rsidRPr="003F1907">
        <w:rPr>
          <w:rFonts w:ascii="Times New Roman" w:eastAsia="Times New Roman" w:hAnsi="Times New Roman"/>
          <w:sz w:val="24"/>
          <w:szCs w:val="24"/>
        </w:rPr>
        <w:t xml:space="preserve"> </w:t>
      </w:r>
      <w:r>
        <w:rPr>
          <w:rFonts w:ascii="Times New Roman" w:eastAsia="Times New Roman" w:hAnsi="Times New Roman"/>
          <w:sz w:val="24"/>
          <w:szCs w:val="24"/>
        </w:rPr>
        <w:t xml:space="preserve">noteikts </w:t>
      </w:r>
      <w:r w:rsidRPr="008B7470">
        <w:rPr>
          <w:rFonts w:ascii="Times New Roman" w:hAnsi="Times New Roman" w:cs="Times New Roman"/>
          <w:sz w:val="24"/>
          <w:szCs w:val="24"/>
        </w:rPr>
        <w:t xml:space="preserve">6 471 254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8B7470">
        <w:rPr>
          <w:rFonts w:ascii="Times New Roman" w:hAnsi="Times New Roman" w:cs="Times New Roman"/>
          <w:sz w:val="24"/>
          <w:szCs w:val="24"/>
        </w:rPr>
        <w:t>apmērā</w:t>
      </w:r>
      <w:r w:rsidRPr="003F1907">
        <w:rPr>
          <w:rFonts w:ascii="Times New Roman" w:eastAsia="Times New Roman" w:hAnsi="Times New Roman"/>
          <w:sz w:val="24"/>
          <w:szCs w:val="24"/>
        </w:rPr>
        <w:t>.</w:t>
      </w:r>
      <w:r>
        <w:rPr>
          <w:rFonts w:ascii="Times New Roman" w:eastAsia="Times New Roman" w:hAnsi="Times New Roman"/>
          <w:sz w:val="24"/>
          <w:szCs w:val="24"/>
        </w:rPr>
        <w:t xml:space="preserve"> Tas nozīmē ikgadējo iemaksu aptuveni 1,6 milj. </w:t>
      </w:r>
      <w:proofErr w:type="spellStart"/>
      <w:r>
        <w:rPr>
          <w:rFonts w:ascii="Times New Roman" w:eastAsia="Times New Roman" w:hAnsi="Times New Roman"/>
          <w:i/>
          <w:iCs/>
          <w:sz w:val="24"/>
          <w:szCs w:val="24"/>
        </w:rPr>
        <w:t>euro</w:t>
      </w:r>
      <w:proofErr w:type="spellEnd"/>
      <w:r>
        <w:rPr>
          <w:rFonts w:ascii="Times New Roman" w:eastAsia="Times New Roman" w:hAnsi="Times New Roman"/>
          <w:i/>
          <w:iCs/>
          <w:sz w:val="24"/>
          <w:szCs w:val="24"/>
        </w:rPr>
        <w:t xml:space="preserve"> </w:t>
      </w:r>
      <w:r>
        <w:rPr>
          <w:rFonts w:ascii="Times New Roman" w:eastAsia="Times New Roman" w:hAnsi="Times New Roman"/>
          <w:sz w:val="24"/>
          <w:szCs w:val="24"/>
        </w:rPr>
        <w:t xml:space="preserve">apmēra, kuras ir iekļautas Finanšu ministrijas 2024. – 2026.gadu budžeta plānā. </w:t>
      </w:r>
      <w:r w:rsidRPr="00A52162">
        <w:rPr>
          <w:rFonts w:ascii="Times New Roman" w:eastAsia="Times New Roman" w:hAnsi="Times New Roman"/>
          <w:sz w:val="24"/>
          <w:szCs w:val="24"/>
        </w:rPr>
        <w:t xml:space="preserve">Līdz ar augstāk minētajiem apsvērumiem procentu maksājumu finansēšana Ukrainas aizdevumam </w:t>
      </w:r>
      <w:r w:rsidRPr="00237DD2">
        <w:rPr>
          <w:rFonts w:ascii="Times New Roman" w:eastAsia="Times New Roman" w:hAnsi="Times New Roman"/>
          <w:b/>
          <w:bCs/>
          <w:sz w:val="24"/>
          <w:szCs w:val="24"/>
        </w:rPr>
        <w:t>netiek iekļauta fiskālā nodrošinājuma rezerves aprēķinā.</w:t>
      </w:r>
    </w:p>
    <w:p w14:paraId="460B09D0" w14:textId="77777777" w:rsidR="00D41016" w:rsidRPr="00EC24CA" w:rsidRDefault="00D41016" w:rsidP="0004033A">
      <w:pPr>
        <w:spacing w:after="100" w:afterAutospacing="1" w:line="240" w:lineRule="auto"/>
        <w:ind w:firstLine="629"/>
        <w:jc w:val="both"/>
        <w:rPr>
          <w:rFonts w:ascii="Times New Roman" w:eastAsia="Times New Roman" w:hAnsi="Times New Roman"/>
          <w:sz w:val="24"/>
          <w:szCs w:val="24"/>
        </w:rPr>
      </w:pPr>
      <w:r w:rsidRPr="00497710">
        <w:rPr>
          <w:rFonts w:ascii="Times New Roman" w:eastAsia="Times New Roman" w:hAnsi="Times New Roman"/>
          <w:sz w:val="24"/>
          <w:szCs w:val="24"/>
        </w:rPr>
        <w:t xml:space="preserve">2023.gada 20.jūnijā </w:t>
      </w:r>
      <w:r>
        <w:rPr>
          <w:rFonts w:ascii="Times New Roman" w:eastAsia="Times New Roman" w:hAnsi="Times New Roman"/>
          <w:sz w:val="24"/>
          <w:szCs w:val="24"/>
        </w:rPr>
        <w:t>EK</w:t>
      </w:r>
      <w:r w:rsidRPr="00497710">
        <w:rPr>
          <w:rFonts w:ascii="Times New Roman" w:eastAsia="Times New Roman" w:hAnsi="Times New Roman"/>
          <w:sz w:val="24"/>
          <w:szCs w:val="24"/>
        </w:rPr>
        <w:t xml:space="preserve"> ir nākusi klajā ar priekšlikumu par ES daudzgadu budžeta </w:t>
      </w:r>
      <w:proofErr w:type="spellStart"/>
      <w:r w:rsidRPr="00497710">
        <w:rPr>
          <w:rFonts w:ascii="Times New Roman" w:eastAsia="Times New Roman" w:hAnsi="Times New Roman"/>
          <w:sz w:val="24"/>
          <w:szCs w:val="24"/>
        </w:rPr>
        <w:t>vidusposma</w:t>
      </w:r>
      <w:proofErr w:type="spellEnd"/>
      <w:r w:rsidRPr="00497710">
        <w:rPr>
          <w:rFonts w:ascii="Times New Roman" w:eastAsia="Times New Roman" w:hAnsi="Times New Roman"/>
          <w:sz w:val="24"/>
          <w:szCs w:val="24"/>
        </w:rPr>
        <w:t xml:space="preserve"> pārskatu, paredzot ES budžeta kopapjoma palielinājumu aptuveni, 65,8 mljrd.</w:t>
      </w:r>
      <w:r>
        <w:rPr>
          <w:rFonts w:ascii="Times New Roman" w:eastAsia="Times New Roman" w:hAnsi="Times New Roman"/>
          <w:sz w:val="24"/>
          <w:szCs w:val="24"/>
        </w:rPr>
        <w:t xml:space="preserve"> </w:t>
      </w:r>
      <w:proofErr w:type="spellStart"/>
      <w:r w:rsidRPr="00497710">
        <w:rPr>
          <w:rFonts w:ascii="Times New Roman" w:eastAsia="Times New Roman" w:hAnsi="Times New Roman"/>
          <w:i/>
          <w:iCs/>
          <w:sz w:val="24"/>
          <w:szCs w:val="24"/>
        </w:rPr>
        <w:t>euro</w:t>
      </w:r>
      <w:proofErr w:type="spellEnd"/>
      <w:r w:rsidRPr="00497710">
        <w:rPr>
          <w:rFonts w:ascii="Times New Roman" w:eastAsia="Times New Roman" w:hAnsi="Times New Roman"/>
          <w:sz w:val="24"/>
          <w:szCs w:val="24"/>
        </w:rPr>
        <w:t>, kas periodā no 2023.-2027.gadam attiecīgi arī nozīmētu Latvijas iemaksu palielinājumu ES budžetā. Par ES daudzgadu budžeta pārskatu, t.sk. ES budžeta kopapjoma palielinājumu turpmākiem gadiem, paredzēts vienoties līdz 2023.gada beigām.</w:t>
      </w:r>
    </w:p>
    <w:p w14:paraId="038B2F84" w14:textId="77777777" w:rsidR="006D6C33" w:rsidRPr="00075814" w:rsidRDefault="006D6C33" w:rsidP="00497710">
      <w:pPr>
        <w:pStyle w:val="Heading2"/>
        <w:numPr>
          <w:ilvl w:val="1"/>
          <w:numId w:val="4"/>
        </w:numPr>
        <w:tabs>
          <w:tab w:val="left" w:pos="3261"/>
          <w:tab w:val="left" w:pos="5103"/>
          <w:tab w:val="left" w:pos="5245"/>
        </w:tabs>
        <w:spacing w:before="120" w:after="120" w:line="240" w:lineRule="auto"/>
        <w:ind w:left="567" w:right="-255" w:hanging="555"/>
        <w:jc w:val="center"/>
        <w:rPr>
          <w:rFonts w:ascii="Times New Roman" w:hAnsi="Times New Roman" w:cs="Times New Roman"/>
          <w:color w:val="auto"/>
          <w:sz w:val="24"/>
          <w:szCs w:val="24"/>
        </w:rPr>
      </w:pPr>
      <w:bookmarkStart w:id="68" w:name="_Toc47532071"/>
      <w:bookmarkStart w:id="69" w:name="_Toc142388032"/>
      <w:bookmarkStart w:id="70" w:name="_Toc405371080"/>
      <w:bookmarkStart w:id="71" w:name="_Toc536779065"/>
      <w:r w:rsidRPr="00075814">
        <w:rPr>
          <w:rFonts w:ascii="Times New Roman" w:hAnsi="Times New Roman" w:cs="Times New Roman"/>
          <w:color w:val="auto"/>
          <w:sz w:val="24"/>
          <w:szCs w:val="24"/>
        </w:rPr>
        <w:t>Eiropas Savienības politiku instrumentu un citu ārvalstu finanšu palīdzības programmas</w:t>
      </w:r>
      <w:bookmarkEnd w:id="68"/>
      <w:bookmarkEnd w:id="69"/>
    </w:p>
    <w:bookmarkEnd w:id="70"/>
    <w:bookmarkEnd w:id="71"/>
    <w:p w14:paraId="22CAD806" w14:textId="1B2BD8A1" w:rsidR="00FC2B11" w:rsidRPr="009E02D8" w:rsidRDefault="00FC2B11" w:rsidP="00FC2B11">
      <w:pPr>
        <w:spacing w:after="0" w:line="240" w:lineRule="auto"/>
        <w:ind w:firstLine="720"/>
        <w:jc w:val="both"/>
        <w:rPr>
          <w:rFonts w:ascii="Times New Roman" w:eastAsiaTheme="majorEastAsia" w:hAnsi="Times New Roman" w:cs="Times New Roman"/>
          <w:color w:val="000000" w:themeColor="text1"/>
          <w:sz w:val="24"/>
          <w:szCs w:val="24"/>
        </w:rPr>
      </w:pPr>
      <w:r w:rsidRPr="00075814">
        <w:rPr>
          <w:rFonts w:ascii="Times New Roman" w:eastAsiaTheme="minorHAnsi" w:hAnsi="Times New Roman"/>
          <w:sz w:val="24"/>
        </w:rPr>
        <w:t>Fiskālais risks attiecas uz p</w:t>
      </w:r>
      <w:r w:rsidRPr="00075814">
        <w:rPr>
          <w:rFonts w:ascii="Times New Roman" w:eastAsiaTheme="majorEastAsia" w:hAnsi="Times New Roman"/>
          <w:sz w:val="24"/>
          <w:szCs w:val="24"/>
        </w:rPr>
        <w:t>rojektu un pasākumu īstenošanai nepieciešamo un no attiecīgās programmas neatmaksājamo</w:t>
      </w:r>
      <w:r w:rsidRPr="008C76AB">
        <w:rPr>
          <w:rFonts w:ascii="Times New Roman" w:eastAsiaTheme="majorEastAsia" w:hAnsi="Times New Roman"/>
          <w:sz w:val="24"/>
          <w:szCs w:val="24"/>
        </w:rPr>
        <w:t xml:space="preserve"> izdevumu pieaugumu </w:t>
      </w:r>
      <w:r w:rsidRPr="009E02D8">
        <w:rPr>
          <w:rFonts w:ascii="Times New Roman" w:hAnsi="Times New Roman" w:cs="Times New Roman"/>
          <w:color w:val="000000" w:themeColor="text1"/>
          <w:sz w:val="24"/>
          <w:szCs w:val="24"/>
        </w:rPr>
        <w:t>tādām ES politiku instrumentu un citām</w:t>
      </w:r>
      <w:r w:rsidR="00AF2B39">
        <w:rPr>
          <w:rFonts w:ascii="Times New Roman" w:hAnsi="Times New Roman" w:cs="Times New Roman"/>
          <w:color w:val="000000"/>
          <w:sz w:val="24"/>
          <w:szCs w:val="24"/>
        </w:rPr>
        <w:t xml:space="preserve"> </w:t>
      </w:r>
      <w:r w:rsidR="00D3581E" w:rsidRPr="00FC3DF6">
        <w:rPr>
          <w:rFonts w:ascii="Times New Roman" w:hAnsi="Times New Roman" w:cs="Times New Roman"/>
          <w:color w:val="000000"/>
          <w:sz w:val="24"/>
          <w:szCs w:val="24"/>
        </w:rPr>
        <w:t>Ārvalstu</w:t>
      </w:r>
      <w:r w:rsidR="00D3581E" w:rsidRPr="002F357F">
        <w:rPr>
          <w:rFonts w:ascii="Times New Roman" w:hAnsi="Times New Roman" w:cs="Times New Roman"/>
          <w:color w:val="000000"/>
          <w:sz w:val="24"/>
          <w:szCs w:val="24"/>
        </w:rPr>
        <w:t xml:space="preserve"> finanšu palīdzība</w:t>
      </w:r>
      <w:r w:rsidR="00D3581E">
        <w:rPr>
          <w:rFonts w:ascii="Times New Roman" w:hAnsi="Times New Roman" w:cs="Times New Roman"/>
          <w:color w:val="000000"/>
          <w:sz w:val="24"/>
          <w:szCs w:val="24"/>
        </w:rPr>
        <w:t>s</w:t>
      </w:r>
      <w:r w:rsidR="00D3581E" w:rsidRPr="002F357F" w:rsidDel="00AF2B39">
        <w:rPr>
          <w:rFonts w:ascii="Times New Roman" w:hAnsi="Times New Roman" w:cs="Times New Roman"/>
          <w:color w:val="000000"/>
          <w:sz w:val="24"/>
          <w:szCs w:val="24"/>
        </w:rPr>
        <w:t xml:space="preserve"> </w:t>
      </w:r>
      <w:r w:rsidR="00D3581E">
        <w:rPr>
          <w:rFonts w:ascii="Times New Roman" w:hAnsi="Times New Roman" w:cs="Times New Roman"/>
          <w:color w:val="000000"/>
          <w:sz w:val="24"/>
          <w:szCs w:val="24"/>
        </w:rPr>
        <w:t xml:space="preserve">(turpmāk </w:t>
      </w:r>
      <w:r>
        <w:rPr>
          <w:rFonts w:ascii="Times New Roman" w:hAnsi="Times New Roman" w:cs="Times New Roman"/>
          <w:color w:val="000000" w:themeColor="text1"/>
          <w:sz w:val="24"/>
          <w:szCs w:val="24"/>
        </w:rPr>
        <w:t>ĀFP</w:t>
      </w:r>
      <w:r w:rsidR="00AF2B39">
        <w:rPr>
          <w:rFonts w:ascii="Times New Roman" w:hAnsi="Times New Roman" w:cs="Times New Roman"/>
          <w:color w:val="000000" w:themeColor="text1"/>
          <w:sz w:val="24"/>
          <w:szCs w:val="24"/>
        </w:rPr>
        <w:t>)</w:t>
      </w:r>
      <w:r w:rsidRPr="009E02D8">
        <w:rPr>
          <w:rFonts w:ascii="Times New Roman" w:hAnsi="Times New Roman" w:cs="Times New Roman"/>
          <w:color w:val="000000" w:themeColor="text1"/>
          <w:sz w:val="24"/>
          <w:szCs w:val="24"/>
        </w:rPr>
        <w:t xml:space="preserve"> programmām, kurām netiek piemērota izdevumu izlīdzināšana</w:t>
      </w:r>
      <w:r w:rsidRPr="009E02D8">
        <w:rPr>
          <w:rFonts w:ascii="Times New Roman" w:eastAsiaTheme="majorEastAsia" w:hAnsi="Times New Roman" w:cs="Times New Roman"/>
          <w:color w:val="000000" w:themeColor="text1"/>
          <w:sz w:val="24"/>
          <w:szCs w:val="24"/>
        </w:rPr>
        <w:t>. Taču jāņem vērā, ka</w:t>
      </w:r>
      <w:r>
        <w:rPr>
          <w:rFonts w:ascii="Times New Roman" w:eastAsiaTheme="majorEastAsia" w:hAnsi="Times New Roman" w:cs="Times New Roman"/>
          <w:color w:val="000000" w:themeColor="text1"/>
          <w:sz w:val="24"/>
          <w:szCs w:val="24"/>
        </w:rPr>
        <w:t>,</w:t>
      </w:r>
      <w:r w:rsidRPr="009E02D8">
        <w:rPr>
          <w:rFonts w:ascii="Times New Roman" w:eastAsiaTheme="majorEastAsia" w:hAnsi="Times New Roman" w:cs="Times New Roman"/>
          <w:color w:val="000000" w:themeColor="text1"/>
          <w:sz w:val="24"/>
          <w:szCs w:val="24"/>
        </w:rPr>
        <w:t xml:space="preserve"> sagatavojot </w:t>
      </w:r>
      <w:r w:rsidR="00D41016">
        <w:rPr>
          <w:rFonts w:ascii="Times New Roman" w:eastAsiaTheme="majorEastAsia" w:hAnsi="Times New Roman" w:cs="Times New Roman"/>
          <w:color w:val="000000" w:themeColor="text1"/>
          <w:sz w:val="24"/>
          <w:szCs w:val="24"/>
        </w:rPr>
        <w:t xml:space="preserve">valsts </w:t>
      </w:r>
      <w:r w:rsidRPr="009E02D8">
        <w:rPr>
          <w:rFonts w:ascii="Times New Roman" w:eastAsiaTheme="majorEastAsia" w:hAnsi="Times New Roman" w:cs="Times New Roman"/>
          <w:color w:val="000000" w:themeColor="text1"/>
          <w:sz w:val="24"/>
          <w:szCs w:val="24"/>
        </w:rPr>
        <w:t xml:space="preserve">budžeta prognozes, daļa no </w:t>
      </w:r>
      <w:r w:rsidRPr="005575B7">
        <w:rPr>
          <w:rFonts w:ascii="Times New Roman" w:hAnsi="Times New Roman" w:cs="Times New Roman"/>
          <w:color w:val="000000" w:themeColor="text1"/>
          <w:sz w:val="24"/>
          <w:szCs w:val="24"/>
        </w:rPr>
        <w:t xml:space="preserve">paredzētā finansējuma </w:t>
      </w:r>
      <w:r w:rsidRPr="009E02D8">
        <w:rPr>
          <w:rFonts w:ascii="Times New Roman" w:hAnsi="Times New Roman" w:cs="Times New Roman"/>
          <w:color w:val="000000" w:themeColor="text1"/>
          <w:sz w:val="24"/>
          <w:szCs w:val="24"/>
        </w:rPr>
        <w:t xml:space="preserve">ES politiku instrumentu un citām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programmām</w:t>
      </w:r>
      <w:r>
        <w:rPr>
          <w:rFonts w:ascii="Times New Roman" w:hAnsi="Times New Roman" w:cs="Times New Roman"/>
          <w:color w:val="000000" w:themeColor="text1"/>
          <w:sz w:val="24"/>
          <w:szCs w:val="24"/>
        </w:rPr>
        <w:t>, uz kurām attiecas izdevumu izlīdzināšana,</w:t>
      </w:r>
      <w:r w:rsidRPr="009E02D8">
        <w:rPr>
          <w:rFonts w:ascii="Times New Roman" w:hAnsi="Times New Roman" w:cs="Times New Roman"/>
          <w:color w:val="000000" w:themeColor="text1"/>
          <w:sz w:val="24"/>
          <w:szCs w:val="24"/>
        </w:rPr>
        <w:t xml:space="preserve"> atrodas 74.resora “Gadskārtējā valsts budžeta izpildes procesā pārdalāmais finansējums” 80.00.00 programmā “Nesadalītais finansējums </w:t>
      </w:r>
      <w:r>
        <w:rPr>
          <w:rFonts w:ascii="Times New Roman" w:hAnsi="Times New Roman" w:cs="Times New Roman"/>
          <w:color w:val="000000" w:themeColor="text1"/>
          <w:sz w:val="24"/>
          <w:szCs w:val="24"/>
        </w:rPr>
        <w:t>ES</w:t>
      </w:r>
      <w:r w:rsidRPr="009E02D8">
        <w:rPr>
          <w:rFonts w:ascii="Times New Roman" w:hAnsi="Times New Roman" w:cs="Times New Roman"/>
          <w:color w:val="000000" w:themeColor="text1"/>
          <w:sz w:val="24"/>
          <w:szCs w:val="24"/>
        </w:rPr>
        <w:t xml:space="preserve"> politiku instrumentu un pārējās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līdzfinansēto projektu un pasākumu īstenošanai”</w:t>
      </w:r>
      <w:r>
        <w:rPr>
          <w:rFonts w:ascii="Times New Roman" w:hAnsi="Times New Roman" w:cs="Times New Roman"/>
          <w:color w:val="000000" w:themeColor="text1"/>
          <w:sz w:val="24"/>
          <w:szCs w:val="24"/>
        </w:rPr>
        <w:t xml:space="preserve"> (</w:t>
      </w:r>
      <w:r w:rsidR="00555D1E">
        <w:rPr>
          <w:rFonts w:ascii="Times New Roman" w:eastAsia="Calibri" w:hAnsi="Times New Roman"/>
          <w:sz w:val="24"/>
          <w:szCs w:val="24"/>
        </w:rPr>
        <w:t xml:space="preserve">šīs deklarācijas </w:t>
      </w:r>
      <w:proofErr w:type="spellStart"/>
      <w:r w:rsidR="00555D1E">
        <w:rPr>
          <w:rFonts w:ascii="Times New Roman" w:eastAsia="Calibri" w:hAnsi="Times New Roman"/>
          <w:sz w:val="24"/>
          <w:szCs w:val="24"/>
        </w:rPr>
        <w:t>apakšsadaļas</w:t>
      </w:r>
      <w:proofErr w:type="spellEnd"/>
      <w:r w:rsidR="00555D1E">
        <w:rPr>
          <w:rFonts w:ascii="Times New Roman" w:eastAsia="Calibri" w:hAnsi="Times New Roman"/>
          <w:sz w:val="24"/>
          <w:szCs w:val="24"/>
        </w:rPr>
        <w:t xml:space="preserve"> ietvaros turpmāk</w:t>
      </w:r>
      <w:r>
        <w:rPr>
          <w:rFonts w:ascii="Times New Roman" w:hAnsi="Times New Roman" w:cs="Times New Roman"/>
          <w:color w:val="000000" w:themeColor="text1"/>
          <w:sz w:val="24"/>
          <w:szCs w:val="24"/>
        </w:rPr>
        <w:t xml:space="preserve"> – 80.programma)</w:t>
      </w:r>
      <w:r w:rsidRPr="009E02D8">
        <w:rPr>
          <w:rFonts w:ascii="Times New Roman" w:hAnsi="Times New Roman" w:cs="Times New Roman"/>
          <w:color w:val="000000" w:themeColor="text1"/>
          <w:sz w:val="24"/>
          <w:szCs w:val="24"/>
        </w:rPr>
        <w:t>. Tādējādi, lai izvērtētu fiskāla riska iestāšanos, ir jāvērtē kopējie ES politik</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instrumentu un cit</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programmu izdevumi. Gadījumā, ja faktiskie ES politik</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instrumentu un cit</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programmu izdevumi pārsniedz plānotos, ir iespējama fiskālā riska iestāšanās. Papildus tiek vērtēts, vai šāda riska iestāšanās</w:t>
      </w:r>
      <w:r>
        <w:rPr>
          <w:rFonts w:ascii="Times New Roman" w:hAnsi="Times New Roman" w:cs="Times New Roman"/>
          <w:color w:val="000000" w:themeColor="text1"/>
          <w:sz w:val="24"/>
          <w:szCs w:val="24"/>
        </w:rPr>
        <w:t xml:space="preserve"> ilgtermiņā</w:t>
      </w:r>
      <w:r w:rsidRPr="009E02D8">
        <w:rPr>
          <w:rFonts w:ascii="Times New Roman" w:hAnsi="Times New Roman" w:cs="Times New Roman"/>
          <w:color w:val="000000" w:themeColor="text1"/>
          <w:sz w:val="24"/>
          <w:szCs w:val="24"/>
        </w:rPr>
        <w:t xml:space="preserve"> nav simetriska – virsplāna izpildi vienā gadā, kompensē plāna neizpilde </w:t>
      </w:r>
      <w:r>
        <w:rPr>
          <w:rFonts w:ascii="Times New Roman" w:hAnsi="Times New Roman" w:cs="Times New Roman"/>
          <w:color w:val="000000" w:themeColor="text1"/>
          <w:sz w:val="24"/>
          <w:szCs w:val="24"/>
        </w:rPr>
        <w:t>citā</w:t>
      </w:r>
      <w:r w:rsidRPr="009E02D8">
        <w:rPr>
          <w:rFonts w:ascii="Times New Roman" w:hAnsi="Times New Roman" w:cs="Times New Roman"/>
          <w:color w:val="000000" w:themeColor="text1"/>
          <w:sz w:val="24"/>
          <w:szCs w:val="24"/>
        </w:rPr>
        <w:t xml:space="preserve"> gadā.</w:t>
      </w:r>
      <w:r w:rsidRPr="009E02D8">
        <w:rPr>
          <w:rFonts w:ascii="Times New Roman" w:eastAsiaTheme="majorEastAsia" w:hAnsi="Times New Roman" w:cs="Times New Roman"/>
          <w:color w:val="000000" w:themeColor="text1"/>
          <w:sz w:val="24"/>
          <w:szCs w:val="24"/>
        </w:rPr>
        <w:t xml:space="preserve"> </w:t>
      </w:r>
    </w:p>
    <w:p w14:paraId="5ACE1939" w14:textId="6DF6B923" w:rsidR="00FC2B11" w:rsidRDefault="00FC2B11" w:rsidP="00FC2B11">
      <w:pPr>
        <w:spacing w:after="0" w:line="240" w:lineRule="auto"/>
        <w:ind w:firstLine="720"/>
        <w:jc w:val="both"/>
        <w:rPr>
          <w:rFonts w:ascii="Times New Roman" w:eastAsiaTheme="minorHAnsi" w:hAnsi="Times New Roman" w:cs="Times New Roman"/>
          <w:color w:val="000000" w:themeColor="text1"/>
          <w:sz w:val="24"/>
        </w:rPr>
      </w:pPr>
      <w:r w:rsidRPr="009E02D8">
        <w:rPr>
          <w:rFonts w:ascii="Times New Roman" w:eastAsiaTheme="minorHAnsi" w:hAnsi="Times New Roman" w:cs="Times New Roman"/>
          <w:color w:val="000000" w:themeColor="text1"/>
          <w:sz w:val="24"/>
        </w:rPr>
        <w:t>Tabulā Nr.</w:t>
      </w:r>
      <w:r w:rsidR="004A682A">
        <w:rPr>
          <w:rFonts w:ascii="Times New Roman" w:eastAsiaTheme="minorHAnsi" w:hAnsi="Times New Roman" w:cs="Times New Roman"/>
          <w:color w:val="000000" w:themeColor="text1"/>
          <w:sz w:val="24"/>
        </w:rPr>
        <w:t>2.6.1</w:t>
      </w:r>
      <w:r w:rsidRPr="009E02D8">
        <w:rPr>
          <w:rFonts w:ascii="Times New Roman" w:eastAsiaTheme="minorHAnsi" w:hAnsi="Times New Roman" w:cs="Times New Roman"/>
          <w:color w:val="000000" w:themeColor="text1"/>
          <w:sz w:val="24"/>
        </w:rPr>
        <w:t xml:space="preserve"> attēloti </w:t>
      </w:r>
      <w:r w:rsidRPr="005F2999">
        <w:rPr>
          <w:rFonts w:ascii="Times New Roman" w:eastAsiaTheme="minorHAnsi" w:hAnsi="Times New Roman"/>
          <w:color w:val="000000" w:themeColor="text1"/>
          <w:sz w:val="24"/>
        </w:rPr>
        <w:t xml:space="preserve">ES politiku instrumentu un citu </w:t>
      </w:r>
      <w:r>
        <w:rPr>
          <w:rFonts w:ascii="Times New Roman" w:eastAsiaTheme="minorHAnsi" w:hAnsi="Times New Roman"/>
          <w:color w:val="000000" w:themeColor="text1"/>
          <w:sz w:val="24"/>
        </w:rPr>
        <w:t>ĀFP</w:t>
      </w:r>
      <w:r w:rsidRPr="005F2999">
        <w:rPr>
          <w:rFonts w:ascii="Times New Roman" w:eastAsiaTheme="minorHAnsi" w:hAnsi="Times New Roman"/>
          <w:color w:val="000000" w:themeColor="text1"/>
          <w:sz w:val="24"/>
        </w:rPr>
        <w:t xml:space="preserve"> programmu izdevumi</w:t>
      </w:r>
      <w:r w:rsidRPr="009E02D8">
        <w:rPr>
          <w:rFonts w:ascii="Times New Roman" w:eastAsiaTheme="minorHAnsi" w:hAnsi="Times New Roman" w:cs="Times New Roman"/>
          <w:color w:val="000000" w:themeColor="text1"/>
          <w:sz w:val="24"/>
        </w:rPr>
        <w:t xml:space="preserve"> līdz 202</w:t>
      </w:r>
      <w:r>
        <w:rPr>
          <w:rFonts w:ascii="Times New Roman" w:eastAsiaTheme="minorHAnsi" w:hAnsi="Times New Roman" w:cs="Times New Roman"/>
          <w:color w:val="000000" w:themeColor="text1"/>
          <w:sz w:val="24"/>
        </w:rPr>
        <w:t>2</w:t>
      </w:r>
      <w:r w:rsidRPr="009E02D8">
        <w:rPr>
          <w:rFonts w:ascii="Times New Roman" w:eastAsiaTheme="minorHAnsi" w:hAnsi="Times New Roman" w:cs="Times New Roman"/>
          <w:color w:val="000000" w:themeColor="text1"/>
          <w:sz w:val="24"/>
        </w:rPr>
        <w:t xml:space="preserve">.gadam, kas  norāda, ka ES politiku instrumentu un citu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programm</w:t>
      </w:r>
      <w:r>
        <w:rPr>
          <w:rFonts w:ascii="Times New Roman" w:eastAsiaTheme="minorHAnsi" w:hAnsi="Times New Roman" w:cs="Times New Roman"/>
          <w:color w:val="000000" w:themeColor="text1"/>
          <w:sz w:val="24"/>
        </w:rPr>
        <w:t>u</w:t>
      </w:r>
      <w:r w:rsidRPr="009E02D8">
        <w:rPr>
          <w:rFonts w:ascii="Times New Roman" w:eastAsiaTheme="minorHAnsi" w:hAnsi="Times New Roman" w:cs="Times New Roman"/>
          <w:color w:val="000000" w:themeColor="text1"/>
          <w:sz w:val="24"/>
        </w:rPr>
        <w:t xml:space="preserve"> faktiskie izdevumi 2014., 2015., 2018. un 2019.gadā bija augstāki kā plānot</w:t>
      </w:r>
      <w:r>
        <w:rPr>
          <w:rFonts w:ascii="Times New Roman" w:eastAsiaTheme="minorHAnsi" w:hAnsi="Times New Roman" w:cs="Times New Roman"/>
          <w:color w:val="000000" w:themeColor="text1"/>
          <w:sz w:val="24"/>
        </w:rPr>
        <w:t>s</w:t>
      </w:r>
      <w:r w:rsidRPr="009E02D8">
        <w:rPr>
          <w:rFonts w:ascii="Times New Roman" w:eastAsiaTheme="minorHAnsi" w:hAnsi="Times New Roman" w:cs="Times New Roman"/>
          <w:color w:val="000000" w:themeColor="text1"/>
          <w:sz w:val="24"/>
        </w:rPr>
        <w:t>, savukārt 2016., 2017., 2020.</w:t>
      </w:r>
      <w:r>
        <w:rPr>
          <w:rFonts w:ascii="Times New Roman" w:eastAsiaTheme="minorHAnsi" w:hAnsi="Times New Roman" w:cs="Times New Roman"/>
          <w:color w:val="000000" w:themeColor="text1"/>
          <w:sz w:val="24"/>
        </w:rPr>
        <w:t xml:space="preserve">, </w:t>
      </w:r>
      <w:r w:rsidRPr="009E02D8">
        <w:rPr>
          <w:rFonts w:ascii="Times New Roman" w:eastAsiaTheme="minorHAnsi" w:hAnsi="Times New Roman" w:cs="Times New Roman"/>
          <w:color w:val="000000" w:themeColor="text1"/>
          <w:sz w:val="24"/>
        </w:rPr>
        <w:t>2021.</w:t>
      </w:r>
      <w:r>
        <w:rPr>
          <w:rFonts w:ascii="Times New Roman" w:eastAsiaTheme="minorHAnsi" w:hAnsi="Times New Roman" w:cs="Times New Roman"/>
          <w:color w:val="000000" w:themeColor="text1"/>
          <w:sz w:val="24"/>
        </w:rPr>
        <w:t xml:space="preserve"> un 2022.</w:t>
      </w:r>
      <w:r w:rsidRPr="009E02D8">
        <w:rPr>
          <w:rFonts w:ascii="Times New Roman" w:eastAsiaTheme="minorHAnsi" w:hAnsi="Times New Roman" w:cs="Times New Roman"/>
          <w:color w:val="000000" w:themeColor="text1"/>
          <w:sz w:val="24"/>
        </w:rPr>
        <w:t xml:space="preserve">gadā bija zemāki kā plānots. Līdz ar to varbūtība, ka ES politiku instrumentu un citu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programm</w:t>
      </w:r>
      <w:r>
        <w:rPr>
          <w:rFonts w:ascii="Times New Roman" w:eastAsiaTheme="minorHAnsi" w:hAnsi="Times New Roman" w:cs="Times New Roman"/>
          <w:color w:val="000000" w:themeColor="text1"/>
          <w:sz w:val="24"/>
        </w:rPr>
        <w:t>u</w:t>
      </w:r>
      <w:r w:rsidRPr="009E02D8">
        <w:rPr>
          <w:rFonts w:ascii="Times New Roman" w:eastAsiaTheme="minorHAnsi" w:hAnsi="Times New Roman" w:cs="Times New Roman"/>
          <w:color w:val="000000" w:themeColor="text1"/>
          <w:sz w:val="24"/>
        </w:rPr>
        <w:t xml:space="preserve"> faktiskie izdevumi ir augstāki vai zemāki kā plānots</w:t>
      </w:r>
      <w:r>
        <w:rPr>
          <w:rFonts w:ascii="Times New Roman" w:eastAsiaTheme="minorHAnsi" w:hAnsi="Times New Roman" w:cs="Times New Roman"/>
          <w:color w:val="000000" w:themeColor="text1"/>
          <w:sz w:val="24"/>
        </w:rPr>
        <w:t>,</w:t>
      </w:r>
      <w:r w:rsidRPr="009E02D8">
        <w:rPr>
          <w:rFonts w:ascii="Times New Roman" w:eastAsiaTheme="minorHAnsi" w:hAnsi="Times New Roman" w:cs="Times New Roman"/>
          <w:color w:val="000000" w:themeColor="text1"/>
          <w:sz w:val="24"/>
        </w:rPr>
        <w:t xml:space="preserve"> ir simetriska. </w:t>
      </w:r>
    </w:p>
    <w:p w14:paraId="2FAA7EA4" w14:textId="77777777" w:rsidR="00FC2B11" w:rsidRDefault="00FC2B11" w:rsidP="00FC2B11">
      <w:pPr>
        <w:spacing w:after="0" w:line="240" w:lineRule="auto"/>
        <w:ind w:firstLine="720"/>
        <w:jc w:val="both"/>
        <w:rPr>
          <w:rFonts w:ascii="Times New Roman" w:eastAsiaTheme="minorHAnsi" w:hAnsi="Times New Roman" w:cs="Times New Roman"/>
          <w:color w:val="000000" w:themeColor="text1"/>
          <w:sz w:val="24"/>
        </w:rPr>
      </w:pPr>
      <w:r w:rsidRPr="009E02D8">
        <w:rPr>
          <w:rFonts w:ascii="Times New Roman" w:eastAsiaTheme="minorHAnsi" w:hAnsi="Times New Roman" w:cs="Times New Roman"/>
          <w:color w:val="000000" w:themeColor="text1"/>
          <w:sz w:val="24"/>
        </w:rPr>
        <w:t xml:space="preserve">Saskaņā ar EKS uzskaites principiem, vispārējās valdības budžeta bilanci ietekmē tikai nacionālais līdzfinansējums ES politikas instrumentu un citu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programmu realizācijai jeb valsts budžeta finansējums, kas jānodrošina veiksmīgai projektu ieviešanai. Deklarācijas kontekstā ir svarīgi izvērtēt, vai valsts budžeta plānotais līdzfinansējums un valsts budžeta izdevumi ir bijuši augstāki vai zemāki kā plānotie. Jāsecina, ka svārstības ir līdzīgas kā </w:t>
      </w:r>
      <w:r w:rsidRPr="005F2999">
        <w:rPr>
          <w:rFonts w:ascii="Times New Roman" w:eastAsiaTheme="minorHAnsi" w:hAnsi="Times New Roman"/>
          <w:color w:val="000000" w:themeColor="text1"/>
          <w:sz w:val="24"/>
        </w:rPr>
        <w:t xml:space="preserve">ES politiku instrumentu un citu </w:t>
      </w:r>
      <w:r>
        <w:rPr>
          <w:rFonts w:ascii="Times New Roman" w:eastAsiaTheme="minorHAnsi" w:hAnsi="Times New Roman"/>
          <w:color w:val="000000" w:themeColor="text1"/>
          <w:sz w:val="24"/>
        </w:rPr>
        <w:t>ĀFP</w:t>
      </w:r>
      <w:r w:rsidRPr="005F2999">
        <w:rPr>
          <w:rFonts w:ascii="Times New Roman" w:eastAsiaTheme="minorHAnsi" w:hAnsi="Times New Roman"/>
          <w:color w:val="000000" w:themeColor="text1"/>
          <w:sz w:val="24"/>
        </w:rPr>
        <w:t xml:space="preserve"> programmu izdevumiem</w:t>
      </w:r>
      <w:r w:rsidRPr="009E02D8">
        <w:rPr>
          <w:rFonts w:ascii="Times New Roman" w:eastAsiaTheme="minorHAnsi" w:hAnsi="Times New Roman" w:cs="Times New Roman"/>
          <w:color w:val="000000" w:themeColor="text1"/>
          <w:sz w:val="24"/>
        </w:rPr>
        <w:t xml:space="preserve">, izņemot 2016. gadu, kad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izdevumi bija zemāki kā plānots, bet budžeta izdevumi augstāki. Šāda situācija izveidojās</w:t>
      </w:r>
      <w:r>
        <w:rPr>
          <w:rFonts w:ascii="Times New Roman" w:eastAsiaTheme="minorHAnsi" w:hAnsi="Times New Roman" w:cs="Times New Roman"/>
          <w:color w:val="000000" w:themeColor="text1"/>
          <w:sz w:val="24"/>
        </w:rPr>
        <w:t>,</w:t>
      </w:r>
      <w:r w:rsidRPr="009E02D8">
        <w:rPr>
          <w:rFonts w:ascii="Times New Roman" w:eastAsiaTheme="minorHAnsi" w:hAnsi="Times New Roman" w:cs="Times New Roman"/>
          <w:color w:val="000000" w:themeColor="text1"/>
          <w:sz w:val="24"/>
        </w:rPr>
        <w:t xml:space="preserve"> jo 2016.gadā tika norakstītas 2007.-2013.gada</w:t>
      </w:r>
      <w:r>
        <w:rPr>
          <w:rFonts w:ascii="Times New Roman" w:eastAsiaTheme="minorHAnsi" w:hAnsi="Times New Roman" w:cs="Times New Roman"/>
          <w:color w:val="000000" w:themeColor="text1"/>
          <w:sz w:val="24"/>
        </w:rPr>
        <w:t xml:space="preserve"> ES struktūrfondu</w:t>
      </w:r>
      <w:r w:rsidRPr="009E02D8">
        <w:rPr>
          <w:rFonts w:ascii="Times New Roman" w:eastAsiaTheme="minorHAnsi" w:hAnsi="Times New Roman" w:cs="Times New Roman"/>
          <w:color w:val="000000" w:themeColor="text1"/>
          <w:sz w:val="24"/>
        </w:rPr>
        <w:t xml:space="preserve"> plānošanas periodā uzkrātās </w:t>
      </w:r>
      <w:proofErr w:type="spellStart"/>
      <w:r w:rsidRPr="009E02D8">
        <w:rPr>
          <w:rFonts w:ascii="Times New Roman" w:eastAsiaTheme="minorHAnsi" w:hAnsi="Times New Roman" w:cs="Times New Roman"/>
          <w:color w:val="000000" w:themeColor="text1"/>
          <w:sz w:val="24"/>
        </w:rPr>
        <w:t>virssaistības</w:t>
      </w:r>
      <w:proofErr w:type="spellEnd"/>
      <w:r w:rsidRPr="009E02D8">
        <w:rPr>
          <w:rFonts w:ascii="Times New Roman" w:eastAsiaTheme="minorHAnsi" w:hAnsi="Times New Roman" w:cs="Times New Roman"/>
          <w:color w:val="000000" w:themeColor="text1"/>
          <w:sz w:val="24"/>
        </w:rPr>
        <w:t>.</w:t>
      </w:r>
    </w:p>
    <w:p w14:paraId="58BD0CA2" w14:textId="52BF4F2D" w:rsidR="00481389" w:rsidRDefault="00481389" w:rsidP="00497710">
      <w:pPr>
        <w:spacing w:line="240" w:lineRule="auto"/>
        <w:jc w:val="right"/>
        <w:rPr>
          <w:rFonts w:ascii="Times New Roman" w:eastAsiaTheme="minorHAnsi" w:hAnsi="Times New Roman"/>
          <w:b/>
          <w:iCs/>
          <w:color w:val="000000" w:themeColor="text1"/>
          <w:sz w:val="24"/>
        </w:rPr>
      </w:pPr>
      <w:r w:rsidRPr="008C76AB">
        <w:rPr>
          <w:rFonts w:ascii="Times New Roman" w:eastAsiaTheme="minorHAnsi" w:hAnsi="Times New Roman"/>
          <w:b/>
          <w:color w:val="000000" w:themeColor="text1"/>
          <w:sz w:val="24"/>
        </w:rPr>
        <w:lastRenderedPageBreak/>
        <w:t>Tabula Nr.</w:t>
      </w:r>
      <w:r w:rsidR="004A682A">
        <w:rPr>
          <w:rFonts w:ascii="Times New Roman" w:eastAsiaTheme="minorHAnsi" w:hAnsi="Times New Roman"/>
          <w:b/>
          <w:color w:val="000000" w:themeColor="text1"/>
          <w:sz w:val="24"/>
        </w:rPr>
        <w:t>2.6.1</w:t>
      </w:r>
      <w:r w:rsidR="00BA7CFE" w:rsidRPr="008C76AB">
        <w:rPr>
          <w:rFonts w:ascii="Times New Roman" w:eastAsiaTheme="minorHAnsi" w:hAnsi="Times New Roman"/>
          <w:b/>
          <w:color w:val="000000" w:themeColor="text1"/>
          <w:sz w:val="24"/>
        </w:rPr>
        <w:t xml:space="preserve"> </w:t>
      </w:r>
      <w:r w:rsidRPr="008C76AB">
        <w:rPr>
          <w:rFonts w:ascii="Times New Roman" w:eastAsiaTheme="minorHAnsi" w:hAnsi="Times New Roman"/>
          <w:b/>
          <w:color w:val="000000" w:themeColor="text1"/>
          <w:sz w:val="24"/>
        </w:rPr>
        <w:t>ES politiku instrumentu un citu ārvalstu finanšu palīdzības programmu izdevumi,</w:t>
      </w:r>
      <w:r w:rsidR="008A4847">
        <w:rPr>
          <w:rFonts w:ascii="Times New Roman" w:eastAsiaTheme="minorHAnsi" w:hAnsi="Times New Roman"/>
          <w:b/>
          <w:color w:val="000000" w:themeColor="text1"/>
          <w:sz w:val="24"/>
        </w:rPr>
        <w:t xml:space="preserve"> valsts budžeta izdevumi, </w:t>
      </w:r>
      <w:r w:rsidRPr="008C76AB">
        <w:rPr>
          <w:rFonts w:ascii="Times New Roman" w:eastAsiaTheme="minorHAnsi" w:hAnsi="Times New Roman"/>
          <w:b/>
          <w:color w:val="000000" w:themeColor="text1"/>
          <w:sz w:val="24"/>
        </w:rPr>
        <w:t xml:space="preserve">milj. </w:t>
      </w:r>
      <w:proofErr w:type="spellStart"/>
      <w:r w:rsidRPr="008C76AB">
        <w:rPr>
          <w:rFonts w:ascii="Times New Roman" w:eastAsiaTheme="minorHAnsi" w:hAnsi="Times New Roman"/>
          <w:b/>
          <w:i/>
          <w:color w:val="000000" w:themeColor="text1"/>
          <w:sz w:val="24"/>
        </w:rPr>
        <w:t>euro</w:t>
      </w:r>
      <w:proofErr w:type="spellEnd"/>
      <w:r w:rsidR="008A4847">
        <w:rPr>
          <w:rFonts w:ascii="Times New Roman" w:eastAsiaTheme="minorHAnsi" w:hAnsi="Times New Roman"/>
          <w:b/>
          <w:i/>
          <w:color w:val="000000" w:themeColor="text1"/>
          <w:sz w:val="24"/>
        </w:rPr>
        <w:t xml:space="preserve">, </w:t>
      </w:r>
      <w:r w:rsidR="008A4847">
        <w:rPr>
          <w:rFonts w:ascii="Times New Roman" w:eastAsiaTheme="minorHAnsi" w:hAnsi="Times New Roman"/>
          <w:b/>
          <w:iCs/>
          <w:color w:val="000000" w:themeColor="text1"/>
          <w:sz w:val="24"/>
        </w:rPr>
        <w:t>un līdzfinansējuma likmes, %</w:t>
      </w:r>
    </w:p>
    <w:tbl>
      <w:tblPr>
        <w:tblStyle w:val="GridTable6Colorful-Accent11"/>
        <w:tblW w:w="5000" w:type="pct"/>
        <w:jc w:val="center"/>
        <w:tblLook w:val="04A0" w:firstRow="1" w:lastRow="0" w:firstColumn="1" w:lastColumn="0" w:noHBand="0" w:noVBand="1"/>
      </w:tblPr>
      <w:tblGrid>
        <w:gridCol w:w="1090"/>
        <w:gridCol w:w="3450"/>
        <w:gridCol w:w="1754"/>
        <w:gridCol w:w="1754"/>
        <w:gridCol w:w="1752"/>
      </w:tblGrid>
      <w:tr w:rsidR="00AA1C06" w:rsidRPr="00C14C0E" w14:paraId="0292A27C" w14:textId="77777777" w:rsidTr="00497710">
        <w:trPr>
          <w:cnfStyle w:val="100000000000" w:firstRow="1" w:lastRow="0" w:firstColumn="0" w:lastColumn="0" w:oddVBand="0" w:evenVBand="0" w:oddHBand="0" w:evenHBand="0" w:firstRowFirstColumn="0" w:firstRowLastColumn="0" w:lastRowFirstColumn="0" w:lastRowLastColumn="0"/>
          <w:trHeight w:val="2090"/>
          <w:jc w:val="center"/>
        </w:trPr>
        <w:tc>
          <w:tcPr>
            <w:cnfStyle w:val="001000000000" w:firstRow="0" w:lastRow="0" w:firstColumn="1" w:lastColumn="0" w:oddVBand="0" w:evenVBand="0" w:oddHBand="0" w:evenHBand="0" w:firstRowFirstColumn="0" w:firstRowLastColumn="0" w:lastRowFirstColumn="0" w:lastRowLastColumn="0"/>
            <w:tcW w:w="2316" w:type="pct"/>
            <w:gridSpan w:val="2"/>
            <w:noWrap/>
            <w:textDirection w:val="btLr"/>
            <w:vAlign w:val="center"/>
            <w:hideMark/>
          </w:tcPr>
          <w:p w14:paraId="6981B051" w14:textId="77777777" w:rsidR="00AA1C06" w:rsidRPr="009E02D8" w:rsidRDefault="00AA1C06" w:rsidP="00AA1C06">
            <w:pPr>
              <w:jc w:val="center"/>
              <w:rPr>
                <w:rFonts w:eastAsia="Times New Roman" w:cs="Times New Roman"/>
                <w:color w:val="000000"/>
                <w:sz w:val="22"/>
                <w:lang w:eastAsia="lv-LV"/>
              </w:rPr>
            </w:pPr>
            <w:r w:rsidRPr="009E02D8">
              <w:rPr>
                <w:rFonts w:eastAsia="Times New Roman" w:cs="Times New Roman"/>
                <w:color w:val="000000"/>
                <w:sz w:val="22"/>
                <w:lang w:eastAsia="lv-LV"/>
              </w:rPr>
              <w:t>Gads/rādītājs</w:t>
            </w:r>
          </w:p>
        </w:tc>
        <w:tc>
          <w:tcPr>
            <w:tcW w:w="895" w:type="pct"/>
            <w:noWrap/>
            <w:textDirection w:val="btLr"/>
            <w:vAlign w:val="center"/>
            <w:hideMark/>
          </w:tcPr>
          <w:p w14:paraId="2F560C83" w14:textId="77777777" w:rsidR="00AA1C06" w:rsidRPr="009E02D8" w:rsidRDefault="00AA1C06" w:rsidP="00AA1C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Ārvalstu finanšu palīdzības izdevumi</w:t>
            </w:r>
          </w:p>
        </w:tc>
        <w:tc>
          <w:tcPr>
            <w:tcW w:w="895" w:type="pct"/>
            <w:noWrap/>
            <w:textDirection w:val="btLr"/>
            <w:vAlign w:val="center"/>
            <w:hideMark/>
          </w:tcPr>
          <w:p w14:paraId="132AC573" w14:textId="77777777" w:rsidR="00AA1C06" w:rsidRPr="009E02D8" w:rsidRDefault="00AA1C06" w:rsidP="00AA1C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Līdzfinansējuma likme</w:t>
            </w:r>
          </w:p>
        </w:tc>
        <w:tc>
          <w:tcPr>
            <w:tcW w:w="894" w:type="pct"/>
            <w:noWrap/>
            <w:textDirection w:val="btLr"/>
            <w:vAlign w:val="center"/>
            <w:hideMark/>
          </w:tcPr>
          <w:p w14:paraId="6AE587AB" w14:textId="77777777" w:rsidR="00AA1C06" w:rsidRPr="009E02D8" w:rsidRDefault="00AA1C06" w:rsidP="00AA1C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Valsts budžeta izdevumi</w:t>
            </w:r>
          </w:p>
        </w:tc>
      </w:tr>
      <w:tr w:rsidR="00AA1C06" w:rsidRPr="00C14C0E" w14:paraId="3ED4F227"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4E703029"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2014</w:t>
            </w:r>
          </w:p>
        </w:tc>
        <w:tc>
          <w:tcPr>
            <w:tcW w:w="1760" w:type="pct"/>
            <w:noWrap/>
            <w:hideMark/>
          </w:tcPr>
          <w:p w14:paraId="40F468D1"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7B65F52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1281,4</w:t>
            </w:r>
          </w:p>
        </w:tc>
        <w:tc>
          <w:tcPr>
            <w:tcW w:w="895" w:type="pct"/>
            <w:noWrap/>
            <w:hideMark/>
          </w:tcPr>
          <w:p w14:paraId="117C156C"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84,1%</w:t>
            </w:r>
          </w:p>
        </w:tc>
        <w:tc>
          <w:tcPr>
            <w:tcW w:w="894" w:type="pct"/>
            <w:noWrap/>
            <w:hideMark/>
          </w:tcPr>
          <w:p w14:paraId="604E81C3"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204,2</w:t>
            </w:r>
          </w:p>
        </w:tc>
      </w:tr>
      <w:tr w:rsidR="00AA1C06" w:rsidRPr="00C14C0E" w14:paraId="5C6E9555"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A5A939E"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4FDDD8E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0CD630B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1372,0</w:t>
            </w:r>
          </w:p>
        </w:tc>
        <w:tc>
          <w:tcPr>
            <w:tcW w:w="895" w:type="pct"/>
            <w:noWrap/>
            <w:hideMark/>
          </w:tcPr>
          <w:p w14:paraId="1016C0E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83,6%</w:t>
            </w:r>
          </w:p>
        </w:tc>
        <w:tc>
          <w:tcPr>
            <w:tcW w:w="894" w:type="pct"/>
            <w:noWrap/>
            <w:hideMark/>
          </w:tcPr>
          <w:p w14:paraId="53F4410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224,6</w:t>
            </w:r>
          </w:p>
        </w:tc>
      </w:tr>
      <w:tr w:rsidR="00AA1C06" w:rsidRPr="00C14C0E" w14:paraId="32DBD21C"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1963D325" w14:textId="77777777" w:rsidR="00AA1C06" w:rsidRPr="009E02D8" w:rsidRDefault="00AA1C06" w:rsidP="00C906CF">
            <w:pPr>
              <w:rPr>
                <w:rFonts w:eastAsia="Times New Roman" w:cs="Times New Roman"/>
                <w:color w:val="000000"/>
                <w:sz w:val="22"/>
                <w:lang w:eastAsia="lv-LV"/>
              </w:rPr>
            </w:pPr>
          </w:p>
        </w:tc>
        <w:tc>
          <w:tcPr>
            <w:tcW w:w="1760" w:type="pct"/>
            <w:hideMark/>
          </w:tcPr>
          <w:p w14:paraId="25A7F02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36B6085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7,1%</w:t>
            </w:r>
          </w:p>
        </w:tc>
        <w:tc>
          <w:tcPr>
            <w:tcW w:w="895" w:type="pct"/>
            <w:noWrap/>
            <w:hideMark/>
          </w:tcPr>
          <w:p w14:paraId="006A3C6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069C3CF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10,0%</w:t>
            </w:r>
          </w:p>
        </w:tc>
      </w:tr>
      <w:tr w:rsidR="00AA1C06" w:rsidRPr="00C14C0E" w14:paraId="6AA7B4B0"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36183D3E"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2015</w:t>
            </w:r>
          </w:p>
        </w:tc>
        <w:tc>
          <w:tcPr>
            <w:tcW w:w="1760" w:type="pct"/>
            <w:noWrap/>
            <w:hideMark/>
          </w:tcPr>
          <w:p w14:paraId="5AF24F7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1CE0A6B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1254,3</w:t>
            </w:r>
          </w:p>
        </w:tc>
        <w:tc>
          <w:tcPr>
            <w:tcW w:w="895" w:type="pct"/>
            <w:noWrap/>
            <w:hideMark/>
          </w:tcPr>
          <w:p w14:paraId="71694DD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86,2%</w:t>
            </w:r>
          </w:p>
        </w:tc>
        <w:tc>
          <w:tcPr>
            <w:tcW w:w="894" w:type="pct"/>
            <w:noWrap/>
            <w:hideMark/>
          </w:tcPr>
          <w:p w14:paraId="6FDC1F3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172,9</w:t>
            </w:r>
          </w:p>
        </w:tc>
      </w:tr>
      <w:tr w:rsidR="00AA1C06" w:rsidRPr="00C14C0E" w14:paraId="5D8592A2"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ECBA711"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25D51CEE"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7BC3A38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1262,5</w:t>
            </w:r>
          </w:p>
        </w:tc>
        <w:tc>
          <w:tcPr>
            <w:tcW w:w="895" w:type="pct"/>
            <w:noWrap/>
            <w:hideMark/>
          </w:tcPr>
          <w:p w14:paraId="1B66A1A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82,2%</w:t>
            </w:r>
          </w:p>
        </w:tc>
        <w:tc>
          <w:tcPr>
            <w:tcW w:w="894" w:type="pct"/>
            <w:noWrap/>
            <w:hideMark/>
          </w:tcPr>
          <w:p w14:paraId="4B5380EB"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224,1</w:t>
            </w:r>
          </w:p>
        </w:tc>
      </w:tr>
      <w:tr w:rsidR="00AA1C06" w:rsidRPr="00C14C0E" w14:paraId="5DBBA337"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685733D4" w14:textId="77777777" w:rsidR="00AA1C06" w:rsidRPr="009E02D8" w:rsidRDefault="00AA1C06" w:rsidP="00C906CF">
            <w:pPr>
              <w:rPr>
                <w:rFonts w:eastAsia="Times New Roman" w:cs="Times New Roman"/>
                <w:color w:val="000000"/>
                <w:sz w:val="22"/>
                <w:lang w:eastAsia="lv-LV"/>
              </w:rPr>
            </w:pPr>
          </w:p>
        </w:tc>
        <w:tc>
          <w:tcPr>
            <w:tcW w:w="1760" w:type="pct"/>
            <w:hideMark/>
          </w:tcPr>
          <w:p w14:paraId="746C4A3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7967358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0,7%</w:t>
            </w:r>
          </w:p>
        </w:tc>
        <w:tc>
          <w:tcPr>
            <w:tcW w:w="895" w:type="pct"/>
            <w:noWrap/>
            <w:hideMark/>
          </w:tcPr>
          <w:p w14:paraId="077C91E0"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50F4E32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29,6%</w:t>
            </w:r>
          </w:p>
        </w:tc>
      </w:tr>
      <w:tr w:rsidR="00AA1C06" w:rsidRPr="00C14C0E" w14:paraId="321AE1CC"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02715079"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2016</w:t>
            </w:r>
          </w:p>
        </w:tc>
        <w:tc>
          <w:tcPr>
            <w:tcW w:w="1760" w:type="pct"/>
            <w:noWrap/>
            <w:hideMark/>
          </w:tcPr>
          <w:p w14:paraId="5028DD1D"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4AB7935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1201,9</w:t>
            </w:r>
          </w:p>
        </w:tc>
        <w:tc>
          <w:tcPr>
            <w:tcW w:w="895" w:type="pct"/>
            <w:noWrap/>
            <w:hideMark/>
          </w:tcPr>
          <w:p w14:paraId="7F9CD12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84,2%</w:t>
            </w:r>
          </w:p>
        </w:tc>
        <w:tc>
          <w:tcPr>
            <w:tcW w:w="894" w:type="pct"/>
            <w:noWrap/>
            <w:hideMark/>
          </w:tcPr>
          <w:p w14:paraId="3E11208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190,0</w:t>
            </w:r>
          </w:p>
        </w:tc>
      </w:tr>
      <w:tr w:rsidR="00AA1C06" w:rsidRPr="00C14C0E" w14:paraId="5A3DBE9D"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4C550C66"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75C99538"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516E8253"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1037,4</w:t>
            </w:r>
          </w:p>
        </w:tc>
        <w:tc>
          <w:tcPr>
            <w:tcW w:w="895" w:type="pct"/>
            <w:noWrap/>
            <w:hideMark/>
          </w:tcPr>
          <w:p w14:paraId="178A8318"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79,4%</w:t>
            </w:r>
          </w:p>
        </w:tc>
        <w:tc>
          <w:tcPr>
            <w:tcW w:w="894" w:type="pct"/>
            <w:noWrap/>
            <w:hideMark/>
          </w:tcPr>
          <w:p w14:paraId="37D3FA7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213,7</w:t>
            </w:r>
          </w:p>
        </w:tc>
      </w:tr>
      <w:tr w:rsidR="00AA1C06" w:rsidRPr="00C14C0E" w14:paraId="1C795198"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DC67D22" w14:textId="77777777" w:rsidR="00AA1C06" w:rsidRPr="009E02D8" w:rsidRDefault="00AA1C06" w:rsidP="00C906CF">
            <w:pPr>
              <w:rPr>
                <w:rFonts w:eastAsia="Times New Roman" w:cs="Times New Roman"/>
                <w:color w:val="000000"/>
                <w:sz w:val="22"/>
                <w:lang w:eastAsia="lv-LV"/>
              </w:rPr>
            </w:pPr>
          </w:p>
        </w:tc>
        <w:tc>
          <w:tcPr>
            <w:tcW w:w="1760" w:type="pct"/>
            <w:hideMark/>
          </w:tcPr>
          <w:p w14:paraId="12BB2AA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315F8C4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-13,7%</w:t>
            </w:r>
          </w:p>
        </w:tc>
        <w:tc>
          <w:tcPr>
            <w:tcW w:w="895" w:type="pct"/>
            <w:noWrap/>
            <w:hideMark/>
          </w:tcPr>
          <w:p w14:paraId="39954A33"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2F4C482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12,5%</w:t>
            </w:r>
          </w:p>
        </w:tc>
      </w:tr>
      <w:tr w:rsidR="00AA1C06" w:rsidRPr="00C14C0E" w14:paraId="58763928"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753C01FE"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2017</w:t>
            </w:r>
          </w:p>
        </w:tc>
        <w:tc>
          <w:tcPr>
            <w:tcW w:w="1760" w:type="pct"/>
            <w:noWrap/>
            <w:hideMark/>
          </w:tcPr>
          <w:p w14:paraId="1A255BF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26451155"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1334,8</w:t>
            </w:r>
          </w:p>
        </w:tc>
        <w:tc>
          <w:tcPr>
            <w:tcW w:w="895" w:type="pct"/>
            <w:noWrap/>
            <w:hideMark/>
          </w:tcPr>
          <w:p w14:paraId="42B6A91E"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86,3%</w:t>
            </w:r>
          </w:p>
        </w:tc>
        <w:tc>
          <w:tcPr>
            <w:tcW w:w="894" w:type="pct"/>
            <w:noWrap/>
            <w:hideMark/>
          </w:tcPr>
          <w:p w14:paraId="7482C96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182,7</w:t>
            </w:r>
          </w:p>
        </w:tc>
      </w:tr>
      <w:tr w:rsidR="00AA1C06" w:rsidRPr="00C14C0E" w14:paraId="36836F06"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4A7B965D"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024437AB"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0E18525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1078,7</w:t>
            </w:r>
          </w:p>
        </w:tc>
        <w:tc>
          <w:tcPr>
            <w:tcW w:w="895" w:type="pct"/>
            <w:noWrap/>
            <w:hideMark/>
          </w:tcPr>
          <w:p w14:paraId="561BCEC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84,2%</w:t>
            </w:r>
          </w:p>
        </w:tc>
        <w:tc>
          <w:tcPr>
            <w:tcW w:w="894" w:type="pct"/>
            <w:noWrap/>
            <w:hideMark/>
          </w:tcPr>
          <w:p w14:paraId="03D8FD8B"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170,5</w:t>
            </w:r>
          </w:p>
        </w:tc>
      </w:tr>
      <w:tr w:rsidR="00AA1C06" w:rsidRPr="00C14C0E" w14:paraId="6B012CBF"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6B47157D" w14:textId="77777777" w:rsidR="00AA1C06" w:rsidRPr="009E02D8" w:rsidRDefault="00AA1C06" w:rsidP="00C906CF">
            <w:pPr>
              <w:rPr>
                <w:rFonts w:eastAsia="Times New Roman" w:cs="Times New Roman"/>
                <w:color w:val="000000"/>
                <w:sz w:val="22"/>
                <w:lang w:eastAsia="lv-LV"/>
              </w:rPr>
            </w:pPr>
          </w:p>
        </w:tc>
        <w:tc>
          <w:tcPr>
            <w:tcW w:w="1760" w:type="pct"/>
            <w:hideMark/>
          </w:tcPr>
          <w:p w14:paraId="21105439"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0A7BD345"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-19,2%</w:t>
            </w:r>
          </w:p>
        </w:tc>
        <w:tc>
          <w:tcPr>
            <w:tcW w:w="895" w:type="pct"/>
            <w:noWrap/>
            <w:hideMark/>
          </w:tcPr>
          <w:p w14:paraId="4B64B94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722405D8"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-6,7%</w:t>
            </w:r>
          </w:p>
        </w:tc>
      </w:tr>
      <w:tr w:rsidR="00AA1C06" w:rsidRPr="00C14C0E" w14:paraId="30800164"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271E9034"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2018</w:t>
            </w:r>
          </w:p>
        </w:tc>
        <w:tc>
          <w:tcPr>
            <w:tcW w:w="1760" w:type="pct"/>
            <w:noWrap/>
            <w:hideMark/>
          </w:tcPr>
          <w:p w14:paraId="5A8ED54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349831EC"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1256,4</w:t>
            </w:r>
          </w:p>
        </w:tc>
        <w:tc>
          <w:tcPr>
            <w:tcW w:w="895" w:type="pct"/>
            <w:noWrap/>
            <w:hideMark/>
          </w:tcPr>
          <w:p w14:paraId="4DC0089E"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87,2%</w:t>
            </w:r>
          </w:p>
        </w:tc>
        <w:tc>
          <w:tcPr>
            <w:tcW w:w="894" w:type="pct"/>
            <w:noWrap/>
            <w:hideMark/>
          </w:tcPr>
          <w:p w14:paraId="5B17861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160,6</w:t>
            </w:r>
          </w:p>
        </w:tc>
      </w:tr>
      <w:tr w:rsidR="00AA1C06" w:rsidRPr="00C14C0E" w14:paraId="5F5D25F4"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9C2156C"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65BC9DA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0FF8420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1438,0</w:t>
            </w:r>
          </w:p>
        </w:tc>
        <w:tc>
          <w:tcPr>
            <w:tcW w:w="895" w:type="pct"/>
            <w:noWrap/>
            <w:hideMark/>
          </w:tcPr>
          <w:p w14:paraId="420A72F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84,8%</w:t>
            </w:r>
          </w:p>
        </w:tc>
        <w:tc>
          <w:tcPr>
            <w:tcW w:w="894" w:type="pct"/>
            <w:noWrap/>
            <w:hideMark/>
          </w:tcPr>
          <w:p w14:paraId="25E86450"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218,6</w:t>
            </w:r>
          </w:p>
        </w:tc>
      </w:tr>
      <w:tr w:rsidR="00AA1C06" w:rsidRPr="00C14C0E" w14:paraId="51715E9C"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1385FA21" w14:textId="77777777" w:rsidR="00AA1C06" w:rsidRPr="009E02D8" w:rsidRDefault="00AA1C06" w:rsidP="00C906CF">
            <w:pPr>
              <w:rPr>
                <w:rFonts w:eastAsia="Times New Roman" w:cs="Times New Roman"/>
                <w:color w:val="000000"/>
                <w:sz w:val="22"/>
                <w:lang w:eastAsia="lv-LV"/>
              </w:rPr>
            </w:pPr>
          </w:p>
        </w:tc>
        <w:tc>
          <w:tcPr>
            <w:tcW w:w="1760" w:type="pct"/>
            <w:hideMark/>
          </w:tcPr>
          <w:p w14:paraId="15D97A7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533BDCB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14,5%</w:t>
            </w:r>
          </w:p>
        </w:tc>
        <w:tc>
          <w:tcPr>
            <w:tcW w:w="895" w:type="pct"/>
            <w:noWrap/>
            <w:hideMark/>
          </w:tcPr>
          <w:p w14:paraId="3A8FBFE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37C3110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36,1%</w:t>
            </w:r>
          </w:p>
        </w:tc>
      </w:tr>
      <w:tr w:rsidR="00AA1C06" w:rsidRPr="00C14C0E" w14:paraId="5EE927E4"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0547666F"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2019</w:t>
            </w:r>
          </w:p>
        </w:tc>
        <w:tc>
          <w:tcPr>
            <w:tcW w:w="1760" w:type="pct"/>
            <w:noWrap/>
            <w:hideMark/>
          </w:tcPr>
          <w:p w14:paraId="1F31690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4597B81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1371,8</w:t>
            </w:r>
          </w:p>
        </w:tc>
        <w:tc>
          <w:tcPr>
            <w:tcW w:w="895" w:type="pct"/>
            <w:noWrap/>
            <w:hideMark/>
          </w:tcPr>
          <w:p w14:paraId="687E362D"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85,2%</w:t>
            </w:r>
          </w:p>
        </w:tc>
        <w:tc>
          <w:tcPr>
            <w:tcW w:w="894" w:type="pct"/>
            <w:noWrap/>
            <w:hideMark/>
          </w:tcPr>
          <w:p w14:paraId="4CF144C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203,2</w:t>
            </w:r>
          </w:p>
        </w:tc>
      </w:tr>
      <w:tr w:rsidR="00AA1C06" w:rsidRPr="00C14C0E" w14:paraId="0E63275A"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1AC313E"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35E9E21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6892E8D6"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1435,9</w:t>
            </w:r>
          </w:p>
        </w:tc>
        <w:tc>
          <w:tcPr>
            <w:tcW w:w="895" w:type="pct"/>
            <w:noWrap/>
            <w:hideMark/>
          </w:tcPr>
          <w:p w14:paraId="66FB563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83,2%</w:t>
            </w:r>
          </w:p>
        </w:tc>
        <w:tc>
          <w:tcPr>
            <w:tcW w:w="894" w:type="pct"/>
            <w:noWrap/>
            <w:hideMark/>
          </w:tcPr>
          <w:p w14:paraId="5326B10D"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241,1</w:t>
            </w:r>
          </w:p>
        </w:tc>
      </w:tr>
      <w:tr w:rsidR="00AA1C06" w:rsidRPr="00C14C0E" w14:paraId="16FFA3E2"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CE96331" w14:textId="77777777" w:rsidR="00AA1C06" w:rsidRPr="009E02D8" w:rsidRDefault="00AA1C06" w:rsidP="00C906CF">
            <w:pPr>
              <w:rPr>
                <w:rFonts w:eastAsia="Times New Roman" w:cs="Times New Roman"/>
                <w:color w:val="000000"/>
                <w:sz w:val="22"/>
                <w:lang w:eastAsia="lv-LV"/>
              </w:rPr>
            </w:pPr>
          </w:p>
        </w:tc>
        <w:tc>
          <w:tcPr>
            <w:tcW w:w="1760" w:type="pct"/>
            <w:hideMark/>
          </w:tcPr>
          <w:p w14:paraId="708F0AD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3A9EE0B9"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4,7%</w:t>
            </w:r>
          </w:p>
        </w:tc>
        <w:tc>
          <w:tcPr>
            <w:tcW w:w="895" w:type="pct"/>
            <w:noWrap/>
            <w:hideMark/>
          </w:tcPr>
          <w:p w14:paraId="7C1FE92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6F40761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18,6%</w:t>
            </w:r>
          </w:p>
        </w:tc>
      </w:tr>
      <w:tr w:rsidR="00AA1C06" w:rsidRPr="00C14C0E" w14:paraId="150A04E0"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683EBFE2"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2020</w:t>
            </w:r>
          </w:p>
        </w:tc>
        <w:tc>
          <w:tcPr>
            <w:tcW w:w="1760" w:type="pct"/>
            <w:noWrap/>
            <w:hideMark/>
          </w:tcPr>
          <w:p w14:paraId="4A543670"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1BB951C3"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1446,6</w:t>
            </w:r>
          </w:p>
        </w:tc>
        <w:tc>
          <w:tcPr>
            <w:tcW w:w="895" w:type="pct"/>
            <w:noWrap/>
            <w:hideMark/>
          </w:tcPr>
          <w:p w14:paraId="2F826EF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86,6%</w:t>
            </w:r>
          </w:p>
        </w:tc>
        <w:tc>
          <w:tcPr>
            <w:tcW w:w="894" w:type="pct"/>
            <w:noWrap/>
            <w:hideMark/>
          </w:tcPr>
          <w:p w14:paraId="39E804B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194,4</w:t>
            </w:r>
          </w:p>
        </w:tc>
      </w:tr>
      <w:tr w:rsidR="00AA1C06" w:rsidRPr="00C14C0E" w14:paraId="2769B3F1"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C69CCC8"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41E1F27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141FA8F5"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1338,9</w:t>
            </w:r>
          </w:p>
        </w:tc>
        <w:tc>
          <w:tcPr>
            <w:tcW w:w="895" w:type="pct"/>
            <w:noWrap/>
            <w:hideMark/>
          </w:tcPr>
          <w:p w14:paraId="1DA17DC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87,2%</w:t>
            </w:r>
          </w:p>
        </w:tc>
        <w:tc>
          <w:tcPr>
            <w:tcW w:w="894" w:type="pct"/>
            <w:noWrap/>
            <w:hideMark/>
          </w:tcPr>
          <w:p w14:paraId="5763B6D3"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171,4</w:t>
            </w:r>
          </w:p>
        </w:tc>
      </w:tr>
      <w:tr w:rsidR="00AA1C06" w:rsidRPr="00C14C0E" w14:paraId="59BA1740"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1D28DE9F" w14:textId="77777777" w:rsidR="00AA1C06" w:rsidRPr="009E02D8" w:rsidRDefault="00AA1C06" w:rsidP="00C906CF">
            <w:pPr>
              <w:rPr>
                <w:rFonts w:eastAsia="Times New Roman" w:cs="Times New Roman"/>
                <w:color w:val="000000"/>
                <w:sz w:val="22"/>
                <w:lang w:eastAsia="lv-LV"/>
              </w:rPr>
            </w:pPr>
          </w:p>
        </w:tc>
        <w:tc>
          <w:tcPr>
            <w:tcW w:w="1760" w:type="pct"/>
            <w:hideMark/>
          </w:tcPr>
          <w:p w14:paraId="43F14AD6"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1AD0BBC0"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-7,4%</w:t>
            </w:r>
          </w:p>
        </w:tc>
        <w:tc>
          <w:tcPr>
            <w:tcW w:w="895" w:type="pct"/>
            <w:noWrap/>
            <w:hideMark/>
          </w:tcPr>
          <w:p w14:paraId="54BF7D9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514185E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-11,8%</w:t>
            </w:r>
          </w:p>
        </w:tc>
      </w:tr>
      <w:tr w:rsidR="00AA1C06" w:rsidRPr="00C14C0E" w14:paraId="1BF21549"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531ADE85"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2021</w:t>
            </w:r>
          </w:p>
        </w:tc>
        <w:tc>
          <w:tcPr>
            <w:tcW w:w="1760" w:type="pct"/>
            <w:noWrap/>
            <w:hideMark/>
          </w:tcPr>
          <w:p w14:paraId="48D7803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0E5E870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1543,3</w:t>
            </w:r>
          </w:p>
        </w:tc>
        <w:tc>
          <w:tcPr>
            <w:tcW w:w="895" w:type="pct"/>
            <w:noWrap/>
            <w:hideMark/>
          </w:tcPr>
          <w:p w14:paraId="5B6F41EE"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79,7%</w:t>
            </w:r>
          </w:p>
        </w:tc>
        <w:tc>
          <w:tcPr>
            <w:tcW w:w="894" w:type="pct"/>
            <w:noWrap/>
            <w:hideMark/>
          </w:tcPr>
          <w:p w14:paraId="5641233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312,9</w:t>
            </w:r>
          </w:p>
        </w:tc>
      </w:tr>
      <w:tr w:rsidR="00AA1C06" w:rsidRPr="00C14C0E" w14:paraId="21A63BBA"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1274C7D"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4BAE2F60"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745C592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1273,2</w:t>
            </w:r>
          </w:p>
        </w:tc>
        <w:tc>
          <w:tcPr>
            <w:tcW w:w="895" w:type="pct"/>
            <w:noWrap/>
            <w:hideMark/>
          </w:tcPr>
          <w:p w14:paraId="15D520DC" w14:textId="2518A82B"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87,</w:t>
            </w:r>
            <w:r w:rsidR="00FC2B11">
              <w:rPr>
                <w:color w:val="000000"/>
                <w:sz w:val="22"/>
              </w:rPr>
              <w:t>3</w:t>
            </w:r>
            <w:r w:rsidRPr="009E02D8">
              <w:rPr>
                <w:color w:val="000000"/>
                <w:sz w:val="22"/>
              </w:rPr>
              <w:t>%</w:t>
            </w:r>
          </w:p>
        </w:tc>
        <w:tc>
          <w:tcPr>
            <w:tcW w:w="894" w:type="pct"/>
            <w:noWrap/>
            <w:hideMark/>
          </w:tcPr>
          <w:p w14:paraId="2C5A5CC8" w14:textId="76F2123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16</w:t>
            </w:r>
            <w:r w:rsidR="00FC2B11">
              <w:rPr>
                <w:color w:val="000000"/>
                <w:sz w:val="22"/>
              </w:rPr>
              <w:t>1</w:t>
            </w:r>
            <w:r w:rsidRPr="009E02D8">
              <w:rPr>
                <w:color w:val="000000"/>
                <w:sz w:val="22"/>
              </w:rPr>
              <w:t>,</w:t>
            </w:r>
            <w:r w:rsidR="00FC2B11">
              <w:rPr>
                <w:color w:val="000000"/>
                <w:sz w:val="22"/>
              </w:rPr>
              <w:t>7</w:t>
            </w:r>
          </w:p>
        </w:tc>
      </w:tr>
      <w:tr w:rsidR="00AA1C06" w:rsidRPr="00C14C0E" w14:paraId="09089B38"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14E0499" w14:textId="77777777" w:rsidR="00AA1C06" w:rsidRPr="009E02D8" w:rsidRDefault="00AA1C06" w:rsidP="00C906CF">
            <w:pPr>
              <w:rPr>
                <w:rFonts w:eastAsia="Times New Roman" w:cs="Times New Roman"/>
                <w:color w:val="000000"/>
                <w:sz w:val="22"/>
                <w:lang w:eastAsia="lv-LV"/>
              </w:rPr>
            </w:pPr>
          </w:p>
        </w:tc>
        <w:tc>
          <w:tcPr>
            <w:tcW w:w="1760" w:type="pct"/>
            <w:hideMark/>
          </w:tcPr>
          <w:p w14:paraId="291313A3"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5BE51494"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-17,5%</w:t>
            </w:r>
          </w:p>
        </w:tc>
        <w:tc>
          <w:tcPr>
            <w:tcW w:w="895" w:type="pct"/>
            <w:noWrap/>
            <w:hideMark/>
          </w:tcPr>
          <w:p w14:paraId="7E53583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5E6CA526"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-48,1%</w:t>
            </w:r>
          </w:p>
        </w:tc>
      </w:tr>
      <w:tr w:rsidR="00FC2B11" w:rsidRPr="00C14C0E" w14:paraId="76327EE3"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tcPr>
          <w:p w14:paraId="25F33BEB" w14:textId="3FFAC49D" w:rsidR="00FC2B11" w:rsidRPr="009E02D8" w:rsidRDefault="00FC2B11" w:rsidP="0004033A">
            <w:pPr>
              <w:jc w:val="center"/>
              <w:rPr>
                <w:rFonts w:eastAsia="Times New Roman" w:cs="Times New Roman"/>
                <w:color w:val="000000"/>
                <w:lang w:eastAsia="lv-LV"/>
              </w:rPr>
            </w:pPr>
            <w:r w:rsidRPr="00497710">
              <w:rPr>
                <w:rFonts w:eastAsia="Times New Roman" w:cs="Times New Roman"/>
                <w:color w:val="000000"/>
                <w:sz w:val="22"/>
                <w:szCs w:val="20"/>
                <w:lang w:eastAsia="lv-LV"/>
              </w:rPr>
              <w:t>2022</w:t>
            </w:r>
          </w:p>
        </w:tc>
        <w:tc>
          <w:tcPr>
            <w:tcW w:w="1760" w:type="pct"/>
          </w:tcPr>
          <w:p w14:paraId="7F4E5B58" w14:textId="45599195"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Pr>
                <w:rFonts w:eastAsia="Times New Roman" w:cs="Times New Roman"/>
                <w:color w:val="000000"/>
                <w:sz w:val="22"/>
                <w:szCs w:val="20"/>
                <w:lang w:eastAsia="lv-LV"/>
              </w:rPr>
              <w:t>Plāns</w:t>
            </w:r>
          </w:p>
        </w:tc>
        <w:tc>
          <w:tcPr>
            <w:tcW w:w="895" w:type="pct"/>
            <w:noWrap/>
          </w:tcPr>
          <w:p w14:paraId="7C1328EA" w14:textId="65F9A124"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1954,2</w:t>
            </w:r>
          </w:p>
        </w:tc>
        <w:tc>
          <w:tcPr>
            <w:tcW w:w="895" w:type="pct"/>
            <w:noWrap/>
          </w:tcPr>
          <w:p w14:paraId="06159338" w14:textId="04CF6BED"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89,4%</w:t>
            </w:r>
          </w:p>
        </w:tc>
        <w:tc>
          <w:tcPr>
            <w:tcW w:w="894" w:type="pct"/>
            <w:noWrap/>
          </w:tcPr>
          <w:p w14:paraId="04BD88B7" w14:textId="0F6F6EE8"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207,1</w:t>
            </w:r>
          </w:p>
        </w:tc>
      </w:tr>
      <w:tr w:rsidR="00FC2B11" w:rsidRPr="00C14C0E" w14:paraId="7D5463D9"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tcPr>
          <w:p w14:paraId="0A3AC354" w14:textId="77777777" w:rsidR="00FC2B11" w:rsidRPr="009E02D8" w:rsidRDefault="00FC2B11" w:rsidP="00C906CF">
            <w:pPr>
              <w:rPr>
                <w:rFonts w:eastAsia="Times New Roman" w:cs="Times New Roman"/>
                <w:color w:val="000000"/>
                <w:lang w:eastAsia="lv-LV"/>
              </w:rPr>
            </w:pPr>
          </w:p>
        </w:tc>
        <w:tc>
          <w:tcPr>
            <w:tcW w:w="1760" w:type="pct"/>
          </w:tcPr>
          <w:p w14:paraId="0B64208C" w14:textId="25601C91"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Pr>
                <w:rFonts w:eastAsia="Times New Roman" w:cs="Times New Roman"/>
                <w:color w:val="000000"/>
                <w:sz w:val="22"/>
                <w:szCs w:val="20"/>
                <w:lang w:eastAsia="lv-LV"/>
              </w:rPr>
              <w:t>Izpilde</w:t>
            </w:r>
          </w:p>
        </w:tc>
        <w:tc>
          <w:tcPr>
            <w:tcW w:w="895" w:type="pct"/>
            <w:noWrap/>
          </w:tcPr>
          <w:p w14:paraId="1B4142B9" w14:textId="3FB61C70"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color w:val="000000"/>
                <w:sz w:val="22"/>
                <w:szCs w:val="20"/>
              </w:rPr>
            </w:pPr>
            <w:r w:rsidRPr="00497710">
              <w:rPr>
                <w:color w:val="000000"/>
                <w:sz w:val="22"/>
                <w:szCs w:val="20"/>
              </w:rPr>
              <w:t>1384,0</w:t>
            </w:r>
          </w:p>
        </w:tc>
        <w:tc>
          <w:tcPr>
            <w:tcW w:w="895" w:type="pct"/>
            <w:noWrap/>
          </w:tcPr>
          <w:p w14:paraId="31A97EF6" w14:textId="15F69DD7"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color w:val="000000"/>
                <w:sz w:val="22"/>
                <w:szCs w:val="20"/>
              </w:rPr>
            </w:pPr>
            <w:r w:rsidRPr="00497710">
              <w:rPr>
                <w:color w:val="000000"/>
                <w:sz w:val="22"/>
                <w:szCs w:val="20"/>
              </w:rPr>
              <w:t>87,6%</w:t>
            </w:r>
          </w:p>
        </w:tc>
        <w:tc>
          <w:tcPr>
            <w:tcW w:w="894" w:type="pct"/>
            <w:noWrap/>
          </w:tcPr>
          <w:p w14:paraId="4E786F58" w14:textId="1BA11AE6"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color w:val="000000"/>
                <w:sz w:val="22"/>
                <w:szCs w:val="20"/>
              </w:rPr>
            </w:pPr>
            <w:r w:rsidRPr="00497710">
              <w:rPr>
                <w:color w:val="000000"/>
                <w:sz w:val="22"/>
                <w:szCs w:val="20"/>
              </w:rPr>
              <w:t>171,6</w:t>
            </w:r>
          </w:p>
        </w:tc>
      </w:tr>
      <w:tr w:rsidR="00FC2B11" w:rsidRPr="00C14C0E" w14:paraId="51A1D6FB"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tcPr>
          <w:p w14:paraId="298776B7" w14:textId="77777777" w:rsidR="00FC2B11" w:rsidRPr="009E02D8" w:rsidRDefault="00FC2B11" w:rsidP="00C906CF">
            <w:pPr>
              <w:rPr>
                <w:rFonts w:eastAsia="Times New Roman" w:cs="Times New Roman"/>
                <w:color w:val="000000"/>
                <w:lang w:eastAsia="lv-LV"/>
              </w:rPr>
            </w:pPr>
          </w:p>
        </w:tc>
        <w:tc>
          <w:tcPr>
            <w:tcW w:w="1760" w:type="pct"/>
          </w:tcPr>
          <w:p w14:paraId="4CE2201F" w14:textId="37570845"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Pr>
                <w:rFonts w:eastAsia="Times New Roman" w:cs="Times New Roman"/>
                <w:color w:val="000000"/>
                <w:sz w:val="22"/>
                <w:szCs w:val="20"/>
                <w:lang w:eastAsia="lv-LV"/>
              </w:rPr>
              <w:t>Novirze no plāna %</w:t>
            </w:r>
          </w:p>
        </w:tc>
        <w:tc>
          <w:tcPr>
            <w:tcW w:w="895" w:type="pct"/>
            <w:noWrap/>
          </w:tcPr>
          <w:p w14:paraId="19F736B5" w14:textId="5AE7104C"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-29,2%</w:t>
            </w:r>
          </w:p>
        </w:tc>
        <w:tc>
          <w:tcPr>
            <w:tcW w:w="895" w:type="pct"/>
            <w:noWrap/>
          </w:tcPr>
          <w:p w14:paraId="3BFA7161" w14:textId="77777777" w:rsidR="00FC2B11" w:rsidRPr="009E02D8"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894" w:type="pct"/>
            <w:noWrap/>
          </w:tcPr>
          <w:p w14:paraId="11DC75DA" w14:textId="0B6326BB"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-17,2%</w:t>
            </w:r>
          </w:p>
        </w:tc>
      </w:tr>
    </w:tbl>
    <w:p w14:paraId="2E618F7F" w14:textId="77777777" w:rsidR="008A4847" w:rsidRPr="0004033A" w:rsidRDefault="008A4847" w:rsidP="00497710">
      <w:pPr>
        <w:spacing w:after="120" w:line="240" w:lineRule="auto"/>
        <w:jc w:val="right"/>
        <w:rPr>
          <w:rFonts w:ascii="Times New Roman" w:eastAsiaTheme="minorHAnsi" w:hAnsi="Times New Roman"/>
          <w:b/>
          <w:i/>
          <w:color w:val="000000" w:themeColor="text1"/>
          <w:sz w:val="20"/>
          <w:szCs w:val="18"/>
        </w:rPr>
      </w:pPr>
    </w:p>
    <w:p w14:paraId="73DF26F7" w14:textId="1EEB550E" w:rsidR="00631168" w:rsidRDefault="00631168" w:rsidP="00497710">
      <w:pPr>
        <w:spacing w:after="0" w:line="240" w:lineRule="auto"/>
        <w:ind w:firstLine="720"/>
        <w:jc w:val="both"/>
        <w:rPr>
          <w:rFonts w:ascii="Times New Roman" w:hAnsi="Times New Roman" w:cs="Times New Roman"/>
          <w:color w:val="000000" w:themeColor="text1"/>
          <w:sz w:val="24"/>
          <w:szCs w:val="24"/>
        </w:rPr>
      </w:pPr>
      <w:r>
        <w:rPr>
          <w:rFonts w:ascii="Times New Roman" w:eastAsiaTheme="minorHAnsi" w:hAnsi="Times New Roman" w:cs="Times New Roman"/>
          <w:sz w:val="24"/>
        </w:rPr>
        <w:t>Ņemot vērā datus, kas attēloti tabulā Nr.</w:t>
      </w:r>
      <w:r w:rsidR="00136721">
        <w:rPr>
          <w:rFonts w:ascii="Times New Roman" w:eastAsiaTheme="minorHAnsi" w:hAnsi="Times New Roman" w:cs="Times New Roman"/>
          <w:sz w:val="24"/>
        </w:rPr>
        <w:t>2.6.1</w:t>
      </w:r>
      <w:r>
        <w:rPr>
          <w:rFonts w:ascii="Times New Roman" w:eastAsiaTheme="minorHAnsi" w:hAnsi="Times New Roman" w:cs="Times New Roman"/>
          <w:sz w:val="24"/>
        </w:rPr>
        <w:t>, varbūtība, ka valsts budžeta</w:t>
      </w:r>
      <w:r w:rsidRPr="00236D3A">
        <w:rPr>
          <w:rFonts w:ascii="Times New Roman" w:eastAsiaTheme="minorHAnsi" w:hAnsi="Times New Roman" w:cs="Times New Roman"/>
          <w:sz w:val="24"/>
        </w:rPr>
        <w:t xml:space="preserve"> izdevumi</w:t>
      </w:r>
      <w:r>
        <w:rPr>
          <w:rFonts w:ascii="Times New Roman" w:eastAsiaTheme="minorHAnsi" w:hAnsi="Times New Roman" w:cs="Times New Roman"/>
          <w:sz w:val="24"/>
        </w:rPr>
        <w:t xml:space="preserve"> ir augstāki vai zemāki kā plānots, ilgtermiņā ir simetriska un </w:t>
      </w:r>
      <w:r w:rsidRPr="0020713B">
        <w:rPr>
          <w:rFonts w:ascii="Times New Roman" w:eastAsiaTheme="minorHAnsi" w:hAnsi="Times New Roman" w:cs="Times New Roman"/>
          <w:b/>
          <w:bCs/>
          <w:sz w:val="24"/>
          <w:szCs w:val="20"/>
        </w:rPr>
        <w:t>fiskālā nodrošinājuma rezerve šim riskam netiek veidota.</w:t>
      </w:r>
      <w:r>
        <w:rPr>
          <w:rFonts w:ascii="Times New Roman" w:eastAsiaTheme="minorHAnsi" w:hAnsi="Times New Roman"/>
          <w:b/>
          <w:i/>
          <w:color w:val="000000" w:themeColor="text1"/>
          <w:sz w:val="24"/>
        </w:rPr>
        <w:t xml:space="preserve"> </w:t>
      </w:r>
      <w:r w:rsidRPr="00CD4B57">
        <w:rPr>
          <w:rFonts w:ascii="Times New Roman" w:eastAsiaTheme="minorHAnsi" w:hAnsi="Times New Roman"/>
          <w:bCs/>
          <w:iCs/>
          <w:color w:val="000000" w:themeColor="text1"/>
          <w:sz w:val="24"/>
        </w:rPr>
        <w:t>Taču papildus</w:t>
      </w:r>
      <w:r>
        <w:rPr>
          <w:rFonts w:ascii="Times New Roman" w:eastAsiaTheme="minorHAnsi" w:hAnsi="Times New Roman"/>
          <w:b/>
          <w:i/>
          <w:color w:val="000000" w:themeColor="text1"/>
          <w:sz w:val="24"/>
        </w:rPr>
        <w:t xml:space="preserve"> </w:t>
      </w:r>
      <w:r>
        <w:rPr>
          <w:rFonts w:ascii="Times New Roman" w:eastAsiaTheme="minorHAnsi" w:hAnsi="Times New Roman"/>
          <w:bCs/>
          <w:iCs/>
          <w:color w:val="000000" w:themeColor="text1"/>
          <w:sz w:val="24"/>
        </w:rPr>
        <w:t>vērtējot fiskālā riska iestāšanos, ir jāvērtē vai 80.programmā</w:t>
      </w:r>
      <w:r>
        <w:rPr>
          <w:rFonts w:ascii="Times New Roman" w:hAnsi="Times New Roman" w:cs="Times New Roman"/>
          <w:color w:val="000000" w:themeColor="text1"/>
          <w:sz w:val="24"/>
          <w:szCs w:val="24"/>
        </w:rPr>
        <w:t xml:space="preserve"> ieplānotais finansējums tiek pārdalīts ES fondu un citu ĀFP līdzfinansēto projektu un pasākumu īstenošanai. Gadījumā, ja finansējums tiek pārdalīts uz citām programmām, kurām valsts budžeta līdzfinansējums ir 100% apjomā, tad var iestāties situācija, ka 80.programmā ir ieplānots pietiekošs kopējais finansējums, taču budžeta izdevumu daļa ir būtiski augstāka kā sākotnēji plānots, kas savukārt veido negatīvu ietekmi uz vispārējās valdības budžeta bilanci. </w:t>
      </w:r>
    </w:p>
    <w:p w14:paraId="5E59F6EA" w14:textId="1D7ACA1E" w:rsidR="005C32F2" w:rsidRDefault="00631168" w:rsidP="0063116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Tabulā</w:t>
      </w:r>
      <w:r w:rsidR="004A682A">
        <w:rPr>
          <w:rFonts w:ascii="Times New Roman" w:hAnsi="Times New Roman" w:cs="Times New Roman"/>
          <w:color w:val="000000" w:themeColor="text1"/>
          <w:sz w:val="24"/>
          <w:szCs w:val="24"/>
        </w:rPr>
        <w:t xml:space="preserve"> Nr.2.6.2</w:t>
      </w:r>
      <w:r>
        <w:rPr>
          <w:rFonts w:ascii="Times New Roman" w:hAnsi="Times New Roman" w:cs="Times New Roman"/>
          <w:color w:val="000000" w:themeColor="text1"/>
          <w:sz w:val="24"/>
          <w:szCs w:val="24"/>
        </w:rPr>
        <w:t xml:space="preserve"> ir apkopoti dati par finansējuma pārdalēm no 80.programmas. Atbilstoši tabulā</w:t>
      </w:r>
      <w:r w:rsidRPr="00EE6BB7">
        <w:rPr>
          <w:rFonts w:ascii="Times New Roman" w:hAnsi="Times New Roman" w:cs="Times New Roman"/>
          <w:color w:val="000000" w:themeColor="text1"/>
          <w:sz w:val="24"/>
          <w:szCs w:val="24"/>
          <w:highlight w:val="yellow"/>
        </w:rPr>
        <w:t xml:space="preserve"> </w:t>
      </w:r>
      <w:r w:rsidR="004A682A" w:rsidRPr="00F56613">
        <w:rPr>
          <w:rFonts w:ascii="Times New Roman" w:hAnsi="Times New Roman" w:cs="Times New Roman"/>
          <w:color w:val="000000" w:themeColor="text1"/>
          <w:sz w:val="24"/>
          <w:szCs w:val="24"/>
        </w:rPr>
        <w:t>Nr.2.6.2</w:t>
      </w:r>
      <w:r>
        <w:rPr>
          <w:rFonts w:ascii="Times New Roman" w:hAnsi="Times New Roman" w:cs="Times New Roman"/>
          <w:color w:val="000000" w:themeColor="text1"/>
          <w:sz w:val="24"/>
          <w:szCs w:val="24"/>
        </w:rPr>
        <w:t xml:space="preserve"> norādītajam finansējums tiek pārdalīts arī programmām, kas nav saistītas ar ES fondu un citu ĀFP līdzfinansēto projektu un pasākumu īstenošanu. Finansējums tiek pārdalīts klimata pārmaiņu un emisijas kvotu izsolīšanas instrumenta finansēto projektu īstenošanai atbilstoši MK noteikumiem. Finanšu avots šiem projektiem ir gūtie ieņēmumi no Latvijai piešķirto emisijas kvotu izsolīšanas, kas ir uzkrāti un iepriekšējos periodos netika izmantoti klimata pārmaiņu un emisijas kvotu izsolīšanas instrumenta finansēto projektu īstenošanai.</w:t>
      </w:r>
    </w:p>
    <w:p w14:paraId="4FEE2B07" w14:textId="77777777" w:rsidR="00631168" w:rsidRPr="0004033A" w:rsidRDefault="00631168" w:rsidP="00631168">
      <w:pPr>
        <w:spacing w:after="0" w:line="240" w:lineRule="auto"/>
        <w:ind w:firstLine="720"/>
        <w:jc w:val="both"/>
        <w:rPr>
          <w:rFonts w:ascii="Times New Roman" w:hAnsi="Times New Roman" w:cs="Times New Roman"/>
          <w:color w:val="000000" w:themeColor="text1"/>
          <w:sz w:val="20"/>
          <w:szCs w:val="20"/>
        </w:rPr>
      </w:pPr>
    </w:p>
    <w:p w14:paraId="387B9DC4" w14:textId="558FC885" w:rsidR="00631168" w:rsidRDefault="00631168" w:rsidP="00CF0060">
      <w:pPr>
        <w:jc w:val="right"/>
        <w:rPr>
          <w:rFonts w:ascii="Times New Roman" w:eastAsiaTheme="minorHAnsi" w:hAnsi="Times New Roman"/>
          <w:b/>
          <w:i/>
          <w:color w:val="000000" w:themeColor="text1"/>
          <w:sz w:val="24"/>
        </w:rPr>
      </w:pPr>
      <w:r w:rsidRPr="009A4BA1">
        <w:rPr>
          <w:rFonts w:ascii="Times New Roman" w:eastAsiaTheme="minorHAnsi" w:hAnsi="Times New Roman"/>
          <w:b/>
          <w:color w:val="000000" w:themeColor="text1"/>
          <w:sz w:val="24"/>
        </w:rPr>
        <w:t xml:space="preserve">Tabula </w:t>
      </w:r>
      <w:r w:rsidRPr="001A6250">
        <w:rPr>
          <w:rFonts w:ascii="Times New Roman" w:eastAsiaTheme="minorHAnsi" w:hAnsi="Times New Roman"/>
          <w:b/>
          <w:color w:val="000000" w:themeColor="text1"/>
          <w:sz w:val="24"/>
        </w:rPr>
        <w:t>Nr.</w:t>
      </w:r>
      <w:r w:rsidR="004A682A" w:rsidRPr="00F56613">
        <w:rPr>
          <w:rFonts w:ascii="Times New Roman" w:eastAsiaTheme="minorHAnsi" w:hAnsi="Times New Roman"/>
          <w:b/>
          <w:color w:val="000000" w:themeColor="text1"/>
          <w:sz w:val="24"/>
        </w:rPr>
        <w:t>2.6.2</w:t>
      </w:r>
      <w:r w:rsidRPr="001A6250">
        <w:rPr>
          <w:rFonts w:ascii="Times New Roman" w:eastAsiaTheme="minorHAnsi" w:hAnsi="Times New Roman"/>
          <w:b/>
          <w:color w:val="000000" w:themeColor="text1"/>
          <w:sz w:val="24"/>
        </w:rPr>
        <w:t xml:space="preserve"> 80</w:t>
      </w:r>
      <w:r>
        <w:rPr>
          <w:rFonts w:ascii="Times New Roman" w:eastAsiaTheme="minorHAnsi" w:hAnsi="Times New Roman"/>
          <w:b/>
          <w:color w:val="000000" w:themeColor="text1"/>
          <w:sz w:val="24"/>
        </w:rPr>
        <w:t>.programma un finansējuma pārdales</w:t>
      </w:r>
      <w:r w:rsidRPr="009A4BA1">
        <w:rPr>
          <w:rFonts w:ascii="Times New Roman" w:eastAsiaTheme="minorHAnsi" w:hAnsi="Times New Roman"/>
          <w:b/>
          <w:color w:val="000000" w:themeColor="text1"/>
          <w:sz w:val="24"/>
        </w:rPr>
        <w:t xml:space="preserve">, milj. </w:t>
      </w:r>
      <w:proofErr w:type="spellStart"/>
      <w:r w:rsidRPr="009A4BA1">
        <w:rPr>
          <w:rFonts w:ascii="Times New Roman" w:eastAsiaTheme="minorHAnsi" w:hAnsi="Times New Roman"/>
          <w:b/>
          <w:i/>
          <w:color w:val="000000" w:themeColor="text1"/>
          <w:sz w:val="24"/>
        </w:rPr>
        <w:t>euro</w:t>
      </w:r>
      <w:proofErr w:type="spellEnd"/>
    </w:p>
    <w:tbl>
      <w:tblPr>
        <w:tblStyle w:val="GridTable6Colorful-Accent11"/>
        <w:tblW w:w="0" w:type="auto"/>
        <w:jc w:val="center"/>
        <w:tblLook w:val="04A0" w:firstRow="1" w:lastRow="0" w:firstColumn="1" w:lastColumn="0" w:noHBand="0" w:noVBand="1"/>
      </w:tblPr>
      <w:tblGrid>
        <w:gridCol w:w="1633"/>
        <w:gridCol w:w="1633"/>
        <w:gridCol w:w="1633"/>
        <w:gridCol w:w="1634"/>
        <w:gridCol w:w="1634"/>
      </w:tblGrid>
      <w:tr w:rsidR="00631168" w14:paraId="74811442" w14:textId="77777777" w:rsidTr="00CD4B57">
        <w:trPr>
          <w:cnfStyle w:val="100000000000" w:firstRow="1" w:lastRow="0" w:firstColumn="0" w:lastColumn="0" w:oddVBand="0" w:evenVBand="0" w:oddHBand="0" w:evenHBand="0" w:firstRowFirstColumn="0" w:firstRowLastColumn="0" w:lastRowFirstColumn="0" w:lastRowLastColumn="0"/>
          <w:cantSplit/>
          <w:trHeight w:val="4176"/>
          <w:jc w:val="center"/>
        </w:trPr>
        <w:tc>
          <w:tcPr>
            <w:cnfStyle w:val="001000000000" w:firstRow="0" w:lastRow="0" w:firstColumn="1" w:lastColumn="0" w:oddVBand="0" w:evenVBand="0" w:oddHBand="0" w:evenHBand="0" w:firstRowFirstColumn="0" w:firstRowLastColumn="0" w:lastRowFirstColumn="0" w:lastRowLastColumn="0"/>
            <w:tcW w:w="1633" w:type="dxa"/>
            <w:textDirection w:val="btLr"/>
            <w:vAlign w:val="center"/>
          </w:tcPr>
          <w:p w14:paraId="79602B43" w14:textId="77777777" w:rsidR="00631168" w:rsidRPr="00EE6BB7" w:rsidRDefault="00631168" w:rsidP="00CD4B57">
            <w:pPr>
              <w:ind w:left="113" w:right="113"/>
              <w:jc w:val="center"/>
              <w:rPr>
                <w:b w:val="0"/>
                <w:bCs w:val="0"/>
                <w:color w:val="000000"/>
                <w:szCs w:val="24"/>
              </w:rPr>
            </w:pPr>
            <w:r w:rsidRPr="00CD4B57">
              <w:rPr>
                <w:color w:val="000000"/>
                <w:sz w:val="22"/>
                <w:szCs w:val="24"/>
              </w:rPr>
              <w:t>Gads</w:t>
            </w:r>
          </w:p>
        </w:tc>
        <w:tc>
          <w:tcPr>
            <w:tcW w:w="1633" w:type="dxa"/>
            <w:textDirection w:val="btLr"/>
            <w:vAlign w:val="center"/>
          </w:tcPr>
          <w:p w14:paraId="796898FB"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CD4B57">
              <w:rPr>
                <w:color w:val="000000"/>
                <w:sz w:val="22"/>
                <w:szCs w:val="24"/>
              </w:rPr>
              <w:t>80.00.00 programma “Nesadalītais finansējums ES politiku instrumentu un pārējās ĀFP līdzfinansēto projektu un pasākumu īstenošanai” plāns</w:t>
            </w:r>
          </w:p>
          <w:p w14:paraId="3CC1C7E6"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c>
          <w:tcPr>
            <w:tcW w:w="1633" w:type="dxa"/>
            <w:textDirection w:val="btLr"/>
            <w:vAlign w:val="center"/>
          </w:tcPr>
          <w:p w14:paraId="711E9FFD"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CD4B57">
              <w:rPr>
                <w:color w:val="000000"/>
                <w:sz w:val="22"/>
                <w:szCs w:val="24"/>
              </w:rPr>
              <w:t>Kopā pārdalītais finansējums, t.sk:</w:t>
            </w:r>
          </w:p>
          <w:p w14:paraId="3EEC9A28"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c>
          <w:tcPr>
            <w:tcW w:w="1634" w:type="dxa"/>
            <w:textDirection w:val="btLr"/>
            <w:vAlign w:val="center"/>
          </w:tcPr>
          <w:p w14:paraId="15E2C414"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i/>
                <w:iCs/>
                <w:color w:val="000000"/>
                <w:szCs w:val="24"/>
              </w:rPr>
            </w:pPr>
            <w:r w:rsidRPr="00CD4B57">
              <w:rPr>
                <w:i/>
                <w:iCs/>
                <w:color w:val="000000"/>
                <w:sz w:val="22"/>
                <w:szCs w:val="24"/>
              </w:rPr>
              <w:t>Pārdalītais finansējums ES politiku instrumentu un pārējo ĀFP līdzfinansēto projektu un pasākumu īstenošanai</w:t>
            </w:r>
          </w:p>
          <w:p w14:paraId="3788FB0C"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c>
          <w:tcPr>
            <w:tcW w:w="1634" w:type="dxa"/>
            <w:textDirection w:val="btLr"/>
            <w:vAlign w:val="center"/>
          </w:tcPr>
          <w:p w14:paraId="1D13D5A7"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i/>
                <w:iCs/>
                <w:color w:val="000000"/>
                <w:szCs w:val="24"/>
              </w:rPr>
            </w:pPr>
            <w:r w:rsidRPr="00CD4B57">
              <w:rPr>
                <w:i/>
                <w:iCs/>
                <w:color w:val="000000"/>
                <w:sz w:val="22"/>
                <w:szCs w:val="24"/>
              </w:rPr>
              <w:t>Pārdalītais finansējums citu projektu un pasākumu īstenošanai</w:t>
            </w:r>
          </w:p>
          <w:p w14:paraId="1CF8166D"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r>
      <w:tr w:rsidR="00631168" w14:paraId="5E90F306"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16F31ED1"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2014</w:t>
            </w:r>
          </w:p>
        </w:tc>
        <w:tc>
          <w:tcPr>
            <w:tcW w:w="1633" w:type="dxa"/>
          </w:tcPr>
          <w:p w14:paraId="07F1EEB4"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154,4</w:t>
            </w:r>
          </w:p>
        </w:tc>
        <w:tc>
          <w:tcPr>
            <w:tcW w:w="1633" w:type="dxa"/>
          </w:tcPr>
          <w:p w14:paraId="675F1A66"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136,8</w:t>
            </w:r>
          </w:p>
        </w:tc>
        <w:tc>
          <w:tcPr>
            <w:tcW w:w="1634" w:type="dxa"/>
          </w:tcPr>
          <w:p w14:paraId="46849EEF"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120,1</w:t>
            </w:r>
          </w:p>
        </w:tc>
        <w:tc>
          <w:tcPr>
            <w:tcW w:w="1634" w:type="dxa"/>
          </w:tcPr>
          <w:p w14:paraId="68D21588"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16,8</w:t>
            </w:r>
          </w:p>
        </w:tc>
      </w:tr>
      <w:tr w:rsidR="00631168" w14:paraId="6797398E"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79C8073E"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2015</w:t>
            </w:r>
          </w:p>
        </w:tc>
        <w:tc>
          <w:tcPr>
            <w:tcW w:w="1633" w:type="dxa"/>
          </w:tcPr>
          <w:p w14:paraId="09CABC1B"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137,3</w:t>
            </w:r>
          </w:p>
        </w:tc>
        <w:tc>
          <w:tcPr>
            <w:tcW w:w="1633" w:type="dxa"/>
          </w:tcPr>
          <w:p w14:paraId="419EFE8C"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131,7</w:t>
            </w:r>
          </w:p>
        </w:tc>
        <w:tc>
          <w:tcPr>
            <w:tcW w:w="1634" w:type="dxa"/>
          </w:tcPr>
          <w:p w14:paraId="0B98172E"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115,4</w:t>
            </w:r>
          </w:p>
        </w:tc>
        <w:tc>
          <w:tcPr>
            <w:tcW w:w="1634" w:type="dxa"/>
          </w:tcPr>
          <w:p w14:paraId="64BDFCC7"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16,3</w:t>
            </w:r>
          </w:p>
        </w:tc>
      </w:tr>
      <w:tr w:rsidR="00631168" w14:paraId="0B676681"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2F87DF91"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2016</w:t>
            </w:r>
          </w:p>
        </w:tc>
        <w:tc>
          <w:tcPr>
            <w:tcW w:w="1633" w:type="dxa"/>
          </w:tcPr>
          <w:p w14:paraId="0A98957F"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438,6</w:t>
            </w:r>
          </w:p>
        </w:tc>
        <w:tc>
          <w:tcPr>
            <w:tcW w:w="1633" w:type="dxa"/>
          </w:tcPr>
          <w:p w14:paraId="1AABD81F"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291,3</w:t>
            </w:r>
          </w:p>
        </w:tc>
        <w:tc>
          <w:tcPr>
            <w:tcW w:w="1634" w:type="dxa"/>
          </w:tcPr>
          <w:p w14:paraId="4D8ECC77"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291,3</w:t>
            </w:r>
          </w:p>
        </w:tc>
        <w:tc>
          <w:tcPr>
            <w:tcW w:w="1634" w:type="dxa"/>
          </w:tcPr>
          <w:p w14:paraId="7A46DBB3"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0,0</w:t>
            </w:r>
          </w:p>
        </w:tc>
      </w:tr>
      <w:tr w:rsidR="00631168" w14:paraId="3D0158E3"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18D41BBD"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2017</w:t>
            </w:r>
          </w:p>
        </w:tc>
        <w:tc>
          <w:tcPr>
            <w:tcW w:w="1633" w:type="dxa"/>
          </w:tcPr>
          <w:p w14:paraId="1C38CFF8"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519,8</w:t>
            </w:r>
          </w:p>
        </w:tc>
        <w:tc>
          <w:tcPr>
            <w:tcW w:w="1633" w:type="dxa"/>
          </w:tcPr>
          <w:p w14:paraId="4A8F1A4F"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298,4</w:t>
            </w:r>
          </w:p>
        </w:tc>
        <w:tc>
          <w:tcPr>
            <w:tcW w:w="1634" w:type="dxa"/>
          </w:tcPr>
          <w:p w14:paraId="6EF131E5"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291,3</w:t>
            </w:r>
          </w:p>
        </w:tc>
        <w:tc>
          <w:tcPr>
            <w:tcW w:w="1634" w:type="dxa"/>
          </w:tcPr>
          <w:p w14:paraId="36141F4B"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7,1</w:t>
            </w:r>
          </w:p>
        </w:tc>
      </w:tr>
      <w:tr w:rsidR="00631168" w14:paraId="4FDB6C04"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77BBD1BB"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2018</w:t>
            </w:r>
          </w:p>
        </w:tc>
        <w:tc>
          <w:tcPr>
            <w:tcW w:w="1633" w:type="dxa"/>
          </w:tcPr>
          <w:p w14:paraId="7B69E7E5"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125,6</w:t>
            </w:r>
          </w:p>
        </w:tc>
        <w:tc>
          <w:tcPr>
            <w:tcW w:w="1633" w:type="dxa"/>
          </w:tcPr>
          <w:p w14:paraId="28F22ADD"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125,5</w:t>
            </w:r>
          </w:p>
        </w:tc>
        <w:tc>
          <w:tcPr>
            <w:tcW w:w="1634" w:type="dxa"/>
          </w:tcPr>
          <w:p w14:paraId="6D631EB3"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123,2</w:t>
            </w:r>
          </w:p>
        </w:tc>
        <w:tc>
          <w:tcPr>
            <w:tcW w:w="1634" w:type="dxa"/>
          </w:tcPr>
          <w:p w14:paraId="0E9D9EA2"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2,3</w:t>
            </w:r>
          </w:p>
        </w:tc>
      </w:tr>
      <w:tr w:rsidR="00631168" w14:paraId="32CCC88C"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2FCBB404"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2019</w:t>
            </w:r>
          </w:p>
        </w:tc>
        <w:tc>
          <w:tcPr>
            <w:tcW w:w="1633" w:type="dxa"/>
          </w:tcPr>
          <w:p w14:paraId="34C5B9C5"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29,2</w:t>
            </w:r>
          </w:p>
        </w:tc>
        <w:tc>
          <w:tcPr>
            <w:tcW w:w="1633" w:type="dxa"/>
          </w:tcPr>
          <w:p w14:paraId="20749CE0"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w:t>
            </w:r>
          </w:p>
        </w:tc>
        <w:tc>
          <w:tcPr>
            <w:tcW w:w="1634" w:type="dxa"/>
          </w:tcPr>
          <w:p w14:paraId="34B2FCD7"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22,6</w:t>
            </w:r>
          </w:p>
        </w:tc>
        <w:tc>
          <w:tcPr>
            <w:tcW w:w="1634" w:type="dxa"/>
          </w:tcPr>
          <w:p w14:paraId="519A982D"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6,5</w:t>
            </w:r>
          </w:p>
        </w:tc>
      </w:tr>
      <w:tr w:rsidR="00631168" w14:paraId="6CF21D74"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7536604C"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2020</w:t>
            </w:r>
          </w:p>
        </w:tc>
        <w:tc>
          <w:tcPr>
            <w:tcW w:w="1633" w:type="dxa"/>
          </w:tcPr>
          <w:p w14:paraId="421941B7"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136,2</w:t>
            </w:r>
          </w:p>
        </w:tc>
        <w:tc>
          <w:tcPr>
            <w:tcW w:w="1633" w:type="dxa"/>
          </w:tcPr>
          <w:p w14:paraId="5DFAD7EE"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111,6</w:t>
            </w:r>
          </w:p>
        </w:tc>
        <w:tc>
          <w:tcPr>
            <w:tcW w:w="1634" w:type="dxa"/>
          </w:tcPr>
          <w:p w14:paraId="7B3AA61D"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111,5</w:t>
            </w:r>
          </w:p>
        </w:tc>
        <w:tc>
          <w:tcPr>
            <w:tcW w:w="1634" w:type="dxa"/>
          </w:tcPr>
          <w:p w14:paraId="1403B2E1"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0,1</w:t>
            </w:r>
          </w:p>
        </w:tc>
      </w:tr>
      <w:tr w:rsidR="00631168" w14:paraId="3D315B9C"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1F60E26E"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2021</w:t>
            </w:r>
          </w:p>
        </w:tc>
        <w:tc>
          <w:tcPr>
            <w:tcW w:w="1633" w:type="dxa"/>
          </w:tcPr>
          <w:p w14:paraId="62DB5007"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573,4</w:t>
            </w:r>
          </w:p>
        </w:tc>
        <w:tc>
          <w:tcPr>
            <w:tcW w:w="1633" w:type="dxa"/>
          </w:tcPr>
          <w:p w14:paraId="129A13FB"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351,6</w:t>
            </w:r>
          </w:p>
        </w:tc>
        <w:tc>
          <w:tcPr>
            <w:tcW w:w="1634" w:type="dxa"/>
          </w:tcPr>
          <w:p w14:paraId="3BFD4C31"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351,6</w:t>
            </w:r>
          </w:p>
        </w:tc>
        <w:tc>
          <w:tcPr>
            <w:tcW w:w="1634" w:type="dxa"/>
          </w:tcPr>
          <w:p w14:paraId="7F60BCA1"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0,0</w:t>
            </w:r>
          </w:p>
        </w:tc>
      </w:tr>
      <w:tr w:rsidR="00631168" w14:paraId="7BD69538"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29943189"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2022</w:t>
            </w:r>
          </w:p>
        </w:tc>
        <w:tc>
          <w:tcPr>
            <w:tcW w:w="1633" w:type="dxa"/>
          </w:tcPr>
          <w:p w14:paraId="353D21A6"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586,1</w:t>
            </w:r>
          </w:p>
        </w:tc>
        <w:tc>
          <w:tcPr>
            <w:tcW w:w="1633" w:type="dxa"/>
          </w:tcPr>
          <w:p w14:paraId="05409EB9"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255,1</w:t>
            </w:r>
          </w:p>
        </w:tc>
        <w:tc>
          <w:tcPr>
            <w:tcW w:w="1634" w:type="dxa"/>
          </w:tcPr>
          <w:p w14:paraId="1B15C247"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164,1</w:t>
            </w:r>
          </w:p>
        </w:tc>
        <w:tc>
          <w:tcPr>
            <w:tcW w:w="1634" w:type="dxa"/>
          </w:tcPr>
          <w:p w14:paraId="2CCAD192"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91,0</w:t>
            </w:r>
          </w:p>
        </w:tc>
      </w:tr>
    </w:tbl>
    <w:p w14:paraId="4C4FF6CB" w14:textId="77777777" w:rsidR="00631168" w:rsidRDefault="00631168" w:rsidP="00497710">
      <w:pPr>
        <w:spacing w:after="0" w:line="240" w:lineRule="auto"/>
        <w:jc w:val="both"/>
        <w:rPr>
          <w:rFonts w:ascii="Times New Roman" w:hAnsi="Times New Roman"/>
          <w:color w:val="000000" w:themeColor="text1"/>
          <w:sz w:val="24"/>
          <w:szCs w:val="24"/>
          <w:highlight w:val="yellow"/>
        </w:rPr>
      </w:pPr>
    </w:p>
    <w:p w14:paraId="169A8D6B" w14:textId="3EE19DC4" w:rsidR="00631168" w:rsidRDefault="00631168" w:rsidP="00631168">
      <w:pPr>
        <w:spacing w:after="0" w:line="240" w:lineRule="auto"/>
        <w:ind w:firstLine="720"/>
        <w:jc w:val="both"/>
        <w:rPr>
          <w:rFonts w:ascii="Times New Roman" w:hAnsi="Times New Roman" w:cs="Times New Roman"/>
          <w:color w:val="000000" w:themeColor="text1"/>
          <w:sz w:val="24"/>
          <w:szCs w:val="24"/>
        </w:rPr>
      </w:pPr>
      <w:r>
        <w:rPr>
          <w:rFonts w:ascii="Times New Roman" w:eastAsiaTheme="minorHAnsi" w:hAnsi="Times New Roman"/>
          <w:bCs/>
          <w:iCs/>
          <w:color w:val="000000" w:themeColor="text1"/>
          <w:sz w:val="24"/>
        </w:rPr>
        <w:t xml:space="preserve">Lai iegūtu pilnīgu ainu par fiskālā riska iestāšanos, tiek novērtēts, ņemot vērā papildus budžeta finansētos </w:t>
      </w:r>
      <w:r>
        <w:rPr>
          <w:rFonts w:ascii="Times New Roman" w:hAnsi="Times New Roman" w:cs="Times New Roman"/>
          <w:color w:val="000000" w:themeColor="text1"/>
          <w:sz w:val="24"/>
          <w:szCs w:val="24"/>
        </w:rPr>
        <w:t>klimata pārmaiņu un emisijas kvotu izsolīšanas instrumenta projektus, vai pietiekošā apjomā 80.programmā tika ieplānots budžeta līdzfinansējums. Tabulā Nr.</w:t>
      </w:r>
      <w:r w:rsidR="004A682A" w:rsidRPr="00F56613">
        <w:rPr>
          <w:rFonts w:ascii="Times New Roman" w:hAnsi="Times New Roman" w:cs="Times New Roman"/>
          <w:color w:val="000000" w:themeColor="text1"/>
          <w:sz w:val="24"/>
          <w:szCs w:val="24"/>
        </w:rPr>
        <w:t>2.6.3</w:t>
      </w:r>
      <w:r w:rsidRPr="001F1B9E">
        <w:rPr>
          <w:rFonts w:ascii="Times New Roman" w:hAnsi="Times New Roman" w:cs="Times New Roman"/>
          <w:color w:val="000000" w:themeColor="text1"/>
          <w:sz w:val="24"/>
          <w:szCs w:val="24"/>
        </w:rPr>
        <w:t xml:space="preserve"> ir</w:t>
      </w:r>
      <w:r>
        <w:rPr>
          <w:rFonts w:ascii="Times New Roman" w:hAnsi="Times New Roman" w:cs="Times New Roman"/>
          <w:color w:val="000000" w:themeColor="text1"/>
          <w:sz w:val="24"/>
          <w:szCs w:val="24"/>
        </w:rPr>
        <w:t xml:space="preserve"> norādīts kopējais valsts budžeta finansējums, kas bija nepieciešamas ES fondu un ĀFP līdzfinansēto projektu un pasākumu īstenošanai, kā arī finansējums, kas tika pārdalīts uz valsts budžeta finansētajiem klimata pārmaiņu un emisijas kvotu izsolīšanas instrumenta projektiem.</w:t>
      </w:r>
    </w:p>
    <w:p w14:paraId="5172DE9D" w14:textId="6219AF1D" w:rsidR="00631168" w:rsidRDefault="00631168" w:rsidP="001F3606">
      <w:pPr>
        <w:spacing w:after="0" w:line="240" w:lineRule="auto"/>
        <w:ind w:firstLine="426"/>
        <w:jc w:val="both"/>
        <w:rPr>
          <w:rFonts w:ascii="Times New Roman" w:hAnsi="Times New Roman" w:cs="Times New Roman"/>
          <w:color w:val="000000" w:themeColor="text1"/>
          <w:sz w:val="24"/>
          <w:szCs w:val="24"/>
        </w:rPr>
      </w:pPr>
    </w:p>
    <w:p w14:paraId="7DE626B2" w14:textId="460A5752" w:rsidR="001F3606" w:rsidRDefault="001F3606" w:rsidP="001F3606">
      <w:pPr>
        <w:spacing w:after="0" w:line="240" w:lineRule="auto"/>
        <w:ind w:firstLine="426"/>
        <w:jc w:val="both"/>
        <w:rPr>
          <w:rFonts w:ascii="Times New Roman" w:hAnsi="Times New Roman" w:cs="Times New Roman"/>
          <w:color w:val="000000" w:themeColor="text1"/>
          <w:sz w:val="24"/>
          <w:szCs w:val="24"/>
        </w:rPr>
      </w:pPr>
    </w:p>
    <w:p w14:paraId="1E83AE63" w14:textId="77777777" w:rsidR="0004033A" w:rsidRDefault="0004033A" w:rsidP="001F3606">
      <w:pPr>
        <w:spacing w:after="0" w:line="240" w:lineRule="auto"/>
        <w:ind w:firstLine="426"/>
        <w:jc w:val="both"/>
        <w:rPr>
          <w:rFonts w:ascii="Times New Roman" w:hAnsi="Times New Roman" w:cs="Times New Roman"/>
          <w:color w:val="000000" w:themeColor="text1"/>
          <w:sz w:val="24"/>
          <w:szCs w:val="24"/>
        </w:rPr>
      </w:pPr>
    </w:p>
    <w:p w14:paraId="6697B56A" w14:textId="77777777" w:rsidR="0004033A" w:rsidRDefault="0004033A" w:rsidP="001F3606">
      <w:pPr>
        <w:spacing w:after="0" w:line="240" w:lineRule="auto"/>
        <w:ind w:firstLine="426"/>
        <w:jc w:val="both"/>
        <w:rPr>
          <w:rFonts w:ascii="Times New Roman" w:hAnsi="Times New Roman" w:cs="Times New Roman"/>
          <w:color w:val="000000" w:themeColor="text1"/>
          <w:sz w:val="24"/>
          <w:szCs w:val="24"/>
        </w:rPr>
      </w:pPr>
    </w:p>
    <w:p w14:paraId="6077375B" w14:textId="77777777" w:rsidR="0004033A" w:rsidRDefault="0004033A" w:rsidP="001F3606">
      <w:pPr>
        <w:spacing w:after="0" w:line="240" w:lineRule="auto"/>
        <w:ind w:firstLine="426"/>
        <w:jc w:val="both"/>
        <w:rPr>
          <w:rFonts w:ascii="Times New Roman" w:hAnsi="Times New Roman" w:cs="Times New Roman"/>
          <w:color w:val="000000" w:themeColor="text1"/>
          <w:sz w:val="24"/>
          <w:szCs w:val="24"/>
        </w:rPr>
      </w:pPr>
    </w:p>
    <w:p w14:paraId="551D1101" w14:textId="77777777" w:rsidR="001F3606" w:rsidRDefault="001F3606" w:rsidP="001F3606">
      <w:pPr>
        <w:spacing w:after="0" w:line="240" w:lineRule="auto"/>
        <w:ind w:firstLine="426"/>
        <w:jc w:val="both"/>
        <w:rPr>
          <w:rFonts w:ascii="Times New Roman" w:hAnsi="Times New Roman" w:cs="Times New Roman"/>
          <w:color w:val="000000" w:themeColor="text1"/>
          <w:sz w:val="24"/>
          <w:szCs w:val="24"/>
        </w:rPr>
      </w:pPr>
    </w:p>
    <w:p w14:paraId="4F8742C3" w14:textId="77777777" w:rsidR="001F3606" w:rsidRDefault="001F3606" w:rsidP="001F3606">
      <w:pPr>
        <w:spacing w:after="0" w:line="240" w:lineRule="auto"/>
        <w:ind w:firstLine="426"/>
        <w:jc w:val="both"/>
        <w:rPr>
          <w:rFonts w:ascii="Times New Roman" w:hAnsi="Times New Roman" w:cs="Times New Roman"/>
          <w:color w:val="000000" w:themeColor="text1"/>
          <w:sz w:val="24"/>
          <w:szCs w:val="24"/>
        </w:rPr>
      </w:pPr>
    </w:p>
    <w:p w14:paraId="69729AC2" w14:textId="4DF6B113" w:rsidR="00631168" w:rsidRPr="00CD4B57" w:rsidRDefault="00631168" w:rsidP="00631168">
      <w:pPr>
        <w:jc w:val="right"/>
        <w:rPr>
          <w:rFonts w:ascii="Times New Roman" w:eastAsiaTheme="minorHAnsi" w:hAnsi="Times New Roman"/>
          <w:b/>
          <w:i/>
          <w:color w:val="000000" w:themeColor="text1"/>
          <w:sz w:val="24"/>
        </w:rPr>
      </w:pPr>
      <w:r w:rsidRPr="00E27349">
        <w:rPr>
          <w:rFonts w:ascii="Times New Roman" w:eastAsiaTheme="minorHAnsi" w:hAnsi="Times New Roman"/>
          <w:b/>
          <w:color w:val="000000" w:themeColor="text1"/>
          <w:sz w:val="24"/>
        </w:rPr>
        <w:lastRenderedPageBreak/>
        <w:t>Tabula Nr.</w:t>
      </w:r>
      <w:r w:rsidR="004A682A">
        <w:rPr>
          <w:rFonts w:ascii="Times New Roman" w:eastAsiaTheme="minorHAnsi" w:hAnsi="Times New Roman"/>
          <w:b/>
          <w:color w:val="000000" w:themeColor="text1"/>
          <w:sz w:val="24"/>
        </w:rPr>
        <w:t>2.6.3</w:t>
      </w:r>
      <w:r w:rsidRPr="00E27349">
        <w:rPr>
          <w:rFonts w:ascii="Times New Roman" w:eastAsiaTheme="minorHAnsi" w:hAnsi="Times New Roman"/>
          <w:b/>
          <w:color w:val="000000" w:themeColor="text1"/>
          <w:sz w:val="24"/>
        </w:rPr>
        <w:t xml:space="preserve"> Valsts budžeta līdzfinansējums ES fondu un ĀFP līdzfinansēto projektu un pasākumu īstenošanai un </w:t>
      </w:r>
      <w:r w:rsidRPr="00CD4B57">
        <w:rPr>
          <w:rFonts w:ascii="Times New Roman" w:hAnsi="Times New Roman" w:cs="Times New Roman"/>
          <w:b/>
          <w:color w:val="000000" w:themeColor="text1"/>
          <w:sz w:val="24"/>
          <w:szCs w:val="24"/>
        </w:rPr>
        <w:t>klimata pārmaiņu un emisijas kvotu izsolīšanas instrumenta projektiem</w:t>
      </w:r>
      <w:r w:rsidRPr="00E27349">
        <w:rPr>
          <w:rFonts w:ascii="Times New Roman" w:eastAsiaTheme="minorHAnsi" w:hAnsi="Times New Roman"/>
          <w:b/>
          <w:color w:val="000000" w:themeColor="text1"/>
          <w:sz w:val="24"/>
        </w:rPr>
        <w:t xml:space="preserve">, milj. </w:t>
      </w:r>
      <w:proofErr w:type="spellStart"/>
      <w:r w:rsidRPr="00E27349">
        <w:rPr>
          <w:rFonts w:ascii="Times New Roman" w:eastAsiaTheme="minorHAnsi" w:hAnsi="Times New Roman"/>
          <w:b/>
          <w:i/>
          <w:color w:val="000000" w:themeColor="text1"/>
          <w:sz w:val="24"/>
        </w:rPr>
        <w:t>euro</w:t>
      </w:r>
      <w:proofErr w:type="spellEnd"/>
    </w:p>
    <w:tbl>
      <w:tblPr>
        <w:tblStyle w:val="GridTable6Colorful-Accent11"/>
        <w:tblW w:w="0" w:type="auto"/>
        <w:tblLook w:val="04A0" w:firstRow="1" w:lastRow="0" w:firstColumn="1" w:lastColumn="0" w:noHBand="0" w:noVBand="1"/>
      </w:tblPr>
      <w:tblGrid>
        <w:gridCol w:w="1271"/>
        <w:gridCol w:w="2649"/>
        <w:gridCol w:w="1960"/>
        <w:gridCol w:w="1960"/>
        <w:gridCol w:w="1960"/>
      </w:tblGrid>
      <w:tr w:rsidR="00631168" w14:paraId="259A3765" w14:textId="77777777" w:rsidTr="001F3606">
        <w:trPr>
          <w:cnfStyle w:val="100000000000" w:firstRow="1" w:lastRow="0" w:firstColumn="0" w:lastColumn="0" w:oddVBand="0" w:evenVBand="0" w:oddHBand="0" w:evenHBand="0" w:firstRowFirstColumn="0" w:firstRowLastColumn="0" w:lastRowFirstColumn="0" w:lastRowLastColumn="0"/>
          <w:trHeight w:val="1917"/>
        </w:trPr>
        <w:tc>
          <w:tcPr>
            <w:cnfStyle w:val="001000000000" w:firstRow="0" w:lastRow="0" w:firstColumn="1" w:lastColumn="0" w:oddVBand="0" w:evenVBand="0" w:oddHBand="0" w:evenHBand="0" w:firstRowFirstColumn="0" w:firstRowLastColumn="0" w:lastRowFirstColumn="0" w:lastRowLastColumn="0"/>
            <w:tcW w:w="0" w:type="dxa"/>
            <w:gridSpan w:val="2"/>
            <w:textDirection w:val="btLr"/>
            <w:vAlign w:val="center"/>
          </w:tcPr>
          <w:p w14:paraId="6CA80640" w14:textId="77777777" w:rsidR="00631168" w:rsidRPr="00CD4B57" w:rsidRDefault="00631168" w:rsidP="00CD4B57">
            <w:pPr>
              <w:ind w:left="113" w:right="113"/>
              <w:jc w:val="center"/>
              <w:rPr>
                <w:b w:val="0"/>
                <w:bCs w:val="0"/>
                <w:color w:val="000000"/>
                <w:szCs w:val="24"/>
              </w:rPr>
            </w:pPr>
            <w:r w:rsidRPr="00CD4B57">
              <w:rPr>
                <w:color w:val="000000"/>
                <w:sz w:val="22"/>
                <w:szCs w:val="24"/>
              </w:rPr>
              <w:t>Gads/rādītājs</w:t>
            </w:r>
          </w:p>
        </w:tc>
        <w:tc>
          <w:tcPr>
            <w:tcW w:w="0" w:type="dxa"/>
            <w:textDirection w:val="btLr"/>
            <w:vAlign w:val="center"/>
          </w:tcPr>
          <w:p w14:paraId="0504B62C"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CD4B57">
              <w:rPr>
                <w:color w:val="000000"/>
                <w:sz w:val="22"/>
                <w:szCs w:val="24"/>
              </w:rPr>
              <w:t>Valsts budžeta līdzfinansējums</w:t>
            </w:r>
          </w:p>
        </w:tc>
        <w:tc>
          <w:tcPr>
            <w:tcW w:w="0" w:type="dxa"/>
            <w:textDirection w:val="btLr"/>
            <w:vAlign w:val="center"/>
          </w:tcPr>
          <w:p w14:paraId="20CD5F46"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CD4B57">
              <w:rPr>
                <w:color w:val="000000"/>
                <w:sz w:val="22"/>
                <w:szCs w:val="24"/>
              </w:rPr>
              <w:t>Pārdalītais finansējums citu projektu un pasākumu īstenošanai</w:t>
            </w:r>
          </w:p>
        </w:tc>
        <w:tc>
          <w:tcPr>
            <w:tcW w:w="0" w:type="dxa"/>
            <w:textDirection w:val="btLr"/>
            <w:vAlign w:val="center"/>
          </w:tcPr>
          <w:p w14:paraId="01CCB722"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CD4B57">
              <w:rPr>
                <w:color w:val="000000"/>
                <w:sz w:val="22"/>
                <w:szCs w:val="24"/>
              </w:rPr>
              <w:t>Kopējie valsts budžeta izdevumi</w:t>
            </w:r>
          </w:p>
        </w:tc>
      </w:tr>
      <w:tr w:rsidR="00631168" w14:paraId="593651D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84BDF55"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2014</w:t>
            </w:r>
          </w:p>
        </w:tc>
        <w:tc>
          <w:tcPr>
            <w:tcW w:w="2649" w:type="dxa"/>
          </w:tcPr>
          <w:p w14:paraId="01C38ED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464C2C45"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204,2</w:t>
            </w:r>
          </w:p>
        </w:tc>
        <w:tc>
          <w:tcPr>
            <w:tcW w:w="1960" w:type="dxa"/>
          </w:tcPr>
          <w:p w14:paraId="734B1C32"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2385A5C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204,2</w:t>
            </w:r>
          </w:p>
        </w:tc>
      </w:tr>
      <w:tr w:rsidR="00631168" w14:paraId="53E7751E"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13EF3B18"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5BBAB6D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2505865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224,6</w:t>
            </w:r>
          </w:p>
        </w:tc>
        <w:tc>
          <w:tcPr>
            <w:tcW w:w="1960" w:type="dxa"/>
          </w:tcPr>
          <w:p w14:paraId="5FFF737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16,8</w:t>
            </w:r>
          </w:p>
        </w:tc>
        <w:tc>
          <w:tcPr>
            <w:tcW w:w="1960" w:type="dxa"/>
          </w:tcPr>
          <w:p w14:paraId="65FDC7D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241,4</w:t>
            </w:r>
          </w:p>
        </w:tc>
      </w:tr>
      <w:tr w:rsidR="00631168" w14:paraId="4144AE31"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7184D1B8"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0F6E672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1978C90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10,0%</w:t>
            </w:r>
          </w:p>
        </w:tc>
        <w:tc>
          <w:tcPr>
            <w:tcW w:w="1960" w:type="dxa"/>
          </w:tcPr>
          <w:p w14:paraId="49C57E77"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38918268"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18,2%</w:t>
            </w:r>
          </w:p>
        </w:tc>
      </w:tr>
      <w:tr w:rsidR="00631168" w14:paraId="3B568EA1"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02DB628C"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2015</w:t>
            </w:r>
          </w:p>
        </w:tc>
        <w:tc>
          <w:tcPr>
            <w:tcW w:w="2649" w:type="dxa"/>
          </w:tcPr>
          <w:p w14:paraId="3560590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4C44E014"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172,9</w:t>
            </w:r>
          </w:p>
        </w:tc>
        <w:tc>
          <w:tcPr>
            <w:tcW w:w="1960" w:type="dxa"/>
          </w:tcPr>
          <w:p w14:paraId="09552B0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23602AC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172,9</w:t>
            </w:r>
          </w:p>
        </w:tc>
      </w:tr>
      <w:tr w:rsidR="00631168" w14:paraId="2E6DB0D9"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02AA8B03"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63A3A15E"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17728498"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224,1</w:t>
            </w:r>
          </w:p>
        </w:tc>
        <w:tc>
          <w:tcPr>
            <w:tcW w:w="1960" w:type="dxa"/>
          </w:tcPr>
          <w:p w14:paraId="1F5585D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16,3</w:t>
            </w:r>
          </w:p>
        </w:tc>
        <w:tc>
          <w:tcPr>
            <w:tcW w:w="1960" w:type="dxa"/>
          </w:tcPr>
          <w:p w14:paraId="2EFCAC60"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240,5</w:t>
            </w:r>
          </w:p>
        </w:tc>
      </w:tr>
      <w:tr w:rsidR="00631168" w14:paraId="18783BAA"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412643B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7401410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6F28E9E2"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29,6%</w:t>
            </w:r>
          </w:p>
        </w:tc>
        <w:tc>
          <w:tcPr>
            <w:tcW w:w="1960" w:type="dxa"/>
          </w:tcPr>
          <w:p w14:paraId="0FA1676F"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3E09C93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39,1%</w:t>
            </w:r>
          </w:p>
        </w:tc>
      </w:tr>
      <w:tr w:rsidR="00631168" w14:paraId="0597E89D"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57959A96"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2016</w:t>
            </w:r>
          </w:p>
        </w:tc>
        <w:tc>
          <w:tcPr>
            <w:tcW w:w="2649" w:type="dxa"/>
          </w:tcPr>
          <w:p w14:paraId="21583E5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515B6A6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190,0</w:t>
            </w:r>
          </w:p>
        </w:tc>
        <w:tc>
          <w:tcPr>
            <w:tcW w:w="1960" w:type="dxa"/>
          </w:tcPr>
          <w:p w14:paraId="3B0D4450"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07027D9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190,0</w:t>
            </w:r>
          </w:p>
        </w:tc>
      </w:tr>
      <w:tr w:rsidR="00631168" w14:paraId="65E308EE"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FC386B5"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7B13A604"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3BD4E69B"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213,7</w:t>
            </w:r>
          </w:p>
        </w:tc>
        <w:tc>
          <w:tcPr>
            <w:tcW w:w="1960" w:type="dxa"/>
          </w:tcPr>
          <w:p w14:paraId="719FAB9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15868D2F"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213,7</w:t>
            </w:r>
          </w:p>
        </w:tc>
      </w:tr>
      <w:tr w:rsidR="00631168" w14:paraId="0B2EE8DA"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1DA8FE4"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8CEFA37"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4761E865"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12,5%</w:t>
            </w:r>
          </w:p>
        </w:tc>
        <w:tc>
          <w:tcPr>
            <w:tcW w:w="1960" w:type="dxa"/>
          </w:tcPr>
          <w:p w14:paraId="121D516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09C950D6"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12,5%</w:t>
            </w:r>
          </w:p>
        </w:tc>
      </w:tr>
      <w:tr w:rsidR="00631168" w14:paraId="2DF8032F"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1A7B522"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2017</w:t>
            </w:r>
          </w:p>
        </w:tc>
        <w:tc>
          <w:tcPr>
            <w:tcW w:w="2649" w:type="dxa"/>
          </w:tcPr>
          <w:p w14:paraId="39DCAD32"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61ED3AD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182,7</w:t>
            </w:r>
          </w:p>
        </w:tc>
        <w:tc>
          <w:tcPr>
            <w:tcW w:w="1960" w:type="dxa"/>
          </w:tcPr>
          <w:p w14:paraId="64F6541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5904F35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182,7</w:t>
            </w:r>
          </w:p>
        </w:tc>
      </w:tr>
      <w:tr w:rsidR="00631168" w14:paraId="424C7C71"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1E9EECD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51F14BA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30F0F59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170,5</w:t>
            </w:r>
          </w:p>
        </w:tc>
        <w:tc>
          <w:tcPr>
            <w:tcW w:w="1960" w:type="dxa"/>
          </w:tcPr>
          <w:p w14:paraId="2709FE6B"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7,1</w:t>
            </w:r>
          </w:p>
        </w:tc>
        <w:tc>
          <w:tcPr>
            <w:tcW w:w="1960" w:type="dxa"/>
          </w:tcPr>
          <w:p w14:paraId="45720592"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177,6</w:t>
            </w:r>
          </w:p>
        </w:tc>
      </w:tr>
      <w:tr w:rsidR="00631168" w14:paraId="20B2B52F"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0B4EE30E"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6C69480E"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1DFE353A"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-6,7%</w:t>
            </w:r>
          </w:p>
        </w:tc>
        <w:tc>
          <w:tcPr>
            <w:tcW w:w="1960" w:type="dxa"/>
          </w:tcPr>
          <w:p w14:paraId="3C4CBA8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669C995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-2,8%</w:t>
            </w:r>
          </w:p>
        </w:tc>
      </w:tr>
      <w:tr w:rsidR="00631168" w14:paraId="5DDB741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02DD901D"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2018</w:t>
            </w:r>
          </w:p>
        </w:tc>
        <w:tc>
          <w:tcPr>
            <w:tcW w:w="2649" w:type="dxa"/>
          </w:tcPr>
          <w:p w14:paraId="08EE595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3AE5356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160,6</w:t>
            </w:r>
          </w:p>
        </w:tc>
        <w:tc>
          <w:tcPr>
            <w:tcW w:w="1960" w:type="dxa"/>
          </w:tcPr>
          <w:p w14:paraId="063F352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41E734A5"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160,6</w:t>
            </w:r>
          </w:p>
        </w:tc>
      </w:tr>
      <w:tr w:rsidR="00631168" w14:paraId="33837336"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47022BAA"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3951FC43"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19477893"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218,6</w:t>
            </w:r>
          </w:p>
        </w:tc>
        <w:tc>
          <w:tcPr>
            <w:tcW w:w="1960" w:type="dxa"/>
          </w:tcPr>
          <w:p w14:paraId="65E957E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2,3</w:t>
            </w:r>
          </w:p>
        </w:tc>
        <w:tc>
          <w:tcPr>
            <w:tcW w:w="1960" w:type="dxa"/>
          </w:tcPr>
          <w:p w14:paraId="43DDEABF"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220,9</w:t>
            </w:r>
          </w:p>
        </w:tc>
      </w:tr>
      <w:tr w:rsidR="00631168" w14:paraId="533EE062"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4E79F94"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54E1DD1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77EC6E09"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36,1%</w:t>
            </w:r>
          </w:p>
        </w:tc>
        <w:tc>
          <w:tcPr>
            <w:tcW w:w="1960" w:type="dxa"/>
          </w:tcPr>
          <w:p w14:paraId="44463A9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5541AAB6"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37,6%</w:t>
            </w:r>
          </w:p>
        </w:tc>
      </w:tr>
      <w:tr w:rsidR="00631168" w14:paraId="5A69CFD1"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E32E865"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2019</w:t>
            </w:r>
          </w:p>
        </w:tc>
        <w:tc>
          <w:tcPr>
            <w:tcW w:w="2649" w:type="dxa"/>
          </w:tcPr>
          <w:p w14:paraId="720A2788"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0A9B792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203,2</w:t>
            </w:r>
          </w:p>
        </w:tc>
        <w:tc>
          <w:tcPr>
            <w:tcW w:w="1960" w:type="dxa"/>
          </w:tcPr>
          <w:p w14:paraId="0982B00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75A873A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203,2</w:t>
            </w:r>
          </w:p>
        </w:tc>
      </w:tr>
      <w:tr w:rsidR="00631168" w14:paraId="68CA19F1"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8567266"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176F74F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29E8081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241,1</w:t>
            </w:r>
          </w:p>
        </w:tc>
        <w:tc>
          <w:tcPr>
            <w:tcW w:w="1960" w:type="dxa"/>
          </w:tcPr>
          <w:p w14:paraId="458C4A8E"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6,5</w:t>
            </w:r>
          </w:p>
        </w:tc>
        <w:tc>
          <w:tcPr>
            <w:tcW w:w="1960" w:type="dxa"/>
          </w:tcPr>
          <w:p w14:paraId="3214F36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247,6</w:t>
            </w:r>
          </w:p>
        </w:tc>
      </w:tr>
      <w:tr w:rsidR="00631168" w14:paraId="5E1D8ACD"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C5231D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684F695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4988ECB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18,6%</w:t>
            </w:r>
          </w:p>
        </w:tc>
        <w:tc>
          <w:tcPr>
            <w:tcW w:w="1960" w:type="dxa"/>
          </w:tcPr>
          <w:p w14:paraId="24EE3EF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62F14CD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21,9%</w:t>
            </w:r>
          </w:p>
        </w:tc>
      </w:tr>
      <w:tr w:rsidR="00631168" w14:paraId="33C39C70"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E62CB3E"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2020</w:t>
            </w:r>
          </w:p>
        </w:tc>
        <w:tc>
          <w:tcPr>
            <w:tcW w:w="2649" w:type="dxa"/>
          </w:tcPr>
          <w:p w14:paraId="1F1BCB2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084DC23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194,4</w:t>
            </w:r>
          </w:p>
        </w:tc>
        <w:tc>
          <w:tcPr>
            <w:tcW w:w="1960" w:type="dxa"/>
          </w:tcPr>
          <w:p w14:paraId="2A211F36"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53B722E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194,4</w:t>
            </w:r>
          </w:p>
        </w:tc>
      </w:tr>
      <w:tr w:rsidR="00631168" w14:paraId="22EC2668"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72555352"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E6A5A7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611C590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171,4</w:t>
            </w:r>
          </w:p>
        </w:tc>
        <w:tc>
          <w:tcPr>
            <w:tcW w:w="1960" w:type="dxa"/>
          </w:tcPr>
          <w:p w14:paraId="179008F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0,1</w:t>
            </w:r>
          </w:p>
        </w:tc>
        <w:tc>
          <w:tcPr>
            <w:tcW w:w="1960" w:type="dxa"/>
          </w:tcPr>
          <w:p w14:paraId="0BB4675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171,5</w:t>
            </w:r>
          </w:p>
        </w:tc>
      </w:tr>
      <w:tr w:rsidR="00631168" w14:paraId="68B4C61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88A1C0D"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563085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034502B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-11,8%</w:t>
            </w:r>
          </w:p>
        </w:tc>
        <w:tc>
          <w:tcPr>
            <w:tcW w:w="1960" w:type="dxa"/>
          </w:tcPr>
          <w:p w14:paraId="09854CD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59E2B13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-11,8%</w:t>
            </w:r>
          </w:p>
        </w:tc>
      </w:tr>
      <w:tr w:rsidR="00631168" w14:paraId="6BA418B4"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7A2113DC"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2021</w:t>
            </w:r>
          </w:p>
        </w:tc>
        <w:tc>
          <w:tcPr>
            <w:tcW w:w="2649" w:type="dxa"/>
          </w:tcPr>
          <w:p w14:paraId="6203CA24"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466EC49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312,9</w:t>
            </w:r>
          </w:p>
        </w:tc>
        <w:tc>
          <w:tcPr>
            <w:tcW w:w="1960" w:type="dxa"/>
          </w:tcPr>
          <w:p w14:paraId="22786B7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00C04858"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312,9</w:t>
            </w:r>
          </w:p>
        </w:tc>
      </w:tr>
      <w:tr w:rsidR="00631168" w14:paraId="5F1A07E9"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1154AF33"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78D1F5A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29C984A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161,7</w:t>
            </w:r>
          </w:p>
        </w:tc>
        <w:tc>
          <w:tcPr>
            <w:tcW w:w="1960" w:type="dxa"/>
          </w:tcPr>
          <w:p w14:paraId="32F38A22"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4407176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161,7</w:t>
            </w:r>
          </w:p>
        </w:tc>
      </w:tr>
      <w:tr w:rsidR="00631168" w14:paraId="2AE2001F"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04AE5DA6"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304B614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56DFAE9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-48,3%</w:t>
            </w:r>
          </w:p>
        </w:tc>
        <w:tc>
          <w:tcPr>
            <w:tcW w:w="1960" w:type="dxa"/>
          </w:tcPr>
          <w:p w14:paraId="5E38DF58"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46DD17A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-48,3%</w:t>
            </w:r>
          </w:p>
        </w:tc>
      </w:tr>
      <w:tr w:rsidR="00631168" w14:paraId="73670D3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3B2B688C"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2022</w:t>
            </w:r>
          </w:p>
        </w:tc>
        <w:tc>
          <w:tcPr>
            <w:tcW w:w="2649" w:type="dxa"/>
          </w:tcPr>
          <w:p w14:paraId="0B56A10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156D093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207,1</w:t>
            </w:r>
          </w:p>
        </w:tc>
        <w:tc>
          <w:tcPr>
            <w:tcW w:w="1960" w:type="dxa"/>
          </w:tcPr>
          <w:p w14:paraId="1306BA1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041D4ED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207,1</w:t>
            </w:r>
          </w:p>
        </w:tc>
      </w:tr>
      <w:tr w:rsidR="00631168" w14:paraId="1AD1A39D" w14:textId="77777777" w:rsidTr="00CD4B57">
        <w:tc>
          <w:tcPr>
            <w:cnfStyle w:val="001000000000" w:firstRow="0" w:lastRow="0" w:firstColumn="1" w:lastColumn="0" w:oddVBand="0" w:evenVBand="0" w:oddHBand="0" w:evenHBand="0" w:firstRowFirstColumn="0" w:firstRowLastColumn="0" w:lastRowFirstColumn="0" w:lastRowLastColumn="0"/>
            <w:tcW w:w="1271" w:type="dxa"/>
            <w:vMerge/>
          </w:tcPr>
          <w:p w14:paraId="5373A34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164C4EB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087372A2"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171,6</w:t>
            </w:r>
          </w:p>
        </w:tc>
        <w:tc>
          <w:tcPr>
            <w:tcW w:w="1960" w:type="dxa"/>
          </w:tcPr>
          <w:p w14:paraId="5001694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91,0</w:t>
            </w:r>
          </w:p>
        </w:tc>
        <w:tc>
          <w:tcPr>
            <w:tcW w:w="1960" w:type="dxa"/>
          </w:tcPr>
          <w:p w14:paraId="613073A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262,6</w:t>
            </w:r>
          </w:p>
        </w:tc>
      </w:tr>
      <w:tr w:rsidR="00631168" w14:paraId="44054C1D" w14:textId="77777777" w:rsidTr="00CD4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777E7E9F"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ACC89A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23C8C6A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-17,2%</w:t>
            </w:r>
          </w:p>
        </w:tc>
        <w:tc>
          <w:tcPr>
            <w:tcW w:w="1960" w:type="dxa"/>
          </w:tcPr>
          <w:p w14:paraId="687A7E8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3E54531D"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26,8%</w:t>
            </w:r>
          </w:p>
        </w:tc>
      </w:tr>
    </w:tbl>
    <w:p w14:paraId="3FB479AB" w14:textId="77777777" w:rsidR="00631168" w:rsidRDefault="00631168" w:rsidP="00631168">
      <w:pPr>
        <w:spacing w:after="0" w:line="240" w:lineRule="auto"/>
        <w:ind w:firstLine="720"/>
        <w:jc w:val="both"/>
        <w:rPr>
          <w:sz w:val="4"/>
          <w:szCs w:val="4"/>
          <w:highlight w:val="yellow"/>
        </w:rPr>
      </w:pPr>
    </w:p>
    <w:p w14:paraId="6D4E9E21" w14:textId="77777777" w:rsidR="00497710" w:rsidRDefault="00497710" w:rsidP="00631168">
      <w:pPr>
        <w:spacing w:after="0" w:line="240" w:lineRule="auto"/>
        <w:ind w:firstLine="720"/>
        <w:jc w:val="both"/>
        <w:rPr>
          <w:sz w:val="4"/>
          <w:szCs w:val="4"/>
          <w:highlight w:val="yellow"/>
        </w:rPr>
      </w:pPr>
    </w:p>
    <w:p w14:paraId="506000AF" w14:textId="77777777" w:rsidR="00497710" w:rsidRDefault="00497710" w:rsidP="00A96163">
      <w:pPr>
        <w:spacing w:after="0" w:line="240" w:lineRule="auto"/>
        <w:ind w:firstLine="720"/>
        <w:jc w:val="both"/>
        <w:rPr>
          <w:rFonts w:ascii="Times New Roman" w:eastAsiaTheme="minorHAnsi" w:hAnsi="Times New Roman"/>
          <w:bCs/>
          <w:iCs/>
          <w:color w:val="000000" w:themeColor="text1"/>
          <w:sz w:val="24"/>
        </w:rPr>
      </w:pPr>
    </w:p>
    <w:p w14:paraId="04C0E35F" w14:textId="2C39FB0F" w:rsidR="00497710" w:rsidRPr="00CD4B57" w:rsidRDefault="00497710" w:rsidP="00497710">
      <w:pPr>
        <w:spacing w:after="120" w:line="240" w:lineRule="auto"/>
        <w:ind w:firstLine="720"/>
        <w:jc w:val="both"/>
        <w:rPr>
          <w:rFonts w:ascii="Times New Roman" w:eastAsiaTheme="minorHAnsi" w:hAnsi="Times New Roman"/>
          <w:bCs/>
          <w:iCs/>
          <w:color w:val="000000" w:themeColor="text1"/>
          <w:sz w:val="24"/>
        </w:rPr>
      </w:pPr>
      <w:r>
        <w:rPr>
          <w:rFonts w:ascii="Times New Roman" w:eastAsiaTheme="minorHAnsi" w:hAnsi="Times New Roman"/>
          <w:bCs/>
          <w:iCs/>
          <w:color w:val="000000" w:themeColor="text1"/>
          <w:sz w:val="24"/>
        </w:rPr>
        <w:t xml:space="preserve">Atbilstoši tabulā </w:t>
      </w:r>
      <w:r w:rsidR="004A682A">
        <w:rPr>
          <w:rFonts w:ascii="Times New Roman" w:eastAsiaTheme="minorHAnsi" w:hAnsi="Times New Roman"/>
          <w:bCs/>
          <w:iCs/>
          <w:color w:val="000000" w:themeColor="text1"/>
          <w:sz w:val="24"/>
        </w:rPr>
        <w:t>Nr.</w:t>
      </w:r>
      <w:r w:rsidR="004A682A" w:rsidRPr="00F56613">
        <w:rPr>
          <w:rFonts w:ascii="Times New Roman" w:eastAsiaTheme="minorHAnsi" w:hAnsi="Times New Roman"/>
          <w:bCs/>
          <w:iCs/>
          <w:color w:val="000000" w:themeColor="text1"/>
          <w:sz w:val="24"/>
        </w:rPr>
        <w:t>2.6.3</w:t>
      </w:r>
      <w:r>
        <w:rPr>
          <w:rFonts w:ascii="Times New Roman" w:eastAsiaTheme="minorHAnsi" w:hAnsi="Times New Roman"/>
          <w:bCs/>
          <w:iCs/>
          <w:color w:val="000000" w:themeColor="text1"/>
          <w:sz w:val="24"/>
        </w:rPr>
        <w:t xml:space="preserve"> norādītajam secināms, ka valsts budžeta līdzfinansējums, salīdzinot ar rezultātiem </w:t>
      </w:r>
      <w:r w:rsidR="006A4468">
        <w:rPr>
          <w:rFonts w:ascii="Times New Roman" w:eastAsiaTheme="minorHAnsi" w:hAnsi="Times New Roman"/>
          <w:bCs/>
          <w:iCs/>
          <w:color w:val="000000" w:themeColor="text1"/>
          <w:sz w:val="24"/>
        </w:rPr>
        <w:t xml:space="preserve">2.6.1 </w:t>
      </w:r>
      <w:r>
        <w:rPr>
          <w:rFonts w:ascii="Times New Roman" w:eastAsiaTheme="minorHAnsi" w:hAnsi="Times New Roman"/>
          <w:bCs/>
          <w:iCs/>
          <w:color w:val="000000" w:themeColor="text1"/>
          <w:sz w:val="24"/>
        </w:rPr>
        <w:t xml:space="preserve">tabulā, nav bijis pietiekošs tikai 2022.gadā, kad 77,9 milj. </w:t>
      </w:r>
      <w:proofErr w:type="spellStart"/>
      <w:r w:rsidRPr="00CD4B57">
        <w:rPr>
          <w:rFonts w:ascii="Times New Roman" w:eastAsiaTheme="minorHAnsi" w:hAnsi="Times New Roman"/>
          <w:bCs/>
          <w:i/>
          <w:color w:val="000000" w:themeColor="text1"/>
          <w:sz w:val="24"/>
        </w:rPr>
        <w:t>euro</w:t>
      </w:r>
      <w:proofErr w:type="spellEnd"/>
      <w:r>
        <w:rPr>
          <w:rFonts w:ascii="Times New Roman" w:eastAsiaTheme="minorHAnsi" w:hAnsi="Times New Roman"/>
          <w:bCs/>
          <w:iCs/>
          <w:color w:val="000000" w:themeColor="text1"/>
          <w:sz w:val="24"/>
        </w:rPr>
        <w:t xml:space="preserve"> no 80.programmas tika pārdalīti Ekonomikas ministrijas programmai 29.07.00 “Emisijas kvotu izsolīšanas instrumenta finansējums elektroenerģijas lietotāju atbalstam”. Ņemot vērā, ka papildus negatīvā ietekme uz vispārējās valdības budžeta bilanci ir bijusi novērota tikai vienu reizi kopš 2014.gada, tad papildus </w:t>
      </w:r>
      <w:r w:rsidRPr="0020713B">
        <w:rPr>
          <w:rFonts w:ascii="Times New Roman" w:eastAsiaTheme="minorHAnsi" w:hAnsi="Times New Roman"/>
          <w:b/>
          <w:iCs/>
          <w:color w:val="000000" w:themeColor="text1"/>
          <w:sz w:val="24"/>
        </w:rPr>
        <w:t>fiskālā nodrošinājuma rezerve šim riskam netiek veidota</w:t>
      </w:r>
      <w:r>
        <w:rPr>
          <w:rFonts w:ascii="Times New Roman" w:eastAsiaTheme="minorHAnsi" w:hAnsi="Times New Roman"/>
          <w:bCs/>
          <w:iCs/>
          <w:color w:val="000000" w:themeColor="text1"/>
          <w:sz w:val="24"/>
        </w:rPr>
        <w:t>. T</w:t>
      </w:r>
      <w:r w:rsidR="00D41016">
        <w:rPr>
          <w:rFonts w:ascii="Times New Roman" w:eastAsiaTheme="minorHAnsi" w:hAnsi="Times New Roman"/>
          <w:bCs/>
          <w:iCs/>
          <w:color w:val="000000" w:themeColor="text1"/>
          <w:sz w:val="24"/>
        </w:rPr>
        <w:t>omēr arī t</w:t>
      </w:r>
      <w:r>
        <w:rPr>
          <w:rFonts w:ascii="Times New Roman" w:eastAsiaTheme="minorHAnsi" w:hAnsi="Times New Roman"/>
          <w:bCs/>
          <w:iCs/>
          <w:color w:val="000000" w:themeColor="text1"/>
          <w:sz w:val="24"/>
        </w:rPr>
        <w:t>urpmāk jāanalizē vai 80.programmā tiek rezervēts finansējums pietiekošā apjomā un valsts budžeta līdzfinansējumam tiek noteikta atbilstoša līdzfinansējuma likme.</w:t>
      </w:r>
    </w:p>
    <w:p w14:paraId="7C1106EA" w14:textId="77777777" w:rsidR="00497710" w:rsidRPr="001054F7" w:rsidRDefault="00497710" w:rsidP="00497710">
      <w:pPr>
        <w:spacing w:after="0" w:line="240" w:lineRule="auto"/>
        <w:ind w:firstLine="720"/>
        <w:jc w:val="both"/>
        <w:rPr>
          <w:sz w:val="4"/>
          <w:szCs w:val="4"/>
          <w:highlight w:val="yellow"/>
        </w:rPr>
      </w:pPr>
    </w:p>
    <w:tbl>
      <w:tblPr>
        <w:tblStyle w:val="TableGrid"/>
        <w:tblW w:w="0" w:type="auto"/>
        <w:tblLook w:val="04A0" w:firstRow="1" w:lastRow="0" w:firstColumn="1" w:lastColumn="0" w:noHBand="0" w:noVBand="1"/>
      </w:tblPr>
      <w:tblGrid>
        <w:gridCol w:w="9628"/>
      </w:tblGrid>
      <w:tr w:rsidR="0051128C" w14:paraId="11503E6F" w14:textId="77777777" w:rsidTr="00BE416D">
        <w:trPr>
          <w:trHeight w:val="8637"/>
        </w:trPr>
        <w:tc>
          <w:tcPr>
            <w:tcW w:w="9628" w:type="dxa"/>
            <w:tcBorders>
              <w:bottom w:val="single" w:sz="4" w:space="0" w:color="auto"/>
            </w:tcBorders>
            <w:shd w:val="clear" w:color="auto" w:fill="DEEAF6" w:themeFill="accent1" w:themeFillTint="33"/>
          </w:tcPr>
          <w:p w14:paraId="3EB1B1E8" w14:textId="77777777" w:rsidR="00497710" w:rsidRDefault="00497710" w:rsidP="00497710">
            <w:pPr>
              <w:spacing w:before="120"/>
              <w:ind w:firstLine="743"/>
              <w:jc w:val="center"/>
              <w:rPr>
                <w:rFonts w:cs="Times New Roman"/>
                <w:b/>
                <w:bCs/>
                <w:szCs w:val="24"/>
              </w:rPr>
            </w:pPr>
            <w:r w:rsidRPr="009E02D8">
              <w:rPr>
                <w:rFonts w:cs="Times New Roman"/>
                <w:b/>
                <w:bCs/>
                <w:i/>
                <w:iCs/>
                <w:sz w:val="22"/>
                <w:szCs w:val="24"/>
              </w:rPr>
              <w:lastRenderedPageBreak/>
              <w:t xml:space="preserve">Rail </w:t>
            </w:r>
            <w:proofErr w:type="spellStart"/>
            <w:r w:rsidRPr="009E02D8">
              <w:rPr>
                <w:rFonts w:cs="Times New Roman"/>
                <w:b/>
                <w:bCs/>
                <w:i/>
                <w:iCs/>
                <w:sz w:val="22"/>
                <w:szCs w:val="24"/>
              </w:rPr>
              <w:t>Baltica</w:t>
            </w:r>
            <w:proofErr w:type="spellEnd"/>
            <w:r w:rsidRPr="009E02D8">
              <w:rPr>
                <w:rFonts w:cs="Times New Roman"/>
                <w:b/>
                <w:bCs/>
                <w:sz w:val="22"/>
                <w:szCs w:val="24"/>
              </w:rPr>
              <w:t xml:space="preserve"> projekts</w:t>
            </w:r>
          </w:p>
          <w:p w14:paraId="4202F084" w14:textId="77777777" w:rsidR="00497710" w:rsidRPr="00F56613" w:rsidRDefault="00497710" w:rsidP="00497710">
            <w:pPr>
              <w:ind w:firstLine="741"/>
              <w:jc w:val="center"/>
              <w:rPr>
                <w:rFonts w:cs="Times New Roman"/>
                <w:b/>
                <w:bCs/>
                <w:sz w:val="14"/>
                <w:szCs w:val="14"/>
              </w:rPr>
            </w:pPr>
          </w:p>
          <w:p w14:paraId="05D1CCA0" w14:textId="77777777" w:rsidR="00497710" w:rsidRPr="009E02D8" w:rsidRDefault="00497710" w:rsidP="00497710">
            <w:pPr>
              <w:ind w:firstLine="741"/>
              <w:jc w:val="both"/>
              <w:rPr>
                <w:rFonts w:cs="Times New Roman"/>
                <w:szCs w:val="24"/>
              </w:rPr>
            </w:pPr>
            <w:r w:rsidRPr="00B4553C">
              <w:rPr>
                <w:rFonts w:cs="Times New Roman"/>
                <w:szCs w:val="24"/>
              </w:rPr>
              <w:t xml:space="preserve">Deklarācijas ietvaros atsevišķa uzmanība tiek pievērsta lielākajam infrastruktūras projektam Baltijas </w:t>
            </w:r>
            <w:r>
              <w:rPr>
                <w:rFonts w:cs="Times New Roman"/>
                <w:szCs w:val="24"/>
              </w:rPr>
              <w:t>reģionā</w:t>
            </w:r>
            <w:r w:rsidRPr="00B4553C">
              <w:rPr>
                <w:rFonts w:cs="Times New Roman"/>
                <w:szCs w:val="24"/>
              </w:rPr>
              <w:t xml:space="preserve"> - </w:t>
            </w:r>
            <w:r w:rsidRPr="009E02D8">
              <w:rPr>
                <w:rFonts w:cs="Times New Roman"/>
                <w:i/>
                <w:iCs/>
                <w:sz w:val="22"/>
                <w:szCs w:val="24"/>
              </w:rPr>
              <w:t xml:space="preserve">Rail </w:t>
            </w:r>
            <w:proofErr w:type="spellStart"/>
            <w:r w:rsidRPr="009E02D8">
              <w:rPr>
                <w:rFonts w:cs="Times New Roman"/>
                <w:i/>
                <w:iCs/>
                <w:sz w:val="22"/>
                <w:szCs w:val="24"/>
              </w:rPr>
              <w:t>Baltica</w:t>
            </w:r>
            <w:proofErr w:type="spellEnd"/>
            <w:r w:rsidRPr="00B4553C">
              <w:rPr>
                <w:rFonts w:cs="Times New Roman"/>
                <w:szCs w:val="24"/>
              </w:rPr>
              <w:t>. Projekta ieviešanā var veidoties būtiskas nobīdes, kas var ietekmēt vispārējās valdības budžeta bilanci.</w:t>
            </w:r>
          </w:p>
          <w:p w14:paraId="5CA3D357" w14:textId="4B72ACC6" w:rsidR="00497710" w:rsidRPr="00AE5FC2" w:rsidRDefault="00497710" w:rsidP="00497710">
            <w:pPr>
              <w:ind w:firstLine="741"/>
              <w:jc w:val="both"/>
              <w:rPr>
                <w:rFonts w:cs="Times New Roman"/>
                <w:szCs w:val="24"/>
              </w:rPr>
            </w:pPr>
            <w:r w:rsidRPr="009E02D8">
              <w:rPr>
                <w:rFonts w:cs="Times New Roman"/>
                <w:i/>
                <w:iCs/>
                <w:szCs w:val="24"/>
              </w:rPr>
              <w:t xml:space="preserve">Rail </w:t>
            </w:r>
            <w:proofErr w:type="spellStart"/>
            <w:r w:rsidRPr="009E02D8">
              <w:rPr>
                <w:rFonts w:cs="Times New Roman"/>
                <w:i/>
                <w:iCs/>
                <w:szCs w:val="24"/>
              </w:rPr>
              <w:t>Baltica</w:t>
            </w:r>
            <w:proofErr w:type="spellEnd"/>
            <w:r w:rsidRPr="009E02D8">
              <w:rPr>
                <w:rFonts w:cs="Times New Roman"/>
                <w:sz w:val="22"/>
                <w:szCs w:val="24"/>
              </w:rPr>
              <w:t xml:space="preserve"> </w:t>
            </w:r>
            <w:r w:rsidRPr="004829F5">
              <w:rPr>
                <w:rFonts w:cs="Times New Roman"/>
                <w:szCs w:val="24"/>
              </w:rPr>
              <w:t xml:space="preserve">projekts ir Eiropas standarta platuma dzelzceļa transporta </w:t>
            </w:r>
            <w:r w:rsidR="00F64903">
              <w:rPr>
                <w:rFonts w:cs="Times New Roman"/>
                <w:color w:val="000000"/>
                <w:szCs w:val="24"/>
              </w:rPr>
              <w:t>Eiropas transporta tīkla (turpmāk</w:t>
            </w:r>
            <w:r w:rsidR="00F64903" w:rsidRPr="004829F5">
              <w:rPr>
                <w:rFonts w:cs="Times New Roman"/>
                <w:szCs w:val="24"/>
              </w:rPr>
              <w:t xml:space="preserve"> </w:t>
            </w:r>
            <w:r w:rsidRPr="004829F5">
              <w:rPr>
                <w:rFonts w:cs="Times New Roman"/>
                <w:szCs w:val="24"/>
              </w:rPr>
              <w:t>TEN-T</w:t>
            </w:r>
            <w:r w:rsidR="00F64903">
              <w:rPr>
                <w:rFonts w:cs="Times New Roman"/>
                <w:szCs w:val="24"/>
              </w:rPr>
              <w:t>)</w:t>
            </w:r>
            <w:r w:rsidRPr="004829F5">
              <w:rPr>
                <w:rFonts w:cs="Times New Roman"/>
                <w:szCs w:val="24"/>
              </w:rPr>
              <w:t xml:space="preserve"> </w:t>
            </w:r>
            <w:r w:rsidRPr="00AE5FC2">
              <w:rPr>
                <w:rFonts w:cs="Times New Roman"/>
                <w:szCs w:val="24"/>
              </w:rPr>
              <w:t xml:space="preserve">Ziemeļjūras – Baltijas koridora transporta sistēmas elements, kas aptver četras </w:t>
            </w:r>
            <w:r>
              <w:rPr>
                <w:rFonts w:cs="Times New Roman"/>
                <w:szCs w:val="24"/>
              </w:rPr>
              <w:t>ES</w:t>
            </w:r>
            <w:r w:rsidRPr="00AE5FC2">
              <w:rPr>
                <w:rFonts w:cs="Times New Roman"/>
                <w:szCs w:val="24"/>
              </w:rPr>
              <w:t xml:space="preserve"> dalībvalstis – Poliju, Lietuvu, Latviju un Igauniju, un netieši arī Somiju. Paredzēts, ka dzelzceļa līnija savienos Helsinkus, Tallinu, Pērnavu, Rīgu, Paņevežu, Kauņu, Viļņu un Varšavu. </w:t>
            </w:r>
            <w:r w:rsidRPr="00AE5FC2">
              <w:rPr>
                <w:rFonts w:cs="Times New Roman"/>
                <w:i/>
                <w:iCs/>
                <w:szCs w:val="24"/>
              </w:rPr>
              <w:t xml:space="preserve">Rail </w:t>
            </w:r>
            <w:proofErr w:type="spellStart"/>
            <w:r w:rsidRPr="00AE5FC2">
              <w:rPr>
                <w:rFonts w:cs="Times New Roman"/>
                <w:i/>
                <w:iCs/>
                <w:szCs w:val="24"/>
              </w:rPr>
              <w:t>Baltica</w:t>
            </w:r>
            <w:proofErr w:type="spellEnd"/>
            <w:r w:rsidRPr="00AE5FC2">
              <w:rPr>
                <w:rFonts w:cs="Times New Roman"/>
                <w:szCs w:val="24"/>
              </w:rPr>
              <w:t xml:space="preserve"> projekta mērķis ir savienot Baltijas valstis ar Poliju un pārējo ES ar efektīvu, modernu, drošu, videi draudzīgu un tirgus prasībām atbilstošu dzelzceļa pārvadājumu sistēmu. Ziemeļu – Dienvidu virziena 1435 mm platuma dzelzceļa līnijas izbūve veicinās Baltijas valstu transporta infrastruktūras sistēmas integrāciju ES, kā arī tautsaimniecības ilgtspēju un diversificētu attīstību, palielinot tās konkurētspēju. Saskaņā ar EY veikto ieguvumu-izdevumu analīzi, kopējās projekta būvniecības izmaksas tiek novērtētas ap 5,8 miljardiem </w:t>
            </w:r>
            <w:proofErr w:type="spellStart"/>
            <w:r w:rsidRPr="00AE5FC2">
              <w:rPr>
                <w:rFonts w:cs="Times New Roman"/>
                <w:i/>
                <w:iCs/>
                <w:szCs w:val="24"/>
              </w:rPr>
              <w:t>euro</w:t>
            </w:r>
            <w:proofErr w:type="spellEnd"/>
            <w:r w:rsidRPr="00AE5FC2">
              <w:rPr>
                <w:rFonts w:cs="Times New Roman"/>
                <w:szCs w:val="24"/>
              </w:rPr>
              <w:t xml:space="preserve">. ES atbalsts paredzēts līdz 85% no attiecināmajām projekta izmaksām. </w:t>
            </w:r>
          </w:p>
          <w:p w14:paraId="13EF99CF" w14:textId="60052D1D" w:rsidR="00497710" w:rsidRPr="00CE6775" w:rsidRDefault="00497710" w:rsidP="00497710">
            <w:pPr>
              <w:ind w:firstLine="741"/>
              <w:jc w:val="both"/>
              <w:rPr>
                <w:rFonts w:cs="Times New Roman"/>
                <w:szCs w:val="24"/>
              </w:rPr>
            </w:pPr>
            <w:r w:rsidRPr="00CE6775">
              <w:rPr>
                <w:rFonts w:cs="Times New Roman"/>
                <w:szCs w:val="24"/>
              </w:rPr>
              <w:t>Atbilstoši datiem tabulā Nr.</w:t>
            </w:r>
            <w:r w:rsidR="006A4468">
              <w:rPr>
                <w:rFonts w:cs="Times New Roman"/>
                <w:szCs w:val="24"/>
              </w:rPr>
              <w:t>2.6.4</w:t>
            </w:r>
            <w:r w:rsidRPr="00CE6775">
              <w:rPr>
                <w:rFonts w:cs="Times New Roman"/>
                <w:szCs w:val="24"/>
              </w:rPr>
              <w:t xml:space="preserve"> </w:t>
            </w:r>
            <w:r w:rsidRPr="009E02D8">
              <w:rPr>
                <w:rFonts w:cs="Times New Roman"/>
                <w:i/>
                <w:iCs/>
                <w:szCs w:val="24"/>
              </w:rPr>
              <w:t xml:space="preserve">Rail </w:t>
            </w:r>
            <w:proofErr w:type="spellStart"/>
            <w:r w:rsidRPr="009E02D8">
              <w:rPr>
                <w:rFonts w:cs="Times New Roman"/>
                <w:i/>
                <w:iCs/>
                <w:szCs w:val="24"/>
              </w:rPr>
              <w:t>Baltica</w:t>
            </w:r>
            <w:proofErr w:type="spellEnd"/>
            <w:r w:rsidRPr="00CE6775">
              <w:rPr>
                <w:rFonts w:cs="Times New Roman"/>
                <w:szCs w:val="24"/>
              </w:rPr>
              <w:t xml:space="preserve"> projekta izdevumi ar katru gadu pieaug</w:t>
            </w:r>
            <w:r>
              <w:rPr>
                <w:rFonts w:cs="Times New Roman"/>
                <w:szCs w:val="24"/>
              </w:rPr>
              <w:t xml:space="preserve">, tomēr </w:t>
            </w:r>
            <w:r w:rsidR="00D41016">
              <w:rPr>
                <w:rFonts w:cs="Times New Roman"/>
                <w:szCs w:val="24"/>
              </w:rPr>
              <w:t xml:space="preserve">ieviešana </w:t>
            </w:r>
            <w:r>
              <w:rPr>
                <w:rFonts w:cs="Times New Roman"/>
                <w:szCs w:val="24"/>
              </w:rPr>
              <w:t>atpaliek no plānot</w:t>
            </w:r>
            <w:r w:rsidR="00D41016">
              <w:rPr>
                <w:rFonts w:cs="Times New Roman"/>
                <w:szCs w:val="24"/>
              </w:rPr>
              <w:t>ā</w:t>
            </w:r>
            <w:r>
              <w:rPr>
                <w:rFonts w:cs="Times New Roman"/>
                <w:szCs w:val="24"/>
              </w:rPr>
              <w:t>.</w:t>
            </w:r>
            <w:r w:rsidRPr="00CE6775">
              <w:rPr>
                <w:rFonts w:cs="Times New Roman"/>
                <w:szCs w:val="24"/>
              </w:rPr>
              <w:t xml:space="preserve"> Sagaidāms, ka</w:t>
            </w:r>
            <w:r>
              <w:rPr>
                <w:rFonts w:cs="Times New Roman"/>
                <w:szCs w:val="24"/>
              </w:rPr>
              <w:t>,</w:t>
            </w:r>
            <w:r w:rsidRPr="00CE6775">
              <w:rPr>
                <w:rFonts w:cs="Times New Roman"/>
                <w:szCs w:val="24"/>
              </w:rPr>
              <w:t xml:space="preserve"> uzsākot aktīvu būvniecības fāzi</w:t>
            </w:r>
            <w:r>
              <w:rPr>
                <w:rFonts w:cs="Times New Roman"/>
                <w:szCs w:val="24"/>
              </w:rPr>
              <w:t>, izdevumi projekta īstenošanai arvien pieaugs, taču uz doto brīdi nav iespējams izvērtēt vai faktiskie izdevumi varētu pārsniegt plānotos.</w:t>
            </w:r>
            <w:r w:rsidRPr="00CE6775">
              <w:rPr>
                <w:rFonts w:cs="Times New Roman"/>
                <w:szCs w:val="24"/>
              </w:rPr>
              <w:t xml:space="preserve"> </w:t>
            </w:r>
            <w:r>
              <w:rPr>
                <w:rFonts w:cs="Times New Roman"/>
                <w:szCs w:val="24"/>
              </w:rPr>
              <w:t>Papildus jāņem vērā, ka f</w:t>
            </w:r>
            <w:r w:rsidRPr="00CE6775">
              <w:rPr>
                <w:rFonts w:cs="Times New Roman"/>
                <w:szCs w:val="24"/>
              </w:rPr>
              <w:t xml:space="preserve">iskālais risks </w:t>
            </w:r>
            <w:r w:rsidRPr="009E02D8">
              <w:rPr>
                <w:rFonts w:cs="Times New Roman"/>
                <w:i/>
                <w:iCs/>
                <w:szCs w:val="24"/>
              </w:rPr>
              <w:t xml:space="preserve">Rail </w:t>
            </w:r>
            <w:proofErr w:type="spellStart"/>
            <w:r w:rsidRPr="009E02D8">
              <w:rPr>
                <w:rFonts w:cs="Times New Roman"/>
                <w:i/>
                <w:iCs/>
                <w:szCs w:val="24"/>
              </w:rPr>
              <w:t>Baltica</w:t>
            </w:r>
            <w:proofErr w:type="spellEnd"/>
            <w:r w:rsidRPr="00CE6775">
              <w:rPr>
                <w:rFonts w:cs="Times New Roman"/>
                <w:szCs w:val="24"/>
              </w:rPr>
              <w:t xml:space="preserve"> projekta ieviešanā ir jāvērtē kontekstā ar visiem </w:t>
            </w:r>
            <w:r w:rsidRPr="009E02D8">
              <w:rPr>
                <w:bCs/>
                <w:color w:val="000000" w:themeColor="text1"/>
                <w:szCs w:val="24"/>
              </w:rPr>
              <w:t xml:space="preserve">ES politiku instrumentu un citu </w:t>
            </w:r>
            <w:r>
              <w:rPr>
                <w:bCs/>
                <w:color w:val="000000" w:themeColor="text1"/>
                <w:szCs w:val="24"/>
              </w:rPr>
              <w:t>ĀFP</w:t>
            </w:r>
            <w:r w:rsidRPr="009E02D8">
              <w:rPr>
                <w:bCs/>
                <w:color w:val="000000" w:themeColor="text1"/>
                <w:szCs w:val="24"/>
              </w:rPr>
              <w:t xml:space="preserve"> programmu</w:t>
            </w:r>
            <w:r w:rsidRPr="00CE6775">
              <w:rPr>
                <w:rFonts w:cs="Times New Roman"/>
                <w:bCs/>
                <w:szCs w:val="24"/>
              </w:rPr>
              <w:t xml:space="preserve"> izdevumiem</w:t>
            </w:r>
            <w:r>
              <w:rPr>
                <w:rFonts w:cs="Times New Roman"/>
                <w:bCs/>
                <w:szCs w:val="24"/>
              </w:rPr>
              <w:t>, tādējādi</w:t>
            </w:r>
            <w:r w:rsidRPr="00CE6775">
              <w:rPr>
                <w:rFonts w:cs="Times New Roman"/>
                <w:bCs/>
                <w:szCs w:val="24"/>
              </w:rPr>
              <w:t xml:space="preserve"> fiskālā rezerve šim riskam netiek veidota. </w:t>
            </w:r>
          </w:p>
          <w:p w14:paraId="69EC4E92" w14:textId="77777777" w:rsidR="00497710" w:rsidRPr="00A96163" w:rsidRDefault="00497710" w:rsidP="00497710">
            <w:pPr>
              <w:ind w:firstLine="741"/>
              <w:jc w:val="both"/>
              <w:rPr>
                <w:rFonts w:cs="Times New Roman"/>
                <w:sz w:val="20"/>
                <w:szCs w:val="20"/>
              </w:rPr>
            </w:pPr>
          </w:p>
          <w:p w14:paraId="298F35F8" w14:textId="2070FB51" w:rsidR="00497710" w:rsidRDefault="00497710" w:rsidP="00817FBC">
            <w:pPr>
              <w:spacing w:after="160"/>
              <w:ind w:firstLine="743"/>
              <w:jc w:val="right"/>
              <w:rPr>
                <w:b/>
                <w:iCs/>
                <w:color w:val="000000" w:themeColor="text1"/>
              </w:rPr>
            </w:pPr>
            <w:r w:rsidRPr="008C76AB">
              <w:rPr>
                <w:b/>
                <w:color w:val="000000" w:themeColor="text1"/>
              </w:rPr>
              <w:t>Tabula Nr.</w:t>
            </w:r>
            <w:r w:rsidR="00A1461C">
              <w:rPr>
                <w:b/>
                <w:color w:val="000000" w:themeColor="text1"/>
              </w:rPr>
              <w:t>2.6.4</w:t>
            </w:r>
            <w:r w:rsidRPr="008C76AB">
              <w:rPr>
                <w:b/>
                <w:color w:val="000000" w:themeColor="text1"/>
              </w:rPr>
              <w:t xml:space="preserve"> </w:t>
            </w:r>
            <w:r>
              <w:rPr>
                <w:b/>
                <w:color w:val="000000" w:themeColor="text1"/>
              </w:rPr>
              <w:t>TEN-T programmas 60.07.00 (</w:t>
            </w:r>
            <w:r w:rsidRPr="009E02D8">
              <w:rPr>
                <w:b/>
                <w:i/>
                <w:iCs/>
                <w:color w:val="000000" w:themeColor="text1"/>
              </w:rPr>
              <w:t xml:space="preserve">Rail </w:t>
            </w:r>
            <w:proofErr w:type="spellStart"/>
            <w:r w:rsidRPr="009E02D8">
              <w:rPr>
                <w:b/>
                <w:i/>
                <w:iCs/>
                <w:color w:val="000000" w:themeColor="text1"/>
              </w:rPr>
              <w:t>Baltica</w:t>
            </w:r>
            <w:proofErr w:type="spellEnd"/>
            <w:r>
              <w:rPr>
                <w:b/>
                <w:color w:val="000000" w:themeColor="text1"/>
              </w:rPr>
              <w:t xml:space="preserve">) plānotie un faktiskie izdevumi, milj. </w:t>
            </w:r>
            <w:proofErr w:type="spellStart"/>
            <w:r w:rsidRPr="009E02D8">
              <w:rPr>
                <w:b/>
                <w:i/>
                <w:iCs/>
                <w:color w:val="000000" w:themeColor="text1"/>
              </w:rPr>
              <w:t>euro</w:t>
            </w:r>
            <w:proofErr w:type="spellEnd"/>
          </w:p>
          <w:tbl>
            <w:tblPr>
              <w:tblStyle w:val="GridTable6Colorful-Accent11"/>
              <w:tblW w:w="9008" w:type="dxa"/>
              <w:jc w:val="center"/>
              <w:tblLook w:val="04A0" w:firstRow="1" w:lastRow="0" w:firstColumn="1" w:lastColumn="0" w:noHBand="0" w:noVBand="1"/>
            </w:tblPr>
            <w:tblGrid>
              <w:gridCol w:w="2260"/>
              <w:gridCol w:w="964"/>
              <w:gridCol w:w="964"/>
              <w:gridCol w:w="964"/>
              <w:gridCol w:w="964"/>
              <w:gridCol w:w="964"/>
              <w:gridCol w:w="964"/>
              <w:gridCol w:w="964"/>
            </w:tblGrid>
            <w:tr w:rsidR="00497710" w:rsidRPr="00630E5B" w14:paraId="5E37E429" w14:textId="77777777" w:rsidTr="00497710">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BDD6EE" w:themeFill="accent1" w:themeFillTint="66"/>
                  <w:noWrap/>
                  <w:hideMark/>
                </w:tcPr>
                <w:p w14:paraId="4DA4AA69" w14:textId="77777777" w:rsidR="00497710" w:rsidRPr="009E02D8" w:rsidRDefault="00497710" w:rsidP="00497710">
                  <w:pPr>
                    <w:rPr>
                      <w:rFonts w:eastAsia="Times New Roman" w:cs="Times New Roman"/>
                      <w:color w:val="000000"/>
                      <w:sz w:val="22"/>
                      <w:lang w:eastAsia="lv-LV"/>
                    </w:rPr>
                  </w:pPr>
                  <w:r w:rsidRPr="009E02D8">
                    <w:rPr>
                      <w:rFonts w:eastAsia="Times New Roman" w:cs="Times New Roman"/>
                      <w:color w:val="000000"/>
                      <w:sz w:val="22"/>
                      <w:lang w:eastAsia="lv-LV"/>
                    </w:rPr>
                    <w:t> </w:t>
                  </w:r>
                </w:p>
              </w:tc>
              <w:tc>
                <w:tcPr>
                  <w:tcW w:w="964" w:type="dxa"/>
                  <w:shd w:val="clear" w:color="auto" w:fill="BDD6EE" w:themeFill="accent1" w:themeFillTint="66"/>
                  <w:noWrap/>
                  <w:hideMark/>
                </w:tcPr>
                <w:p w14:paraId="412A6C5D"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2016</w:t>
                  </w:r>
                </w:p>
              </w:tc>
              <w:tc>
                <w:tcPr>
                  <w:tcW w:w="964" w:type="dxa"/>
                  <w:shd w:val="clear" w:color="auto" w:fill="BDD6EE" w:themeFill="accent1" w:themeFillTint="66"/>
                  <w:noWrap/>
                  <w:hideMark/>
                </w:tcPr>
                <w:p w14:paraId="138C0D0C"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2017</w:t>
                  </w:r>
                </w:p>
              </w:tc>
              <w:tc>
                <w:tcPr>
                  <w:tcW w:w="964" w:type="dxa"/>
                  <w:shd w:val="clear" w:color="auto" w:fill="BDD6EE" w:themeFill="accent1" w:themeFillTint="66"/>
                  <w:noWrap/>
                  <w:hideMark/>
                </w:tcPr>
                <w:p w14:paraId="7EDD2FFD"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2018</w:t>
                  </w:r>
                </w:p>
              </w:tc>
              <w:tc>
                <w:tcPr>
                  <w:tcW w:w="964" w:type="dxa"/>
                  <w:shd w:val="clear" w:color="auto" w:fill="BDD6EE" w:themeFill="accent1" w:themeFillTint="66"/>
                  <w:noWrap/>
                  <w:hideMark/>
                </w:tcPr>
                <w:p w14:paraId="06870AAE"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2019</w:t>
                  </w:r>
                </w:p>
              </w:tc>
              <w:tc>
                <w:tcPr>
                  <w:tcW w:w="964" w:type="dxa"/>
                  <w:shd w:val="clear" w:color="auto" w:fill="BDD6EE" w:themeFill="accent1" w:themeFillTint="66"/>
                  <w:noWrap/>
                  <w:hideMark/>
                </w:tcPr>
                <w:p w14:paraId="05B15BCE"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2020</w:t>
                  </w:r>
                </w:p>
              </w:tc>
              <w:tc>
                <w:tcPr>
                  <w:tcW w:w="964" w:type="dxa"/>
                  <w:shd w:val="clear" w:color="auto" w:fill="BDD6EE" w:themeFill="accent1" w:themeFillTint="66"/>
                  <w:noWrap/>
                  <w:hideMark/>
                </w:tcPr>
                <w:p w14:paraId="001B8FDC"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2021</w:t>
                  </w:r>
                </w:p>
              </w:tc>
              <w:tc>
                <w:tcPr>
                  <w:tcW w:w="964" w:type="dxa"/>
                  <w:shd w:val="clear" w:color="auto" w:fill="BDD6EE" w:themeFill="accent1" w:themeFillTint="66"/>
                </w:tcPr>
                <w:p w14:paraId="3C6A89DE" w14:textId="77777777" w:rsidR="00497710" w:rsidRPr="00CD4B57"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lang w:eastAsia="lv-LV"/>
                    </w:rPr>
                    <w:t>2022</w:t>
                  </w:r>
                </w:p>
              </w:tc>
            </w:tr>
            <w:tr w:rsidR="00497710" w:rsidRPr="00630E5B" w14:paraId="2372A279" w14:textId="77777777" w:rsidTr="0049771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2138F14E" w14:textId="77777777" w:rsidR="00497710" w:rsidRPr="009E02D8" w:rsidRDefault="00497710" w:rsidP="00497710">
                  <w:pPr>
                    <w:jc w:val="center"/>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964" w:type="dxa"/>
                  <w:noWrap/>
                  <w:hideMark/>
                </w:tcPr>
                <w:p w14:paraId="208E1335"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rFonts w:eastAsia="Times New Roman" w:cs="Times New Roman"/>
                      <w:color w:val="000000" w:themeColor="text1"/>
                      <w:sz w:val="22"/>
                      <w:lang w:eastAsia="lv-LV"/>
                    </w:rPr>
                    <w:t>-</w:t>
                  </w:r>
                </w:p>
              </w:tc>
              <w:tc>
                <w:tcPr>
                  <w:tcW w:w="964" w:type="dxa"/>
                  <w:noWrap/>
                  <w:hideMark/>
                </w:tcPr>
                <w:p w14:paraId="058391E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17,1</w:t>
                  </w:r>
                </w:p>
              </w:tc>
              <w:tc>
                <w:tcPr>
                  <w:tcW w:w="964" w:type="dxa"/>
                  <w:noWrap/>
                  <w:hideMark/>
                </w:tcPr>
                <w:p w14:paraId="23800C0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21,3</w:t>
                  </w:r>
                </w:p>
              </w:tc>
              <w:tc>
                <w:tcPr>
                  <w:tcW w:w="964" w:type="dxa"/>
                  <w:noWrap/>
                  <w:hideMark/>
                </w:tcPr>
                <w:p w14:paraId="02593CBD"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32,5</w:t>
                  </w:r>
                </w:p>
              </w:tc>
              <w:tc>
                <w:tcPr>
                  <w:tcW w:w="964" w:type="dxa"/>
                  <w:noWrap/>
                  <w:hideMark/>
                </w:tcPr>
                <w:p w14:paraId="347BBEE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69,7</w:t>
                  </w:r>
                </w:p>
              </w:tc>
              <w:tc>
                <w:tcPr>
                  <w:tcW w:w="964" w:type="dxa"/>
                  <w:noWrap/>
                  <w:hideMark/>
                </w:tcPr>
                <w:p w14:paraId="0A569BA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187,5</w:t>
                  </w:r>
                </w:p>
              </w:tc>
              <w:tc>
                <w:tcPr>
                  <w:tcW w:w="964" w:type="dxa"/>
                </w:tcPr>
                <w:p w14:paraId="379D2A75"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215735">
                    <w:rPr>
                      <w:color w:val="000000" w:themeColor="text1"/>
                    </w:rPr>
                    <w:t>126,2</w:t>
                  </w:r>
                </w:p>
              </w:tc>
            </w:tr>
            <w:tr w:rsidR="00497710" w:rsidRPr="00630E5B" w14:paraId="366ED832" w14:textId="77777777" w:rsidTr="00497710">
              <w:trPr>
                <w:trHeight w:val="312"/>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7FCFB8DF" w14:textId="77777777" w:rsidR="00497710" w:rsidRPr="009E02D8" w:rsidRDefault="00497710" w:rsidP="00497710">
                  <w:pPr>
                    <w:jc w:val="center"/>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964" w:type="dxa"/>
                  <w:noWrap/>
                  <w:hideMark/>
                </w:tcPr>
                <w:p w14:paraId="5EF436B3"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0,4</w:t>
                  </w:r>
                </w:p>
              </w:tc>
              <w:tc>
                <w:tcPr>
                  <w:tcW w:w="964" w:type="dxa"/>
                  <w:noWrap/>
                  <w:hideMark/>
                </w:tcPr>
                <w:p w14:paraId="59E35C40"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1,5</w:t>
                  </w:r>
                </w:p>
              </w:tc>
              <w:tc>
                <w:tcPr>
                  <w:tcW w:w="964" w:type="dxa"/>
                  <w:noWrap/>
                  <w:hideMark/>
                </w:tcPr>
                <w:p w14:paraId="0256DA52"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3,7</w:t>
                  </w:r>
                </w:p>
              </w:tc>
              <w:tc>
                <w:tcPr>
                  <w:tcW w:w="964" w:type="dxa"/>
                  <w:noWrap/>
                  <w:hideMark/>
                </w:tcPr>
                <w:p w14:paraId="590231D0"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13,1</w:t>
                  </w:r>
                </w:p>
              </w:tc>
              <w:tc>
                <w:tcPr>
                  <w:tcW w:w="964" w:type="dxa"/>
                  <w:noWrap/>
                  <w:hideMark/>
                </w:tcPr>
                <w:p w14:paraId="443DD0FB"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38,5</w:t>
                  </w:r>
                </w:p>
              </w:tc>
              <w:tc>
                <w:tcPr>
                  <w:tcW w:w="964" w:type="dxa"/>
                  <w:noWrap/>
                  <w:hideMark/>
                </w:tcPr>
                <w:p w14:paraId="1287048E"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76,2</w:t>
                  </w:r>
                </w:p>
              </w:tc>
              <w:tc>
                <w:tcPr>
                  <w:tcW w:w="964" w:type="dxa"/>
                </w:tcPr>
                <w:p w14:paraId="60C6671E"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215735">
                    <w:rPr>
                      <w:color w:val="000000" w:themeColor="text1"/>
                    </w:rPr>
                    <w:t>75,3</w:t>
                  </w:r>
                </w:p>
              </w:tc>
            </w:tr>
            <w:tr w:rsidR="00497710" w:rsidRPr="00630E5B" w14:paraId="0FB02DC0" w14:textId="77777777" w:rsidTr="0049771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5568B806" w14:textId="77777777" w:rsidR="00497710" w:rsidRPr="009E02D8" w:rsidRDefault="00497710" w:rsidP="00497710">
                  <w:pPr>
                    <w:jc w:val="center"/>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964" w:type="dxa"/>
                  <w:noWrap/>
                  <w:hideMark/>
                </w:tcPr>
                <w:p w14:paraId="2D68B16C"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rFonts w:eastAsia="Times New Roman" w:cs="Times New Roman"/>
                      <w:color w:val="000000" w:themeColor="text1"/>
                      <w:sz w:val="22"/>
                      <w:lang w:eastAsia="lv-LV"/>
                    </w:rPr>
                    <w:t>-</w:t>
                  </w:r>
                </w:p>
              </w:tc>
              <w:tc>
                <w:tcPr>
                  <w:tcW w:w="964" w:type="dxa"/>
                  <w:noWrap/>
                  <w:hideMark/>
                </w:tcPr>
                <w:p w14:paraId="246B3DA6"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-91,2%</w:t>
                  </w:r>
                </w:p>
              </w:tc>
              <w:tc>
                <w:tcPr>
                  <w:tcW w:w="964" w:type="dxa"/>
                  <w:noWrap/>
                  <w:hideMark/>
                </w:tcPr>
                <w:p w14:paraId="4128D2BC"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-82,6%</w:t>
                  </w:r>
                </w:p>
              </w:tc>
              <w:tc>
                <w:tcPr>
                  <w:tcW w:w="964" w:type="dxa"/>
                  <w:noWrap/>
                  <w:hideMark/>
                </w:tcPr>
                <w:p w14:paraId="5629506F"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-59,6%</w:t>
                  </w:r>
                </w:p>
              </w:tc>
              <w:tc>
                <w:tcPr>
                  <w:tcW w:w="964" w:type="dxa"/>
                  <w:noWrap/>
                  <w:hideMark/>
                </w:tcPr>
                <w:p w14:paraId="09FF9FDF"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-44,7%</w:t>
                  </w:r>
                </w:p>
              </w:tc>
              <w:tc>
                <w:tcPr>
                  <w:tcW w:w="964" w:type="dxa"/>
                  <w:noWrap/>
                  <w:hideMark/>
                </w:tcPr>
                <w:p w14:paraId="2EA4F6EB"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-59,4%</w:t>
                  </w:r>
                </w:p>
              </w:tc>
              <w:tc>
                <w:tcPr>
                  <w:tcW w:w="964" w:type="dxa"/>
                </w:tcPr>
                <w:p w14:paraId="09A16519"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215735">
                    <w:rPr>
                      <w:color w:val="000000" w:themeColor="text1"/>
                    </w:rPr>
                    <w:t>-40,3%</w:t>
                  </w:r>
                </w:p>
              </w:tc>
            </w:tr>
          </w:tbl>
          <w:p w14:paraId="686BF984" w14:textId="503A71AC" w:rsidR="00E60383" w:rsidRPr="009E02D8" w:rsidRDefault="00E60383" w:rsidP="00C906CF">
            <w:pPr>
              <w:jc w:val="both"/>
              <w:rPr>
                <w:rFonts w:cs="Times New Roman"/>
                <w:sz w:val="20"/>
                <w:szCs w:val="20"/>
              </w:rPr>
            </w:pPr>
          </w:p>
        </w:tc>
      </w:tr>
    </w:tbl>
    <w:p w14:paraId="5DC98069" w14:textId="5368FF55" w:rsidR="0020533D" w:rsidRDefault="0020533D" w:rsidP="00BB69DC">
      <w:pPr>
        <w:spacing w:after="0" w:line="240" w:lineRule="auto"/>
        <w:jc w:val="both"/>
        <w:rPr>
          <w:rFonts w:ascii="Times New Roman" w:hAnsi="Times New Roman" w:cs="Times New Roman"/>
          <w:color w:val="000000" w:themeColor="text1"/>
          <w:sz w:val="24"/>
          <w:szCs w:val="24"/>
        </w:rPr>
      </w:pPr>
    </w:p>
    <w:p w14:paraId="243FB121" w14:textId="0BE1F915" w:rsidR="006D6A17" w:rsidRDefault="006D6A17" w:rsidP="0058124B">
      <w:pPr>
        <w:pStyle w:val="Heading2"/>
        <w:numPr>
          <w:ilvl w:val="1"/>
          <w:numId w:val="4"/>
        </w:numPr>
        <w:tabs>
          <w:tab w:val="left" w:pos="3261"/>
        </w:tabs>
        <w:spacing w:before="120" w:after="120" w:line="240" w:lineRule="auto"/>
        <w:ind w:left="567" w:hanging="567"/>
        <w:jc w:val="center"/>
        <w:rPr>
          <w:rFonts w:ascii="Times New Roman" w:hAnsi="Times New Roman" w:cs="Times New Roman"/>
          <w:color w:val="auto"/>
          <w:sz w:val="24"/>
          <w:szCs w:val="24"/>
        </w:rPr>
      </w:pPr>
      <w:bookmarkStart w:id="72" w:name="_Toc142388033"/>
      <w:bookmarkStart w:id="73" w:name="_Hlk141861564"/>
      <w:r w:rsidRPr="006D6A17">
        <w:rPr>
          <w:rFonts w:ascii="Times New Roman" w:hAnsi="Times New Roman" w:cs="Times New Roman"/>
          <w:color w:val="auto"/>
          <w:sz w:val="24"/>
          <w:szCs w:val="24"/>
        </w:rPr>
        <w:t>Ieņēmumu no sniegtajiem maksas pakalpojumiem un citu pašu ieņēmumu atlikums un apropriācijas rezerve</w:t>
      </w:r>
      <w:bookmarkEnd w:id="72"/>
    </w:p>
    <w:bookmarkEnd w:id="73"/>
    <w:p w14:paraId="24090C9A" w14:textId="28E7AEFA" w:rsidR="006D6A17" w:rsidRPr="006D6A17" w:rsidRDefault="006D6A17" w:rsidP="0043659D">
      <w:pPr>
        <w:spacing w:after="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Fiskālais risks iestājas gadījumā, ja budžeta iestādes programmu realizācijai nepieciešams papildus finansējums, kura avots ir iepriekšējos periodos saņemto ieņēmumu no sniegtajiem maksas pakalpojumiem un citu pašu ieņēmumu atlikums (</w:t>
      </w:r>
      <w:r w:rsidR="009E5C25">
        <w:rPr>
          <w:rFonts w:ascii="Times New Roman" w:eastAsia="Calibri" w:hAnsi="Times New Roman"/>
          <w:sz w:val="24"/>
          <w:szCs w:val="24"/>
        </w:rPr>
        <w:t xml:space="preserve">šīs deklarācijas </w:t>
      </w:r>
      <w:proofErr w:type="spellStart"/>
      <w:r w:rsidR="009E5C25">
        <w:rPr>
          <w:rFonts w:ascii="Times New Roman" w:eastAsia="Calibri" w:hAnsi="Times New Roman"/>
          <w:sz w:val="24"/>
          <w:szCs w:val="24"/>
        </w:rPr>
        <w:t>apakšsadaļas</w:t>
      </w:r>
      <w:proofErr w:type="spellEnd"/>
      <w:r w:rsidR="009E5C25">
        <w:rPr>
          <w:rFonts w:ascii="Times New Roman" w:eastAsia="Calibri" w:hAnsi="Times New Roman"/>
          <w:sz w:val="24"/>
          <w:szCs w:val="24"/>
        </w:rPr>
        <w:t xml:space="preserve"> ietvaros turpmāk</w:t>
      </w:r>
      <w:r w:rsidRPr="006D6A17">
        <w:rPr>
          <w:rFonts w:ascii="Times New Roman" w:eastAsia="Calibri" w:hAnsi="Times New Roman" w:cs="Times New Roman"/>
          <w:kern w:val="2"/>
          <w:sz w:val="24"/>
          <w:szCs w:val="24"/>
          <w14:ligatures w14:val="standardContextual"/>
        </w:rPr>
        <w:t xml:space="preserve"> – maksas pakalpojumu atlikums) vai, ja budžeta likumā valsts budžeta 74.resora “Gadskārtējā valsts budžeta izpildes procesā pārdalāmais finansējums” programmā 01.00.00 “Apropriācijas rezerve” (</w:t>
      </w:r>
      <w:r w:rsidR="009E5C25">
        <w:rPr>
          <w:rFonts w:ascii="Times New Roman" w:eastAsia="Calibri" w:hAnsi="Times New Roman"/>
          <w:sz w:val="24"/>
          <w:szCs w:val="24"/>
        </w:rPr>
        <w:t xml:space="preserve">šīs deklarācijas </w:t>
      </w:r>
      <w:proofErr w:type="spellStart"/>
      <w:r w:rsidR="009E5C25">
        <w:rPr>
          <w:rFonts w:ascii="Times New Roman" w:eastAsia="Calibri" w:hAnsi="Times New Roman"/>
          <w:sz w:val="24"/>
          <w:szCs w:val="24"/>
        </w:rPr>
        <w:t>apakšsadaļas</w:t>
      </w:r>
      <w:proofErr w:type="spellEnd"/>
      <w:r w:rsidR="009E5C25">
        <w:rPr>
          <w:rFonts w:ascii="Times New Roman" w:eastAsia="Calibri" w:hAnsi="Times New Roman"/>
          <w:sz w:val="24"/>
          <w:szCs w:val="24"/>
        </w:rPr>
        <w:t xml:space="preserve"> ietvaros turpmāk</w:t>
      </w:r>
      <w:r w:rsidRPr="006D6A17">
        <w:rPr>
          <w:rFonts w:ascii="Times New Roman" w:eastAsia="Calibri" w:hAnsi="Times New Roman" w:cs="Times New Roman"/>
          <w:kern w:val="2"/>
          <w:sz w:val="24"/>
          <w:szCs w:val="24"/>
          <w14:ligatures w14:val="standardContextual"/>
        </w:rPr>
        <w:t xml:space="preserve"> – programma “Apropriācijas rezerve”) nav pietiekoši resursi, lai nodrošinātu finansējumu ministrijām un centrālajām valsts iestādēm papildus apropriācijai LBFV noteiktajā kārtībā. Deklarācijā abi gadījumi tiek apskatīti atsevišķi, taču lēmums par fiskālā nodrošinājuma rezerves izveides nepieciešamību tiek pieņemts kompleksi, vērtējot abus gadījumus.</w:t>
      </w:r>
    </w:p>
    <w:p w14:paraId="0A3533C2" w14:textId="4A40DE5B" w:rsidR="006D6A17" w:rsidRDefault="006D6A17" w:rsidP="0043659D">
      <w:pPr>
        <w:spacing w:after="0" w:line="240" w:lineRule="auto"/>
        <w:ind w:firstLine="709"/>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Atbilstoši LBFV 9.panta četrpadsmitās daļas 1.punktam finanšu ministram ir tiesības palielināt valsts budžetā likumā noteikto apropriāciju valsts budžeta iestāžu maksas pakalpojumu atlikumu saimnieciskā gada sākumā izmantošanai</w:t>
      </w:r>
      <w:r w:rsidR="0043659D">
        <w:rPr>
          <w:rStyle w:val="FootnoteReference"/>
          <w:rFonts w:ascii="Times New Roman" w:eastAsia="Calibri" w:hAnsi="Times New Roman" w:cs="Times New Roman"/>
          <w:kern w:val="2"/>
          <w:sz w:val="24"/>
          <w:szCs w:val="24"/>
          <w14:ligatures w14:val="standardContextual"/>
        </w:rPr>
        <w:footnoteReference w:id="11"/>
      </w:r>
      <w:r w:rsidRPr="006D6A17">
        <w:rPr>
          <w:rFonts w:ascii="Times New Roman" w:eastAsia="Calibri" w:hAnsi="Times New Roman" w:cs="Times New Roman"/>
          <w:kern w:val="2"/>
          <w:sz w:val="24"/>
          <w:szCs w:val="24"/>
          <w14:ligatures w14:val="standardContextual"/>
        </w:rPr>
        <w:t xml:space="preserve">. Palielinot budžeta likumā noteikto apropriāciju, veidojas negatīva ietekme uz vispārējās valdības budžeta bilanci. Lai izvērtētu nepieciešamību veidot fiskālā nodrošinājuma rezervi iepriekš minētajam fiskālajam riskam tiek novērtēts, kāds ir maksas </w:t>
      </w:r>
      <w:r w:rsidRPr="006D6A17">
        <w:rPr>
          <w:rFonts w:ascii="Times New Roman" w:eastAsia="Calibri" w:hAnsi="Times New Roman" w:cs="Times New Roman"/>
          <w:kern w:val="2"/>
          <w:sz w:val="24"/>
          <w:szCs w:val="24"/>
          <w14:ligatures w14:val="standardContextual"/>
        </w:rPr>
        <w:lastRenderedPageBreak/>
        <w:t>pakalpojumu atlikums saimnieciskā gada sākumā un kādas ir maksas pakalpojumu atlikuma neto izmaiņas.</w:t>
      </w:r>
    </w:p>
    <w:p w14:paraId="4C4B1526" w14:textId="7DA94CD5" w:rsidR="006D6A17" w:rsidRPr="006D6A17" w:rsidRDefault="006D6A17" w:rsidP="00497710">
      <w:pPr>
        <w:spacing w:line="240" w:lineRule="auto"/>
        <w:jc w:val="right"/>
        <w:rPr>
          <w:rFonts w:ascii="Times New Roman" w:eastAsia="Calibri" w:hAnsi="Times New Roman" w:cs="Times New Roman"/>
          <w:b/>
          <w:bCs/>
          <w:kern w:val="2"/>
          <w:sz w:val="24"/>
          <w:szCs w:val="24"/>
          <w14:ligatures w14:val="standardContextual"/>
        </w:rPr>
      </w:pPr>
      <w:r w:rsidRPr="006D6A17">
        <w:rPr>
          <w:rFonts w:ascii="Times New Roman" w:eastAsia="Calibri" w:hAnsi="Times New Roman" w:cs="Times New Roman"/>
          <w:b/>
          <w:bCs/>
          <w:kern w:val="2"/>
          <w:sz w:val="24"/>
          <w:szCs w:val="24"/>
          <w14:ligatures w14:val="standardContextual"/>
        </w:rPr>
        <w:t>Tabula Nr.</w:t>
      </w:r>
      <w:r w:rsidR="004A682A" w:rsidRPr="00F56613">
        <w:rPr>
          <w:rFonts w:ascii="Times New Roman" w:eastAsia="Calibri" w:hAnsi="Times New Roman" w:cs="Times New Roman"/>
          <w:b/>
          <w:bCs/>
          <w:kern w:val="2"/>
          <w:sz w:val="24"/>
          <w:szCs w:val="24"/>
          <w14:ligatures w14:val="standardContextual"/>
        </w:rPr>
        <w:t>2.7.</w:t>
      </w:r>
      <w:r w:rsidRPr="00F56613">
        <w:rPr>
          <w:rFonts w:ascii="Times New Roman" w:eastAsia="Calibri" w:hAnsi="Times New Roman" w:cs="Times New Roman"/>
          <w:b/>
          <w:bCs/>
          <w:kern w:val="2"/>
          <w:sz w:val="24"/>
          <w:szCs w:val="24"/>
          <w14:ligatures w14:val="standardContextual"/>
        </w:rPr>
        <w:t>1</w:t>
      </w:r>
      <w:r w:rsidRPr="006D6A17">
        <w:rPr>
          <w:rFonts w:ascii="Times New Roman" w:eastAsia="Calibri" w:hAnsi="Times New Roman" w:cs="Times New Roman"/>
          <w:b/>
          <w:bCs/>
          <w:kern w:val="2"/>
          <w:sz w:val="24"/>
          <w:szCs w:val="24"/>
          <w14:ligatures w14:val="standardContextual"/>
        </w:rPr>
        <w:t xml:space="preserve"> Budžeta iestāžu maksas pakalpojumu atlikums gada sākumā, milj. </w:t>
      </w:r>
      <w:proofErr w:type="spellStart"/>
      <w:r w:rsidRPr="006D6A17">
        <w:rPr>
          <w:rFonts w:ascii="Times New Roman" w:eastAsia="Calibri" w:hAnsi="Times New Roman" w:cs="Times New Roman"/>
          <w:b/>
          <w:bCs/>
          <w:i/>
          <w:iCs/>
          <w:kern w:val="2"/>
          <w:sz w:val="24"/>
          <w:szCs w:val="24"/>
          <w14:ligatures w14:val="standardContextual"/>
        </w:rPr>
        <w:t>euro</w:t>
      </w:r>
      <w:proofErr w:type="spellEnd"/>
    </w:p>
    <w:tbl>
      <w:tblPr>
        <w:tblStyle w:val="GridTable6Colorful-Accent12"/>
        <w:tblW w:w="0" w:type="auto"/>
        <w:tblInd w:w="-5" w:type="dxa"/>
        <w:tblLook w:val="04A0" w:firstRow="1" w:lastRow="0" w:firstColumn="1" w:lastColumn="0" w:noHBand="0" w:noVBand="1"/>
      </w:tblPr>
      <w:tblGrid>
        <w:gridCol w:w="3245"/>
        <w:gridCol w:w="656"/>
        <w:gridCol w:w="656"/>
        <w:gridCol w:w="656"/>
        <w:gridCol w:w="656"/>
        <w:gridCol w:w="656"/>
        <w:gridCol w:w="656"/>
        <w:gridCol w:w="656"/>
        <w:gridCol w:w="656"/>
        <w:gridCol w:w="656"/>
        <w:gridCol w:w="656"/>
      </w:tblGrid>
      <w:tr w:rsidR="00C01A04" w:rsidRPr="0004033A" w14:paraId="24C876C4" w14:textId="77777777" w:rsidTr="00BA58D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Pr>
          <w:p w14:paraId="77773C9A" w14:textId="77777777" w:rsidR="006D6A17" w:rsidRPr="0053110E" w:rsidRDefault="006D6A17" w:rsidP="006D6A17">
            <w:pPr>
              <w:jc w:val="both"/>
              <w:rPr>
                <w:color w:val="auto"/>
                <w:sz w:val="22"/>
                <w:szCs w:val="22"/>
              </w:rPr>
            </w:pPr>
          </w:p>
        </w:tc>
        <w:tc>
          <w:tcPr>
            <w:tcW w:w="0" w:type="auto"/>
          </w:tcPr>
          <w:p w14:paraId="345CCC11"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2014</w:t>
            </w:r>
          </w:p>
        </w:tc>
        <w:tc>
          <w:tcPr>
            <w:tcW w:w="0" w:type="auto"/>
          </w:tcPr>
          <w:p w14:paraId="670D8635"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2015</w:t>
            </w:r>
          </w:p>
        </w:tc>
        <w:tc>
          <w:tcPr>
            <w:tcW w:w="0" w:type="auto"/>
          </w:tcPr>
          <w:p w14:paraId="0CE29DE3"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2016</w:t>
            </w:r>
          </w:p>
        </w:tc>
        <w:tc>
          <w:tcPr>
            <w:tcW w:w="0" w:type="auto"/>
          </w:tcPr>
          <w:p w14:paraId="6CCFBFE4"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2017</w:t>
            </w:r>
          </w:p>
        </w:tc>
        <w:tc>
          <w:tcPr>
            <w:tcW w:w="0" w:type="auto"/>
          </w:tcPr>
          <w:p w14:paraId="79017108"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2018</w:t>
            </w:r>
          </w:p>
        </w:tc>
        <w:tc>
          <w:tcPr>
            <w:tcW w:w="0" w:type="auto"/>
          </w:tcPr>
          <w:p w14:paraId="475A2CA1"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2019</w:t>
            </w:r>
          </w:p>
        </w:tc>
        <w:tc>
          <w:tcPr>
            <w:tcW w:w="0" w:type="auto"/>
          </w:tcPr>
          <w:p w14:paraId="696EE58B"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2020</w:t>
            </w:r>
          </w:p>
        </w:tc>
        <w:tc>
          <w:tcPr>
            <w:tcW w:w="0" w:type="auto"/>
          </w:tcPr>
          <w:p w14:paraId="5E68E328"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2021</w:t>
            </w:r>
          </w:p>
        </w:tc>
        <w:tc>
          <w:tcPr>
            <w:tcW w:w="0" w:type="auto"/>
          </w:tcPr>
          <w:p w14:paraId="78DF5151"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2022</w:t>
            </w:r>
          </w:p>
        </w:tc>
        <w:tc>
          <w:tcPr>
            <w:tcW w:w="0" w:type="auto"/>
          </w:tcPr>
          <w:p w14:paraId="2A3F7DD3"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2023</w:t>
            </w:r>
          </w:p>
        </w:tc>
      </w:tr>
      <w:tr w:rsidR="00C01A04" w:rsidRPr="0004033A" w14:paraId="23A669D8" w14:textId="77777777" w:rsidTr="00BA58D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Pr>
          <w:p w14:paraId="5D9925BA" w14:textId="77777777" w:rsidR="006D6A17" w:rsidRPr="0053110E" w:rsidRDefault="006D6A17" w:rsidP="00497710">
            <w:pPr>
              <w:rPr>
                <w:color w:val="auto"/>
                <w:sz w:val="22"/>
                <w:szCs w:val="22"/>
              </w:rPr>
            </w:pPr>
            <w:r w:rsidRPr="00BA58D9">
              <w:rPr>
                <w:color w:val="auto"/>
              </w:rPr>
              <w:t>Maksas pakalpojumu atlikums</w:t>
            </w:r>
          </w:p>
        </w:tc>
        <w:tc>
          <w:tcPr>
            <w:tcW w:w="0" w:type="auto"/>
            <w:vAlign w:val="center"/>
          </w:tcPr>
          <w:p w14:paraId="574933D9"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33,6</w:t>
            </w:r>
          </w:p>
        </w:tc>
        <w:tc>
          <w:tcPr>
            <w:tcW w:w="0" w:type="auto"/>
            <w:vAlign w:val="center"/>
          </w:tcPr>
          <w:p w14:paraId="2E56FF86"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36,8</w:t>
            </w:r>
          </w:p>
        </w:tc>
        <w:tc>
          <w:tcPr>
            <w:tcW w:w="0" w:type="auto"/>
            <w:vAlign w:val="center"/>
          </w:tcPr>
          <w:p w14:paraId="5A957C8A"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42,6</w:t>
            </w:r>
          </w:p>
        </w:tc>
        <w:tc>
          <w:tcPr>
            <w:tcW w:w="0" w:type="auto"/>
            <w:vAlign w:val="center"/>
          </w:tcPr>
          <w:p w14:paraId="33D79133"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42,2</w:t>
            </w:r>
          </w:p>
        </w:tc>
        <w:tc>
          <w:tcPr>
            <w:tcW w:w="0" w:type="auto"/>
            <w:vAlign w:val="center"/>
          </w:tcPr>
          <w:p w14:paraId="6FEA2DE9"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40,6</w:t>
            </w:r>
          </w:p>
        </w:tc>
        <w:tc>
          <w:tcPr>
            <w:tcW w:w="0" w:type="auto"/>
            <w:vAlign w:val="center"/>
          </w:tcPr>
          <w:p w14:paraId="05F0426D"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47,0</w:t>
            </w:r>
          </w:p>
        </w:tc>
        <w:tc>
          <w:tcPr>
            <w:tcW w:w="0" w:type="auto"/>
            <w:vAlign w:val="center"/>
          </w:tcPr>
          <w:p w14:paraId="6D310FF5"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57,7</w:t>
            </w:r>
          </w:p>
        </w:tc>
        <w:tc>
          <w:tcPr>
            <w:tcW w:w="0" w:type="auto"/>
            <w:vAlign w:val="center"/>
          </w:tcPr>
          <w:p w14:paraId="0E3E2B55"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65,7</w:t>
            </w:r>
          </w:p>
        </w:tc>
        <w:tc>
          <w:tcPr>
            <w:tcW w:w="0" w:type="auto"/>
            <w:vAlign w:val="center"/>
          </w:tcPr>
          <w:p w14:paraId="02112324"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78,7</w:t>
            </w:r>
          </w:p>
        </w:tc>
        <w:tc>
          <w:tcPr>
            <w:tcW w:w="0" w:type="auto"/>
            <w:vAlign w:val="center"/>
          </w:tcPr>
          <w:p w14:paraId="667DC596"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94,9</w:t>
            </w:r>
          </w:p>
        </w:tc>
      </w:tr>
      <w:tr w:rsidR="00C01A04" w:rsidRPr="0004033A" w14:paraId="52B2D922" w14:textId="77777777" w:rsidTr="00BA58D9">
        <w:trPr>
          <w:trHeight w:val="170"/>
        </w:trPr>
        <w:tc>
          <w:tcPr>
            <w:cnfStyle w:val="001000000000" w:firstRow="0" w:lastRow="0" w:firstColumn="1" w:lastColumn="0" w:oddVBand="0" w:evenVBand="0" w:oddHBand="0" w:evenHBand="0" w:firstRowFirstColumn="0" w:firstRowLastColumn="0" w:lastRowFirstColumn="0" w:lastRowLastColumn="0"/>
            <w:tcW w:w="0" w:type="auto"/>
          </w:tcPr>
          <w:p w14:paraId="07356CEA" w14:textId="77777777" w:rsidR="006D6A17" w:rsidRPr="0053110E" w:rsidRDefault="006D6A17" w:rsidP="00497710">
            <w:pPr>
              <w:rPr>
                <w:color w:val="auto"/>
                <w:sz w:val="22"/>
                <w:szCs w:val="22"/>
              </w:rPr>
            </w:pPr>
            <w:r w:rsidRPr="00BA58D9">
              <w:rPr>
                <w:color w:val="auto"/>
                <w:sz w:val="22"/>
                <w:szCs w:val="22"/>
              </w:rPr>
              <w:t>Izmaiņas maksas pakalpojumu atlikumos</w:t>
            </w:r>
          </w:p>
        </w:tc>
        <w:tc>
          <w:tcPr>
            <w:tcW w:w="0" w:type="auto"/>
            <w:vAlign w:val="center"/>
          </w:tcPr>
          <w:p w14:paraId="27A006B5"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vAlign w:val="center"/>
          </w:tcPr>
          <w:p w14:paraId="412E12FB"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3,1</w:t>
            </w:r>
          </w:p>
        </w:tc>
        <w:tc>
          <w:tcPr>
            <w:tcW w:w="0" w:type="auto"/>
            <w:vAlign w:val="center"/>
          </w:tcPr>
          <w:p w14:paraId="1F9AEB7C"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5,8</w:t>
            </w:r>
          </w:p>
        </w:tc>
        <w:tc>
          <w:tcPr>
            <w:tcW w:w="0" w:type="auto"/>
            <w:vAlign w:val="center"/>
          </w:tcPr>
          <w:p w14:paraId="1548AA00"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-0,3</w:t>
            </w:r>
          </w:p>
        </w:tc>
        <w:tc>
          <w:tcPr>
            <w:tcW w:w="0" w:type="auto"/>
            <w:vAlign w:val="center"/>
          </w:tcPr>
          <w:p w14:paraId="1FAE6D16"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-1,6</w:t>
            </w:r>
          </w:p>
        </w:tc>
        <w:tc>
          <w:tcPr>
            <w:tcW w:w="0" w:type="auto"/>
            <w:vAlign w:val="center"/>
          </w:tcPr>
          <w:p w14:paraId="019BA97B"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6,4</w:t>
            </w:r>
          </w:p>
        </w:tc>
        <w:tc>
          <w:tcPr>
            <w:tcW w:w="0" w:type="auto"/>
            <w:vAlign w:val="center"/>
          </w:tcPr>
          <w:p w14:paraId="4BC187E9"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10,7</w:t>
            </w:r>
          </w:p>
        </w:tc>
        <w:tc>
          <w:tcPr>
            <w:tcW w:w="0" w:type="auto"/>
            <w:vAlign w:val="center"/>
          </w:tcPr>
          <w:p w14:paraId="5A87C046"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8,0</w:t>
            </w:r>
          </w:p>
        </w:tc>
        <w:tc>
          <w:tcPr>
            <w:tcW w:w="0" w:type="auto"/>
            <w:vAlign w:val="center"/>
          </w:tcPr>
          <w:p w14:paraId="24E81F70"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13,0</w:t>
            </w:r>
          </w:p>
        </w:tc>
        <w:tc>
          <w:tcPr>
            <w:tcW w:w="0" w:type="auto"/>
            <w:vAlign w:val="center"/>
          </w:tcPr>
          <w:p w14:paraId="780AD5A3"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16,3</w:t>
            </w:r>
          </w:p>
        </w:tc>
      </w:tr>
    </w:tbl>
    <w:p w14:paraId="77557011" w14:textId="77777777" w:rsidR="006D6A17" w:rsidRPr="0043659D" w:rsidRDefault="006D6A17" w:rsidP="00BE416D">
      <w:pPr>
        <w:spacing w:after="0" w:line="240" w:lineRule="auto"/>
        <w:jc w:val="both"/>
        <w:rPr>
          <w:rFonts w:ascii="Times New Roman" w:eastAsia="Calibri" w:hAnsi="Times New Roman" w:cs="Times New Roman"/>
          <w:kern w:val="2"/>
          <w14:ligatures w14:val="standardContextual"/>
        </w:rPr>
      </w:pPr>
    </w:p>
    <w:p w14:paraId="16A32F81" w14:textId="4BE97BAD" w:rsidR="006D6A17" w:rsidRPr="006D6A17" w:rsidRDefault="006D6A17" w:rsidP="0043659D">
      <w:pPr>
        <w:spacing w:after="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 xml:space="preserve">Budžeta iestāžu maksas pakalpojumu atlikums kā arī tā izmaiņas ir attēlotas tabulā Nr. </w:t>
      </w:r>
      <w:r w:rsidR="004A682A" w:rsidRPr="00F56613">
        <w:rPr>
          <w:rFonts w:ascii="Times New Roman" w:eastAsia="Calibri" w:hAnsi="Times New Roman" w:cs="Times New Roman"/>
          <w:kern w:val="2"/>
          <w:sz w:val="24"/>
          <w:szCs w:val="24"/>
          <w14:ligatures w14:val="standardContextual"/>
        </w:rPr>
        <w:t>2.7.</w:t>
      </w:r>
      <w:r w:rsidRPr="006D6A17">
        <w:rPr>
          <w:rFonts w:ascii="Times New Roman" w:eastAsia="Calibri" w:hAnsi="Times New Roman" w:cs="Times New Roman"/>
          <w:kern w:val="2"/>
          <w:sz w:val="24"/>
          <w:szCs w:val="24"/>
          <w14:ligatures w14:val="standardContextual"/>
        </w:rPr>
        <w:t>1 Budžeta iestāžu maksas pakalpojumu atlikuma dinamika, norāda uz to, ka arī, ja kārtējā gadā tiek palielināta/pārdalīta apropriācija, tomēr tā nav lielāka kā kārtējā gada laikā saņemtie ieņēmumi par sniegtajiem maksas pakalpojumiem, kas netiek izlietoti kārtējā gadā, t</w:t>
      </w:r>
      <w:r w:rsidR="00C96845">
        <w:rPr>
          <w:rFonts w:ascii="Times New Roman" w:eastAsia="Calibri" w:hAnsi="Times New Roman" w:cs="Times New Roman"/>
          <w:kern w:val="2"/>
          <w:sz w:val="24"/>
          <w:szCs w:val="24"/>
          <w14:ligatures w14:val="standardContextual"/>
        </w:rPr>
        <w:t>as uzlabo</w:t>
      </w:r>
      <w:r w:rsidRPr="006D6A17">
        <w:rPr>
          <w:rFonts w:ascii="Times New Roman" w:eastAsia="Calibri" w:hAnsi="Times New Roman" w:cs="Times New Roman"/>
          <w:kern w:val="2"/>
          <w:sz w:val="24"/>
          <w:szCs w:val="24"/>
          <w14:ligatures w14:val="standardContextual"/>
        </w:rPr>
        <w:t xml:space="preserve"> vispārējās valdības budžeta bilanci. </w:t>
      </w:r>
    </w:p>
    <w:p w14:paraId="0D621799" w14:textId="7C1A4C11" w:rsidR="006D6A17" w:rsidRPr="006D6A17" w:rsidRDefault="006D6A17" w:rsidP="0043659D">
      <w:pPr>
        <w:spacing w:after="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Tāpat par fiskāl</w:t>
      </w:r>
      <w:r w:rsidR="00C96845">
        <w:rPr>
          <w:rFonts w:ascii="Times New Roman" w:eastAsia="Calibri" w:hAnsi="Times New Roman" w:cs="Times New Roman"/>
          <w:kern w:val="2"/>
          <w:sz w:val="24"/>
          <w:szCs w:val="24"/>
          <w14:ligatures w14:val="standardContextual"/>
        </w:rPr>
        <w:t>ā</w:t>
      </w:r>
      <w:r w:rsidRPr="006D6A17">
        <w:rPr>
          <w:rFonts w:ascii="Times New Roman" w:eastAsia="Calibri" w:hAnsi="Times New Roman" w:cs="Times New Roman"/>
          <w:kern w:val="2"/>
          <w:sz w:val="24"/>
          <w:szCs w:val="24"/>
          <w14:ligatures w14:val="standardContextual"/>
        </w:rPr>
        <w:t xml:space="preserve"> risk</w:t>
      </w:r>
      <w:r w:rsidR="00C96845">
        <w:rPr>
          <w:rFonts w:ascii="Times New Roman" w:eastAsia="Calibri" w:hAnsi="Times New Roman" w:cs="Times New Roman"/>
          <w:kern w:val="2"/>
          <w:sz w:val="24"/>
          <w:szCs w:val="24"/>
          <w14:ligatures w14:val="standardContextual"/>
        </w:rPr>
        <w:t>a</w:t>
      </w:r>
      <w:r w:rsidRPr="006D6A17">
        <w:rPr>
          <w:rFonts w:ascii="Times New Roman" w:eastAsia="Calibri" w:hAnsi="Times New Roman" w:cs="Times New Roman"/>
          <w:kern w:val="2"/>
          <w:sz w:val="24"/>
          <w:szCs w:val="24"/>
          <w14:ligatures w14:val="standardContextual"/>
        </w:rPr>
        <w:t xml:space="preserve"> avotu ir uzskatāma programma “Apropriācijas rezerve”, kuru plāno atsevišķi no ministriju vai citu centrālo iestāžu budžetiem. Šajā budžeta programmā plāno līdzekļus projektu uzturēšanas apropriācijas rezervei un neizlietoto asignējumu rezervei, ko ministrijas un centrālās iestādes pieprasa un izmanto MK noteiktajā kārtībā. Gadījumā, ja budžeta programmā “Apropriācijas rezerve” pietrūkst līdzekļu ministriju vai citu centrālo iestāžu pieprasījumu nodrošināšanai, tad finanšu ministram atbilstoši LBFV 9.prim panta 6.daļai ir tiesības budžeta programmu “Apropriācijas rezerve” palielināt, kas tiešā veidā negatīvi ietekmē vispārējās valdības budžeta bilanci. Lai novērtētu fiskālo risku ir apkopota informācija </w:t>
      </w:r>
      <w:r w:rsidRPr="001F1B9E">
        <w:rPr>
          <w:rFonts w:ascii="Times New Roman" w:eastAsia="Calibri" w:hAnsi="Times New Roman" w:cs="Times New Roman"/>
          <w:kern w:val="2"/>
          <w:sz w:val="24"/>
          <w:szCs w:val="24"/>
          <w14:ligatures w14:val="standardContextual"/>
        </w:rPr>
        <w:t xml:space="preserve">tabulā </w:t>
      </w:r>
      <w:r w:rsidRPr="00F56613">
        <w:rPr>
          <w:rFonts w:ascii="Times New Roman" w:eastAsia="Calibri" w:hAnsi="Times New Roman" w:cs="Times New Roman"/>
          <w:kern w:val="2"/>
          <w:sz w:val="24"/>
          <w:szCs w:val="24"/>
          <w14:ligatures w14:val="standardContextual"/>
        </w:rPr>
        <w:t>Nr.</w:t>
      </w:r>
      <w:r w:rsidR="004A682A" w:rsidRPr="00F56613">
        <w:rPr>
          <w:rFonts w:ascii="Times New Roman" w:eastAsia="Calibri" w:hAnsi="Times New Roman" w:cs="Times New Roman"/>
          <w:kern w:val="2"/>
          <w:sz w:val="24"/>
          <w:szCs w:val="24"/>
          <w14:ligatures w14:val="standardContextual"/>
        </w:rPr>
        <w:t>2.7.</w:t>
      </w:r>
      <w:r w:rsidRPr="00F56613">
        <w:rPr>
          <w:rFonts w:ascii="Times New Roman" w:eastAsia="Calibri" w:hAnsi="Times New Roman" w:cs="Times New Roman"/>
          <w:kern w:val="2"/>
          <w:sz w:val="24"/>
          <w:szCs w:val="24"/>
          <w14:ligatures w14:val="standardContextual"/>
        </w:rPr>
        <w:t>2</w:t>
      </w:r>
      <w:r w:rsidRPr="006D6A17">
        <w:rPr>
          <w:rFonts w:ascii="Times New Roman" w:eastAsia="Calibri" w:hAnsi="Times New Roman" w:cs="Times New Roman"/>
          <w:kern w:val="2"/>
          <w:sz w:val="24"/>
          <w:szCs w:val="24"/>
          <w14:ligatures w14:val="standardContextual"/>
        </w:rPr>
        <w:t xml:space="preserve">, kurā atspoguļoti dati par kārtējā gada budžeta likuma programmu “Apropriācijas rezerve” ieplānoto finansējumu, budžeta programmas “Apropriācijas rezerve” palielinājumu, kā arī iepriekšējā gada neizlietotie asignējumi, kurus daļēji ministrijas vai centrālās iestādes var pieprasīt kārtējā gadā MK noteiktajā kārtībā. Tabulā </w:t>
      </w:r>
      <w:r w:rsidRPr="00F56613">
        <w:rPr>
          <w:rFonts w:ascii="Times New Roman" w:eastAsia="Calibri" w:hAnsi="Times New Roman" w:cs="Times New Roman"/>
          <w:kern w:val="2"/>
          <w:sz w:val="24"/>
          <w:szCs w:val="24"/>
          <w14:ligatures w14:val="standardContextual"/>
        </w:rPr>
        <w:t>Nr.</w:t>
      </w:r>
      <w:r w:rsidR="004A682A" w:rsidRPr="00F56613">
        <w:rPr>
          <w:rFonts w:ascii="Times New Roman" w:eastAsia="Calibri" w:hAnsi="Times New Roman" w:cs="Times New Roman"/>
          <w:kern w:val="2"/>
          <w:sz w:val="24"/>
          <w:szCs w:val="24"/>
          <w14:ligatures w14:val="standardContextual"/>
        </w:rPr>
        <w:t>2.7.</w:t>
      </w:r>
      <w:r w:rsidRPr="00F56613">
        <w:rPr>
          <w:rFonts w:ascii="Times New Roman" w:eastAsia="Calibri" w:hAnsi="Times New Roman" w:cs="Times New Roman"/>
          <w:kern w:val="2"/>
          <w:sz w:val="24"/>
          <w:szCs w:val="24"/>
          <w14:ligatures w14:val="standardContextual"/>
        </w:rPr>
        <w:t>2</w:t>
      </w:r>
      <w:r w:rsidRPr="006D6A17">
        <w:rPr>
          <w:rFonts w:ascii="Times New Roman" w:eastAsia="Calibri" w:hAnsi="Times New Roman" w:cs="Times New Roman"/>
          <w:kern w:val="2"/>
          <w:sz w:val="24"/>
          <w:szCs w:val="24"/>
          <w14:ligatures w14:val="standardContextual"/>
        </w:rPr>
        <w:t xml:space="preserve"> ir atspoguļoti visi neizlietotie asignējumi, taču atbilstoši LBFV 9.prim panta 4.daļai ministrijas vai centrālās iestādes nepieprasa neizlietoto asignējumu daļu, kas radusies no vienreizējiem prioritārajiem pasākumiem piešķirtā finansējuma un iepriekšējā saimnieciskā gada terminēto vienreizējo pasākumu īstenošanas, kuru mērķis ir sasniegts jau iepriekšējā saimnieciskajā gadā.</w:t>
      </w:r>
    </w:p>
    <w:p w14:paraId="072FF0BF" w14:textId="77777777" w:rsidR="006D6A17" w:rsidRPr="006D6A17" w:rsidRDefault="006D6A17" w:rsidP="0043659D">
      <w:pPr>
        <w:spacing w:after="12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 xml:space="preserve">Programma “Apropriācijas rezerve” tika palielināta 2021. un 2022.gadā, kas radīja negatīvu ietekmi uz vispārējās valdības budžeta bilanci, taču tajā pašā laikā ministriju un centrālo iestāžu neizlietotie asignējumi veidoja 638,8 milj. </w:t>
      </w:r>
      <w:proofErr w:type="spellStart"/>
      <w:r w:rsidRPr="006D6A17">
        <w:rPr>
          <w:rFonts w:ascii="Times New Roman" w:eastAsia="Calibri" w:hAnsi="Times New Roman" w:cs="Times New Roman"/>
          <w:i/>
          <w:iCs/>
          <w:kern w:val="2"/>
          <w:sz w:val="24"/>
          <w:szCs w:val="24"/>
          <w14:ligatures w14:val="standardContextual"/>
        </w:rPr>
        <w:t>euro</w:t>
      </w:r>
      <w:proofErr w:type="spellEnd"/>
      <w:r w:rsidRPr="006D6A17">
        <w:rPr>
          <w:rFonts w:ascii="Times New Roman" w:eastAsia="Calibri" w:hAnsi="Times New Roman" w:cs="Times New Roman"/>
          <w:kern w:val="2"/>
          <w:sz w:val="24"/>
          <w:szCs w:val="24"/>
          <w14:ligatures w14:val="standardContextual"/>
        </w:rPr>
        <w:t xml:space="preserve"> un 258,1 milj. </w:t>
      </w:r>
      <w:proofErr w:type="spellStart"/>
      <w:r w:rsidRPr="006D6A17">
        <w:rPr>
          <w:rFonts w:ascii="Times New Roman" w:eastAsia="Calibri" w:hAnsi="Times New Roman" w:cs="Times New Roman"/>
          <w:i/>
          <w:iCs/>
          <w:kern w:val="2"/>
          <w:sz w:val="24"/>
          <w:szCs w:val="24"/>
          <w14:ligatures w14:val="standardContextual"/>
        </w:rPr>
        <w:t>euro</w:t>
      </w:r>
      <w:proofErr w:type="spellEnd"/>
      <w:r w:rsidRPr="006D6A17">
        <w:rPr>
          <w:rFonts w:ascii="Times New Roman" w:eastAsia="Calibri" w:hAnsi="Times New Roman" w:cs="Times New Roman"/>
          <w:kern w:val="2"/>
          <w:sz w:val="24"/>
          <w:szCs w:val="24"/>
          <w14:ligatures w14:val="standardContextual"/>
        </w:rPr>
        <w:t xml:space="preserve">. Jāatzīmē, ka augstāki neizlietoto asignējumu līmeņi ir novērojami 2020., 2021. un 2022.gadā, kad valdība sniedza atbalstu gan Covid-19 pandēmijas un tās seku pārvarēšanai, gan mājsaimniecībām un uzņēmumiem, lai ierobežotu ārkārtējo energoresursu cenu pieaugumu, gan bēgļiem no Ukrainas. Tāpēc Deklarācijā programmas “Apropriācijas rezerve” palielinājums 2021.gadā un 2022.gadā tiek salīdzināts ar vidējo neizlietoto asignējumu līmeni 2014.-2019.gadā, kas veidoja 172,8 milj. </w:t>
      </w:r>
      <w:proofErr w:type="spellStart"/>
      <w:r w:rsidRPr="006D6A17">
        <w:rPr>
          <w:rFonts w:ascii="Times New Roman" w:eastAsia="Calibri" w:hAnsi="Times New Roman" w:cs="Times New Roman"/>
          <w:i/>
          <w:iCs/>
          <w:kern w:val="2"/>
          <w:sz w:val="24"/>
          <w:szCs w:val="24"/>
          <w14:ligatures w14:val="standardContextual"/>
        </w:rPr>
        <w:t>euro</w:t>
      </w:r>
      <w:proofErr w:type="spellEnd"/>
      <w:r w:rsidRPr="006D6A17">
        <w:rPr>
          <w:rFonts w:ascii="Times New Roman" w:eastAsia="Calibri" w:hAnsi="Times New Roman" w:cs="Times New Roman"/>
          <w:kern w:val="2"/>
          <w:sz w:val="24"/>
          <w:szCs w:val="24"/>
          <w14:ligatures w14:val="standardContextual"/>
        </w:rPr>
        <w:t>, kas būtiski pārsniedz programmas “Apropriācijas rezerve” palielinājumu. Tādējādi budžetā veidojas situācija, ka papildus budžeta programmas “Apropriācijas rezerve” palielinājums ir zemāks kā ikgadējais ietaupījums neizlietoto asignējumu veidā, nodrošinot vispārējās valdības budžeta bilances uzlabojumu.</w:t>
      </w:r>
    </w:p>
    <w:p w14:paraId="00D14D31" w14:textId="2B3C6EBF" w:rsidR="006D6A17" w:rsidRPr="006D6A17" w:rsidRDefault="006D6A17" w:rsidP="006D6A17">
      <w:pPr>
        <w:jc w:val="right"/>
        <w:rPr>
          <w:rFonts w:ascii="Times New Roman" w:eastAsia="Calibri" w:hAnsi="Times New Roman" w:cs="Times New Roman"/>
          <w:b/>
          <w:bCs/>
          <w:kern w:val="2"/>
          <w:sz w:val="24"/>
          <w:szCs w:val="24"/>
          <w14:ligatures w14:val="standardContextual"/>
        </w:rPr>
      </w:pPr>
      <w:r w:rsidRPr="006D6A17">
        <w:rPr>
          <w:rFonts w:ascii="Times New Roman" w:eastAsia="Calibri" w:hAnsi="Times New Roman" w:cs="Times New Roman"/>
          <w:b/>
          <w:bCs/>
          <w:kern w:val="2"/>
          <w:sz w:val="24"/>
          <w:szCs w:val="24"/>
          <w14:ligatures w14:val="standardContextual"/>
        </w:rPr>
        <w:t>Tabula Nr.</w:t>
      </w:r>
      <w:r w:rsidR="004A682A" w:rsidRPr="00F56613">
        <w:rPr>
          <w:rFonts w:ascii="Times New Roman" w:eastAsia="Calibri" w:hAnsi="Times New Roman" w:cs="Times New Roman"/>
          <w:b/>
          <w:bCs/>
          <w:kern w:val="2"/>
          <w:sz w:val="24"/>
          <w:szCs w:val="24"/>
          <w14:ligatures w14:val="standardContextual"/>
        </w:rPr>
        <w:t>2.7.</w:t>
      </w:r>
      <w:r w:rsidRPr="00F56613">
        <w:rPr>
          <w:rFonts w:ascii="Times New Roman" w:eastAsia="Calibri" w:hAnsi="Times New Roman" w:cs="Times New Roman"/>
          <w:b/>
          <w:bCs/>
          <w:kern w:val="2"/>
          <w:sz w:val="24"/>
          <w:szCs w:val="24"/>
          <w14:ligatures w14:val="standardContextual"/>
        </w:rPr>
        <w:t>2</w:t>
      </w:r>
      <w:r w:rsidRPr="006D6A17">
        <w:rPr>
          <w:rFonts w:ascii="Times New Roman" w:eastAsia="Calibri" w:hAnsi="Times New Roman" w:cs="Times New Roman"/>
          <w:b/>
          <w:bCs/>
          <w:kern w:val="2"/>
          <w:sz w:val="24"/>
          <w:szCs w:val="24"/>
          <w14:ligatures w14:val="standardContextual"/>
        </w:rPr>
        <w:t xml:space="preserve"> programma “Apropriācijas rezerve” un neizlietotie asignējumi, milj. </w:t>
      </w:r>
      <w:proofErr w:type="spellStart"/>
      <w:r w:rsidRPr="006D6A17">
        <w:rPr>
          <w:rFonts w:ascii="Times New Roman" w:eastAsia="Calibri" w:hAnsi="Times New Roman" w:cs="Times New Roman"/>
          <w:b/>
          <w:bCs/>
          <w:i/>
          <w:iCs/>
          <w:kern w:val="2"/>
          <w:sz w:val="24"/>
          <w:szCs w:val="24"/>
          <w14:ligatures w14:val="standardContextual"/>
        </w:rPr>
        <w:t>euro</w:t>
      </w:r>
      <w:proofErr w:type="spellEnd"/>
    </w:p>
    <w:tbl>
      <w:tblPr>
        <w:tblStyle w:val="GridTable6Colorful-Accent13"/>
        <w:tblW w:w="9317" w:type="dxa"/>
        <w:tblInd w:w="-5" w:type="dxa"/>
        <w:tblLayout w:type="fixed"/>
        <w:tblLook w:val="04A0" w:firstRow="1" w:lastRow="0" w:firstColumn="1" w:lastColumn="0" w:noHBand="0" w:noVBand="1"/>
      </w:tblPr>
      <w:tblGrid>
        <w:gridCol w:w="2322"/>
        <w:gridCol w:w="778"/>
        <w:gridCol w:w="778"/>
        <w:gridCol w:w="777"/>
        <w:gridCol w:w="777"/>
        <w:gridCol w:w="777"/>
        <w:gridCol w:w="777"/>
        <w:gridCol w:w="777"/>
        <w:gridCol w:w="777"/>
        <w:gridCol w:w="777"/>
      </w:tblGrid>
      <w:tr w:rsidR="000C19C5" w14:paraId="75EE400D" w14:textId="77777777" w:rsidTr="0004033A">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322" w:type="dxa"/>
          </w:tcPr>
          <w:p w14:paraId="64999DD9" w14:textId="77777777" w:rsidR="000C19C5" w:rsidRPr="0004033A" w:rsidRDefault="000C19C5" w:rsidP="000C19C5">
            <w:pPr>
              <w:jc w:val="center"/>
              <w:rPr>
                <w:color w:val="auto"/>
                <w:sz w:val="22"/>
                <w:szCs w:val="22"/>
              </w:rPr>
            </w:pPr>
          </w:p>
        </w:tc>
        <w:tc>
          <w:tcPr>
            <w:tcW w:w="778" w:type="dxa"/>
            <w:vAlign w:val="center"/>
          </w:tcPr>
          <w:p w14:paraId="744987D0"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2014</w:t>
            </w:r>
          </w:p>
        </w:tc>
        <w:tc>
          <w:tcPr>
            <w:tcW w:w="778" w:type="dxa"/>
            <w:vAlign w:val="center"/>
          </w:tcPr>
          <w:p w14:paraId="43EC2BAD"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2015</w:t>
            </w:r>
          </w:p>
        </w:tc>
        <w:tc>
          <w:tcPr>
            <w:tcW w:w="777" w:type="dxa"/>
            <w:vAlign w:val="center"/>
          </w:tcPr>
          <w:p w14:paraId="56546217"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2016</w:t>
            </w:r>
          </w:p>
        </w:tc>
        <w:tc>
          <w:tcPr>
            <w:tcW w:w="777" w:type="dxa"/>
            <w:vAlign w:val="center"/>
          </w:tcPr>
          <w:p w14:paraId="7E43E8D0"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2017</w:t>
            </w:r>
          </w:p>
        </w:tc>
        <w:tc>
          <w:tcPr>
            <w:tcW w:w="777" w:type="dxa"/>
            <w:vAlign w:val="center"/>
          </w:tcPr>
          <w:p w14:paraId="0E477950"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2018</w:t>
            </w:r>
          </w:p>
        </w:tc>
        <w:tc>
          <w:tcPr>
            <w:tcW w:w="777" w:type="dxa"/>
            <w:vAlign w:val="center"/>
          </w:tcPr>
          <w:p w14:paraId="6705AE61"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2019</w:t>
            </w:r>
          </w:p>
        </w:tc>
        <w:tc>
          <w:tcPr>
            <w:tcW w:w="777" w:type="dxa"/>
            <w:vAlign w:val="center"/>
          </w:tcPr>
          <w:p w14:paraId="5FFFA18B"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2020</w:t>
            </w:r>
          </w:p>
        </w:tc>
        <w:tc>
          <w:tcPr>
            <w:tcW w:w="777" w:type="dxa"/>
            <w:vAlign w:val="center"/>
          </w:tcPr>
          <w:p w14:paraId="6CE53752"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2021</w:t>
            </w:r>
          </w:p>
        </w:tc>
        <w:tc>
          <w:tcPr>
            <w:tcW w:w="777" w:type="dxa"/>
            <w:vAlign w:val="center"/>
          </w:tcPr>
          <w:p w14:paraId="30883F39"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2022</w:t>
            </w:r>
          </w:p>
        </w:tc>
      </w:tr>
      <w:tr w:rsidR="00CF0060" w:rsidRPr="00C13310" w14:paraId="567B1524" w14:textId="77777777" w:rsidTr="0004033A">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322" w:type="dxa"/>
          </w:tcPr>
          <w:p w14:paraId="501C2477" w14:textId="77777777" w:rsidR="000C19C5" w:rsidRPr="0004033A" w:rsidRDefault="000C19C5" w:rsidP="00CF0060">
            <w:pPr>
              <w:jc w:val="center"/>
              <w:rPr>
                <w:color w:val="auto"/>
                <w:sz w:val="22"/>
                <w:szCs w:val="22"/>
              </w:rPr>
            </w:pPr>
            <w:r w:rsidRPr="0004033A">
              <w:rPr>
                <w:color w:val="auto"/>
                <w:sz w:val="22"/>
                <w:szCs w:val="22"/>
              </w:rPr>
              <w:t>Apropriācijas rezerve budžeta likumā</w:t>
            </w:r>
          </w:p>
        </w:tc>
        <w:tc>
          <w:tcPr>
            <w:tcW w:w="778" w:type="dxa"/>
            <w:vAlign w:val="center"/>
          </w:tcPr>
          <w:p w14:paraId="62AFB8E1"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4,3</w:t>
            </w:r>
          </w:p>
        </w:tc>
        <w:tc>
          <w:tcPr>
            <w:tcW w:w="778" w:type="dxa"/>
            <w:vAlign w:val="center"/>
          </w:tcPr>
          <w:p w14:paraId="0A546CCE"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w:t>
            </w:r>
          </w:p>
        </w:tc>
        <w:tc>
          <w:tcPr>
            <w:tcW w:w="777" w:type="dxa"/>
            <w:vAlign w:val="center"/>
          </w:tcPr>
          <w:p w14:paraId="63DEBEE0"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3,8</w:t>
            </w:r>
          </w:p>
        </w:tc>
        <w:tc>
          <w:tcPr>
            <w:tcW w:w="777" w:type="dxa"/>
            <w:vAlign w:val="center"/>
          </w:tcPr>
          <w:p w14:paraId="734D7F5F"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15,6</w:t>
            </w:r>
          </w:p>
        </w:tc>
        <w:tc>
          <w:tcPr>
            <w:tcW w:w="777" w:type="dxa"/>
            <w:vAlign w:val="center"/>
          </w:tcPr>
          <w:p w14:paraId="7F1C6435"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14,3</w:t>
            </w:r>
          </w:p>
        </w:tc>
        <w:tc>
          <w:tcPr>
            <w:tcW w:w="777" w:type="dxa"/>
            <w:vAlign w:val="center"/>
          </w:tcPr>
          <w:p w14:paraId="7F3D3977"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10,0</w:t>
            </w:r>
          </w:p>
        </w:tc>
        <w:tc>
          <w:tcPr>
            <w:tcW w:w="777" w:type="dxa"/>
            <w:vAlign w:val="center"/>
          </w:tcPr>
          <w:p w14:paraId="6AD27FF1"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14,3</w:t>
            </w:r>
          </w:p>
        </w:tc>
        <w:tc>
          <w:tcPr>
            <w:tcW w:w="777" w:type="dxa"/>
            <w:vAlign w:val="center"/>
          </w:tcPr>
          <w:p w14:paraId="2883282E"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14,0</w:t>
            </w:r>
          </w:p>
        </w:tc>
        <w:tc>
          <w:tcPr>
            <w:tcW w:w="777" w:type="dxa"/>
            <w:vAlign w:val="center"/>
          </w:tcPr>
          <w:p w14:paraId="4AA92847"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21,0</w:t>
            </w:r>
          </w:p>
        </w:tc>
      </w:tr>
      <w:tr w:rsidR="000C19C5" w:rsidRPr="00C13310" w14:paraId="7E200A70" w14:textId="77777777" w:rsidTr="0004033A">
        <w:trPr>
          <w:trHeight w:val="384"/>
        </w:trPr>
        <w:tc>
          <w:tcPr>
            <w:cnfStyle w:val="001000000000" w:firstRow="0" w:lastRow="0" w:firstColumn="1" w:lastColumn="0" w:oddVBand="0" w:evenVBand="0" w:oddHBand="0" w:evenHBand="0" w:firstRowFirstColumn="0" w:firstRowLastColumn="0" w:lastRowFirstColumn="0" w:lastRowLastColumn="0"/>
            <w:tcW w:w="2322" w:type="dxa"/>
          </w:tcPr>
          <w:p w14:paraId="4AE6EEC1" w14:textId="77777777" w:rsidR="000C19C5" w:rsidRPr="0004033A" w:rsidRDefault="000C19C5" w:rsidP="00CF0060">
            <w:pPr>
              <w:jc w:val="center"/>
              <w:rPr>
                <w:color w:val="auto"/>
                <w:sz w:val="22"/>
                <w:szCs w:val="22"/>
              </w:rPr>
            </w:pPr>
            <w:r w:rsidRPr="0004033A">
              <w:rPr>
                <w:color w:val="auto"/>
                <w:sz w:val="22"/>
                <w:szCs w:val="22"/>
              </w:rPr>
              <w:t>Apropriācijas rezerves palielināšana</w:t>
            </w:r>
          </w:p>
        </w:tc>
        <w:tc>
          <w:tcPr>
            <w:tcW w:w="778" w:type="dxa"/>
            <w:vAlign w:val="center"/>
          </w:tcPr>
          <w:p w14:paraId="18623270"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8" w:type="dxa"/>
            <w:vAlign w:val="center"/>
          </w:tcPr>
          <w:p w14:paraId="0A35C1BE"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4B563B56"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462F3D9D"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1D5B950A"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5D7174C7"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6499CF75"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7BB89B2F"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19,3</w:t>
            </w:r>
          </w:p>
        </w:tc>
        <w:tc>
          <w:tcPr>
            <w:tcW w:w="777" w:type="dxa"/>
            <w:vAlign w:val="center"/>
          </w:tcPr>
          <w:p w14:paraId="7426588D"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47,3</w:t>
            </w:r>
          </w:p>
        </w:tc>
      </w:tr>
      <w:tr w:rsidR="00CF0060" w:rsidRPr="00C13310" w14:paraId="0E0CD48E" w14:textId="77777777" w:rsidTr="0004033A">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322" w:type="dxa"/>
          </w:tcPr>
          <w:p w14:paraId="2E3D5636" w14:textId="77777777" w:rsidR="000C19C5" w:rsidRPr="0004033A" w:rsidRDefault="000C19C5" w:rsidP="00CF0060">
            <w:pPr>
              <w:jc w:val="center"/>
              <w:rPr>
                <w:color w:val="auto"/>
                <w:sz w:val="22"/>
                <w:szCs w:val="22"/>
              </w:rPr>
            </w:pPr>
            <w:r w:rsidRPr="0004033A">
              <w:rPr>
                <w:color w:val="auto"/>
                <w:sz w:val="22"/>
                <w:szCs w:val="22"/>
              </w:rPr>
              <w:t>Neizlietotie asignējumi</w:t>
            </w:r>
          </w:p>
        </w:tc>
        <w:tc>
          <w:tcPr>
            <w:tcW w:w="778" w:type="dxa"/>
            <w:vAlign w:val="center"/>
          </w:tcPr>
          <w:p w14:paraId="02212246"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109,6</w:t>
            </w:r>
          </w:p>
        </w:tc>
        <w:tc>
          <w:tcPr>
            <w:tcW w:w="778" w:type="dxa"/>
            <w:vAlign w:val="center"/>
          </w:tcPr>
          <w:p w14:paraId="4C2C83F0"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210,9</w:t>
            </w:r>
          </w:p>
        </w:tc>
        <w:tc>
          <w:tcPr>
            <w:tcW w:w="777" w:type="dxa"/>
            <w:vAlign w:val="center"/>
          </w:tcPr>
          <w:p w14:paraId="62CE63FB"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248,6</w:t>
            </w:r>
          </w:p>
        </w:tc>
        <w:tc>
          <w:tcPr>
            <w:tcW w:w="777" w:type="dxa"/>
            <w:vAlign w:val="center"/>
          </w:tcPr>
          <w:p w14:paraId="22DE8434"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330,2</w:t>
            </w:r>
          </w:p>
        </w:tc>
        <w:tc>
          <w:tcPr>
            <w:tcW w:w="777" w:type="dxa"/>
            <w:vAlign w:val="center"/>
          </w:tcPr>
          <w:p w14:paraId="4D828792"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85,1</w:t>
            </w:r>
          </w:p>
        </w:tc>
        <w:tc>
          <w:tcPr>
            <w:tcW w:w="777" w:type="dxa"/>
            <w:vAlign w:val="center"/>
          </w:tcPr>
          <w:p w14:paraId="2397CD39"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52,3</w:t>
            </w:r>
          </w:p>
        </w:tc>
        <w:tc>
          <w:tcPr>
            <w:tcW w:w="777" w:type="dxa"/>
            <w:vAlign w:val="center"/>
          </w:tcPr>
          <w:p w14:paraId="11A8CDBD"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171,1</w:t>
            </w:r>
          </w:p>
        </w:tc>
        <w:tc>
          <w:tcPr>
            <w:tcW w:w="777" w:type="dxa"/>
            <w:vAlign w:val="center"/>
          </w:tcPr>
          <w:p w14:paraId="13E990D2"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638,8</w:t>
            </w:r>
          </w:p>
        </w:tc>
        <w:tc>
          <w:tcPr>
            <w:tcW w:w="777" w:type="dxa"/>
            <w:vAlign w:val="center"/>
          </w:tcPr>
          <w:p w14:paraId="026594DF"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258,1</w:t>
            </w:r>
          </w:p>
        </w:tc>
      </w:tr>
    </w:tbl>
    <w:p w14:paraId="6289BA12" w14:textId="77777777" w:rsidR="006D6A17" w:rsidRPr="00A96163" w:rsidRDefault="006D6A17" w:rsidP="00CF0060">
      <w:pPr>
        <w:spacing w:after="0"/>
        <w:jc w:val="both"/>
        <w:rPr>
          <w:rFonts w:ascii="Times New Roman" w:eastAsia="Calibri" w:hAnsi="Times New Roman" w:cs="Times New Roman"/>
          <w:kern w:val="2"/>
          <w:sz w:val="20"/>
          <w:szCs w:val="20"/>
          <w14:ligatures w14:val="standardContextual"/>
        </w:rPr>
      </w:pPr>
    </w:p>
    <w:p w14:paraId="69165B6C" w14:textId="3E1983D1" w:rsidR="00430EBD" w:rsidRPr="00497710" w:rsidRDefault="00430EBD" w:rsidP="0043659D">
      <w:pPr>
        <w:spacing w:after="100" w:afterAutospacing="1" w:line="240" w:lineRule="auto"/>
        <w:ind w:firstLine="720"/>
        <w:jc w:val="both"/>
        <w:rPr>
          <w:rFonts w:ascii="Times New Roman" w:eastAsia="Calibri" w:hAnsi="Times New Roman" w:cs="Times New Roman"/>
          <w:kern w:val="2"/>
          <w:sz w:val="24"/>
          <w:szCs w:val="24"/>
          <w14:ligatures w14:val="standardContextual"/>
        </w:rPr>
      </w:pPr>
      <w:r w:rsidRPr="00430EBD">
        <w:rPr>
          <w:rFonts w:ascii="Times New Roman" w:eastAsia="Calibri" w:hAnsi="Times New Roman" w:cs="Times New Roman"/>
          <w:kern w:val="2"/>
          <w:sz w:val="24"/>
          <w:szCs w:val="24"/>
          <w14:ligatures w14:val="standardContextual"/>
        </w:rPr>
        <w:lastRenderedPageBreak/>
        <w:t xml:space="preserve">Ņemot vērā, ka valsts budžeta iestāžu maksas pakalpojumu atlikumu izmantošana kārtējā gadā radītā negatīvā ietekme ir zemāka kā pozitīvā ietekme no šo atlikumu izveidošanas, kā arī ņemot vērā, ka budžeta programmas “Apropriācijas rezerve” palielinājums vidēji nepārsniedz ietaupījumu, ko rada neizlietoto asignējumu izveide, </w:t>
      </w:r>
      <w:r w:rsidRPr="0020713B">
        <w:rPr>
          <w:rFonts w:ascii="Times New Roman" w:eastAsia="Calibri" w:hAnsi="Times New Roman" w:cs="Times New Roman"/>
          <w:b/>
          <w:bCs/>
          <w:kern w:val="2"/>
          <w:sz w:val="24"/>
          <w:szCs w:val="24"/>
          <w14:ligatures w14:val="standardContextual"/>
        </w:rPr>
        <w:t>fiskālā nodrošinājuma rezerve šim riskam netiek veidota.</w:t>
      </w:r>
      <w:r w:rsidRPr="00430EBD">
        <w:rPr>
          <w:rFonts w:ascii="Times New Roman" w:eastAsia="Calibri" w:hAnsi="Times New Roman" w:cs="Times New Roman"/>
          <w:kern w:val="2"/>
          <w:sz w:val="24"/>
          <w:szCs w:val="24"/>
          <w14:ligatures w14:val="standardContextual"/>
        </w:rPr>
        <w:t xml:space="preserve"> </w:t>
      </w:r>
    </w:p>
    <w:p w14:paraId="04FD5BE7" w14:textId="75D5C050" w:rsidR="00D736A2" w:rsidRPr="0058124B" w:rsidRDefault="00D736A2" w:rsidP="00497710">
      <w:pPr>
        <w:pStyle w:val="Heading2"/>
        <w:numPr>
          <w:ilvl w:val="1"/>
          <w:numId w:val="4"/>
        </w:numPr>
        <w:tabs>
          <w:tab w:val="left" w:pos="851"/>
        </w:tabs>
        <w:spacing w:before="120" w:after="120" w:line="240" w:lineRule="auto"/>
        <w:ind w:left="567" w:hanging="567"/>
        <w:jc w:val="center"/>
        <w:rPr>
          <w:rFonts w:ascii="Times New Roman" w:hAnsi="Times New Roman" w:cs="Times New Roman"/>
          <w:color w:val="auto"/>
          <w:sz w:val="24"/>
          <w:szCs w:val="24"/>
        </w:rPr>
      </w:pPr>
      <w:bookmarkStart w:id="74" w:name="_Toc142388034"/>
      <w:r w:rsidRPr="00D736A2">
        <w:rPr>
          <w:rFonts w:ascii="Times New Roman" w:hAnsi="Times New Roman" w:cs="Times New Roman"/>
          <w:color w:val="auto"/>
          <w:sz w:val="24"/>
          <w:szCs w:val="24"/>
        </w:rPr>
        <w:t>Fiskālie riski saistībā ar “būvnieku karteļa” lietu</w:t>
      </w:r>
      <w:bookmarkEnd w:id="74"/>
    </w:p>
    <w:p w14:paraId="06BB6F62" w14:textId="7D129A26" w:rsidR="00D736A2" w:rsidRPr="00BB69DC" w:rsidRDefault="00D736A2" w:rsidP="00D736A2">
      <w:pPr>
        <w:spacing w:after="0" w:line="240" w:lineRule="auto"/>
        <w:ind w:firstLine="720"/>
        <w:jc w:val="both"/>
        <w:rPr>
          <w:rFonts w:ascii="Times New Roman" w:hAnsi="Times New Roman"/>
          <w:sz w:val="24"/>
          <w:szCs w:val="24"/>
        </w:rPr>
      </w:pPr>
      <w:r>
        <w:rPr>
          <w:rFonts w:ascii="Times New Roman" w:hAnsi="Times New Roman"/>
          <w:sz w:val="24"/>
          <w:szCs w:val="24"/>
        </w:rPr>
        <w:t>2021.gada 30.</w:t>
      </w:r>
      <w:r w:rsidRPr="00BB69DC">
        <w:rPr>
          <w:rFonts w:ascii="Times New Roman" w:hAnsi="Times New Roman"/>
          <w:sz w:val="24"/>
          <w:szCs w:val="24"/>
        </w:rPr>
        <w:t>j</w:t>
      </w:r>
      <w:r w:rsidRPr="00BB69DC">
        <w:rPr>
          <w:rFonts w:ascii="Times New Roman" w:hAnsi="Times New Roman" w:hint="eastAsia"/>
          <w:sz w:val="24"/>
          <w:szCs w:val="24"/>
        </w:rPr>
        <w:t>ū</w:t>
      </w:r>
      <w:r w:rsidRPr="00BB69DC">
        <w:rPr>
          <w:rFonts w:ascii="Times New Roman" w:hAnsi="Times New Roman"/>
          <w:sz w:val="24"/>
          <w:szCs w:val="24"/>
        </w:rPr>
        <w:t>lij</w:t>
      </w:r>
      <w:r w:rsidRPr="00BB69DC">
        <w:rPr>
          <w:rFonts w:ascii="Times New Roman" w:hAnsi="Times New Roman" w:hint="eastAsia"/>
          <w:sz w:val="24"/>
          <w:szCs w:val="24"/>
        </w:rPr>
        <w:t>ā</w:t>
      </w:r>
      <w:r w:rsidRPr="00BB69DC">
        <w:rPr>
          <w:rFonts w:ascii="Times New Roman" w:hAnsi="Times New Roman"/>
          <w:sz w:val="24"/>
          <w:szCs w:val="24"/>
        </w:rPr>
        <w:t xml:space="preserve"> </w:t>
      </w:r>
      <w:r w:rsidR="00F0641B">
        <w:rPr>
          <w:rFonts w:ascii="Times New Roman" w:hAnsi="Times New Roman"/>
          <w:sz w:val="24"/>
          <w:szCs w:val="24"/>
        </w:rPr>
        <w:t xml:space="preserve">Konkurences padome (turpmāk </w:t>
      </w:r>
      <w:r w:rsidRPr="00BB69DC">
        <w:rPr>
          <w:rFonts w:ascii="Times New Roman" w:hAnsi="Times New Roman"/>
          <w:sz w:val="24"/>
          <w:szCs w:val="24"/>
        </w:rPr>
        <w:t>KP</w:t>
      </w:r>
      <w:r w:rsidR="00F0641B">
        <w:rPr>
          <w:rFonts w:ascii="Times New Roman" w:hAnsi="Times New Roman"/>
          <w:sz w:val="24"/>
          <w:szCs w:val="24"/>
        </w:rPr>
        <w:t>)</w:t>
      </w:r>
      <w:r w:rsidRPr="00BB69DC">
        <w:rPr>
          <w:rFonts w:ascii="Times New Roman" w:hAnsi="Times New Roman"/>
          <w:sz w:val="24"/>
          <w:szCs w:val="24"/>
        </w:rPr>
        <w:t xml:space="preserve"> pie</w:t>
      </w:r>
      <w:r w:rsidRPr="00BB69DC">
        <w:rPr>
          <w:rFonts w:ascii="Times New Roman" w:hAnsi="Times New Roman" w:hint="eastAsia"/>
          <w:sz w:val="24"/>
          <w:szCs w:val="24"/>
        </w:rPr>
        <w:t>ņē</w:t>
      </w:r>
      <w:r w:rsidRPr="00BB69DC">
        <w:rPr>
          <w:rFonts w:ascii="Times New Roman" w:hAnsi="Times New Roman"/>
          <w:sz w:val="24"/>
          <w:szCs w:val="24"/>
        </w:rPr>
        <w:t>ma</w:t>
      </w:r>
      <w:r w:rsidRPr="00BB69DC">
        <w:rPr>
          <w:rFonts w:ascii="Times New Roman" w:hAnsi="Times New Roman" w:hint="eastAsia"/>
          <w:sz w:val="24"/>
          <w:szCs w:val="24"/>
        </w:rPr>
        <w:t> </w:t>
      </w:r>
      <w:r w:rsidRPr="00BB69DC">
        <w:rPr>
          <w:rFonts w:ascii="Times New Roman" w:hAnsi="Times New Roman"/>
          <w:sz w:val="24"/>
          <w:szCs w:val="24"/>
        </w:rPr>
        <w:t>l</w:t>
      </w:r>
      <w:r w:rsidRPr="00BB69DC">
        <w:rPr>
          <w:rFonts w:ascii="Times New Roman" w:hAnsi="Times New Roman" w:hint="eastAsia"/>
          <w:sz w:val="24"/>
          <w:szCs w:val="24"/>
        </w:rPr>
        <w:t>ē</w:t>
      </w:r>
      <w:r w:rsidRPr="00BB69DC">
        <w:rPr>
          <w:rFonts w:ascii="Times New Roman" w:hAnsi="Times New Roman"/>
          <w:sz w:val="24"/>
          <w:szCs w:val="24"/>
        </w:rPr>
        <w:t>mumu</w:t>
      </w:r>
      <w:r>
        <w:rPr>
          <w:rFonts w:ascii="Times New Roman" w:hAnsi="Times New Roman"/>
          <w:sz w:val="24"/>
          <w:szCs w:val="24"/>
        </w:rPr>
        <w:t xml:space="preserve"> </w:t>
      </w:r>
      <w:r w:rsidRPr="002E7892">
        <w:rPr>
          <w:rFonts w:ascii="Times New Roman" w:hAnsi="Times New Roman"/>
          <w:sz w:val="24"/>
          <w:szCs w:val="24"/>
        </w:rPr>
        <w:t>Nr.22 “Par pārkāpuma konstatēšanu un naudas soda uzlikšanu”</w:t>
      </w:r>
      <w:r>
        <w:rPr>
          <w:rFonts w:ascii="Times New Roman" w:hAnsi="Times New Roman"/>
          <w:sz w:val="24"/>
          <w:szCs w:val="24"/>
        </w:rPr>
        <w:t xml:space="preserve"> jeb</w:t>
      </w:r>
      <w:r w:rsidRPr="00BB69DC">
        <w:rPr>
          <w:rFonts w:ascii="Times New Roman" w:hAnsi="Times New Roman" w:hint="eastAsia"/>
          <w:sz w:val="24"/>
          <w:szCs w:val="24"/>
        </w:rPr>
        <w:t> </w:t>
      </w:r>
      <w:r w:rsidRPr="00BB69DC">
        <w:rPr>
          <w:rFonts w:ascii="Times New Roman" w:hAnsi="Times New Roman"/>
          <w:sz w:val="24"/>
          <w:szCs w:val="24"/>
        </w:rPr>
        <w:t>t.s.</w:t>
      </w:r>
      <w:r w:rsidRPr="00BB69DC">
        <w:rPr>
          <w:rFonts w:ascii="Times New Roman" w:hAnsi="Times New Roman" w:hint="eastAsia"/>
          <w:sz w:val="24"/>
          <w:szCs w:val="24"/>
        </w:rPr>
        <w:t>“</w:t>
      </w:r>
      <w:r w:rsidRPr="00BB69DC">
        <w:rPr>
          <w:rFonts w:ascii="Times New Roman" w:hAnsi="Times New Roman"/>
          <w:sz w:val="24"/>
          <w:szCs w:val="24"/>
        </w:rPr>
        <w:t>b</w:t>
      </w:r>
      <w:r w:rsidRPr="00BB69DC">
        <w:rPr>
          <w:rFonts w:ascii="Times New Roman" w:hAnsi="Times New Roman" w:hint="eastAsia"/>
          <w:sz w:val="24"/>
          <w:szCs w:val="24"/>
        </w:rPr>
        <w:t>ū</w:t>
      </w:r>
      <w:r w:rsidRPr="00BB69DC">
        <w:rPr>
          <w:rFonts w:ascii="Times New Roman" w:hAnsi="Times New Roman"/>
          <w:sz w:val="24"/>
          <w:szCs w:val="24"/>
        </w:rPr>
        <w:t>vnieku karte</w:t>
      </w:r>
      <w:r w:rsidRPr="00BB69DC">
        <w:rPr>
          <w:rFonts w:ascii="Times New Roman" w:hAnsi="Times New Roman" w:hint="eastAsia"/>
          <w:sz w:val="24"/>
          <w:szCs w:val="24"/>
        </w:rPr>
        <w:t>ļ</w:t>
      </w:r>
      <w:r w:rsidRPr="00BB69DC">
        <w:rPr>
          <w:rFonts w:ascii="Times New Roman" w:hAnsi="Times New Roman"/>
          <w:sz w:val="24"/>
          <w:szCs w:val="24"/>
        </w:rPr>
        <w:t>a</w:t>
      </w:r>
      <w:r w:rsidRPr="00BB69DC">
        <w:rPr>
          <w:rFonts w:ascii="Times New Roman" w:hAnsi="Times New Roman" w:hint="eastAsia"/>
          <w:sz w:val="24"/>
          <w:szCs w:val="24"/>
        </w:rPr>
        <w:t>”</w:t>
      </w:r>
      <w:r w:rsidRPr="00BB69DC">
        <w:rPr>
          <w:rFonts w:ascii="Times New Roman" w:hAnsi="Times New Roman"/>
          <w:sz w:val="24"/>
          <w:szCs w:val="24"/>
        </w:rPr>
        <w:t>liet</w:t>
      </w:r>
      <w:r w:rsidRPr="00BB69DC">
        <w:rPr>
          <w:rFonts w:ascii="Times New Roman" w:hAnsi="Times New Roman" w:hint="eastAsia"/>
          <w:sz w:val="24"/>
          <w:szCs w:val="24"/>
        </w:rPr>
        <w:t>ā</w:t>
      </w:r>
      <w:r w:rsidRPr="00BB69DC">
        <w:rPr>
          <w:rFonts w:ascii="Times New Roman" w:hAnsi="Times New Roman"/>
          <w:sz w:val="24"/>
          <w:szCs w:val="24"/>
        </w:rPr>
        <w:t>, konstat</w:t>
      </w:r>
      <w:r w:rsidRPr="00BB69DC">
        <w:rPr>
          <w:rFonts w:ascii="Times New Roman" w:hAnsi="Times New Roman" w:hint="eastAsia"/>
          <w:sz w:val="24"/>
          <w:szCs w:val="24"/>
        </w:rPr>
        <w:t>ē</w:t>
      </w:r>
      <w:r w:rsidRPr="00BB69DC">
        <w:rPr>
          <w:rFonts w:ascii="Times New Roman" w:hAnsi="Times New Roman"/>
          <w:sz w:val="24"/>
          <w:szCs w:val="24"/>
        </w:rPr>
        <w:t>jot desmit b</w:t>
      </w:r>
      <w:r w:rsidRPr="00BB69DC">
        <w:rPr>
          <w:rFonts w:ascii="Times New Roman" w:hAnsi="Times New Roman" w:hint="eastAsia"/>
          <w:sz w:val="24"/>
          <w:szCs w:val="24"/>
        </w:rPr>
        <w:t>ū</w:t>
      </w:r>
      <w:r w:rsidRPr="00BB69DC">
        <w:rPr>
          <w:rFonts w:ascii="Times New Roman" w:hAnsi="Times New Roman"/>
          <w:sz w:val="24"/>
          <w:szCs w:val="24"/>
        </w:rPr>
        <w:t>vniec</w:t>
      </w:r>
      <w:r w:rsidRPr="00BB69DC">
        <w:rPr>
          <w:rFonts w:ascii="Times New Roman" w:hAnsi="Times New Roman" w:hint="eastAsia"/>
          <w:sz w:val="24"/>
          <w:szCs w:val="24"/>
        </w:rPr>
        <w:t>ī</w:t>
      </w:r>
      <w:r w:rsidRPr="00BB69DC">
        <w:rPr>
          <w:rFonts w:ascii="Times New Roman" w:hAnsi="Times New Roman"/>
          <w:sz w:val="24"/>
          <w:szCs w:val="24"/>
        </w:rPr>
        <w:t>bas uz</w:t>
      </w:r>
      <w:r w:rsidRPr="00BB69DC">
        <w:rPr>
          <w:rFonts w:ascii="Times New Roman" w:hAnsi="Times New Roman" w:hint="eastAsia"/>
          <w:sz w:val="24"/>
          <w:szCs w:val="24"/>
        </w:rPr>
        <w:t>ņē</w:t>
      </w:r>
      <w:r w:rsidRPr="00BB69DC">
        <w:rPr>
          <w:rFonts w:ascii="Times New Roman" w:hAnsi="Times New Roman"/>
          <w:sz w:val="24"/>
          <w:szCs w:val="24"/>
        </w:rPr>
        <w:t>mumu ilggad</w:t>
      </w:r>
      <w:r w:rsidRPr="00BB69DC">
        <w:rPr>
          <w:rFonts w:ascii="Times New Roman" w:hAnsi="Times New Roman" w:hint="eastAsia"/>
          <w:sz w:val="24"/>
          <w:szCs w:val="24"/>
        </w:rPr>
        <w:t>ē</w:t>
      </w:r>
      <w:r w:rsidRPr="00BB69DC">
        <w:rPr>
          <w:rFonts w:ascii="Times New Roman" w:hAnsi="Times New Roman"/>
          <w:sz w:val="24"/>
          <w:szCs w:val="24"/>
        </w:rPr>
        <w:t>ju aizliegtu vieno</w:t>
      </w:r>
      <w:r w:rsidRPr="00BB69DC">
        <w:rPr>
          <w:rFonts w:ascii="Times New Roman" w:hAnsi="Times New Roman" w:hint="eastAsia"/>
          <w:sz w:val="24"/>
          <w:szCs w:val="24"/>
        </w:rPr>
        <w:t>š</w:t>
      </w:r>
      <w:r w:rsidRPr="00BB69DC">
        <w:rPr>
          <w:rFonts w:ascii="Times New Roman" w:hAnsi="Times New Roman"/>
          <w:sz w:val="24"/>
          <w:szCs w:val="24"/>
        </w:rPr>
        <w:t>anos par dal</w:t>
      </w:r>
      <w:r w:rsidRPr="00BB69DC">
        <w:rPr>
          <w:rFonts w:ascii="Times New Roman" w:hAnsi="Times New Roman" w:hint="eastAsia"/>
          <w:sz w:val="24"/>
          <w:szCs w:val="24"/>
        </w:rPr>
        <w:t>ī</w:t>
      </w:r>
      <w:r w:rsidRPr="00BB69DC">
        <w:rPr>
          <w:rFonts w:ascii="Times New Roman" w:hAnsi="Times New Roman"/>
          <w:sz w:val="24"/>
          <w:szCs w:val="24"/>
        </w:rPr>
        <w:t>bas nosac</w:t>
      </w:r>
      <w:r w:rsidRPr="00BB69DC">
        <w:rPr>
          <w:rFonts w:ascii="Times New Roman" w:hAnsi="Times New Roman" w:hint="eastAsia"/>
          <w:sz w:val="24"/>
          <w:szCs w:val="24"/>
        </w:rPr>
        <w:t>ī</w:t>
      </w:r>
      <w:r w:rsidRPr="00BB69DC">
        <w:rPr>
          <w:rFonts w:ascii="Times New Roman" w:hAnsi="Times New Roman"/>
          <w:sz w:val="24"/>
          <w:szCs w:val="24"/>
        </w:rPr>
        <w:t>jumiem publiskajos un priv</w:t>
      </w:r>
      <w:r w:rsidRPr="00BB69DC">
        <w:rPr>
          <w:rFonts w:ascii="Times New Roman" w:hAnsi="Times New Roman" w:hint="eastAsia"/>
          <w:sz w:val="24"/>
          <w:szCs w:val="24"/>
        </w:rPr>
        <w:t>ā</w:t>
      </w:r>
      <w:r w:rsidRPr="00BB69DC">
        <w:rPr>
          <w:rFonts w:ascii="Times New Roman" w:hAnsi="Times New Roman"/>
          <w:sz w:val="24"/>
          <w:szCs w:val="24"/>
        </w:rPr>
        <w:t>tajos iepirkumos Latvij</w:t>
      </w:r>
      <w:r w:rsidRPr="00BB69DC">
        <w:rPr>
          <w:rFonts w:ascii="Times New Roman" w:hAnsi="Times New Roman" w:hint="eastAsia"/>
          <w:sz w:val="24"/>
          <w:szCs w:val="24"/>
        </w:rPr>
        <w:t>ā</w:t>
      </w:r>
      <w:r w:rsidRPr="00BB69DC">
        <w:rPr>
          <w:rFonts w:ascii="Times New Roman" w:hAnsi="Times New Roman"/>
          <w:sz w:val="24"/>
          <w:szCs w:val="24"/>
        </w:rPr>
        <w:t xml:space="preserve">. Par </w:t>
      </w:r>
      <w:r w:rsidRPr="00BB69DC">
        <w:rPr>
          <w:rFonts w:ascii="Times New Roman" w:hAnsi="Times New Roman" w:hint="eastAsia"/>
          <w:sz w:val="24"/>
          <w:szCs w:val="24"/>
        </w:rPr>
        <w:t>ī</w:t>
      </w:r>
      <w:r w:rsidRPr="00BB69DC">
        <w:rPr>
          <w:rFonts w:ascii="Times New Roman" w:hAnsi="Times New Roman"/>
          <w:sz w:val="24"/>
          <w:szCs w:val="24"/>
        </w:rPr>
        <w:t>stenoto konkurences ties</w:t>
      </w:r>
      <w:r w:rsidRPr="00BB69DC">
        <w:rPr>
          <w:rFonts w:ascii="Times New Roman" w:hAnsi="Times New Roman" w:hint="eastAsia"/>
          <w:sz w:val="24"/>
          <w:szCs w:val="24"/>
        </w:rPr>
        <w:t>ī</w:t>
      </w:r>
      <w:r w:rsidRPr="00BB69DC">
        <w:rPr>
          <w:rFonts w:ascii="Times New Roman" w:hAnsi="Times New Roman"/>
          <w:sz w:val="24"/>
          <w:szCs w:val="24"/>
        </w:rPr>
        <w:t>bu p</w:t>
      </w:r>
      <w:r w:rsidRPr="00BB69DC">
        <w:rPr>
          <w:rFonts w:ascii="Times New Roman" w:hAnsi="Times New Roman" w:hint="eastAsia"/>
          <w:sz w:val="24"/>
          <w:szCs w:val="24"/>
        </w:rPr>
        <w:t>ā</w:t>
      </w:r>
      <w:r w:rsidRPr="00BB69DC">
        <w:rPr>
          <w:rFonts w:ascii="Times New Roman" w:hAnsi="Times New Roman"/>
          <w:sz w:val="24"/>
          <w:szCs w:val="24"/>
        </w:rPr>
        <w:t>rk</w:t>
      </w:r>
      <w:r w:rsidRPr="00BB69DC">
        <w:rPr>
          <w:rFonts w:ascii="Times New Roman" w:hAnsi="Times New Roman" w:hint="eastAsia"/>
          <w:sz w:val="24"/>
          <w:szCs w:val="24"/>
        </w:rPr>
        <w:t>ā</w:t>
      </w:r>
      <w:r w:rsidRPr="00BB69DC">
        <w:rPr>
          <w:rFonts w:ascii="Times New Roman" w:hAnsi="Times New Roman"/>
          <w:sz w:val="24"/>
          <w:szCs w:val="24"/>
        </w:rPr>
        <w:t>pumu uz</w:t>
      </w:r>
      <w:r w:rsidRPr="00BB69DC">
        <w:rPr>
          <w:rFonts w:ascii="Times New Roman" w:hAnsi="Times New Roman" w:hint="eastAsia"/>
          <w:sz w:val="24"/>
          <w:szCs w:val="24"/>
        </w:rPr>
        <w:t>ņē</w:t>
      </w:r>
      <w:r w:rsidRPr="00BB69DC">
        <w:rPr>
          <w:rFonts w:ascii="Times New Roman" w:hAnsi="Times New Roman"/>
          <w:sz w:val="24"/>
          <w:szCs w:val="24"/>
        </w:rPr>
        <w:t>mumiem piem</w:t>
      </w:r>
      <w:r w:rsidRPr="00BB69DC">
        <w:rPr>
          <w:rFonts w:ascii="Times New Roman" w:hAnsi="Times New Roman" w:hint="eastAsia"/>
          <w:sz w:val="24"/>
          <w:szCs w:val="24"/>
        </w:rPr>
        <w:t>ē</w:t>
      </w:r>
      <w:r w:rsidRPr="00BB69DC">
        <w:rPr>
          <w:rFonts w:ascii="Times New Roman" w:hAnsi="Times New Roman"/>
          <w:sz w:val="24"/>
          <w:szCs w:val="24"/>
        </w:rPr>
        <w:t>rots naudas sods kopum</w:t>
      </w:r>
      <w:r w:rsidRPr="00BB69DC">
        <w:rPr>
          <w:rFonts w:ascii="Times New Roman" w:hAnsi="Times New Roman" w:hint="eastAsia"/>
          <w:sz w:val="24"/>
          <w:szCs w:val="24"/>
        </w:rPr>
        <w:t>ā</w:t>
      </w:r>
      <w:r w:rsidRPr="00BB69DC">
        <w:rPr>
          <w:rFonts w:ascii="Times New Roman" w:hAnsi="Times New Roman"/>
          <w:sz w:val="24"/>
          <w:szCs w:val="24"/>
        </w:rPr>
        <w:t xml:space="preserve"> 16</w:t>
      </w:r>
      <w:r w:rsidRPr="00BB69DC">
        <w:rPr>
          <w:rFonts w:ascii="Times New Roman" w:hAnsi="Times New Roman" w:hint="eastAsia"/>
          <w:sz w:val="24"/>
          <w:szCs w:val="24"/>
        </w:rPr>
        <w:t> </w:t>
      </w:r>
      <w:r w:rsidRPr="00BB69DC">
        <w:rPr>
          <w:rFonts w:ascii="Times New Roman" w:hAnsi="Times New Roman"/>
          <w:sz w:val="24"/>
          <w:szCs w:val="24"/>
        </w:rPr>
        <w:t>652</w:t>
      </w:r>
      <w:r w:rsidRPr="00BB69DC">
        <w:rPr>
          <w:rFonts w:ascii="Times New Roman" w:hAnsi="Times New Roman" w:hint="eastAsia"/>
          <w:sz w:val="24"/>
          <w:szCs w:val="24"/>
        </w:rPr>
        <w:t> </w:t>
      </w:r>
      <w:r w:rsidRPr="00BB69DC">
        <w:rPr>
          <w:rFonts w:ascii="Times New Roman" w:hAnsi="Times New Roman"/>
          <w:sz w:val="24"/>
          <w:szCs w:val="24"/>
        </w:rPr>
        <w:t xml:space="preserve">027,40 </w:t>
      </w:r>
      <w:proofErr w:type="spellStart"/>
      <w:r w:rsidRPr="00BB69DC">
        <w:rPr>
          <w:rFonts w:ascii="Times New Roman" w:hAnsi="Times New Roman"/>
          <w:i/>
          <w:sz w:val="24"/>
          <w:szCs w:val="24"/>
        </w:rPr>
        <w:t>euro</w:t>
      </w:r>
      <w:proofErr w:type="spellEnd"/>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w:t>
      </w:r>
    </w:p>
    <w:p w14:paraId="5FACBA7F" w14:textId="04060AB8"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KP inform</w:t>
      </w:r>
      <w:r w:rsidRPr="00BB69DC">
        <w:rPr>
          <w:rFonts w:ascii="Times New Roman" w:hAnsi="Times New Roman" w:hint="eastAsia"/>
          <w:sz w:val="24"/>
          <w:szCs w:val="24"/>
        </w:rPr>
        <w:t>ē</w:t>
      </w:r>
      <w:r w:rsidRPr="00BB69DC">
        <w:rPr>
          <w:rFonts w:ascii="Times New Roman" w:hAnsi="Times New Roman"/>
          <w:sz w:val="24"/>
          <w:szCs w:val="24"/>
        </w:rPr>
        <w:t>ja, ka lietas dal</w:t>
      </w:r>
      <w:r w:rsidRPr="00BB69DC">
        <w:rPr>
          <w:rFonts w:ascii="Times New Roman" w:hAnsi="Times New Roman" w:hint="eastAsia"/>
          <w:sz w:val="24"/>
          <w:szCs w:val="24"/>
        </w:rPr>
        <w:t>ī</w:t>
      </w:r>
      <w:r w:rsidRPr="00BB69DC">
        <w:rPr>
          <w:rFonts w:ascii="Times New Roman" w:hAnsi="Times New Roman"/>
          <w:sz w:val="24"/>
          <w:szCs w:val="24"/>
        </w:rPr>
        <w:t>bnieki</w:t>
      </w:r>
      <w:r w:rsidR="00A96163">
        <w:rPr>
          <w:rFonts w:ascii="Times New Roman" w:hAnsi="Times New Roman"/>
          <w:sz w:val="24"/>
          <w:szCs w:val="24"/>
        </w:rPr>
        <w:t xml:space="preserve"> </w:t>
      </w:r>
      <w:r w:rsidRPr="00BB69DC">
        <w:rPr>
          <w:rFonts w:ascii="Times New Roman" w:hAnsi="Times New Roman"/>
          <w:sz w:val="24"/>
          <w:szCs w:val="24"/>
        </w:rPr>
        <w:t>vienoj</w:t>
      </w:r>
      <w:r w:rsidRPr="00BB69DC">
        <w:rPr>
          <w:rFonts w:ascii="Times New Roman" w:hAnsi="Times New Roman" w:hint="eastAsia"/>
          <w:sz w:val="24"/>
          <w:szCs w:val="24"/>
        </w:rPr>
        <w:t>ā</w:t>
      </w:r>
      <w:r w:rsidRPr="00BB69DC">
        <w:rPr>
          <w:rFonts w:ascii="Times New Roman" w:hAnsi="Times New Roman"/>
          <w:sz w:val="24"/>
          <w:szCs w:val="24"/>
        </w:rPr>
        <w:t>s gan par priv</w:t>
      </w:r>
      <w:r w:rsidRPr="00BB69DC">
        <w:rPr>
          <w:rFonts w:ascii="Times New Roman" w:hAnsi="Times New Roman" w:hint="eastAsia"/>
          <w:sz w:val="24"/>
          <w:szCs w:val="24"/>
        </w:rPr>
        <w:t>ā</w:t>
      </w:r>
      <w:r w:rsidRPr="00BB69DC">
        <w:rPr>
          <w:rFonts w:ascii="Times New Roman" w:hAnsi="Times New Roman"/>
          <w:sz w:val="24"/>
          <w:szCs w:val="24"/>
        </w:rPr>
        <w:t xml:space="preserve">tajiem, gan publiskajiem iepirkumiem, t.sk. </w:t>
      </w:r>
      <w:r>
        <w:rPr>
          <w:rFonts w:ascii="Times New Roman" w:hAnsi="Times New Roman"/>
          <w:sz w:val="24"/>
          <w:szCs w:val="24"/>
        </w:rPr>
        <w:t>ES</w:t>
      </w:r>
      <w:r w:rsidRPr="00BB69DC">
        <w:rPr>
          <w:rFonts w:ascii="Times New Roman" w:hAnsi="Times New Roman"/>
          <w:sz w:val="24"/>
          <w:szCs w:val="24"/>
        </w:rPr>
        <w:t xml:space="preserve">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tajiem iepirkumiem.</w:t>
      </w:r>
      <w:r w:rsidR="00A96163" w:rsidRPr="00BB69DC" w:rsidDel="00A96163">
        <w:rPr>
          <w:rFonts w:ascii="Times New Roman" w:hAnsi="Times New Roman" w:hint="eastAsia"/>
          <w:sz w:val="24"/>
          <w:szCs w:val="24"/>
        </w:rPr>
        <w:t xml:space="preserve"> </w:t>
      </w:r>
      <w:r w:rsidRPr="00BB69DC">
        <w:rPr>
          <w:rFonts w:ascii="Times New Roman" w:hAnsi="Times New Roman"/>
          <w:sz w:val="24"/>
          <w:szCs w:val="24"/>
        </w:rPr>
        <w:t>KP, veicot lietas materi</w:t>
      </w:r>
      <w:r w:rsidRPr="00BB69DC">
        <w:rPr>
          <w:rFonts w:ascii="Times New Roman" w:hAnsi="Times New Roman" w:hint="eastAsia"/>
          <w:sz w:val="24"/>
          <w:szCs w:val="24"/>
        </w:rPr>
        <w:t>ā</w:t>
      </w:r>
      <w:r w:rsidRPr="00BB69DC">
        <w:rPr>
          <w:rFonts w:ascii="Times New Roman" w:hAnsi="Times New Roman"/>
          <w:sz w:val="24"/>
          <w:szCs w:val="24"/>
        </w:rPr>
        <w:t>lu anal</w:t>
      </w:r>
      <w:r w:rsidRPr="00BB69DC">
        <w:rPr>
          <w:rFonts w:ascii="Times New Roman" w:hAnsi="Times New Roman" w:hint="eastAsia"/>
          <w:sz w:val="24"/>
          <w:szCs w:val="24"/>
        </w:rPr>
        <w:t>ī</w:t>
      </w:r>
      <w:r w:rsidRPr="00BB69DC">
        <w:rPr>
          <w:rFonts w:ascii="Times New Roman" w:hAnsi="Times New Roman"/>
          <w:sz w:val="24"/>
          <w:szCs w:val="24"/>
        </w:rPr>
        <w:t>zi, secin</w:t>
      </w:r>
      <w:r w:rsidRPr="00BB69DC">
        <w:rPr>
          <w:rFonts w:ascii="Times New Roman" w:hAnsi="Times New Roman" w:hint="eastAsia"/>
          <w:sz w:val="24"/>
          <w:szCs w:val="24"/>
        </w:rPr>
        <w:t>ā</w:t>
      </w:r>
      <w:r w:rsidRPr="00BB69DC">
        <w:rPr>
          <w:rFonts w:ascii="Times New Roman" w:hAnsi="Times New Roman"/>
          <w:sz w:val="24"/>
          <w:szCs w:val="24"/>
        </w:rPr>
        <w:t>ja, ka b</w:t>
      </w:r>
      <w:r w:rsidRPr="00BB69DC">
        <w:rPr>
          <w:rFonts w:ascii="Times New Roman" w:hAnsi="Times New Roman" w:hint="eastAsia"/>
          <w:sz w:val="24"/>
          <w:szCs w:val="24"/>
        </w:rPr>
        <w:t>ū</w:t>
      </w:r>
      <w:r w:rsidRPr="00BB69DC">
        <w:rPr>
          <w:rFonts w:ascii="Times New Roman" w:hAnsi="Times New Roman"/>
          <w:sz w:val="24"/>
          <w:szCs w:val="24"/>
        </w:rPr>
        <w:t>vniec</w:t>
      </w:r>
      <w:r w:rsidRPr="00BB69DC">
        <w:rPr>
          <w:rFonts w:ascii="Times New Roman" w:hAnsi="Times New Roman" w:hint="eastAsia"/>
          <w:sz w:val="24"/>
          <w:szCs w:val="24"/>
        </w:rPr>
        <w:t>ī</w:t>
      </w:r>
      <w:r w:rsidRPr="00BB69DC">
        <w:rPr>
          <w:rFonts w:ascii="Times New Roman" w:hAnsi="Times New Roman"/>
          <w:sz w:val="24"/>
          <w:szCs w:val="24"/>
        </w:rPr>
        <w:t>bas uz</w:t>
      </w:r>
      <w:r w:rsidRPr="00BB69DC">
        <w:rPr>
          <w:rFonts w:ascii="Times New Roman" w:hAnsi="Times New Roman" w:hint="eastAsia"/>
          <w:sz w:val="24"/>
          <w:szCs w:val="24"/>
        </w:rPr>
        <w:t>ņē</w:t>
      </w:r>
      <w:r w:rsidRPr="00BB69DC">
        <w:rPr>
          <w:rFonts w:ascii="Times New Roman" w:hAnsi="Times New Roman"/>
          <w:sz w:val="24"/>
          <w:szCs w:val="24"/>
        </w:rPr>
        <w:t xml:space="preserve">mumi </w:t>
      </w:r>
      <w:r>
        <w:rPr>
          <w:rFonts w:ascii="Times New Roman" w:hAnsi="Times New Roman"/>
          <w:sz w:val="24"/>
          <w:szCs w:val="24"/>
        </w:rPr>
        <w:t>bija sadalījušies divās grupās</w:t>
      </w:r>
      <w:r w:rsidRPr="00BB69DC">
        <w:rPr>
          <w:rFonts w:ascii="Times New Roman" w:hAnsi="Times New Roman"/>
          <w:sz w:val="24"/>
          <w:szCs w:val="24"/>
        </w:rPr>
        <w:t>, kuras sav</w:t>
      </w:r>
      <w:r w:rsidRPr="00BB69DC">
        <w:rPr>
          <w:rFonts w:ascii="Times New Roman" w:hAnsi="Times New Roman" w:hint="eastAsia"/>
          <w:sz w:val="24"/>
          <w:szCs w:val="24"/>
        </w:rPr>
        <w:t>ā</w:t>
      </w:r>
      <w:r w:rsidRPr="00BB69DC">
        <w:rPr>
          <w:rFonts w:ascii="Times New Roman" w:hAnsi="Times New Roman"/>
          <w:sz w:val="24"/>
          <w:szCs w:val="24"/>
        </w:rPr>
        <w:t xml:space="preserve"> starp</w:t>
      </w:r>
      <w:r w:rsidRPr="00BB69DC">
        <w:rPr>
          <w:rFonts w:ascii="Times New Roman" w:hAnsi="Times New Roman" w:hint="eastAsia"/>
          <w:sz w:val="24"/>
          <w:szCs w:val="24"/>
        </w:rPr>
        <w:t>ā</w:t>
      </w:r>
      <w:r w:rsidRPr="00BB69DC">
        <w:rPr>
          <w:rFonts w:ascii="Times New Roman" w:hAnsi="Times New Roman"/>
          <w:sz w:val="24"/>
          <w:szCs w:val="24"/>
        </w:rPr>
        <w:t xml:space="preserve"> cent</w:t>
      </w:r>
      <w:r w:rsidRPr="00BB69DC">
        <w:rPr>
          <w:rFonts w:ascii="Times New Roman" w:hAnsi="Times New Roman" w:hint="eastAsia"/>
          <w:sz w:val="24"/>
          <w:szCs w:val="24"/>
        </w:rPr>
        <w:t>ā</w:t>
      </w:r>
      <w:r w:rsidRPr="00BB69DC">
        <w:rPr>
          <w:rFonts w:ascii="Times New Roman" w:hAnsi="Times New Roman"/>
          <w:sz w:val="24"/>
          <w:szCs w:val="24"/>
        </w:rPr>
        <w:t>s sadal</w:t>
      </w:r>
      <w:r w:rsidRPr="00BB69DC">
        <w:rPr>
          <w:rFonts w:ascii="Times New Roman" w:hAnsi="Times New Roman" w:hint="eastAsia"/>
          <w:sz w:val="24"/>
          <w:szCs w:val="24"/>
        </w:rPr>
        <w:t>ī</w:t>
      </w:r>
      <w:r w:rsidRPr="00BB69DC">
        <w:rPr>
          <w:rFonts w:ascii="Times New Roman" w:hAnsi="Times New Roman"/>
          <w:sz w:val="24"/>
          <w:szCs w:val="24"/>
        </w:rPr>
        <w:t>t iepirkumus</w:t>
      </w:r>
      <w:r w:rsidRPr="00BB69DC">
        <w:rPr>
          <w:rFonts w:ascii="Times New Roman" w:hAnsi="Times New Roman" w:hint="eastAsia"/>
          <w:sz w:val="24"/>
          <w:szCs w:val="24"/>
        </w:rPr>
        <w:t> </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lai starp ab</w:t>
      </w:r>
      <w:r w:rsidRPr="00BB69DC">
        <w:rPr>
          <w:rFonts w:ascii="Times New Roman" w:hAnsi="Times New Roman" w:hint="eastAsia"/>
          <w:sz w:val="24"/>
          <w:szCs w:val="24"/>
        </w:rPr>
        <w:t>ā</w:t>
      </w:r>
      <w:r w:rsidRPr="00BB69DC">
        <w:rPr>
          <w:rFonts w:ascii="Times New Roman" w:hAnsi="Times New Roman"/>
          <w:sz w:val="24"/>
          <w:szCs w:val="24"/>
        </w:rPr>
        <w:t>m grup</w:t>
      </w:r>
      <w:r w:rsidRPr="00BB69DC">
        <w:rPr>
          <w:rFonts w:ascii="Times New Roman" w:hAnsi="Times New Roman" w:hint="eastAsia"/>
          <w:sz w:val="24"/>
          <w:szCs w:val="24"/>
        </w:rPr>
        <w:t>ā</w:t>
      </w:r>
      <w:r w:rsidRPr="00BB69DC">
        <w:rPr>
          <w:rFonts w:ascii="Times New Roman" w:hAnsi="Times New Roman"/>
          <w:sz w:val="24"/>
          <w:szCs w:val="24"/>
        </w:rPr>
        <w:t>m kop</w:t>
      </w:r>
      <w:r w:rsidRPr="00BB69DC">
        <w:rPr>
          <w:rFonts w:ascii="Times New Roman" w:hAnsi="Times New Roman" w:hint="eastAsia"/>
          <w:sz w:val="24"/>
          <w:szCs w:val="24"/>
        </w:rPr>
        <w:t>ē</w:t>
      </w:r>
      <w:r w:rsidRPr="00BB69DC">
        <w:rPr>
          <w:rFonts w:ascii="Times New Roman" w:hAnsi="Times New Roman"/>
          <w:sz w:val="24"/>
          <w:szCs w:val="24"/>
        </w:rPr>
        <w:t>jie apjomi p</w:t>
      </w:r>
      <w:r w:rsidRPr="00BB69DC">
        <w:rPr>
          <w:rFonts w:ascii="Times New Roman" w:hAnsi="Times New Roman" w:hint="eastAsia"/>
          <w:sz w:val="24"/>
          <w:szCs w:val="24"/>
        </w:rPr>
        <w:t>ē</w:t>
      </w:r>
      <w:r w:rsidRPr="00BB69DC">
        <w:rPr>
          <w:rFonts w:ascii="Times New Roman" w:hAnsi="Times New Roman"/>
          <w:sz w:val="24"/>
          <w:szCs w:val="24"/>
        </w:rPr>
        <w:t>c summ</w:t>
      </w:r>
      <w:r w:rsidRPr="00BB69DC">
        <w:rPr>
          <w:rFonts w:ascii="Times New Roman" w:hAnsi="Times New Roman" w:hint="eastAsia"/>
          <w:sz w:val="24"/>
          <w:szCs w:val="24"/>
        </w:rPr>
        <w:t>ā</w:t>
      </w:r>
      <w:r w:rsidRPr="00BB69DC">
        <w:rPr>
          <w:rFonts w:ascii="Times New Roman" w:hAnsi="Times New Roman"/>
          <w:sz w:val="24"/>
          <w:szCs w:val="24"/>
        </w:rPr>
        <w:t>m b</w:t>
      </w:r>
      <w:r w:rsidRPr="00BB69DC">
        <w:rPr>
          <w:rFonts w:ascii="Times New Roman" w:hAnsi="Times New Roman" w:hint="eastAsia"/>
          <w:sz w:val="24"/>
          <w:szCs w:val="24"/>
        </w:rPr>
        <w:t>ū</w:t>
      </w:r>
      <w:r w:rsidRPr="00BB69DC">
        <w:rPr>
          <w:rFonts w:ascii="Times New Roman" w:hAnsi="Times New Roman"/>
          <w:sz w:val="24"/>
          <w:szCs w:val="24"/>
        </w:rPr>
        <w:t>tu p</w:t>
      </w:r>
      <w:r w:rsidRPr="00BB69DC">
        <w:rPr>
          <w:rFonts w:ascii="Times New Roman" w:hAnsi="Times New Roman" w:hint="eastAsia"/>
          <w:sz w:val="24"/>
          <w:szCs w:val="24"/>
        </w:rPr>
        <w:t>ē</w:t>
      </w:r>
      <w:r w:rsidRPr="00BB69DC">
        <w:rPr>
          <w:rFonts w:ascii="Times New Roman" w:hAnsi="Times New Roman"/>
          <w:sz w:val="24"/>
          <w:szCs w:val="24"/>
        </w:rPr>
        <w:t>c iesp</w:t>
      </w:r>
      <w:r w:rsidRPr="00BB69DC">
        <w:rPr>
          <w:rFonts w:ascii="Times New Roman" w:hAnsi="Times New Roman" w:hint="eastAsia"/>
          <w:sz w:val="24"/>
          <w:szCs w:val="24"/>
        </w:rPr>
        <w:t>ē</w:t>
      </w:r>
      <w:r w:rsidRPr="00BB69DC">
        <w:rPr>
          <w:rFonts w:ascii="Times New Roman" w:hAnsi="Times New Roman"/>
          <w:sz w:val="24"/>
          <w:szCs w:val="24"/>
        </w:rPr>
        <w:t>jas 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gi. Tostarp sarun</w:t>
      </w:r>
      <w:r w:rsidRPr="00BB69DC">
        <w:rPr>
          <w:rFonts w:ascii="Times New Roman" w:hAnsi="Times New Roman" w:hint="eastAsia"/>
          <w:sz w:val="24"/>
          <w:szCs w:val="24"/>
        </w:rPr>
        <w:t>ā</w:t>
      </w:r>
      <w:r w:rsidRPr="00BB69DC">
        <w:rPr>
          <w:rFonts w:ascii="Times New Roman" w:hAnsi="Times New Roman"/>
          <w:sz w:val="24"/>
          <w:szCs w:val="24"/>
        </w:rPr>
        <w:t>s tika</w:t>
      </w:r>
      <w:r w:rsidRPr="00BB69DC">
        <w:rPr>
          <w:rFonts w:ascii="Times New Roman" w:hAnsi="Times New Roman" w:hint="eastAsia"/>
          <w:sz w:val="24"/>
          <w:szCs w:val="24"/>
        </w:rPr>
        <w:t> </w:t>
      </w:r>
      <w:r w:rsidRPr="00BB69DC">
        <w:rPr>
          <w:rFonts w:ascii="Times New Roman" w:hAnsi="Times New Roman"/>
          <w:sz w:val="24"/>
          <w:szCs w:val="24"/>
        </w:rPr>
        <w:t>apspriests potenci</w:t>
      </w:r>
      <w:r w:rsidRPr="00BB69DC">
        <w:rPr>
          <w:rFonts w:ascii="Times New Roman" w:hAnsi="Times New Roman" w:hint="eastAsia"/>
          <w:sz w:val="24"/>
          <w:szCs w:val="24"/>
        </w:rPr>
        <w:t>ā</w:t>
      </w:r>
      <w:r w:rsidRPr="00BB69DC">
        <w:rPr>
          <w:rFonts w:ascii="Times New Roman" w:hAnsi="Times New Roman"/>
          <w:sz w:val="24"/>
          <w:szCs w:val="24"/>
        </w:rPr>
        <w:t>lais iepirkuma uzvar</w:t>
      </w:r>
      <w:r w:rsidRPr="00BB69DC">
        <w:rPr>
          <w:rFonts w:ascii="Times New Roman" w:hAnsi="Times New Roman" w:hint="eastAsia"/>
          <w:sz w:val="24"/>
          <w:szCs w:val="24"/>
        </w:rPr>
        <w:t>ē</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js, kam pien</w:t>
      </w:r>
      <w:r w:rsidRPr="00BB69DC">
        <w:rPr>
          <w:rFonts w:ascii="Times New Roman" w:hAnsi="Times New Roman" w:hint="eastAsia"/>
          <w:sz w:val="24"/>
          <w:szCs w:val="24"/>
        </w:rPr>
        <w:t>ā</w:t>
      </w:r>
      <w:r w:rsidRPr="00BB69DC">
        <w:rPr>
          <w:rFonts w:ascii="Times New Roman" w:hAnsi="Times New Roman"/>
          <w:sz w:val="24"/>
          <w:szCs w:val="24"/>
        </w:rPr>
        <w:t>ktos konkr</w:t>
      </w:r>
      <w:r w:rsidRPr="00BB69DC">
        <w:rPr>
          <w:rFonts w:ascii="Times New Roman" w:hAnsi="Times New Roman" w:hint="eastAsia"/>
          <w:sz w:val="24"/>
          <w:szCs w:val="24"/>
        </w:rPr>
        <w:t>ē</w:t>
      </w:r>
      <w:r w:rsidRPr="00BB69DC">
        <w:rPr>
          <w:rFonts w:ascii="Times New Roman" w:hAnsi="Times New Roman"/>
          <w:sz w:val="24"/>
          <w:szCs w:val="24"/>
        </w:rPr>
        <w:t>tais iepirkums, t</w:t>
      </w:r>
      <w:r w:rsidRPr="00BB69DC">
        <w:rPr>
          <w:rFonts w:ascii="Times New Roman" w:hAnsi="Times New Roman" w:hint="eastAsia"/>
          <w:sz w:val="24"/>
          <w:szCs w:val="24"/>
        </w:rPr>
        <w:t>ā</w:t>
      </w:r>
      <w:r w:rsidRPr="00BB69DC">
        <w:rPr>
          <w:rFonts w:ascii="Times New Roman" w:hAnsi="Times New Roman"/>
          <w:sz w:val="24"/>
          <w:szCs w:val="24"/>
        </w:rPr>
        <w:t>pat 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w:t>
      </w:r>
      <w:r w:rsidRPr="00BB69DC">
        <w:rPr>
          <w:rFonts w:ascii="Times New Roman" w:hAnsi="Times New Roman" w:hint="eastAsia"/>
          <w:sz w:val="24"/>
          <w:szCs w:val="24"/>
        </w:rPr>
        <w:t> </w:t>
      </w:r>
      <w:r w:rsidRPr="00BB69DC">
        <w:rPr>
          <w:rFonts w:ascii="Times New Roman" w:hAnsi="Times New Roman"/>
          <w:sz w:val="24"/>
          <w:szCs w:val="24"/>
        </w:rPr>
        <w:t>form</w:t>
      </w:r>
      <w:r w:rsidRPr="00BB69DC">
        <w:rPr>
          <w:rFonts w:ascii="Times New Roman" w:hAnsi="Times New Roman" w:hint="eastAsia"/>
          <w:sz w:val="24"/>
          <w:szCs w:val="24"/>
        </w:rPr>
        <w:t>ā</w:t>
      </w:r>
      <w:r w:rsidRPr="00BB69DC">
        <w:rPr>
          <w:rFonts w:ascii="Times New Roman" w:hAnsi="Times New Roman"/>
          <w:sz w:val="24"/>
          <w:szCs w:val="24"/>
        </w:rPr>
        <w:t xml:space="preserve">li ar </w:t>
      </w:r>
      <w:r w:rsidRPr="00BB69DC">
        <w:rPr>
          <w:rFonts w:ascii="Times New Roman" w:hAnsi="Times New Roman" w:hint="eastAsia"/>
          <w:sz w:val="24"/>
          <w:szCs w:val="24"/>
        </w:rPr>
        <w:t>“</w:t>
      </w:r>
      <w:r w:rsidRPr="00BB69DC">
        <w:rPr>
          <w:rFonts w:ascii="Times New Roman" w:hAnsi="Times New Roman"/>
          <w:sz w:val="24"/>
          <w:szCs w:val="24"/>
        </w:rPr>
        <w:t>aizsega pied</w:t>
      </w:r>
      <w:r w:rsidRPr="00BB69DC">
        <w:rPr>
          <w:rFonts w:ascii="Times New Roman" w:hAnsi="Times New Roman" w:hint="eastAsia"/>
          <w:sz w:val="24"/>
          <w:szCs w:val="24"/>
        </w:rPr>
        <w:t>ā</w:t>
      </w:r>
      <w:r w:rsidRPr="00BB69DC">
        <w:rPr>
          <w:rFonts w:ascii="Times New Roman" w:hAnsi="Times New Roman"/>
          <w:sz w:val="24"/>
          <w:szCs w:val="24"/>
        </w:rPr>
        <w:t>v</w:t>
      </w:r>
      <w:r w:rsidRPr="00BB69DC">
        <w:rPr>
          <w:rFonts w:ascii="Times New Roman" w:hAnsi="Times New Roman" w:hint="eastAsia"/>
          <w:sz w:val="24"/>
          <w:szCs w:val="24"/>
        </w:rPr>
        <w:t>ā</w:t>
      </w:r>
      <w:r w:rsidRPr="00BB69DC">
        <w:rPr>
          <w:rFonts w:ascii="Times New Roman" w:hAnsi="Times New Roman"/>
          <w:sz w:val="24"/>
          <w:szCs w:val="24"/>
        </w:rPr>
        <w:t>jumu</w:t>
      </w:r>
      <w:r w:rsidRPr="00BB69DC">
        <w:rPr>
          <w:rFonts w:ascii="Times New Roman" w:hAnsi="Times New Roman" w:hint="eastAsia"/>
          <w:sz w:val="24"/>
          <w:szCs w:val="24"/>
        </w:rPr>
        <w:t>”</w:t>
      </w:r>
      <w:r w:rsidRPr="00BB69DC">
        <w:rPr>
          <w:rFonts w:ascii="Times New Roman" w:hAnsi="Times New Roman"/>
          <w:sz w:val="24"/>
          <w:szCs w:val="24"/>
        </w:rPr>
        <w:t>vai tie</w:t>
      </w:r>
      <w:r w:rsidRPr="00BB69DC">
        <w:rPr>
          <w:rFonts w:ascii="Times New Roman" w:hAnsi="Times New Roman" w:hint="eastAsia"/>
          <w:sz w:val="24"/>
          <w:szCs w:val="24"/>
        </w:rPr>
        <w:t>š</w:t>
      </w:r>
      <w:r w:rsidRPr="00BB69DC">
        <w:rPr>
          <w:rFonts w:ascii="Times New Roman" w:hAnsi="Times New Roman"/>
          <w:sz w:val="24"/>
          <w:szCs w:val="24"/>
        </w:rPr>
        <w:t>i otr</w:t>
      </w:r>
      <w:r w:rsidRPr="00BB69DC">
        <w:rPr>
          <w:rFonts w:ascii="Times New Roman" w:hAnsi="Times New Roman" w:hint="eastAsia"/>
          <w:sz w:val="24"/>
          <w:szCs w:val="24"/>
        </w:rPr>
        <w:t>ā</w:t>
      </w:r>
      <w:r w:rsidRPr="00BB69DC">
        <w:rPr>
          <w:rFonts w:ascii="Times New Roman" w:hAnsi="Times New Roman"/>
          <w:sz w:val="24"/>
          <w:szCs w:val="24"/>
        </w:rPr>
        <w:t xml:space="preserve">di </w:t>
      </w:r>
      <w:r w:rsidRPr="00BB69DC">
        <w:rPr>
          <w:rFonts w:ascii="Times New Roman" w:hAnsi="Times New Roman" w:hint="eastAsia"/>
          <w:sz w:val="24"/>
          <w:szCs w:val="24"/>
        </w:rPr>
        <w:t>–</w:t>
      </w:r>
      <w:r w:rsidRPr="00BB69DC">
        <w:rPr>
          <w:rFonts w:ascii="Times New Roman" w:hAnsi="Times New Roman"/>
          <w:sz w:val="24"/>
          <w:szCs w:val="24"/>
        </w:rPr>
        <w:t xml:space="preserve"> nepiedal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iepirkumos.</w:t>
      </w:r>
    </w:p>
    <w:p w14:paraId="007B8750" w14:textId="4DADABA6"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KP izp</w:t>
      </w:r>
      <w:r w:rsidRPr="00BB69DC">
        <w:rPr>
          <w:rFonts w:ascii="Times New Roman" w:hAnsi="Times New Roman" w:hint="eastAsia"/>
          <w:sz w:val="24"/>
          <w:szCs w:val="24"/>
        </w:rPr>
        <w:t>ē</w:t>
      </w:r>
      <w:r w:rsidRPr="00BB69DC">
        <w:rPr>
          <w:rFonts w:ascii="Times New Roman" w:hAnsi="Times New Roman"/>
          <w:sz w:val="24"/>
          <w:szCs w:val="24"/>
        </w:rPr>
        <w:t>tes laik</w:t>
      </w:r>
      <w:r w:rsidRPr="00BB69DC">
        <w:rPr>
          <w:rFonts w:ascii="Times New Roman" w:hAnsi="Times New Roman" w:hint="eastAsia"/>
          <w:sz w:val="24"/>
          <w:szCs w:val="24"/>
        </w:rPr>
        <w:t>ā</w:t>
      </w:r>
      <w:r w:rsidRPr="00BB69DC">
        <w:rPr>
          <w:rFonts w:ascii="Times New Roman" w:hAnsi="Times New Roman"/>
          <w:sz w:val="24"/>
          <w:szCs w:val="24"/>
        </w:rPr>
        <w:t xml:space="preserve"> identific</w:t>
      </w:r>
      <w:r w:rsidRPr="00BB69DC">
        <w:rPr>
          <w:rFonts w:ascii="Times New Roman" w:hAnsi="Times New Roman" w:hint="eastAsia"/>
          <w:sz w:val="24"/>
          <w:szCs w:val="24"/>
        </w:rPr>
        <w:t>ē</w:t>
      </w:r>
      <w:r w:rsidRPr="00BB69DC">
        <w:rPr>
          <w:rFonts w:ascii="Times New Roman" w:hAnsi="Times New Roman"/>
          <w:sz w:val="24"/>
          <w:szCs w:val="24"/>
        </w:rPr>
        <w:t>ja vismaz 70 no teju 90 p</w:t>
      </w:r>
      <w:r w:rsidRPr="00BB69DC">
        <w:rPr>
          <w:rFonts w:ascii="Times New Roman" w:hAnsi="Times New Roman" w:hint="eastAsia"/>
          <w:sz w:val="24"/>
          <w:szCs w:val="24"/>
        </w:rPr>
        <w:t>ā</w:t>
      </w:r>
      <w:r w:rsidRPr="00BB69DC">
        <w:rPr>
          <w:rFonts w:ascii="Times New Roman" w:hAnsi="Times New Roman"/>
          <w:sz w:val="24"/>
          <w:szCs w:val="24"/>
        </w:rPr>
        <w:t>rrun</w:t>
      </w:r>
      <w:r w:rsidRPr="00BB69DC">
        <w:rPr>
          <w:rFonts w:ascii="Times New Roman" w:hAnsi="Times New Roman" w:hint="eastAsia"/>
          <w:sz w:val="24"/>
          <w:szCs w:val="24"/>
        </w:rPr>
        <w:t>ā</w:t>
      </w:r>
      <w:r w:rsidRPr="00BB69DC">
        <w:rPr>
          <w:rFonts w:ascii="Times New Roman" w:hAnsi="Times New Roman"/>
          <w:sz w:val="24"/>
          <w:szCs w:val="24"/>
        </w:rPr>
        <w:t>tajiem iepirkumiem, no kuriem liel</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da</w:t>
      </w:r>
      <w:r w:rsidRPr="00BB69DC">
        <w:rPr>
          <w:rFonts w:ascii="Times New Roman" w:hAnsi="Times New Roman" w:hint="eastAsia"/>
          <w:sz w:val="24"/>
          <w:szCs w:val="24"/>
        </w:rPr>
        <w:t>ļ</w:t>
      </w:r>
      <w:r w:rsidRPr="00BB69DC">
        <w:rPr>
          <w:rFonts w:ascii="Times New Roman" w:hAnsi="Times New Roman"/>
          <w:sz w:val="24"/>
          <w:szCs w:val="24"/>
        </w:rPr>
        <w:t>a tika nosl</w:t>
      </w:r>
      <w:r w:rsidRPr="00BB69DC">
        <w:rPr>
          <w:rFonts w:ascii="Times New Roman" w:hAnsi="Times New Roman" w:hint="eastAsia"/>
          <w:sz w:val="24"/>
          <w:szCs w:val="24"/>
        </w:rPr>
        <w:t>ē</w:t>
      </w:r>
      <w:r w:rsidRPr="00BB69DC">
        <w:rPr>
          <w:rFonts w:ascii="Times New Roman" w:hAnsi="Times New Roman"/>
          <w:sz w:val="24"/>
          <w:szCs w:val="24"/>
        </w:rPr>
        <w:t>gti ar rezult</w:t>
      </w:r>
      <w:r w:rsidRPr="00BB69DC">
        <w:rPr>
          <w:rFonts w:ascii="Times New Roman" w:hAnsi="Times New Roman" w:hint="eastAsia"/>
          <w:sz w:val="24"/>
          <w:szCs w:val="24"/>
        </w:rPr>
        <w:t>ā</w:t>
      </w:r>
      <w:r w:rsidRPr="00BB69DC">
        <w:rPr>
          <w:rFonts w:ascii="Times New Roman" w:hAnsi="Times New Roman"/>
          <w:sz w:val="24"/>
          <w:szCs w:val="24"/>
        </w:rPr>
        <w:t>tu par kop</w:t>
      </w:r>
      <w:r w:rsidRPr="00BB69DC">
        <w:rPr>
          <w:rFonts w:ascii="Times New Roman" w:hAnsi="Times New Roman" w:hint="eastAsia"/>
          <w:sz w:val="24"/>
          <w:szCs w:val="24"/>
        </w:rPr>
        <w:t>ē</w:t>
      </w:r>
      <w:r w:rsidRPr="00BB69DC">
        <w:rPr>
          <w:rFonts w:ascii="Times New Roman" w:hAnsi="Times New Roman"/>
          <w:sz w:val="24"/>
          <w:szCs w:val="24"/>
        </w:rPr>
        <w:t>jo l</w:t>
      </w:r>
      <w:r w:rsidRPr="00BB69DC">
        <w:rPr>
          <w:rFonts w:ascii="Times New Roman" w:hAnsi="Times New Roman" w:hint="eastAsia"/>
          <w:sz w:val="24"/>
          <w:szCs w:val="24"/>
        </w:rPr>
        <w:t>ī</w:t>
      </w:r>
      <w:r w:rsidRPr="00BB69DC">
        <w:rPr>
          <w:rFonts w:ascii="Times New Roman" w:hAnsi="Times New Roman"/>
          <w:sz w:val="24"/>
          <w:szCs w:val="24"/>
        </w:rPr>
        <w:t>gumsummu</w:t>
      </w:r>
      <w:r w:rsidRPr="00BB69DC">
        <w:rPr>
          <w:rFonts w:ascii="Times New Roman" w:hAnsi="Times New Roman" w:hint="eastAsia"/>
          <w:sz w:val="24"/>
          <w:szCs w:val="24"/>
        </w:rPr>
        <w:t> </w:t>
      </w:r>
      <w:r w:rsidRPr="00BB69DC">
        <w:rPr>
          <w:rFonts w:ascii="Times New Roman" w:hAnsi="Times New Roman"/>
          <w:sz w:val="24"/>
          <w:szCs w:val="24"/>
        </w:rPr>
        <w:t>686</w:t>
      </w:r>
      <w:r w:rsidRPr="00BB69DC">
        <w:rPr>
          <w:rFonts w:ascii="Times New Roman" w:hAnsi="Times New Roman" w:hint="eastAsia"/>
          <w:sz w:val="24"/>
          <w:szCs w:val="24"/>
        </w:rPr>
        <w:t> </w:t>
      </w:r>
      <w:r w:rsidRPr="00BB69DC">
        <w:rPr>
          <w:rFonts w:ascii="Times New Roman" w:hAnsi="Times New Roman"/>
          <w:sz w:val="24"/>
          <w:szCs w:val="24"/>
        </w:rPr>
        <w:t>989</w:t>
      </w:r>
      <w:r w:rsidRPr="00BB69DC">
        <w:rPr>
          <w:rFonts w:ascii="Times New Roman" w:hAnsi="Times New Roman" w:hint="eastAsia"/>
          <w:sz w:val="24"/>
          <w:szCs w:val="24"/>
        </w:rPr>
        <w:t> </w:t>
      </w:r>
      <w:r w:rsidRPr="00BB69DC">
        <w:rPr>
          <w:rFonts w:ascii="Times New Roman" w:hAnsi="Times New Roman"/>
          <w:sz w:val="24"/>
          <w:szCs w:val="24"/>
        </w:rPr>
        <w:t xml:space="preserve">991 </w:t>
      </w:r>
      <w:proofErr w:type="spellStart"/>
      <w:r w:rsidRPr="00BB69DC">
        <w:rPr>
          <w:rFonts w:ascii="Times New Roman" w:hAnsi="Times New Roman"/>
          <w:i/>
          <w:sz w:val="24"/>
          <w:szCs w:val="24"/>
        </w:rPr>
        <w:t>euro</w:t>
      </w:r>
      <w:proofErr w:type="spellEnd"/>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Aizliegtas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rezult</w:t>
      </w:r>
      <w:r w:rsidRPr="00BB69DC">
        <w:rPr>
          <w:rFonts w:ascii="Times New Roman" w:hAnsi="Times New Roman" w:hint="eastAsia"/>
          <w:sz w:val="24"/>
          <w:szCs w:val="24"/>
        </w:rPr>
        <w:t>ā</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xml:space="preserve"> tika ietekm</w:t>
      </w:r>
      <w:r w:rsidRPr="00BB69DC">
        <w:rPr>
          <w:rFonts w:ascii="Times New Roman" w:hAnsi="Times New Roman" w:hint="eastAsia"/>
          <w:sz w:val="24"/>
          <w:szCs w:val="24"/>
        </w:rPr>
        <w:t>ē</w:t>
      </w:r>
      <w:r w:rsidRPr="00BB69DC">
        <w:rPr>
          <w:rFonts w:ascii="Times New Roman" w:hAnsi="Times New Roman"/>
          <w:sz w:val="24"/>
          <w:szCs w:val="24"/>
        </w:rPr>
        <w:t>ta publisko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t.sk. ES fondu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taisn</w:t>
      </w:r>
      <w:r w:rsidRPr="00BB69DC">
        <w:rPr>
          <w:rFonts w:ascii="Times New Roman" w:hAnsi="Times New Roman" w:hint="eastAsia"/>
          <w:sz w:val="24"/>
          <w:szCs w:val="24"/>
        </w:rPr>
        <w:t>ī</w:t>
      </w:r>
      <w:r w:rsidRPr="00BB69DC">
        <w:rPr>
          <w:rFonts w:ascii="Times New Roman" w:hAnsi="Times New Roman"/>
          <w:sz w:val="24"/>
          <w:szCs w:val="24"/>
        </w:rPr>
        <w:t>ga un tiesiska izlieto</w:t>
      </w:r>
      <w:r w:rsidRPr="00BB69DC">
        <w:rPr>
          <w:rFonts w:ascii="Times New Roman" w:hAnsi="Times New Roman" w:hint="eastAsia"/>
          <w:sz w:val="24"/>
          <w:szCs w:val="24"/>
        </w:rPr>
        <w:t>š</w:t>
      </w:r>
      <w:r w:rsidRPr="00BB69DC">
        <w:rPr>
          <w:rFonts w:ascii="Times New Roman" w:hAnsi="Times New Roman"/>
          <w:sz w:val="24"/>
          <w:szCs w:val="24"/>
        </w:rPr>
        <w:t>ana. Ieg</w:t>
      </w:r>
      <w:r w:rsidRPr="00BB69DC">
        <w:rPr>
          <w:rFonts w:ascii="Times New Roman" w:hAnsi="Times New Roman" w:hint="eastAsia"/>
          <w:sz w:val="24"/>
          <w:szCs w:val="24"/>
        </w:rPr>
        <w:t>ū</w:t>
      </w:r>
      <w:r w:rsidRPr="00BB69DC">
        <w:rPr>
          <w:rFonts w:ascii="Times New Roman" w:hAnsi="Times New Roman"/>
          <w:sz w:val="24"/>
          <w:szCs w:val="24"/>
        </w:rPr>
        <w:t>tie dati liecina, ka vair</w:t>
      </w:r>
      <w:r w:rsidRPr="00BB69DC">
        <w:rPr>
          <w:rFonts w:ascii="Times New Roman" w:hAnsi="Times New Roman" w:hint="eastAsia"/>
          <w:sz w:val="24"/>
          <w:szCs w:val="24"/>
        </w:rPr>
        <w:t>ā</w:t>
      </w:r>
      <w:r w:rsidRPr="00BB69DC">
        <w:rPr>
          <w:rFonts w:ascii="Times New Roman" w:hAnsi="Times New Roman"/>
          <w:sz w:val="24"/>
          <w:szCs w:val="24"/>
        </w:rPr>
        <w:t>k nek</w:t>
      </w:r>
      <w:r w:rsidRPr="00BB69DC">
        <w:rPr>
          <w:rFonts w:ascii="Times New Roman" w:hAnsi="Times New Roman" w:hint="eastAsia"/>
          <w:sz w:val="24"/>
          <w:szCs w:val="24"/>
        </w:rPr>
        <w:t>ā</w:t>
      </w:r>
      <w:r w:rsidRPr="00BB69DC">
        <w:rPr>
          <w:rFonts w:ascii="Times New Roman" w:hAnsi="Times New Roman"/>
          <w:sz w:val="24"/>
          <w:szCs w:val="24"/>
        </w:rPr>
        <w:t xml:space="preserve"> puse iepirkumu bija tapu</w:t>
      </w:r>
      <w:r w:rsidRPr="00BB69DC">
        <w:rPr>
          <w:rFonts w:ascii="Times New Roman" w:hAnsi="Times New Roman" w:hint="eastAsia"/>
          <w:sz w:val="24"/>
          <w:szCs w:val="24"/>
        </w:rPr>
        <w:t>š</w:t>
      </w:r>
      <w:r w:rsidRPr="00BB69DC">
        <w:rPr>
          <w:rFonts w:ascii="Times New Roman" w:hAnsi="Times New Roman"/>
          <w:sz w:val="24"/>
          <w:szCs w:val="24"/>
        </w:rPr>
        <w:t>i ar ES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 xml:space="preserve">jumu. </w:t>
      </w:r>
    </w:p>
    <w:p w14:paraId="1E02AE21" w14:textId="086C00F0"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Past</w:t>
      </w:r>
      <w:r w:rsidRPr="00BB69DC">
        <w:rPr>
          <w:rFonts w:ascii="Times New Roman" w:hAnsi="Times New Roman" w:hint="eastAsia"/>
          <w:sz w:val="24"/>
          <w:szCs w:val="24"/>
        </w:rPr>
        <w:t>ā</w:t>
      </w:r>
      <w:r w:rsidRPr="00BB69DC">
        <w:rPr>
          <w:rFonts w:ascii="Times New Roman" w:hAnsi="Times New Roman"/>
          <w:sz w:val="24"/>
          <w:szCs w:val="24"/>
        </w:rPr>
        <w:t>vot konkurences p</w:t>
      </w:r>
      <w:r w:rsidRPr="00BB69DC">
        <w:rPr>
          <w:rFonts w:ascii="Times New Roman" w:hAnsi="Times New Roman" w:hint="eastAsia"/>
          <w:sz w:val="24"/>
          <w:szCs w:val="24"/>
        </w:rPr>
        <w:t>ā</w:t>
      </w:r>
      <w:r w:rsidRPr="00BB69DC">
        <w:rPr>
          <w:rFonts w:ascii="Times New Roman" w:hAnsi="Times New Roman"/>
          <w:sz w:val="24"/>
          <w:szCs w:val="24"/>
        </w:rPr>
        <w:t>rk</w:t>
      </w:r>
      <w:r w:rsidRPr="00BB69DC">
        <w:rPr>
          <w:rFonts w:ascii="Times New Roman" w:hAnsi="Times New Roman" w:hint="eastAsia"/>
          <w:sz w:val="24"/>
          <w:szCs w:val="24"/>
        </w:rPr>
        <w:t>ā</w:t>
      </w:r>
      <w:r w:rsidRPr="00BB69DC">
        <w:rPr>
          <w:rFonts w:ascii="Times New Roman" w:hAnsi="Times New Roman"/>
          <w:sz w:val="24"/>
          <w:szCs w:val="24"/>
        </w:rPr>
        <w:t xml:space="preserve">pumam, </w:t>
      </w:r>
      <w:r w:rsidR="00D3581E">
        <w:rPr>
          <w:rFonts w:ascii="Times New Roman" w:hAnsi="Times New Roman" w:cs="Times New Roman"/>
          <w:color w:val="000000"/>
          <w:sz w:val="24"/>
          <w:szCs w:val="24"/>
        </w:rPr>
        <w:t>Centrālai finanšu un līgumu aģentūrai (turpmāk</w:t>
      </w:r>
      <w:r w:rsidR="00D3581E" w:rsidRPr="00BB69DC">
        <w:rPr>
          <w:rFonts w:ascii="Times New Roman" w:hAnsi="Times New Roman"/>
          <w:sz w:val="24"/>
          <w:szCs w:val="24"/>
        </w:rPr>
        <w:t xml:space="preserve"> </w:t>
      </w:r>
      <w:r w:rsidRPr="00BB69DC">
        <w:rPr>
          <w:rFonts w:ascii="Times New Roman" w:hAnsi="Times New Roman"/>
          <w:sz w:val="24"/>
          <w:szCs w:val="24"/>
        </w:rPr>
        <w:t>CFLA</w:t>
      </w:r>
      <w:r w:rsidR="00D3581E">
        <w:rPr>
          <w:rFonts w:ascii="Times New Roman" w:hAnsi="Times New Roman"/>
          <w:sz w:val="24"/>
          <w:szCs w:val="24"/>
        </w:rPr>
        <w:t>)</w:t>
      </w:r>
      <w:r w:rsidRPr="00BB69DC">
        <w:rPr>
          <w:rFonts w:ascii="Times New Roman" w:hAnsi="Times New Roman"/>
          <w:sz w:val="24"/>
          <w:szCs w:val="24"/>
        </w:rPr>
        <w:t xml:space="preserve"> ir pien</w:t>
      </w:r>
      <w:r w:rsidRPr="00BB69DC">
        <w:rPr>
          <w:rFonts w:ascii="Times New Roman" w:hAnsi="Times New Roman" w:hint="eastAsia"/>
          <w:sz w:val="24"/>
          <w:szCs w:val="24"/>
        </w:rPr>
        <w:t>ā</w:t>
      </w:r>
      <w:r w:rsidRPr="00BB69DC">
        <w:rPr>
          <w:rFonts w:ascii="Times New Roman" w:hAnsi="Times New Roman"/>
          <w:sz w:val="24"/>
          <w:szCs w:val="24"/>
        </w:rPr>
        <w:t>kums piem</w:t>
      </w:r>
      <w:r w:rsidRPr="00BB69DC">
        <w:rPr>
          <w:rFonts w:ascii="Times New Roman" w:hAnsi="Times New Roman" w:hint="eastAsia"/>
          <w:sz w:val="24"/>
          <w:szCs w:val="24"/>
        </w:rPr>
        <w:t>ē</w:t>
      </w:r>
      <w:r w:rsidRPr="00BB69DC">
        <w:rPr>
          <w:rFonts w:ascii="Times New Roman" w:hAnsi="Times New Roman"/>
          <w:sz w:val="24"/>
          <w:szCs w:val="24"/>
        </w:rPr>
        <w:t>rot finan</w:t>
      </w:r>
      <w:r w:rsidRPr="00BB69DC">
        <w:rPr>
          <w:rFonts w:ascii="Times New Roman" w:hAnsi="Times New Roman" w:hint="eastAsia"/>
          <w:sz w:val="24"/>
          <w:szCs w:val="24"/>
        </w:rPr>
        <w:t>š</w:t>
      </w:r>
      <w:r w:rsidRPr="00BB69DC">
        <w:rPr>
          <w:rFonts w:ascii="Times New Roman" w:hAnsi="Times New Roman"/>
          <w:sz w:val="24"/>
          <w:szCs w:val="24"/>
        </w:rPr>
        <w:t>u korekciju, tas ir, atcelt vai samazin</w:t>
      </w:r>
      <w:r w:rsidRPr="00BB69DC">
        <w:rPr>
          <w:rFonts w:ascii="Times New Roman" w:hAnsi="Times New Roman" w:hint="eastAsia"/>
          <w:sz w:val="24"/>
          <w:szCs w:val="24"/>
        </w:rPr>
        <w:t>ā</w:t>
      </w:r>
      <w:r w:rsidRPr="00BB69DC">
        <w:rPr>
          <w:rFonts w:ascii="Times New Roman" w:hAnsi="Times New Roman"/>
          <w:sz w:val="24"/>
          <w:szCs w:val="24"/>
        </w:rPr>
        <w:t>t finan</w:t>
      </w:r>
      <w:r w:rsidRPr="00BB69DC">
        <w:rPr>
          <w:rFonts w:ascii="Times New Roman" w:hAnsi="Times New Roman" w:hint="eastAsia"/>
          <w:sz w:val="24"/>
          <w:szCs w:val="24"/>
        </w:rPr>
        <w:t>š</w:t>
      </w:r>
      <w:r w:rsidRPr="00BB69DC">
        <w:rPr>
          <w:rFonts w:ascii="Times New Roman" w:hAnsi="Times New Roman"/>
          <w:sz w:val="24"/>
          <w:szCs w:val="24"/>
        </w:rPr>
        <w:t>u atbalsta summu ES fondu projektos. Atkar</w:t>
      </w:r>
      <w:r w:rsidRPr="00BB69DC">
        <w:rPr>
          <w:rFonts w:ascii="Times New Roman" w:hAnsi="Times New Roman" w:hint="eastAsia"/>
          <w:sz w:val="24"/>
          <w:szCs w:val="24"/>
        </w:rPr>
        <w:t>ī</w:t>
      </w:r>
      <w:r w:rsidRPr="00BB69DC">
        <w:rPr>
          <w:rFonts w:ascii="Times New Roman" w:hAnsi="Times New Roman"/>
          <w:sz w:val="24"/>
          <w:szCs w:val="24"/>
        </w:rPr>
        <w:t>b</w:t>
      </w:r>
      <w:r w:rsidRPr="00BB69DC">
        <w:rPr>
          <w:rFonts w:ascii="Times New Roman" w:hAnsi="Times New Roman" w:hint="eastAsia"/>
          <w:sz w:val="24"/>
          <w:szCs w:val="24"/>
        </w:rPr>
        <w:t>ā</w:t>
      </w:r>
      <w:r w:rsidRPr="00BB69DC">
        <w:rPr>
          <w:rFonts w:ascii="Times New Roman" w:hAnsi="Times New Roman"/>
          <w:sz w:val="24"/>
          <w:szCs w:val="24"/>
        </w:rPr>
        <w:t xml:space="preserve"> no situ</w:t>
      </w:r>
      <w:r w:rsidRPr="00BB69DC">
        <w:rPr>
          <w:rFonts w:ascii="Times New Roman" w:hAnsi="Times New Roman" w:hint="eastAsia"/>
          <w:sz w:val="24"/>
          <w:szCs w:val="24"/>
        </w:rPr>
        <w:t>ā</w:t>
      </w:r>
      <w:r w:rsidRPr="00BB69DC">
        <w:rPr>
          <w:rFonts w:ascii="Times New Roman" w:hAnsi="Times New Roman"/>
          <w:sz w:val="24"/>
          <w:szCs w:val="24"/>
        </w:rPr>
        <w:t>cijas atbalsta samazin</w:t>
      </w:r>
      <w:r w:rsidRPr="00BB69DC">
        <w:rPr>
          <w:rFonts w:ascii="Times New Roman" w:hAnsi="Times New Roman" w:hint="eastAsia"/>
          <w:sz w:val="24"/>
          <w:szCs w:val="24"/>
        </w:rPr>
        <w:t>ā</w:t>
      </w:r>
      <w:r w:rsidRPr="00BB69DC">
        <w:rPr>
          <w:rFonts w:ascii="Times New Roman" w:hAnsi="Times New Roman"/>
          <w:sz w:val="24"/>
          <w:szCs w:val="24"/>
        </w:rPr>
        <w:t>jums b</w:t>
      </w:r>
      <w:r w:rsidRPr="00BB69DC">
        <w:rPr>
          <w:rFonts w:ascii="Times New Roman" w:hAnsi="Times New Roman" w:hint="eastAsia"/>
          <w:sz w:val="24"/>
          <w:szCs w:val="24"/>
        </w:rPr>
        <w:t>ū</w:t>
      </w:r>
      <w:r w:rsidRPr="00BB69DC">
        <w:rPr>
          <w:rFonts w:ascii="Times New Roman" w:hAnsi="Times New Roman"/>
          <w:sz w:val="24"/>
          <w:szCs w:val="24"/>
        </w:rPr>
        <w:t>tu 100%, ja pier</w:t>
      </w:r>
      <w:r w:rsidRPr="00BB69DC">
        <w:rPr>
          <w:rFonts w:ascii="Times New Roman" w:hAnsi="Times New Roman" w:hint="eastAsia"/>
          <w:sz w:val="24"/>
          <w:szCs w:val="24"/>
        </w:rPr>
        <w:t>ā</w:t>
      </w:r>
      <w:r w:rsidRPr="00BB69DC">
        <w:rPr>
          <w:rFonts w:ascii="Times New Roman" w:hAnsi="Times New Roman"/>
          <w:sz w:val="24"/>
          <w:szCs w:val="24"/>
        </w:rPr>
        <w:t>d</w:t>
      </w:r>
      <w:r w:rsidRPr="00BB69DC">
        <w:rPr>
          <w:rFonts w:ascii="Times New Roman" w:hAnsi="Times New Roman" w:hint="eastAsia"/>
          <w:sz w:val="24"/>
          <w:szCs w:val="24"/>
        </w:rPr>
        <w:t>ī</w:t>
      </w:r>
      <w:r w:rsidRPr="00BB69DC">
        <w:rPr>
          <w:rFonts w:ascii="Times New Roman" w:hAnsi="Times New Roman"/>
          <w:sz w:val="24"/>
          <w:szCs w:val="24"/>
        </w:rPr>
        <w:t>ta pas</w:t>
      </w:r>
      <w:r w:rsidRPr="00BB69DC">
        <w:rPr>
          <w:rFonts w:ascii="Times New Roman" w:hAnsi="Times New Roman" w:hint="eastAsia"/>
          <w:sz w:val="24"/>
          <w:szCs w:val="24"/>
        </w:rPr>
        <w:t>ū</w:t>
      </w:r>
      <w:r w:rsidRPr="00BB69DC">
        <w:rPr>
          <w:rFonts w:ascii="Times New Roman" w:hAnsi="Times New Roman"/>
          <w:sz w:val="24"/>
          <w:szCs w:val="24"/>
        </w:rPr>
        <w:t>t</w:t>
      </w:r>
      <w:r w:rsidRPr="00BB69DC">
        <w:rPr>
          <w:rFonts w:ascii="Times New Roman" w:hAnsi="Times New Roman" w:hint="eastAsia"/>
          <w:sz w:val="24"/>
          <w:szCs w:val="24"/>
        </w:rPr>
        <w:t>ī</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ja iesaiste, vai maz</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(25% un 10%) </w:t>
      </w:r>
      <w:r w:rsidR="006A4468">
        <w:rPr>
          <w:rFonts w:ascii="Times New Roman" w:hAnsi="Times New Roman"/>
          <w:sz w:val="24"/>
          <w:szCs w:val="24"/>
        </w:rPr>
        <w:t>–</w:t>
      </w:r>
      <w:r w:rsidRPr="00BB69DC">
        <w:rPr>
          <w:rFonts w:ascii="Times New Roman" w:hAnsi="Times New Roman"/>
          <w:sz w:val="24"/>
          <w:szCs w:val="24"/>
        </w:rPr>
        <w:t xml:space="preserve"> citos gad</w:t>
      </w:r>
      <w:r w:rsidRPr="00BB69DC">
        <w:rPr>
          <w:rFonts w:ascii="Times New Roman" w:hAnsi="Times New Roman" w:hint="eastAsia"/>
          <w:sz w:val="24"/>
          <w:szCs w:val="24"/>
        </w:rPr>
        <w:t>ī</w:t>
      </w:r>
      <w:r w:rsidRPr="00BB69DC">
        <w:rPr>
          <w:rFonts w:ascii="Times New Roman" w:hAnsi="Times New Roman"/>
          <w:sz w:val="24"/>
          <w:szCs w:val="24"/>
        </w:rPr>
        <w:t>jumos.</w:t>
      </w:r>
    </w:p>
    <w:p w14:paraId="67DEE5F4" w14:textId="7EA2D7BD"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Saska</w:t>
      </w:r>
      <w:r w:rsidRPr="00BB69DC">
        <w:rPr>
          <w:rFonts w:ascii="Times New Roman" w:hAnsi="Times New Roman" w:hint="eastAsia"/>
          <w:sz w:val="24"/>
          <w:szCs w:val="24"/>
        </w:rPr>
        <w:t>ņā</w:t>
      </w:r>
      <w:r w:rsidRPr="00BB69DC">
        <w:rPr>
          <w:rFonts w:ascii="Times New Roman" w:hAnsi="Times New Roman"/>
          <w:sz w:val="24"/>
          <w:szCs w:val="24"/>
        </w:rPr>
        <w:t xml:space="preserve"> ar </w:t>
      </w:r>
      <w:r>
        <w:rPr>
          <w:rFonts w:ascii="Times New Roman" w:hAnsi="Times New Roman"/>
          <w:sz w:val="24"/>
          <w:szCs w:val="24"/>
        </w:rPr>
        <w:t>EK un nacionālām</w:t>
      </w:r>
      <w:r w:rsidRPr="00BB69DC">
        <w:rPr>
          <w:rFonts w:ascii="Times New Roman" w:hAnsi="Times New Roman"/>
          <w:sz w:val="24"/>
          <w:szCs w:val="24"/>
        </w:rPr>
        <w:t xml:space="preserve"> vadl</w:t>
      </w:r>
      <w:r w:rsidRPr="00BB69DC">
        <w:rPr>
          <w:rFonts w:ascii="Times New Roman" w:hAnsi="Times New Roman" w:hint="eastAsia"/>
          <w:sz w:val="24"/>
          <w:szCs w:val="24"/>
        </w:rPr>
        <w:t>ī</w:t>
      </w:r>
      <w:r w:rsidRPr="00BB69DC">
        <w:rPr>
          <w:rFonts w:ascii="Times New Roman" w:hAnsi="Times New Roman"/>
          <w:sz w:val="24"/>
          <w:szCs w:val="24"/>
        </w:rPr>
        <w:t>nij</w:t>
      </w:r>
      <w:r w:rsidRPr="00BB69DC">
        <w:rPr>
          <w:rFonts w:ascii="Times New Roman" w:hAnsi="Times New Roman" w:hint="eastAsia"/>
          <w:sz w:val="24"/>
          <w:szCs w:val="24"/>
        </w:rPr>
        <w:t>ā</w:t>
      </w:r>
      <w:r w:rsidRPr="00BB69DC">
        <w:rPr>
          <w:rFonts w:ascii="Times New Roman" w:hAnsi="Times New Roman"/>
          <w:sz w:val="24"/>
          <w:szCs w:val="24"/>
        </w:rPr>
        <w:t>m</w:t>
      </w:r>
      <w:r>
        <w:rPr>
          <w:rStyle w:val="FootnoteReference"/>
          <w:rFonts w:ascii="Times New Roman" w:hAnsi="Times New Roman"/>
          <w:sz w:val="24"/>
          <w:szCs w:val="24"/>
        </w:rPr>
        <w:footnoteReference w:id="12"/>
      </w:r>
      <w:r w:rsidRPr="00BB69DC">
        <w:rPr>
          <w:rFonts w:ascii="Times New Roman" w:hAnsi="Times New Roman"/>
          <w:sz w:val="24"/>
          <w:szCs w:val="24"/>
        </w:rPr>
        <w:t xml:space="preserve"> tiek noteikta 10% finan</w:t>
      </w:r>
      <w:r w:rsidRPr="00BB69DC">
        <w:rPr>
          <w:rFonts w:ascii="Times New Roman" w:hAnsi="Times New Roman" w:hint="eastAsia"/>
          <w:sz w:val="24"/>
          <w:szCs w:val="24"/>
        </w:rPr>
        <w:t>š</w:t>
      </w:r>
      <w:r w:rsidRPr="00BB69DC">
        <w:rPr>
          <w:rFonts w:ascii="Times New Roman" w:hAnsi="Times New Roman"/>
          <w:sz w:val="24"/>
          <w:szCs w:val="24"/>
        </w:rPr>
        <w:t>u korekcija, ja pretendenti aizliegto vieno</w:t>
      </w:r>
      <w:r w:rsidRPr="00BB69DC">
        <w:rPr>
          <w:rFonts w:ascii="Times New Roman" w:hAnsi="Times New Roman" w:hint="eastAsia"/>
          <w:sz w:val="24"/>
          <w:szCs w:val="24"/>
        </w:rPr>
        <w:t>š</w:t>
      </w:r>
      <w:r w:rsidRPr="00BB69DC">
        <w:rPr>
          <w:rFonts w:ascii="Times New Roman" w:hAnsi="Times New Roman"/>
          <w:sz w:val="24"/>
          <w:szCs w:val="24"/>
        </w:rPr>
        <w:t>anos veiku</w:t>
      </w:r>
      <w:r w:rsidRPr="00BB69DC">
        <w:rPr>
          <w:rFonts w:ascii="Times New Roman" w:hAnsi="Times New Roman" w:hint="eastAsia"/>
          <w:sz w:val="24"/>
          <w:szCs w:val="24"/>
        </w:rPr>
        <w:t>š</w:t>
      </w:r>
      <w:r w:rsidRPr="00BB69DC">
        <w:rPr>
          <w:rFonts w:ascii="Times New Roman" w:hAnsi="Times New Roman"/>
          <w:sz w:val="24"/>
          <w:szCs w:val="24"/>
        </w:rPr>
        <w:t>i bez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as personas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jas iest</w:t>
      </w:r>
      <w:r w:rsidRPr="00BB69DC">
        <w:rPr>
          <w:rFonts w:ascii="Times New Roman" w:hAnsi="Times New Roman" w:hint="eastAsia"/>
          <w:sz w:val="24"/>
          <w:szCs w:val="24"/>
        </w:rPr>
        <w:t>ā</w:t>
      </w:r>
      <w:r w:rsidRPr="00BB69DC">
        <w:rPr>
          <w:rFonts w:ascii="Times New Roman" w:hAnsi="Times New Roman"/>
          <w:sz w:val="24"/>
          <w:szCs w:val="24"/>
        </w:rPr>
        <w:t>des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un k</w:t>
      </w:r>
      <w:r w:rsidRPr="00BB69DC">
        <w:rPr>
          <w:rFonts w:ascii="Times New Roman" w:hAnsi="Times New Roman" w:hint="eastAsia"/>
          <w:sz w:val="24"/>
          <w:szCs w:val="24"/>
        </w:rPr>
        <w:t>ā</w:t>
      </w:r>
      <w:r w:rsidRPr="00BB69DC">
        <w:rPr>
          <w:rFonts w:ascii="Times New Roman" w:hAnsi="Times New Roman"/>
          <w:sz w:val="24"/>
          <w:szCs w:val="24"/>
        </w:rPr>
        <w:t>ds no aizliegtaj</w:t>
      </w:r>
      <w:r w:rsidRPr="00BB69DC">
        <w:rPr>
          <w:rFonts w:ascii="Times New Roman" w:hAnsi="Times New Roman" w:hint="eastAsia"/>
          <w:sz w:val="24"/>
          <w:szCs w:val="24"/>
        </w:rPr>
        <w:t>ā</w:t>
      </w:r>
      <w:r w:rsidRPr="00BB69DC">
        <w:rPr>
          <w:rFonts w:ascii="Times New Roman" w:hAnsi="Times New Roman"/>
          <w:sz w:val="24"/>
          <w:szCs w:val="24"/>
        </w:rPr>
        <w:t xml:space="preserve">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iesaist</w:t>
      </w:r>
      <w:r w:rsidRPr="00BB69DC">
        <w:rPr>
          <w:rFonts w:ascii="Times New Roman" w:hAnsi="Times New Roman" w:hint="eastAsia"/>
          <w:sz w:val="24"/>
          <w:szCs w:val="24"/>
        </w:rPr>
        <w:t>ī</w:t>
      </w:r>
      <w:r w:rsidRPr="00BB69DC">
        <w:rPr>
          <w:rFonts w:ascii="Times New Roman" w:hAnsi="Times New Roman"/>
          <w:sz w:val="24"/>
          <w:szCs w:val="24"/>
        </w:rPr>
        <w:t>tajiem uz</w:t>
      </w:r>
      <w:r w:rsidRPr="00BB69DC">
        <w:rPr>
          <w:rFonts w:ascii="Times New Roman" w:hAnsi="Times New Roman" w:hint="eastAsia"/>
          <w:sz w:val="24"/>
          <w:szCs w:val="24"/>
        </w:rPr>
        <w:t>ņē</w:t>
      </w:r>
      <w:r w:rsidRPr="00BB69DC">
        <w:rPr>
          <w:rFonts w:ascii="Times New Roman" w:hAnsi="Times New Roman"/>
          <w:sz w:val="24"/>
          <w:szCs w:val="24"/>
        </w:rPr>
        <w:t>mumiem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6D28AF4C" w14:textId="77777777"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Savuk</w:t>
      </w:r>
      <w:r w:rsidRPr="00BB69DC">
        <w:rPr>
          <w:rFonts w:ascii="Times New Roman" w:hAnsi="Times New Roman" w:hint="eastAsia"/>
          <w:sz w:val="24"/>
          <w:szCs w:val="24"/>
        </w:rPr>
        <w:t>ā</w:t>
      </w:r>
      <w:r w:rsidRPr="00BB69DC">
        <w:rPr>
          <w:rFonts w:ascii="Times New Roman" w:hAnsi="Times New Roman"/>
          <w:sz w:val="24"/>
          <w:szCs w:val="24"/>
        </w:rPr>
        <w:t>rt 25% finan</w:t>
      </w:r>
      <w:r w:rsidRPr="00BB69DC">
        <w:rPr>
          <w:rFonts w:ascii="Times New Roman" w:hAnsi="Times New Roman" w:hint="eastAsia"/>
          <w:sz w:val="24"/>
          <w:szCs w:val="24"/>
        </w:rPr>
        <w:t>š</w:t>
      </w:r>
      <w:r w:rsidRPr="00BB69DC">
        <w:rPr>
          <w:rFonts w:ascii="Times New Roman" w:hAnsi="Times New Roman"/>
          <w:sz w:val="24"/>
          <w:szCs w:val="24"/>
        </w:rPr>
        <w:t>u korekcija tiek piem</w:t>
      </w:r>
      <w:r w:rsidRPr="00BB69DC">
        <w:rPr>
          <w:rFonts w:ascii="Times New Roman" w:hAnsi="Times New Roman" w:hint="eastAsia"/>
          <w:sz w:val="24"/>
          <w:szCs w:val="24"/>
        </w:rPr>
        <w:t>ē</w:t>
      </w:r>
      <w:r w:rsidRPr="00BB69DC">
        <w:rPr>
          <w:rFonts w:ascii="Times New Roman" w:hAnsi="Times New Roman"/>
          <w:sz w:val="24"/>
          <w:szCs w:val="24"/>
        </w:rPr>
        <w:t>rota, ja iepirkuma proced</w:t>
      </w:r>
      <w:r w:rsidRPr="00BB69DC">
        <w:rPr>
          <w:rFonts w:ascii="Times New Roman" w:hAnsi="Times New Roman" w:hint="eastAsia"/>
          <w:sz w:val="24"/>
          <w:szCs w:val="24"/>
        </w:rPr>
        <w:t>ū</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piedal</w:t>
      </w:r>
      <w:r w:rsidRPr="00BB69DC">
        <w:rPr>
          <w:rFonts w:ascii="Times New Roman" w:hAnsi="Times New Roman" w:hint="eastAsia"/>
          <w:sz w:val="24"/>
          <w:szCs w:val="24"/>
        </w:rPr>
        <w:t>ā</w:t>
      </w:r>
      <w:r w:rsidRPr="00BB69DC">
        <w:rPr>
          <w:rFonts w:ascii="Times New Roman" w:hAnsi="Times New Roman"/>
          <w:sz w:val="24"/>
          <w:szCs w:val="24"/>
        </w:rPr>
        <w:t>s tikai slepenas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dal</w:t>
      </w:r>
      <w:r w:rsidRPr="00BB69DC">
        <w:rPr>
          <w:rFonts w:ascii="Times New Roman" w:hAnsi="Times New Roman" w:hint="eastAsia"/>
          <w:sz w:val="24"/>
          <w:szCs w:val="24"/>
        </w:rPr>
        <w:t>ī</w:t>
      </w:r>
      <w:r w:rsidRPr="00BB69DC">
        <w:rPr>
          <w:rFonts w:ascii="Times New Roman" w:hAnsi="Times New Roman"/>
          <w:sz w:val="24"/>
          <w:szCs w:val="24"/>
        </w:rPr>
        <w:t>bnieki un konkurence tikusi b</w:t>
      </w:r>
      <w:r w:rsidRPr="00BB69DC">
        <w:rPr>
          <w:rFonts w:ascii="Times New Roman" w:hAnsi="Times New Roman" w:hint="eastAsia"/>
          <w:sz w:val="24"/>
          <w:szCs w:val="24"/>
        </w:rPr>
        <w:t>ū</w:t>
      </w:r>
      <w:r w:rsidRPr="00BB69DC">
        <w:rPr>
          <w:rFonts w:ascii="Times New Roman" w:hAnsi="Times New Roman"/>
          <w:sz w:val="24"/>
          <w:szCs w:val="24"/>
        </w:rPr>
        <w:t>tiski ierobe</w:t>
      </w:r>
      <w:r w:rsidRPr="00BB69DC">
        <w:rPr>
          <w:rFonts w:ascii="Times New Roman" w:hAnsi="Times New Roman" w:hint="eastAsia"/>
          <w:sz w:val="24"/>
          <w:szCs w:val="24"/>
        </w:rPr>
        <w:t>ž</w:t>
      </w:r>
      <w:r w:rsidRPr="00BB69DC">
        <w:rPr>
          <w:rFonts w:ascii="Times New Roman" w:hAnsi="Times New Roman"/>
          <w:sz w:val="24"/>
          <w:szCs w:val="24"/>
        </w:rPr>
        <w:t>ota.</w:t>
      </w:r>
    </w:p>
    <w:p w14:paraId="4CD9DD1C" w14:textId="77777777" w:rsidR="00D736A2"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Finan</w:t>
      </w:r>
      <w:r w:rsidRPr="00BB69DC">
        <w:rPr>
          <w:rFonts w:ascii="Times New Roman" w:hAnsi="Times New Roman" w:hint="eastAsia"/>
          <w:sz w:val="24"/>
          <w:szCs w:val="24"/>
        </w:rPr>
        <w:t>š</w:t>
      </w:r>
      <w:r w:rsidRPr="00BB69DC">
        <w:rPr>
          <w:rFonts w:ascii="Times New Roman" w:hAnsi="Times New Roman"/>
          <w:sz w:val="24"/>
          <w:szCs w:val="24"/>
        </w:rPr>
        <w:t>u korekcija 100%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tiek piem</w:t>
      </w:r>
      <w:r w:rsidRPr="00BB69DC">
        <w:rPr>
          <w:rFonts w:ascii="Times New Roman" w:hAnsi="Times New Roman" w:hint="eastAsia"/>
          <w:sz w:val="24"/>
          <w:szCs w:val="24"/>
        </w:rPr>
        <w:t>ē</w:t>
      </w:r>
      <w:r w:rsidRPr="00BB69DC">
        <w:rPr>
          <w:rFonts w:ascii="Times New Roman" w:hAnsi="Times New Roman"/>
          <w:sz w:val="24"/>
          <w:szCs w:val="24"/>
        </w:rPr>
        <w:t>rota, ja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 persona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 iest</w:t>
      </w:r>
      <w:r w:rsidRPr="00BB69DC">
        <w:rPr>
          <w:rFonts w:ascii="Times New Roman" w:hAnsi="Times New Roman" w:hint="eastAsia"/>
          <w:sz w:val="24"/>
          <w:szCs w:val="24"/>
        </w:rPr>
        <w:t>ā</w:t>
      </w:r>
      <w:r w:rsidRPr="00BB69DC">
        <w:rPr>
          <w:rFonts w:ascii="Times New Roman" w:hAnsi="Times New Roman"/>
          <w:sz w:val="24"/>
          <w:szCs w:val="24"/>
        </w:rPr>
        <w:t>de piedal</w:t>
      </w:r>
      <w:r w:rsidRPr="00BB69DC">
        <w:rPr>
          <w:rFonts w:ascii="Times New Roman" w:hAnsi="Times New Roman" w:hint="eastAsia"/>
          <w:sz w:val="24"/>
          <w:szCs w:val="24"/>
        </w:rPr>
        <w:t>ī</w:t>
      </w:r>
      <w:r w:rsidRPr="00BB69DC">
        <w:rPr>
          <w:rFonts w:ascii="Times New Roman" w:hAnsi="Times New Roman"/>
          <w:sz w:val="24"/>
          <w:szCs w:val="24"/>
        </w:rPr>
        <w:t>jusies aizliegt</w:t>
      </w:r>
      <w:r w:rsidRPr="00BB69DC">
        <w:rPr>
          <w:rFonts w:ascii="Times New Roman" w:hAnsi="Times New Roman" w:hint="eastAsia"/>
          <w:sz w:val="24"/>
          <w:szCs w:val="24"/>
        </w:rPr>
        <w:t>ā</w:t>
      </w:r>
      <w:r w:rsidRPr="00BB69DC">
        <w:rPr>
          <w:rFonts w:ascii="Times New Roman" w:hAnsi="Times New Roman"/>
          <w:sz w:val="24"/>
          <w:szCs w:val="24"/>
        </w:rPr>
        <w:t>s pretendentu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proces</w:t>
      </w:r>
      <w:r w:rsidRPr="00BB69DC">
        <w:rPr>
          <w:rFonts w:ascii="Times New Roman" w:hAnsi="Times New Roman" w:hint="eastAsia"/>
          <w:sz w:val="24"/>
          <w:szCs w:val="24"/>
        </w:rPr>
        <w:t>ā</w:t>
      </w:r>
      <w:r w:rsidRPr="00BB69DC">
        <w:rPr>
          <w:rFonts w:ascii="Times New Roman" w:hAnsi="Times New Roman"/>
          <w:sz w:val="24"/>
          <w:szCs w:val="24"/>
        </w:rPr>
        <w:t>, sniedzot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bu pretendentiem, kas veic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un k</w:t>
      </w:r>
      <w:r w:rsidRPr="00BB69DC">
        <w:rPr>
          <w:rFonts w:ascii="Times New Roman" w:hAnsi="Times New Roman" w:hint="eastAsia"/>
          <w:sz w:val="24"/>
          <w:szCs w:val="24"/>
        </w:rPr>
        <w:t>ā</w:t>
      </w:r>
      <w:r w:rsidRPr="00BB69DC">
        <w:rPr>
          <w:rFonts w:ascii="Times New Roman" w:hAnsi="Times New Roman"/>
          <w:sz w:val="24"/>
          <w:szCs w:val="24"/>
        </w:rPr>
        <w:t>ds no pretendentiem, kas bijis iesaist</w:t>
      </w:r>
      <w:r w:rsidRPr="00BB69DC">
        <w:rPr>
          <w:rFonts w:ascii="Times New Roman" w:hAnsi="Times New Roman" w:hint="eastAsia"/>
          <w:sz w:val="24"/>
          <w:szCs w:val="24"/>
        </w:rPr>
        <w:t>ī</w:t>
      </w:r>
      <w:r w:rsidRPr="00BB69DC">
        <w:rPr>
          <w:rFonts w:ascii="Times New Roman" w:hAnsi="Times New Roman"/>
          <w:sz w:val="24"/>
          <w:szCs w:val="24"/>
        </w:rPr>
        <w:t>ts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veido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5D046797" w14:textId="6B551AB8" w:rsidR="00D736A2" w:rsidRDefault="00D736A2" w:rsidP="00D736A2">
      <w:pPr>
        <w:spacing w:after="0" w:line="240" w:lineRule="auto"/>
        <w:ind w:firstLine="720"/>
        <w:jc w:val="both"/>
        <w:rPr>
          <w:rFonts w:ascii="Times New Roman" w:hAnsi="Times New Roman"/>
          <w:sz w:val="24"/>
          <w:szCs w:val="24"/>
        </w:rPr>
      </w:pPr>
      <w:r>
        <w:rPr>
          <w:rFonts w:ascii="Times New Roman" w:hAnsi="Times New Roman"/>
          <w:sz w:val="24"/>
          <w:szCs w:val="24"/>
        </w:rPr>
        <w:t xml:space="preserve">Izvērtējot nepieciešamo finanšu korekcijas apmēru attiecībā uz iepirkumos piešķirto ES līdzfinansējumu, CFLA saskaņā ar KP lēmumu ir identificējusi, ka piemērojamas ir finanšu korekcijas 25% un 10% apmērā. Attiecīgi CFLA ir pieņēmusi lēmumus attiecībā uz konkrētajiem projektiem par finanšu korekcijas (publiskā atbalsta samazinājuma/atgūšanas) kopsummu 18 893 728 </w:t>
      </w:r>
      <w:proofErr w:type="spellStart"/>
      <w:r w:rsidRPr="0081597C">
        <w:rPr>
          <w:rFonts w:ascii="Times New Roman" w:hAnsi="Times New Roman"/>
          <w:i/>
          <w:iCs/>
          <w:sz w:val="24"/>
          <w:szCs w:val="24"/>
        </w:rPr>
        <w:t>euro</w:t>
      </w:r>
      <w:proofErr w:type="spellEnd"/>
      <w:r>
        <w:rPr>
          <w:rFonts w:ascii="Times New Roman" w:hAnsi="Times New Roman"/>
          <w:sz w:val="24"/>
          <w:szCs w:val="24"/>
        </w:rPr>
        <w:t xml:space="preserve">, no kuriem 16 487 050 </w:t>
      </w:r>
      <w:proofErr w:type="spellStart"/>
      <w:r w:rsidRPr="0081597C">
        <w:rPr>
          <w:rFonts w:ascii="Times New Roman" w:hAnsi="Times New Roman"/>
          <w:i/>
          <w:iCs/>
          <w:sz w:val="24"/>
          <w:szCs w:val="24"/>
        </w:rPr>
        <w:t>euro</w:t>
      </w:r>
      <w:proofErr w:type="spellEnd"/>
      <w:r>
        <w:rPr>
          <w:rFonts w:ascii="Times New Roman" w:hAnsi="Times New Roman"/>
          <w:sz w:val="24"/>
          <w:szCs w:val="24"/>
        </w:rPr>
        <w:t xml:space="preserve"> ir ERAF un 2 406 677 </w:t>
      </w:r>
      <w:proofErr w:type="spellStart"/>
      <w:r w:rsidRPr="0081597C">
        <w:rPr>
          <w:rFonts w:ascii="Times New Roman" w:hAnsi="Times New Roman"/>
          <w:i/>
          <w:iCs/>
          <w:sz w:val="24"/>
          <w:szCs w:val="24"/>
        </w:rPr>
        <w:t>euro</w:t>
      </w:r>
      <w:proofErr w:type="spellEnd"/>
      <w:r>
        <w:rPr>
          <w:rFonts w:ascii="Times New Roman" w:hAnsi="Times New Roman"/>
          <w:sz w:val="24"/>
          <w:szCs w:val="24"/>
        </w:rPr>
        <w:t xml:space="preserve"> valsts budžeta finansējums. J</w:t>
      </w:r>
      <w:r w:rsidRPr="0081597C">
        <w:rPr>
          <w:rFonts w:ascii="Times New Roman" w:hAnsi="Times New Roman"/>
          <w:sz w:val="24"/>
          <w:szCs w:val="24"/>
        </w:rPr>
        <w:t xml:space="preserve">āņem vērā, ka </w:t>
      </w:r>
      <w:r>
        <w:rPr>
          <w:rFonts w:ascii="Times New Roman" w:hAnsi="Times New Roman"/>
          <w:sz w:val="24"/>
          <w:szCs w:val="24"/>
        </w:rPr>
        <w:t>“būvnieku karteļa” lietā procesā ir</w:t>
      </w:r>
      <w:r w:rsidRPr="0081597C">
        <w:rPr>
          <w:rFonts w:ascii="Times New Roman" w:hAnsi="Times New Roman"/>
          <w:sz w:val="24"/>
          <w:szCs w:val="24"/>
        </w:rPr>
        <w:t xml:space="preserve"> aktīvas tiesvedības Administratīvajā apgabaltiesā par KP </w:t>
      </w:r>
      <w:r>
        <w:rPr>
          <w:rFonts w:ascii="Times New Roman" w:hAnsi="Times New Roman"/>
          <w:sz w:val="24"/>
          <w:szCs w:val="24"/>
        </w:rPr>
        <w:t>lēmuma</w:t>
      </w:r>
      <w:r w:rsidRPr="0081597C">
        <w:rPr>
          <w:rFonts w:ascii="Times New Roman" w:hAnsi="Times New Roman"/>
          <w:sz w:val="24"/>
          <w:szCs w:val="24"/>
        </w:rPr>
        <w:t xml:space="preserve"> tiesiskumu un pamatotību</w:t>
      </w:r>
      <w:r w:rsidR="001A0683">
        <w:rPr>
          <w:rFonts w:ascii="Times New Roman" w:hAnsi="Times New Roman"/>
          <w:sz w:val="24"/>
          <w:szCs w:val="24"/>
        </w:rPr>
        <w:t>, kas turpinās arī 2023.gadā</w:t>
      </w:r>
      <w:r w:rsidRPr="0081597C">
        <w:rPr>
          <w:rFonts w:ascii="Times New Roman" w:hAnsi="Times New Roman"/>
          <w:sz w:val="24"/>
          <w:szCs w:val="24"/>
        </w:rPr>
        <w:t>. Tiesvedības rezultāts var ietekmēt minētā KP lēmuma, kā arī secīgi CFLA pieņemto finansējuma saņēmējiem nelabvēlīgo lēmumu saturu</w:t>
      </w:r>
      <w:r>
        <w:rPr>
          <w:rFonts w:ascii="Times New Roman" w:hAnsi="Times New Roman"/>
          <w:sz w:val="24"/>
          <w:szCs w:val="24"/>
        </w:rPr>
        <w:t>. Pēc iepriekš minētiem gala lēmumiem CFLA atbilstoši kompetencei ES fondu sistēmā nodrošinās neatbilstoši izmaksātā publiskā atbalsta atgūšanas valsts budžetā procesu.</w:t>
      </w:r>
    </w:p>
    <w:p w14:paraId="7E184ADF" w14:textId="30D4EBCD" w:rsidR="00D736A2" w:rsidRPr="0020713B" w:rsidRDefault="00D736A2" w:rsidP="00CF0060">
      <w:pPr>
        <w:spacing w:after="100" w:afterAutospacing="1" w:line="240" w:lineRule="auto"/>
        <w:ind w:firstLine="720"/>
        <w:jc w:val="both"/>
        <w:rPr>
          <w:rFonts w:ascii="Times New Roman" w:hAnsi="Times New Roman" w:cs="Times New Roman"/>
          <w:b/>
          <w:bCs/>
          <w:color w:val="000000" w:themeColor="text1"/>
          <w:sz w:val="24"/>
          <w:szCs w:val="24"/>
        </w:rPr>
      </w:pPr>
      <w:r>
        <w:rPr>
          <w:rFonts w:ascii="Times New Roman" w:hAnsi="Times New Roman"/>
          <w:sz w:val="24"/>
          <w:szCs w:val="24"/>
        </w:rPr>
        <w:t xml:space="preserve">Atbilstoši veiktajām konsultācijām ar ES statistikas biroju </w:t>
      </w:r>
      <w:proofErr w:type="spellStart"/>
      <w:r w:rsidRPr="00B61892">
        <w:rPr>
          <w:rFonts w:ascii="Times New Roman" w:hAnsi="Times New Roman"/>
          <w:i/>
          <w:iCs/>
          <w:sz w:val="24"/>
          <w:szCs w:val="24"/>
        </w:rPr>
        <w:t>Eurostat</w:t>
      </w:r>
      <w:proofErr w:type="spellEnd"/>
      <w:r>
        <w:rPr>
          <w:rFonts w:ascii="Times New Roman" w:hAnsi="Times New Roman"/>
          <w:i/>
          <w:iCs/>
          <w:sz w:val="24"/>
          <w:szCs w:val="24"/>
        </w:rPr>
        <w:t xml:space="preserve"> </w:t>
      </w:r>
      <w:r>
        <w:rPr>
          <w:rFonts w:ascii="Times New Roman" w:hAnsi="Times New Roman"/>
          <w:sz w:val="24"/>
          <w:szCs w:val="24"/>
        </w:rPr>
        <w:t xml:space="preserve">ieņēmumu korekcija par finansējumu, kam piemērota finanšu korekcija, ir veicama brīdī, kad pieņemts CFLA lēmums (t.i. </w:t>
      </w:r>
      <w:r>
        <w:rPr>
          <w:rFonts w:ascii="Times New Roman" w:hAnsi="Times New Roman"/>
          <w:sz w:val="24"/>
          <w:szCs w:val="24"/>
        </w:rPr>
        <w:lastRenderedPageBreak/>
        <w:t xml:space="preserve">finanšu korekcija ietekmē vēsturiskos budžeta gadus). Ievērojot minēto, riska ietekme vidējā termiņā iespējama tikai gadījumā, ja </w:t>
      </w:r>
      <w:r w:rsidR="00054983">
        <w:rPr>
          <w:rFonts w:ascii="Times New Roman" w:hAnsi="Times New Roman"/>
          <w:sz w:val="24"/>
          <w:szCs w:val="24"/>
        </w:rPr>
        <w:t xml:space="preserve">mainās </w:t>
      </w:r>
      <w:proofErr w:type="spellStart"/>
      <w:r w:rsidR="00054983" w:rsidRPr="0058124B">
        <w:rPr>
          <w:rFonts w:ascii="Times New Roman" w:hAnsi="Times New Roman"/>
          <w:i/>
          <w:iCs/>
          <w:sz w:val="24"/>
          <w:szCs w:val="24"/>
        </w:rPr>
        <w:t>Eurostat</w:t>
      </w:r>
      <w:proofErr w:type="spellEnd"/>
      <w:r w:rsidR="00054983">
        <w:rPr>
          <w:rFonts w:ascii="Times New Roman" w:hAnsi="Times New Roman"/>
          <w:sz w:val="24"/>
          <w:szCs w:val="24"/>
        </w:rPr>
        <w:t xml:space="preserve"> viedoklis attiecībā uz uzskaites metodoloģiju, kas tiek novērtēta tuvu nullei. Kā rezultātā fiskālā riska kvantitatīvais novērtējums liecina, ka tam </w:t>
      </w:r>
      <w:r w:rsidR="00054983" w:rsidRPr="0020713B">
        <w:rPr>
          <w:rFonts w:ascii="Times New Roman" w:hAnsi="Times New Roman"/>
          <w:b/>
          <w:bCs/>
          <w:sz w:val="24"/>
          <w:szCs w:val="24"/>
        </w:rPr>
        <w:t>nav jāveido fiskālā nodrošinājuma rezerve</w:t>
      </w:r>
      <w:r w:rsidRPr="0020713B">
        <w:rPr>
          <w:rFonts w:ascii="Times New Roman" w:hAnsi="Times New Roman"/>
          <w:b/>
          <w:bCs/>
          <w:sz w:val="24"/>
          <w:szCs w:val="24"/>
        </w:rPr>
        <w:t>.</w:t>
      </w:r>
    </w:p>
    <w:p w14:paraId="3C625450" w14:textId="77777777" w:rsidR="00822D84" w:rsidRPr="00623897" w:rsidRDefault="00822D84" w:rsidP="00497710">
      <w:pPr>
        <w:pStyle w:val="Heading2"/>
        <w:numPr>
          <w:ilvl w:val="1"/>
          <w:numId w:val="4"/>
        </w:numPr>
        <w:tabs>
          <w:tab w:val="left" w:pos="851"/>
          <w:tab w:val="left" w:pos="5103"/>
          <w:tab w:val="left" w:pos="5245"/>
        </w:tabs>
        <w:spacing w:before="120" w:after="120" w:line="240" w:lineRule="auto"/>
        <w:ind w:left="567" w:hanging="555"/>
        <w:jc w:val="center"/>
        <w:rPr>
          <w:rFonts w:ascii="Times New Roman" w:hAnsi="Times New Roman" w:cs="Times New Roman"/>
          <w:sz w:val="24"/>
          <w:szCs w:val="24"/>
        </w:rPr>
      </w:pPr>
      <w:bookmarkStart w:id="75" w:name="_Toc405371083"/>
      <w:bookmarkStart w:id="76" w:name="_Toc536779066"/>
      <w:bookmarkStart w:id="77" w:name="_Toc142388035"/>
      <w:r w:rsidRPr="00623897">
        <w:rPr>
          <w:rFonts w:ascii="Times New Roman" w:hAnsi="Times New Roman" w:cs="Times New Roman"/>
          <w:color w:val="auto"/>
          <w:sz w:val="24"/>
          <w:szCs w:val="24"/>
        </w:rPr>
        <w:t>Kapitāls uz pieprasījumu</w:t>
      </w:r>
      <w:bookmarkEnd w:id="75"/>
      <w:bookmarkEnd w:id="76"/>
      <w:bookmarkEnd w:id="77"/>
    </w:p>
    <w:p w14:paraId="59DBD9E3" w14:textId="372BF5D7" w:rsidR="008A60AA" w:rsidRP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F</w:t>
      </w:r>
      <w:r w:rsidR="008A60AA" w:rsidRPr="008A60AA">
        <w:rPr>
          <w:rFonts w:ascii="Times New Roman" w:eastAsiaTheme="minorHAnsi" w:hAnsi="Times New Roman" w:cs="Times New Roman"/>
          <w:sz w:val="24"/>
          <w:szCs w:val="20"/>
        </w:rPr>
        <w:t>iskālais risks var īstenoties</w:t>
      </w:r>
      <w:r w:rsidR="008D7449">
        <w:rPr>
          <w:rFonts w:ascii="Times New Roman" w:eastAsiaTheme="minorHAnsi" w:hAnsi="Times New Roman" w:cs="Times New Roman"/>
          <w:sz w:val="24"/>
          <w:szCs w:val="20"/>
        </w:rPr>
        <w:t>,</w:t>
      </w:r>
      <w:r>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iestāj</w:t>
      </w:r>
      <w:r>
        <w:rPr>
          <w:rFonts w:ascii="Times New Roman" w:eastAsiaTheme="minorHAnsi" w:hAnsi="Times New Roman" w:cs="Times New Roman"/>
          <w:sz w:val="24"/>
          <w:szCs w:val="20"/>
        </w:rPr>
        <w:t>oties</w:t>
      </w:r>
      <w:r w:rsidR="008A60AA" w:rsidRPr="008A60AA">
        <w:rPr>
          <w:rFonts w:ascii="Times New Roman" w:eastAsiaTheme="minorHAnsi" w:hAnsi="Times New Roman" w:cs="Times New Roman"/>
          <w:sz w:val="24"/>
          <w:szCs w:val="20"/>
        </w:rPr>
        <w:t xml:space="preserve"> līgumā ar </w:t>
      </w:r>
      <w:r w:rsidR="008A60AA" w:rsidRPr="009244B5">
        <w:rPr>
          <w:rFonts w:ascii="Times New Roman" w:eastAsiaTheme="minorHAnsi" w:hAnsi="Times New Roman" w:cs="Times New Roman"/>
          <w:sz w:val="24"/>
          <w:szCs w:val="20"/>
        </w:rPr>
        <w:t>SFI</w:t>
      </w:r>
      <w:r w:rsidR="008A60AA" w:rsidRPr="008A60AA">
        <w:rPr>
          <w:rFonts w:ascii="Times New Roman" w:eastAsiaTheme="minorHAnsi" w:hAnsi="Times New Roman" w:cs="Times New Roman"/>
          <w:sz w:val="24"/>
          <w:szCs w:val="20"/>
        </w:rPr>
        <w:t>, kurā Latvija ir kapitāla daļu turētāja, noteik</w:t>
      </w:r>
      <w:r>
        <w:rPr>
          <w:rFonts w:ascii="Times New Roman" w:eastAsiaTheme="minorHAnsi" w:hAnsi="Times New Roman" w:cs="Times New Roman"/>
          <w:sz w:val="24"/>
          <w:szCs w:val="20"/>
        </w:rPr>
        <w:t>tajiem</w:t>
      </w:r>
      <w:r w:rsidR="008A60AA" w:rsidRPr="008A60AA">
        <w:rPr>
          <w:rFonts w:ascii="Times New Roman" w:eastAsiaTheme="minorHAnsi" w:hAnsi="Times New Roman" w:cs="Times New Roman"/>
          <w:sz w:val="24"/>
          <w:szCs w:val="20"/>
        </w:rPr>
        <w:t xml:space="preserve"> apstākļi</w:t>
      </w:r>
      <w:r>
        <w:rPr>
          <w:rFonts w:ascii="Times New Roman" w:eastAsiaTheme="minorHAnsi" w:hAnsi="Times New Roman" w:cs="Times New Roman"/>
          <w:sz w:val="24"/>
          <w:szCs w:val="20"/>
        </w:rPr>
        <w:t xml:space="preserve">em un attiecīgi </w:t>
      </w:r>
      <w:r w:rsidR="008A60AA" w:rsidRPr="008A60AA">
        <w:rPr>
          <w:rFonts w:ascii="Times New Roman" w:eastAsiaTheme="minorHAnsi" w:hAnsi="Times New Roman" w:cs="Times New Roman"/>
          <w:sz w:val="24"/>
          <w:szCs w:val="20"/>
        </w:rPr>
        <w:t>var tikt pieprasīta kapitāla uz pieprasījumu apmaksa. Ar starptautiskajām institūcijām</w:t>
      </w:r>
      <w:r w:rsidR="00BA7CFE">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 xml:space="preserve">SFI noslēgto līgumu nosacījumu analīze liecina, ka tie ir salīdzinoši vienveidīgi un nosaka to, ka organizācija var pieprasīt apmaksāt kapitālu uz pieprasījumu situācijā, kad organizācijas rīcībā nav pietiekami finanšu resursi, lai nodrošinātu institūcijas mērķu izpildi straujas finanšu situācijas pasliktināšanās gadījumos. </w:t>
      </w:r>
    </w:p>
    <w:p w14:paraId="332BE03B" w14:textId="67076EE6" w:rsidR="004D1798"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Situācija, kad SFI pieprasa neapmaksātā reģistrētā kapitāla apmaksu, pati par sevi nenosaka, ka ir īstenojies fiskālais risks. Gadījumā, ja V</w:t>
      </w:r>
      <w:r w:rsidR="00D11383">
        <w:rPr>
          <w:rFonts w:ascii="Times New Roman" w:eastAsiaTheme="minorHAnsi" w:hAnsi="Times New Roman" w:cs="Times New Roman"/>
          <w:sz w:val="24"/>
          <w:szCs w:val="20"/>
        </w:rPr>
        <w:t xml:space="preserve">K </w:t>
      </w:r>
      <w:r w:rsidRPr="008A60AA">
        <w:rPr>
          <w:rFonts w:ascii="Times New Roman" w:eastAsiaTheme="minorHAnsi" w:hAnsi="Times New Roman" w:cs="Times New Roman"/>
          <w:sz w:val="24"/>
          <w:szCs w:val="20"/>
        </w:rPr>
        <w:t>minētā pieprasījuma izpildei aizņemas finanšu resursus virs plānotā aizņēmuma apmēra, neplānota ietekme rodas uz valsts parādu piesaistīto līdzekļu apmērā, kā arī attiecīgi palielinās valsts budžeta izdevumi par valsts parāda vadību</w:t>
      </w:r>
      <w:r w:rsidR="004D1798">
        <w:rPr>
          <w:rFonts w:ascii="Times New Roman" w:eastAsiaTheme="minorHAnsi" w:hAnsi="Times New Roman" w:cs="Times New Roman"/>
          <w:sz w:val="24"/>
          <w:szCs w:val="20"/>
        </w:rPr>
        <w:t>.</w:t>
      </w:r>
    </w:p>
    <w:p w14:paraId="6242CD01" w14:textId="7790FA81" w:rsid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B</w:t>
      </w:r>
      <w:r w:rsidR="008A60AA" w:rsidRPr="008A60AA">
        <w:rPr>
          <w:rFonts w:ascii="Times New Roman" w:eastAsiaTheme="minorHAnsi" w:hAnsi="Times New Roman" w:cs="Times New Roman"/>
          <w:sz w:val="24"/>
          <w:szCs w:val="20"/>
        </w:rPr>
        <w:t>ūtiskāks fiskālais risks iestājas tajos gadījumos, kad ar kapitālu uz pieprasījumu tiek segti organizācijas SFI finansiālās darbības zaudējumi (piemēram, organizācija SFI noraksta izsniegto aizdevumu) un attiecīgi šāda kapitāla palielināšana tiktu uzskaitīta kā vispārējās valdības budžeta izdevumi, pasliktinot budžeta bilanci.</w:t>
      </w:r>
    </w:p>
    <w:p w14:paraId="37BF7CA6" w14:textId="3CCD930B" w:rsidR="008A60AA"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Valsts iespējamās saistības saskaņā ar pašreiz spēkā esošajiem līgumiem ir apkopotas tabulā Nr.</w:t>
      </w:r>
      <w:r w:rsidR="000C19C5">
        <w:rPr>
          <w:rFonts w:ascii="Times New Roman" w:eastAsiaTheme="minorHAnsi" w:hAnsi="Times New Roman" w:cs="Times New Roman"/>
          <w:sz w:val="24"/>
          <w:szCs w:val="20"/>
        </w:rPr>
        <w:t>2.9.1</w:t>
      </w:r>
      <w:r w:rsidRPr="008A60AA">
        <w:rPr>
          <w:rFonts w:ascii="Times New Roman" w:eastAsiaTheme="minorHAnsi" w:hAnsi="Times New Roman" w:cs="Times New Roman"/>
          <w:sz w:val="24"/>
          <w:szCs w:val="20"/>
        </w:rPr>
        <w:t>.</w:t>
      </w:r>
    </w:p>
    <w:p w14:paraId="0F188F13" w14:textId="77777777" w:rsidR="00B70497" w:rsidRPr="00A96163" w:rsidRDefault="00B70497" w:rsidP="008A60AA">
      <w:pPr>
        <w:spacing w:after="0" w:line="240" w:lineRule="auto"/>
        <w:ind w:firstLine="720"/>
        <w:jc w:val="both"/>
        <w:rPr>
          <w:rFonts w:ascii="Times New Roman" w:eastAsiaTheme="minorHAnsi" w:hAnsi="Times New Roman" w:cs="Times New Roman"/>
          <w:sz w:val="20"/>
          <w:szCs w:val="16"/>
        </w:rPr>
      </w:pPr>
    </w:p>
    <w:p w14:paraId="4DC43D86" w14:textId="1085A338" w:rsidR="001F3A40" w:rsidRPr="00623897" w:rsidRDefault="001F3A40" w:rsidP="00497710">
      <w:pPr>
        <w:spacing w:line="240" w:lineRule="auto"/>
        <w:jc w:val="right"/>
        <w:rPr>
          <w:rFonts w:ascii="Times New Roman" w:eastAsiaTheme="minorHAnsi" w:hAnsi="Times New Roman" w:cs="Times New Roman"/>
          <w:b/>
          <w:sz w:val="24"/>
          <w:szCs w:val="20"/>
        </w:rPr>
      </w:pPr>
      <w:r w:rsidRPr="00623897">
        <w:rPr>
          <w:rFonts w:ascii="Times New Roman" w:eastAsiaTheme="minorHAnsi" w:hAnsi="Times New Roman" w:cs="Times New Roman"/>
          <w:b/>
          <w:sz w:val="24"/>
          <w:szCs w:val="20"/>
        </w:rPr>
        <w:t>Tabula Nr.</w:t>
      </w:r>
      <w:r w:rsidR="000C19C5">
        <w:rPr>
          <w:rFonts w:ascii="Times New Roman" w:eastAsiaTheme="minorHAnsi" w:hAnsi="Times New Roman" w:cs="Times New Roman"/>
          <w:b/>
          <w:sz w:val="24"/>
          <w:szCs w:val="20"/>
        </w:rPr>
        <w:t>2.</w:t>
      </w:r>
      <w:r w:rsidR="006F7C57">
        <w:rPr>
          <w:rFonts w:ascii="Times New Roman" w:eastAsiaTheme="minorHAnsi" w:hAnsi="Times New Roman" w:cs="Times New Roman"/>
          <w:b/>
          <w:sz w:val="24"/>
          <w:szCs w:val="20"/>
        </w:rPr>
        <w:t>9</w:t>
      </w:r>
      <w:r w:rsidR="000C19C5">
        <w:rPr>
          <w:rFonts w:ascii="Times New Roman" w:eastAsiaTheme="minorHAnsi" w:hAnsi="Times New Roman" w:cs="Times New Roman"/>
          <w:b/>
          <w:sz w:val="24"/>
          <w:szCs w:val="20"/>
        </w:rPr>
        <w:t>.1</w:t>
      </w:r>
      <w:r w:rsidR="00BA7CFE" w:rsidRPr="00623897">
        <w:rPr>
          <w:rFonts w:ascii="Times New Roman" w:eastAsiaTheme="minorHAnsi" w:hAnsi="Times New Roman" w:cs="Times New Roman"/>
          <w:b/>
          <w:sz w:val="24"/>
          <w:szCs w:val="20"/>
        </w:rPr>
        <w:t xml:space="preserve"> </w:t>
      </w:r>
      <w:r w:rsidRPr="00623897">
        <w:rPr>
          <w:rFonts w:ascii="Times New Roman" w:eastAsiaTheme="minorHAnsi" w:hAnsi="Times New Roman" w:cs="Times New Roman"/>
          <w:b/>
          <w:sz w:val="24"/>
          <w:szCs w:val="20"/>
        </w:rPr>
        <w:t>Kapitāls uz pieprasījumu sadalījumā pa starptautiskajām institūcijām</w:t>
      </w:r>
      <w:r w:rsidR="008A60AA" w:rsidRPr="008A60AA">
        <w:rPr>
          <w:rFonts w:ascii="Times New Roman" w:eastAsiaTheme="minorHAnsi" w:hAnsi="Times New Roman" w:cs="Times New Roman"/>
          <w:b/>
          <w:sz w:val="24"/>
          <w:szCs w:val="20"/>
        </w:rPr>
        <w:t xml:space="preserve"> </w:t>
      </w:r>
      <w:r w:rsidR="008A60AA" w:rsidRPr="00236D3A">
        <w:rPr>
          <w:rFonts w:ascii="Times New Roman" w:eastAsiaTheme="minorHAnsi" w:hAnsi="Times New Roman" w:cs="Times New Roman"/>
          <w:b/>
          <w:sz w:val="24"/>
          <w:szCs w:val="20"/>
        </w:rPr>
        <w:t>SFI</w:t>
      </w:r>
    </w:p>
    <w:tbl>
      <w:tblPr>
        <w:tblW w:w="9800" w:type="dxa"/>
        <w:tblLook w:val="04A0" w:firstRow="1" w:lastRow="0" w:firstColumn="1" w:lastColumn="0" w:noHBand="0" w:noVBand="1"/>
      </w:tblPr>
      <w:tblGrid>
        <w:gridCol w:w="4385"/>
        <w:gridCol w:w="2126"/>
        <w:gridCol w:w="883"/>
        <w:gridCol w:w="2406"/>
      </w:tblGrid>
      <w:tr w:rsidR="00FB16D6" w:rsidRPr="00623897" w14:paraId="4DA1CE50" w14:textId="77777777" w:rsidTr="00E830A8">
        <w:trPr>
          <w:trHeight w:val="315"/>
        </w:trPr>
        <w:tc>
          <w:tcPr>
            <w:tcW w:w="9800" w:type="dxa"/>
            <w:gridSpan w:val="4"/>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7C791EDC" w14:textId="06F1B351" w:rsidR="00FB16D6" w:rsidRPr="00623897" w:rsidRDefault="00FB16D6" w:rsidP="00236D3A">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 xml:space="preserve">Kapitāls uz pieprasījumu sadalījumā pa </w:t>
            </w:r>
            <w:r w:rsidR="008A60AA" w:rsidRPr="0037264A">
              <w:rPr>
                <w:rFonts w:ascii="Times New Roman" w:eastAsiaTheme="minorHAnsi" w:hAnsi="Times New Roman" w:cs="Times New Roman"/>
                <w:b/>
                <w:sz w:val="24"/>
                <w:szCs w:val="20"/>
              </w:rPr>
              <w:t>SFI</w:t>
            </w:r>
          </w:p>
        </w:tc>
      </w:tr>
      <w:tr w:rsidR="00FB16D6" w:rsidRPr="00623897" w14:paraId="7F4803F6" w14:textId="77777777" w:rsidTr="00E830A8">
        <w:trPr>
          <w:trHeight w:val="315"/>
        </w:trPr>
        <w:tc>
          <w:tcPr>
            <w:tcW w:w="4385"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5374BE95" w14:textId="4D2FEC46" w:rsidR="00FB16D6" w:rsidRPr="00623897" w:rsidRDefault="008A60AA" w:rsidP="0058124B">
            <w:pPr>
              <w:spacing w:after="0" w:line="240" w:lineRule="auto"/>
              <w:jc w:val="center"/>
              <w:rPr>
                <w:rFonts w:ascii="Times New Roman" w:eastAsiaTheme="minorHAnsi" w:hAnsi="Times New Roman" w:cs="Times New Roman"/>
                <w:b/>
                <w:bCs/>
              </w:rPr>
            </w:pPr>
            <w:r w:rsidRPr="0037264A">
              <w:rPr>
                <w:rFonts w:ascii="Times New Roman" w:eastAsiaTheme="minorHAnsi" w:hAnsi="Times New Roman" w:cs="Times New Roman"/>
                <w:b/>
                <w:sz w:val="24"/>
                <w:szCs w:val="20"/>
              </w:rPr>
              <w:t>SFI</w:t>
            </w:r>
          </w:p>
        </w:tc>
        <w:tc>
          <w:tcPr>
            <w:tcW w:w="3009" w:type="dxa"/>
            <w:gridSpan w:val="2"/>
            <w:tcBorders>
              <w:top w:val="nil"/>
              <w:left w:val="nil"/>
              <w:bottom w:val="single" w:sz="8" w:space="0" w:color="95B3D7"/>
              <w:right w:val="single" w:sz="8" w:space="0" w:color="95B3D7"/>
            </w:tcBorders>
            <w:shd w:val="clear" w:color="auto" w:fill="auto"/>
            <w:vAlign w:val="center"/>
            <w:hideMark/>
          </w:tcPr>
          <w:p w14:paraId="40C04D12" w14:textId="77777777" w:rsidR="00FB16D6" w:rsidRPr="00623897" w:rsidRDefault="00FB16D6" w:rsidP="00623897">
            <w:pPr>
              <w:spacing w:after="0" w:line="240" w:lineRule="auto"/>
              <w:jc w:val="both"/>
              <w:rPr>
                <w:rFonts w:ascii="Times New Roman" w:eastAsiaTheme="minorHAnsi" w:hAnsi="Times New Roman" w:cs="Times New Roman"/>
                <w:b/>
                <w:bCs/>
              </w:rPr>
            </w:pPr>
            <w:r w:rsidRPr="00623897">
              <w:rPr>
                <w:rFonts w:ascii="Times New Roman" w:eastAsiaTheme="minorHAnsi" w:hAnsi="Times New Roman" w:cs="Times New Roman"/>
                <w:b/>
                <w:bCs/>
              </w:rPr>
              <w:t>Kapitāls uz pieprasījumu*</w:t>
            </w:r>
          </w:p>
        </w:tc>
        <w:tc>
          <w:tcPr>
            <w:tcW w:w="2406"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2C597771" w14:textId="77777777" w:rsidR="00FB16D6" w:rsidRPr="00623897" w:rsidRDefault="00FB16D6" w:rsidP="00623897">
            <w:pPr>
              <w:spacing w:after="0" w:line="240" w:lineRule="auto"/>
              <w:jc w:val="center"/>
              <w:rPr>
                <w:rFonts w:ascii="Times New Roman" w:eastAsiaTheme="minorHAnsi" w:hAnsi="Times New Roman" w:cs="Times New Roman"/>
                <w:b/>
                <w:bCs/>
              </w:rPr>
            </w:pPr>
            <w:proofErr w:type="spellStart"/>
            <w:r w:rsidRPr="00623897">
              <w:rPr>
                <w:rFonts w:ascii="Times New Roman" w:eastAsiaTheme="minorHAnsi" w:hAnsi="Times New Roman" w:cs="Times New Roman"/>
                <w:b/>
                <w:bCs/>
                <w:i/>
              </w:rPr>
              <w:t>euro</w:t>
            </w:r>
            <w:proofErr w:type="spellEnd"/>
            <w:r w:rsidRPr="00623897">
              <w:rPr>
                <w:rFonts w:ascii="Times New Roman" w:eastAsiaTheme="minorHAnsi" w:hAnsi="Times New Roman" w:cs="Times New Roman"/>
                <w:b/>
                <w:bCs/>
              </w:rPr>
              <w:t xml:space="preserve"> **</w:t>
            </w:r>
          </w:p>
        </w:tc>
      </w:tr>
      <w:tr w:rsidR="00FB16D6" w:rsidRPr="00623897" w14:paraId="6A8D9244" w14:textId="77777777" w:rsidTr="00E830A8">
        <w:trPr>
          <w:trHeight w:val="315"/>
        </w:trPr>
        <w:tc>
          <w:tcPr>
            <w:tcW w:w="4385" w:type="dxa"/>
            <w:vMerge/>
            <w:tcBorders>
              <w:top w:val="nil"/>
              <w:left w:val="single" w:sz="8" w:space="0" w:color="95B3D7"/>
              <w:bottom w:val="single" w:sz="8" w:space="0" w:color="95B3D7"/>
              <w:right w:val="single" w:sz="8" w:space="0" w:color="95B3D7"/>
            </w:tcBorders>
            <w:vAlign w:val="center"/>
            <w:hideMark/>
          </w:tcPr>
          <w:p w14:paraId="08CCF360" w14:textId="77777777" w:rsidR="00FB16D6" w:rsidRPr="00623897" w:rsidRDefault="00FB16D6" w:rsidP="00623897">
            <w:pPr>
              <w:spacing w:after="0" w:line="240" w:lineRule="auto"/>
              <w:jc w:val="both"/>
              <w:rPr>
                <w:rFonts w:ascii="Times New Roman" w:eastAsiaTheme="minorHAnsi" w:hAnsi="Times New Roman" w:cs="Times New Roman"/>
                <w:b/>
                <w:bCs/>
              </w:rPr>
            </w:pPr>
          </w:p>
        </w:tc>
        <w:tc>
          <w:tcPr>
            <w:tcW w:w="2126" w:type="dxa"/>
            <w:tcBorders>
              <w:top w:val="nil"/>
              <w:left w:val="nil"/>
              <w:bottom w:val="single" w:sz="8" w:space="0" w:color="95B3D7"/>
              <w:right w:val="single" w:sz="8" w:space="0" w:color="95B3D7"/>
            </w:tcBorders>
            <w:shd w:val="clear" w:color="auto" w:fill="auto"/>
            <w:vAlign w:val="center"/>
            <w:hideMark/>
          </w:tcPr>
          <w:p w14:paraId="39A158DB" w14:textId="77777777" w:rsidR="00FB16D6" w:rsidRPr="00623897" w:rsidRDefault="00FB16D6" w:rsidP="0058124B">
            <w:pPr>
              <w:spacing w:after="0" w:line="240" w:lineRule="auto"/>
              <w:jc w:val="center"/>
              <w:rPr>
                <w:rFonts w:ascii="Times New Roman" w:eastAsiaTheme="minorHAnsi" w:hAnsi="Times New Roman" w:cs="Times New Roman"/>
                <w:b/>
                <w:bCs/>
              </w:rPr>
            </w:pPr>
            <w:proofErr w:type="spellStart"/>
            <w:r w:rsidRPr="00623897">
              <w:rPr>
                <w:rFonts w:ascii="Times New Roman" w:eastAsiaTheme="minorHAnsi" w:hAnsi="Times New Roman" w:cs="Times New Roman"/>
                <w:b/>
                <w:bCs/>
              </w:rPr>
              <w:t>att.valūtas</w:t>
            </w:r>
            <w:proofErr w:type="spellEnd"/>
            <w:r w:rsidRPr="00623897">
              <w:rPr>
                <w:rFonts w:ascii="Times New Roman" w:eastAsiaTheme="minorHAnsi" w:hAnsi="Times New Roman" w:cs="Times New Roman"/>
                <w:b/>
                <w:bCs/>
              </w:rPr>
              <w:t xml:space="preserve"> vienībās</w:t>
            </w:r>
          </w:p>
        </w:tc>
        <w:tc>
          <w:tcPr>
            <w:tcW w:w="883" w:type="dxa"/>
            <w:tcBorders>
              <w:top w:val="nil"/>
              <w:left w:val="nil"/>
              <w:bottom w:val="single" w:sz="8" w:space="0" w:color="95B3D7"/>
              <w:right w:val="single" w:sz="8" w:space="0" w:color="95B3D7"/>
            </w:tcBorders>
            <w:shd w:val="clear" w:color="auto" w:fill="auto"/>
            <w:vAlign w:val="center"/>
            <w:hideMark/>
          </w:tcPr>
          <w:p w14:paraId="7DDA9F20" w14:textId="77777777" w:rsidR="00FB16D6" w:rsidRPr="00623897" w:rsidRDefault="00FB16D6" w:rsidP="00623897">
            <w:pPr>
              <w:spacing w:after="0" w:line="240" w:lineRule="auto"/>
              <w:jc w:val="both"/>
              <w:rPr>
                <w:rFonts w:ascii="Times New Roman" w:eastAsiaTheme="minorHAnsi" w:hAnsi="Times New Roman" w:cs="Times New Roman"/>
                <w:b/>
                <w:bCs/>
                <w:i/>
                <w:iCs/>
              </w:rPr>
            </w:pPr>
            <w:r w:rsidRPr="00623897">
              <w:rPr>
                <w:rFonts w:ascii="Times New Roman" w:eastAsiaTheme="minorHAnsi" w:hAnsi="Times New Roman" w:cs="Times New Roman"/>
                <w:b/>
                <w:bCs/>
                <w:i/>
                <w:iCs/>
              </w:rPr>
              <w:t>Valūta</w:t>
            </w:r>
          </w:p>
        </w:tc>
        <w:tc>
          <w:tcPr>
            <w:tcW w:w="2406" w:type="dxa"/>
            <w:vMerge/>
            <w:tcBorders>
              <w:top w:val="nil"/>
              <w:left w:val="single" w:sz="8" w:space="0" w:color="95B3D7"/>
              <w:bottom w:val="single" w:sz="8" w:space="0" w:color="95B3D7"/>
              <w:right w:val="single" w:sz="8" w:space="0" w:color="95B3D7"/>
            </w:tcBorders>
            <w:vAlign w:val="center"/>
            <w:hideMark/>
          </w:tcPr>
          <w:p w14:paraId="47177919" w14:textId="77777777" w:rsidR="00FB16D6" w:rsidRPr="00623897" w:rsidRDefault="00FB16D6" w:rsidP="00623897">
            <w:pPr>
              <w:spacing w:after="0" w:line="240" w:lineRule="auto"/>
              <w:jc w:val="both"/>
              <w:rPr>
                <w:rFonts w:ascii="Times New Roman" w:eastAsiaTheme="minorHAnsi" w:hAnsi="Times New Roman" w:cs="Times New Roman"/>
                <w:b/>
                <w:bCs/>
              </w:rPr>
            </w:pPr>
          </w:p>
        </w:tc>
      </w:tr>
      <w:tr w:rsidR="00FB16D6" w:rsidRPr="00623897" w14:paraId="403A90CE"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43120E8" w14:textId="65B0D7DC"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Padomes Attīstības banka</w:t>
            </w:r>
            <w:r w:rsidR="00DB2A78">
              <w:rPr>
                <w:rStyle w:val="FootnoteReference"/>
                <w:rFonts w:ascii="Times New Roman" w:eastAsiaTheme="minorHAnsi" w:hAnsi="Times New Roman" w:cs="Times New Roman"/>
              </w:rPr>
              <w:footnoteReference w:id="13"/>
            </w:r>
          </w:p>
        </w:tc>
        <w:tc>
          <w:tcPr>
            <w:tcW w:w="2126" w:type="dxa"/>
            <w:tcBorders>
              <w:top w:val="nil"/>
              <w:left w:val="nil"/>
              <w:bottom w:val="single" w:sz="8" w:space="0" w:color="95B3D7"/>
              <w:right w:val="single" w:sz="8" w:space="0" w:color="95B3D7"/>
            </w:tcBorders>
            <w:shd w:val="clear" w:color="000000" w:fill="DBE5F1"/>
            <w:vAlign w:val="center"/>
            <w:hideMark/>
          </w:tcPr>
          <w:p w14:paraId="7BC834D3" w14:textId="677D47C0"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11 386 632,00</w:t>
            </w:r>
          </w:p>
        </w:tc>
        <w:tc>
          <w:tcPr>
            <w:tcW w:w="883" w:type="dxa"/>
            <w:tcBorders>
              <w:top w:val="nil"/>
              <w:left w:val="nil"/>
              <w:bottom w:val="single" w:sz="8" w:space="0" w:color="95B3D7"/>
              <w:right w:val="single" w:sz="8" w:space="0" w:color="95B3D7"/>
            </w:tcBorders>
            <w:shd w:val="clear" w:color="000000" w:fill="DBE5F1"/>
            <w:vAlign w:val="center"/>
            <w:hideMark/>
          </w:tcPr>
          <w:p w14:paraId="4A9F8CF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000000" w:fill="DBE5F1"/>
            <w:vAlign w:val="center"/>
            <w:hideMark/>
          </w:tcPr>
          <w:p w14:paraId="65EFEBEB" w14:textId="271A5446"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11 386 632,00</w:t>
            </w:r>
          </w:p>
        </w:tc>
      </w:tr>
      <w:tr w:rsidR="00FB16D6" w:rsidRPr="00623897" w14:paraId="3E552F4D"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1D20109" w14:textId="381FC743"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Rekonstrukcijas un attīstības banka</w:t>
            </w:r>
          </w:p>
        </w:tc>
        <w:tc>
          <w:tcPr>
            <w:tcW w:w="2126" w:type="dxa"/>
            <w:tcBorders>
              <w:top w:val="nil"/>
              <w:left w:val="nil"/>
              <w:bottom w:val="single" w:sz="8" w:space="0" w:color="95B3D7"/>
              <w:right w:val="single" w:sz="8" w:space="0" w:color="95B3D7"/>
            </w:tcBorders>
            <w:shd w:val="clear" w:color="auto" w:fill="auto"/>
            <w:vAlign w:val="center"/>
            <w:hideMark/>
          </w:tcPr>
          <w:p w14:paraId="107E73B7" w14:textId="03CCF08E"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23 750 000,00</w:t>
            </w:r>
          </w:p>
        </w:tc>
        <w:tc>
          <w:tcPr>
            <w:tcW w:w="883" w:type="dxa"/>
            <w:tcBorders>
              <w:top w:val="nil"/>
              <w:left w:val="nil"/>
              <w:bottom w:val="single" w:sz="8" w:space="0" w:color="95B3D7"/>
              <w:right w:val="single" w:sz="8" w:space="0" w:color="95B3D7"/>
            </w:tcBorders>
            <w:shd w:val="clear" w:color="auto" w:fill="auto"/>
            <w:vAlign w:val="center"/>
            <w:hideMark/>
          </w:tcPr>
          <w:p w14:paraId="5E29E4DB"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auto" w:fill="auto"/>
            <w:vAlign w:val="center"/>
            <w:hideMark/>
          </w:tcPr>
          <w:p w14:paraId="083D9A4D" w14:textId="2F5E1A99"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23 750 000,00</w:t>
            </w:r>
          </w:p>
        </w:tc>
      </w:tr>
      <w:tr w:rsidR="00FB16D6" w:rsidRPr="00623897" w14:paraId="03749067"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650460B5" w14:textId="77777777"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73FEE162" w14:textId="2474A6E3" w:rsidR="00FB16D6" w:rsidRPr="00623897" w:rsidRDefault="00685E60"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243 254 895,00</w:t>
            </w:r>
          </w:p>
        </w:tc>
        <w:tc>
          <w:tcPr>
            <w:tcW w:w="883" w:type="dxa"/>
            <w:tcBorders>
              <w:top w:val="nil"/>
              <w:left w:val="nil"/>
              <w:bottom w:val="single" w:sz="8" w:space="0" w:color="95B3D7"/>
              <w:right w:val="single" w:sz="8" w:space="0" w:color="95B3D7"/>
            </w:tcBorders>
            <w:shd w:val="clear" w:color="000000" w:fill="DBE5F1"/>
            <w:vAlign w:val="center"/>
            <w:hideMark/>
          </w:tcPr>
          <w:p w14:paraId="14196072"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000000" w:fill="DBE5F1"/>
            <w:vAlign w:val="center"/>
            <w:hideMark/>
          </w:tcPr>
          <w:p w14:paraId="2C95A1FF" w14:textId="2A3314A1" w:rsidR="00FB16D6" w:rsidRPr="00623897" w:rsidRDefault="00685E60"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243 254 895,00</w:t>
            </w:r>
          </w:p>
        </w:tc>
      </w:tr>
      <w:tr w:rsidR="00FB16D6" w:rsidRPr="00623897" w14:paraId="52A8B84D"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9D46DF3" w14:textId="18338F8D"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Daudzpusējā investīciju garantiju aģentūra</w:t>
            </w:r>
          </w:p>
        </w:tc>
        <w:tc>
          <w:tcPr>
            <w:tcW w:w="2126" w:type="dxa"/>
            <w:tcBorders>
              <w:top w:val="nil"/>
              <w:left w:val="nil"/>
              <w:bottom w:val="single" w:sz="8" w:space="0" w:color="95B3D7"/>
              <w:right w:val="single" w:sz="8" w:space="0" w:color="95B3D7"/>
            </w:tcBorders>
            <w:shd w:val="clear" w:color="auto" w:fill="auto"/>
            <w:vAlign w:val="center"/>
            <w:hideMark/>
          </w:tcPr>
          <w:p w14:paraId="558AD566" w14:textId="68353699"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1 498 99</w:t>
            </w:r>
            <w:r w:rsidR="00685E60">
              <w:rPr>
                <w:rFonts w:ascii="Times New Roman" w:eastAsiaTheme="minorHAnsi" w:hAnsi="Times New Roman" w:cs="Times New Roman"/>
              </w:rPr>
              <w:t>2</w:t>
            </w:r>
            <w:r w:rsidRPr="00623897">
              <w:rPr>
                <w:rFonts w:ascii="Times New Roman" w:eastAsiaTheme="minorHAnsi" w:hAnsi="Times New Roman" w:cs="Times New Roman"/>
              </w:rPr>
              <w:t>,00</w:t>
            </w:r>
          </w:p>
        </w:tc>
        <w:tc>
          <w:tcPr>
            <w:tcW w:w="883" w:type="dxa"/>
            <w:tcBorders>
              <w:top w:val="nil"/>
              <w:left w:val="nil"/>
              <w:bottom w:val="single" w:sz="8" w:space="0" w:color="95B3D7"/>
              <w:right w:val="single" w:sz="8" w:space="0" w:color="95B3D7"/>
            </w:tcBorders>
            <w:shd w:val="clear" w:color="auto" w:fill="auto"/>
            <w:vAlign w:val="center"/>
            <w:hideMark/>
          </w:tcPr>
          <w:p w14:paraId="4A2986E4"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406" w:type="dxa"/>
            <w:tcBorders>
              <w:top w:val="nil"/>
              <w:left w:val="nil"/>
              <w:bottom w:val="single" w:sz="8" w:space="0" w:color="95B3D7"/>
              <w:right w:val="single" w:sz="8" w:space="0" w:color="95B3D7"/>
            </w:tcBorders>
            <w:shd w:val="clear" w:color="auto" w:fill="auto"/>
            <w:vAlign w:val="center"/>
            <w:hideMark/>
          </w:tcPr>
          <w:p w14:paraId="3628B4B1" w14:textId="5B8690B4" w:rsidR="00FB16D6" w:rsidRPr="00623897" w:rsidRDefault="008D7449" w:rsidP="00656DCF">
            <w:pPr>
              <w:spacing w:after="0" w:line="240" w:lineRule="auto"/>
              <w:jc w:val="center"/>
              <w:rPr>
                <w:rFonts w:ascii="Times New Roman" w:eastAsiaTheme="minorHAnsi" w:hAnsi="Times New Roman" w:cs="Times New Roman"/>
              </w:rPr>
            </w:pPr>
            <w:r w:rsidRPr="00592CB2">
              <w:rPr>
                <w:rFonts w:ascii="Times New Roman" w:eastAsiaTheme="minorHAnsi" w:hAnsi="Times New Roman" w:cs="Times New Roman"/>
              </w:rPr>
              <w:t>1</w:t>
            </w:r>
            <w:r>
              <w:rPr>
                <w:rFonts w:ascii="Times New Roman" w:eastAsiaTheme="minorHAnsi" w:hAnsi="Times New Roman" w:cs="Times New Roman"/>
              </w:rPr>
              <w:t> </w:t>
            </w:r>
            <w:r w:rsidRPr="00592CB2">
              <w:rPr>
                <w:rFonts w:ascii="Times New Roman" w:eastAsiaTheme="minorHAnsi" w:hAnsi="Times New Roman" w:cs="Times New Roman"/>
              </w:rPr>
              <w:t>602</w:t>
            </w:r>
            <w:r>
              <w:rPr>
                <w:rFonts w:ascii="Times New Roman" w:eastAsiaTheme="minorHAnsi" w:hAnsi="Times New Roman" w:cs="Times New Roman"/>
              </w:rPr>
              <w:t xml:space="preserve"> </w:t>
            </w:r>
            <w:r w:rsidRPr="00592CB2">
              <w:rPr>
                <w:rFonts w:ascii="Times New Roman" w:eastAsiaTheme="minorHAnsi" w:hAnsi="Times New Roman" w:cs="Times New Roman"/>
              </w:rPr>
              <w:t>422,4</w:t>
            </w:r>
            <w:r>
              <w:rPr>
                <w:rFonts w:ascii="Times New Roman" w:eastAsiaTheme="minorHAnsi" w:hAnsi="Times New Roman" w:cs="Times New Roman"/>
              </w:rPr>
              <w:t>5</w:t>
            </w:r>
          </w:p>
        </w:tc>
      </w:tr>
      <w:tr w:rsidR="00623897" w:rsidRPr="00623897" w14:paraId="18FEAF1E"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2DB33F2F" w14:textId="77777777" w:rsidR="00623897" w:rsidRPr="00623897" w:rsidRDefault="00623897"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Ziemeļu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508BC66A" w14:textId="5C7C8291" w:rsidR="00623897" w:rsidRPr="00623897" w:rsidRDefault="00623897"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100 532 025,22</w:t>
            </w:r>
          </w:p>
        </w:tc>
        <w:tc>
          <w:tcPr>
            <w:tcW w:w="883" w:type="dxa"/>
            <w:tcBorders>
              <w:top w:val="nil"/>
              <w:left w:val="nil"/>
              <w:bottom w:val="single" w:sz="8" w:space="0" w:color="95B3D7"/>
              <w:right w:val="single" w:sz="8" w:space="0" w:color="95B3D7"/>
            </w:tcBorders>
            <w:shd w:val="clear" w:color="000000" w:fill="DBE5F1"/>
            <w:vAlign w:val="center"/>
            <w:hideMark/>
          </w:tcPr>
          <w:p w14:paraId="1D47B045" w14:textId="65B43463"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000000" w:fill="DBE5F1"/>
            <w:vAlign w:val="center"/>
            <w:hideMark/>
          </w:tcPr>
          <w:p w14:paraId="6241FFC9" w14:textId="42B01FD9" w:rsidR="00623897" w:rsidRPr="00623897" w:rsidRDefault="00623897"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100 532 025,22</w:t>
            </w:r>
          </w:p>
        </w:tc>
      </w:tr>
      <w:tr w:rsidR="00FB16D6" w:rsidRPr="00623897" w14:paraId="5245CE6A"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7D90D75B" w14:textId="7779DE34"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Starptautiskā Rekonstrukcijas un attīstības banka (Pasaules Banka)</w:t>
            </w:r>
          </w:p>
        </w:tc>
        <w:tc>
          <w:tcPr>
            <w:tcW w:w="2126" w:type="dxa"/>
            <w:tcBorders>
              <w:top w:val="nil"/>
              <w:left w:val="nil"/>
              <w:bottom w:val="single" w:sz="8" w:space="0" w:color="95B3D7"/>
              <w:right w:val="single" w:sz="8" w:space="0" w:color="95B3D7"/>
            </w:tcBorders>
            <w:shd w:val="clear" w:color="auto" w:fill="auto"/>
            <w:vAlign w:val="center"/>
            <w:hideMark/>
          </w:tcPr>
          <w:p w14:paraId="38A2A682" w14:textId="2FA9DF9A" w:rsidR="00FB16D6" w:rsidRPr="00623897" w:rsidRDefault="00685E60"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229 276 166,71</w:t>
            </w:r>
          </w:p>
        </w:tc>
        <w:tc>
          <w:tcPr>
            <w:tcW w:w="883" w:type="dxa"/>
            <w:tcBorders>
              <w:top w:val="nil"/>
              <w:left w:val="nil"/>
              <w:bottom w:val="single" w:sz="8" w:space="0" w:color="95B3D7"/>
              <w:right w:val="single" w:sz="8" w:space="0" w:color="95B3D7"/>
            </w:tcBorders>
            <w:shd w:val="clear" w:color="auto" w:fill="auto"/>
            <w:vAlign w:val="center"/>
            <w:hideMark/>
          </w:tcPr>
          <w:p w14:paraId="52DAAB2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406" w:type="dxa"/>
            <w:tcBorders>
              <w:top w:val="nil"/>
              <w:left w:val="nil"/>
              <w:bottom w:val="single" w:sz="8" w:space="0" w:color="95B3D7"/>
              <w:right w:val="single" w:sz="8" w:space="0" w:color="95B3D7"/>
            </w:tcBorders>
            <w:shd w:val="clear" w:color="auto" w:fill="auto"/>
            <w:vAlign w:val="center"/>
            <w:hideMark/>
          </w:tcPr>
          <w:p w14:paraId="29E506E2" w14:textId="546A41E0" w:rsidR="00FB16D6" w:rsidRPr="00623897" w:rsidRDefault="008D7449" w:rsidP="00656DCF">
            <w:pPr>
              <w:spacing w:after="0" w:line="240" w:lineRule="auto"/>
              <w:jc w:val="center"/>
              <w:rPr>
                <w:rFonts w:ascii="Times New Roman" w:eastAsiaTheme="minorHAnsi" w:hAnsi="Times New Roman" w:cs="Times New Roman"/>
              </w:rPr>
            </w:pPr>
            <w:r w:rsidRPr="00592CB2">
              <w:rPr>
                <w:rFonts w:ascii="Times New Roman" w:eastAsiaTheme="minorHAnsi" w:hAnsi="Times New Roman" w:cs="Times New Roman"/>
              </w:rPr>
              <w:t>245</w:t>
            </w:r>
            <w:r>
              <w:rPr>
                <w:rFonts w:ascii="Times New Roman" w:eastAsiaTheme="minorHAnsi" w:hAnsi="Times New Roman" w:cs="Times New Roman"/>
              </w:rPr>
              <w:t xml:space="preserve"> </w:t>
            </w:r>
            <w:r w:rsidRPr="00592CB2">
              <w:rPr>
                <w:rFonts w:ascii="Times New Roman" w:eastAsiaTheme="minorHAnsi" w:hAnsi="Times New Roman" w:cs="Times New Roman"/>
              </w:rPr>
              <w:t>096</w:t>
            </w:r>
            <w:r>
              <w:rPr>
                <w:rFonts w:ascii="Times New Roman" w:eastAsiaTheme="minorHAnsi" w:hAnsi="Times New Roman" w:cs="Times New Roman"/>
              </w:rPr>
              <w:t xml:space="preserve"> </w:t>
            </w:r>
            <w:r w:rsidRPr="00592CB2">
              <w:rPr>
                <w:rFonts w:ascii="Times New Roman" w:eastAsiaTheme="minorHAnsi" w:hAnsi="Times New Roman" w:cs="Times New Roman"/>
              </w:rPr>
              <w:t>222,21</w:t>
            </w:r>
          </w:p>
        </w:tc>
      </w:tr>
      <w:tr w:rsidR="00FB16D6" w:rsidRPr="00623897" w14:paraId="0A4EC080"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B0C88D4" w14:textId="77777777"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Starptautiskais Valūtas fonds</w:t>
            </w:r>
          </w:p>
        </w:tc>
        <w:tc>
          <w:tcPr>
            <w:tcW w:w="2126" w:type="dxa"/>
            <w:tcBorders>
              <w:top w:val="nil"/>
              <w:left w:val="nil"/>
              <w:bottom w:val="single" w:sz="8" w:space="0" w:color="95B3D7"/>
              <w:right w:val="single" w:sz="8" w:space="0" w:color="95B3D7"/>
            </w:tcBorders>
            <w:shd w:val="clear" w:color="000000" w:fill="DBE5F1"/>
            <w:vAlign w:val="center"/>
            <w:hideMark/>
          </w:tcPr>
          <w:p w14:paraId="0AEA226F" w14:textId="54AFBB4D" w:rsidR="00FB16D6" w:rsidRPr="00623897" w:rsidRDefault="00DB2A78"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309 082 601,00</w:t>
            </w:r>
          </w:p>
        </w:tc>
        <w:tc>
          <w:tcPr>
            <w:tcW w:w="883" w:type="dxa"/>
            <w:tcBorders>
              <w:top w:val="nil"/>
              <w:left w:val="nil"/>
              <w:bottom w:val="single" w:sz="8" w:space="0" w:color="95B3D7"/>
              <w:right w:val="single" w:sz="8" w:space="0" w:color="95B3D7"/>
            </w:tcBorders>
            <w:shd w:val="clear" w:color="000000" w:fill="DBE5F1"/>
            <w:vAlign w:val="center"/>
            <w:hideMark/>
          </w:tcPr>
          <w:p w14:paraId="5337A1A3"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XDR</w:t>
            </w:r>
          </w:p>
        </w:tc>
        <w:tc>
          <w:tcPr>
            <w:tcW w:w="2406" w:type="dxa"/>
            <w:tcBorders>
              <w:top w:val="nil"/>
              <w:left w:val="nil"/>
              <w:bottom w:val="single" w:sz="8" w:space="0" w:color="95B3D7"/>
              <w:right w:val="single" w:sz="8" w:space="0" w:color="95B3D7"/>
            </w:tcBorders>
            <w:shd w:val="clear" w:color="000000" w:fill="DBE5F1"/>
            <w:vAlign w:val="center"/>
            <w:hideMark/>
          </w:tcPr>
          <w:p w14:paraId="1840D597" w14:textId="3A80F532" w:rsidR="00FB16D6" w:rsidRPr="00623897" w:rsidRDefault="00DB2A78"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422 206 833,00</w:t>
            </w:r>
          </w:p>
        </w:tc>
      </w:tr>
      <w:tr w:rsidR="00FB16D6" w:rsidRPr="00623897" w14:paraId="2DAF31C2"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0A3B9C49" w14:textId="77777777"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Stabilitātes mehānisms</w:t>
            </w:r>
          </w:p>
        </w:tc>
        <w:tc>
          <w:tcPr>
            <w:tcW w:w="2126" w:type="dxa"/>
            <w:tcBorders>
              <w:top w:val="nil"/>
              <w:left w:val="nil"/>
              <w:bottom w:val="single" w:sz="8" w:space="0" w:color="95B3D7"/>
              <w:right w:val="single" w:sz="8" w:space="0" w:color="95B3D7"/>
            </w:tcBorders>
            <w:shd w:val="clear" w:color="auto" w:fill="auto"/>
            <w:vAlign w:val="center"/>
            <w:hideMark/>
          </w:tcPr>
          <w:p w14:paraId="2BE74F53" w14:textId="7ED17595"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1 714 100 000,00</w:t>
            </w:r>
          </w:p>
        </w:tc>
        <w:tc>
          <w:tcPr>
            <w:tcW w:w="883" w:type="dxa"/>
            <w:tcBorders>
              <w:top w:val="nil"/>
              <w:left w:val="nil"/>
              <w:bottom w:val="single" w:sz="8" w:space="0" w:color="95B3D7"/>
              <w:right w:val="single" w:sz="8" w:space="0" w:color="95B3D7"/>
            </w:tcBorders>
            <w:shd w:val="clear" w:color="auto" w:fill="auto"/>
            <w:vAlign w:val="center"/>
            <w:hideMark/>
          </w:tcPr>
          <w:p w14:paraId="63DADC7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auto" w:fill="auto"/>
            <w:vAlign w:val="center"/>
            <w:hideMark/>
          </w:tcPr>
          <w:p w14:paraId="5E48E612" w14:textId="79C2AC3C"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1 714 100 000,00</w:t>
            </w:r>
          </w:p>
        </w:tc>
      </w:tr>
      <w:tr w:rsidR="00623897" w:rsidRPr="00623897" w14:paraId="562946C2" w14:textId="77777777" w:rsidTr="00E830A8">
        <w:trPr>
          <w:trHeight w:val="315"/>
        </w:trPr>
        <w:tc>
          <w:tcPr>
            <w:tcW w:w="7394" w:type="dxa"/>
            <w:gridSpan w:val="3"/>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3514A490" w14:textId="77777777" w:rsidR="00623897" w:rsidRPr="00623897" w:rsidRDefault="00623897" w:rsidP="00623897">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Kopā</w:t>
            </w:r>
          </w:p>
        </w:tc>
        <w:tc>
          <w:tcPr>
            <w:tcW w:w="2406" w:type="dxa"/>
            <w:tcBorders>
              <w:top w:val="nil"/>
              <w:left w:val="nil"/>
              <w:bottom w:val="single" w:sz="8" w:space="0" w:color="95B3D7"/>
              <w:right w:val="single" w:sz="8" w:space="0" w:color="95B3D7"/>
            </w:tcBorders>
            <w:shd w:val="clear" w:color="000000" w:fill="DBE5F1"/>
            <w:vAlign w:val="center"/>
            <w:hideMark/>
          </w:tcPr>
          <w:p w14:paraId="73F9EDEB" w14:textId="413EB541" w:rsidR="00623897" w:rsidRPr="00623897" w:rsidRDefault="00DB2A78" w:rsidP="00656DCF">
            <w:pPr>
              <w:spacing w:after="0" w:line="240" w:lineRule="auto"/>
              <w:jc w:val="center"/>
              <w:rPr>
                <w:rFonts w:ascii="Times New Roman" w:eastAsiaTheme="minorHAnsi" w:hAnsi="Times New Roman" w:cs="Times New Roman"/>
                <w:b/>
                <w:bCs/>
              </w:rPr>
            </w:pPr>
            <w:r>
              <w:rPr>
                <w:rFonts w:ascii="Times New Roman" w:eastAsiaTheme="minorHAnsi" w:hAnsi="Times New Roman" w:cs="Times New Roman"/>
                <w:b/>
                <w:bCs/>
              </w:rPr>
              <w:t>2 761 929 029,88</w:t>
            </w:r>
          </w:p>
        </w:tc>
      </w:tr>
      <w:tr w:rsidR="00623897" w:rsidRPr="00623897" w14:paraId="0B66279E" w14:textId="77777777" w:rsidTr="00E830A8">
        <w:trPr>
          <w:trHeight w:val="300"/>
        </w:trPr>
        <w:tc>
          <w:tcPr>
            <w:tcW w:w="9800" w:type="dxa"/>
            <w:gridSpan w:val="4"/>
            <w:tcBorders>
              <w:top w:val="nil"/>
              <w:left w:val="nil"/>
              <w:bottom w:val="nil"/>
              <w:right w:val="nil"/>
            </w:tcBorders>
            <w:shd w:val="clear" w:color="auto" w:fill="auto"/>
            <w:noWrap/>
            <w:vAlign w:val="center"/>
            <w:hideMark/>
          </w:tcPr>
          <w:p w14:paraId="088C5A05" w14:textId="2A0FDC72" w:rsidR="00623897" w:rsidRPr="002D428D" w:rsidRDefault="00623897" w:rsidP="002D428D">
            <w:pPr>
              <w:spacing w:after="0" w:line="240" w:lineRule="auto"/>
              <w:ind w:left="-120"/>
              <w:rPr>
                <w:rFonts w:ascii="Times New Roman" w:eastAsiaTheme="minorHAnsi" w:hAnsi="Times New Roman" w:cs="Times New Roman"/>
                <w:sz w:val="20"/>
                <w:szCs w:val="20"/>
              </w:rPr>
            </w:pPr>
            <w:r w:rsidRPr="002D428D">
              <w:rPr>
                <w:rFonts w:ascii="Times New Roman" w:eastAsiaTheme="minorHAnsi" w:hAnsi="Times New Roman" w:cs="Times New Roman"/>
                <w:i/>
                <w:iCs/>
                <w:sz w:val="20"/>
                <w:szCs w:val="20"/>
              </w:rPr>
              <w:t>*</w:t>
            </w:r>
            <w:r w:rsidR="005A07F4">
              <w:rPr>
                <w:rFonts w:ascii="Times New Roman" w:eastAsiaTheme="minorHAnsi" w:hAnsi="Times New Roman" w:cs="Times New Roman"/>
                <w:i/>
                <w:iCs/>
                <w:sz w:val="20"/>
                <w:szCs w:val="20"/>
              </w:rPr>
              <w:t xml:space="preserve"> </w:t>
            </w:r>
            <w:r w:rsidRPr="002D428D">
              <w:rPr>
                <w:rFonts w:ascii="Times New Roman" w:eastAsiaTheme="minorHAnsi" w:hAnsi="Times New Roman" w:cs="Times New Roman"/>
                <w:i/>
                <w:iCs/>
                <w:sz w:val="20"/>
                <w:szCs w:val="20"/>
              </w:rPr>
              <w:t>saskaņā ar spēkā esošiem līgumiem</w:t>
            </w:r>
          </w:p>
        </w:tc>
      </w:tr>
      <w:tr w:rsidR="00623897" w:rsidRPr="00623897" w14:paraId="570C065F" w14:textId="77777777" w:rsidTr="00E830A8">
        <w:trPr>
          <w:trHeight w:val="300"/>
        </w:trPr>
        <w:tc>
          <w:tcPr>
            <w:tcW w:w="9800" w:type="dxa"/>
            <w:gridSpan w:val="4"/>
            <w:tcBorders>
              <w:top w:val="nil"/>
              <w:left w:val="nil"/>
              <w:bottom w:val="nil"/>
              <w:right w:val="nil"/>
            </w:tcBorders>
            <w:shd w:val="clear" w:color="auto" w:fill="auto"/>
            <w:noWrap/>
            <w:vAlign w:val="center"/>
            <w:hideMark/>
          </w:tcPr>
          <w:p w14:paraId="690A9BE8" w14:textId="069C523B" w:rsidR="00623897" w:rsidRPr="002D428D" w:rsidRDefault="00623897" w:rsidP="002D428D">
            <w:pPr>
              <w:spacing w:after="0" w:line="240" w:lineRule="auto"/>
              <w:ind w:left="-120"/>
              <w:jc w:val="both"/>
              <w:rPr>
                <w:rFonts w:ascii="Times New Roman" w:eastAsiaTheme="minorHAnsi" w:hAnsi="Times New Roman" w:cs="Times New Roman"/>
                <w:i/>
                <w:iCs/>
                <w:sz w:val="20"/>
                <w:szCs w:val="20"/>
              </w:rPr>
            </w:pPr>
            <w:r w:rsidRPr="002D428D">
              <w:rPr>
                <w:rFonts w:ascii="Times New Roman" w:eastAsiaTheme="minorHAnsi" w:hAnsi="Times New Roman" w:cs="Times New Roman"/>
                <w:i/>
                <w:iCs/>
                <w:sz w:val="20"/>
                <w:szCs w:val="20"/>
              </w:rPr>
              <w:t>**</w:t>
            </w:r>
            <w:r w:rsidR="005A07F4">
              <w:rPr>
                <w:rFonts w:ascii="Times New Roman" w:eastAsiaTheme="minorHAnsi" w:hAnsi="Times New Roman" w:cs="Times New Roman"/>
                <w:i/>
                <w:iCs/>
                <w:sz w:val="20"/>
                <w:szCs w:val="20"/>
              </w:rPr>
              <w:t xml:space="preserve"> </w:t>
            </w:r>
            <w:r w:rsidRPr="002D428D">
              <w:rPr>
                <w:rFonts w:ascii="Times New Roman" w:eastAsiaTheme="minorHAnsi" w:hAnsi="Times New Roman" w:cs="Times New Roman"/>
                <w:i/>
                <w:iCs/>
                <w:sz w:val="20"/>
                <w:szCs w:val="20"/>
              </w:rPr>
              <w:t>aprēķinā izmantoti valsts budžeta pieprasījumu 202</w:t>
            </w:r>
            <w:r w:rsidR="008D7449" w:rsidRPr="002D428D">
              <w:rPr>
                <w:rFonts w:ascii="Times New Roman" w:eastAsiaTheme="minorHAnsi" w:hAnsi="Times New Roman" w:cs="Times New Roman"/>
                <w:i/>
                <w:iCs/>
                <w:sz w:val="20"/>
                <w:szCs w:val="20"/>
              </w:rPr>
              <w:t>3</w:t>
            </w:r>
            <w:r w:rsidRPr="002D428D">
              <w:rPr>
                <w:rFonts w:ascii="Times New Roman" w:eastAsiaTheme="minorHAnsi" w:hAnsi="Times New Roman" w:cs="Times New Roman"/>
                <w:i/>
                <w:iCs/>
                <w:sz w:val="20"/>
                <w:szCs w:val="20"/>
              </w:rPr>
              <w:t>.</w:t>
            </w:r>
            <w:r w:rsidRPr="002D428D">
              <w:rPr>
                <w:rFonts w:ascii="Times New Roman" w:hAnsi="Times New Roman" w:cs="Times New Roman"/>
                <w:color w:val="000000"/>
                <w:sz w:val="20"/>
                <w:szCs w:val="20"/>
              </w:rPr>
              <w:t>–</w:t>
            </w:r>
            <w:r w:rsidRPr="002D428D">
              <w:rPr>
                <w:rFonts w:ascii="Times New Roman" w:eastAsiaTheme="minorHAnsi" w:hAnsi="Times New Roman" w:cs="Times New Roman"/>
                <w:i/>
                <w:iCs/>
                <w:sz w:val="20"/>
                <w:szCs w:val="20"/>
              </w:rPr>
              <w:t>202</w:t>
            </w:r>
            <w:r w:rsidR="008D7449" w:rsidRPr="002D428D">
              <w:rPr>
                <w:rFonts w:ascii="Times New Roman" w:eastAsiaTheme="minorHAnsi" w:hAnsi="Times New Roman" w:cs="Times New Roman"/>
                <w:i/>
                <w:iCs/>
                <w:sz w:val="20"/>
                <w:szCs w:val="20"/>
              </w:rPr>
              <w:t>5</w:t>
            </w:r>
            <w:r w:rsidRPr="002D428D">
              <w:rPr>
                <w:rFonts w:ascii="Times New Roman" w:eastAsiaTheme="minorHAnsi" w:hAnsi="Times New Roman" w:cs="Times New Roman"/>
                <w:i/>
                <w:iCs/>
                <w:sz w:val="20"/>
                <w:szCs w:val="20"/>
              </w:rPr>
              <w:t>.gadam sagatavošanai izmantojamie ārvalstu valūtu maiņas kursi</w:t>
            </w:r>
          </w:p>
        </w:tc>
      </w:tr>
    </w:tbl>
    <w:p w14:paraId="035D445B" w14:textId="77777777" w:rsidR="001F3A40" w:rsidRPr="00623897" w:rsidRDefault="001F3A40" w:rsidP="00623897">
      <w:pPr>
        <w:spacing w:after="0" w:line="240" w:lineRule="auto"/>
        <w:jc w:val="both"/>
        <w:rPr>
          <w:rFonts w:ascii="Times New Roman" w:eastAsiaTheme="minorHAnsi" w:hAnsi="Times New Roman" w:cs="Times New Roman"/>
          <w:sz w:val="24"/>
          <w:szCs w:val="20"/>
        </w:rPr>
      </w:pPr>
    </w:p>
    <w:p w14:paraId="72CDD602" w14:textId="53D7A03B" w:rsidR="008A60AA" w:rsidRDefault="008A60AA" w:rsidP="00DB2A78">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 xml:space="preserve">Līgumos paredzētā kapitāla uz pieprasījumu kopējā summa ir </w:t>
      </w:r>
      <w:r w:rsidR="00DB2A78" w:rsidRPr="00C068FF">
        <w:rPr>
          <w:rFonts w:ascii="Times New Roman" w:eastAsiaTheme="minorHAnsi" w:hAnsi="Times New Roman" w:cs="Times New Roman"/>
          <w:sz w:val="24"/>
          <w:szCs w:val="20"/>
        </w:rPr>
        <w:t>2 76</w:t>
      </w:r>
      <w:r w:rsidR="00DB2A78">
        <w:rPr>
          <w:rFonts w:ascii="Times New Roman" w:eastAsiaTheme="minorHAnsi" w:hAnsi="Times New Roman" w:cs="Times New Roman"/>
          <w:sz w:val="24"/>
          <w:szCs w:val="20"/>
        </w:rPr>
        <w:t xml:space="preserve">2 </w:t>
      </w:r>
      <w:r w:rsidR="00DB2A78" w:rsidRPr="0089209F">
        <w:rPr>
          <w:rFonts w:ascii="Times New Roman" w:eastAsiaTheme="minorHAnsi" w:hAnsi="Times New Roman" w:cs="Times New Roman"/>
          <w:sz w:val="24"/>
          <w:szCs w:val="20"/>
        </w:rPr>
        <w:t xml:space="preserve">milj. </w:t>
      </w:r>
      <w:proofErr w:type="spellStart"/>
      <w:r w:rsidR="00DB2A78" w:rsidRPr="0089209F">
        <w:rPr>
          <w:rFonts w:ascii="Times New Roman" w:eastAsiaTheme="minorHAnsi" w:hAnsi="Times New Roman" w:cs="Times New Roman"/>
          <w:i/>
          <w:sz w:val="24"/>
          <w:szCs w:val="20"/>
        </w:rPr>
        <w:t>euro</w:t>
      </w:r>
      <w:proofErr w:type="spellEnd"/>
      <w:r w:rsidR="00DB2A78" w:rsidRPr="0089209F">
        <w:rPr>
          <w:rFonts w:ascii="Times New Roman" w:eastAsiaTheme="minorHAnsi" w:hAnsi="Times New Roman" w:cs="Times New Roman"/>
          <w:sz w:val="24"/>
          <w:szCs w:val="20"/>
        </w:rPr>
        <w:t>.</w:t>
      </w:r>
      <w:r w:rsidR="00DB2A78">
        <w:rPr>
          <w:rFonts w:ascii="Times New Roman" w:eastAsiaTheme="minorHAnsi" w:hAnsi="Times New Roman" w:cs="Times New Roman"/>
          <w:sz w:val="24"/>
          <w:szCs w:val="20"/>
        </w:rPr>
        <w:t xml:space="preserve"> </w:t>
      </w:r>
    </w:p>
    <w:p w14:paraId="0B3E180F" w14:textId="313AE697" w:rsidR="006D6C33"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lastRenderedPageBreak/>
        <w:t xml:space="preserve">Līdzšinējā pieredze Latvijas dalībā </w:t>
      </w:r>
      <w:r w:rsidR="006D42CF">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rāda, ka situācija, kad jāveic maksājumu kapitālā uz pieprasījumu, kas palielina defic</w:t>
      </w:r>
      <w:r>
        <w:rPr>
          <w:rFonts w:ascii="Times New Roman" w:eastAsiaTheme="minorHAnsi" w:hAnsi="Times New Roman" w:cs="Times New Roman"/>
          <w:sz w:val="24"/>
          <w:szCs w:val="20"/>
        </w:rPr>
        <w:t xml:space="preserve">ītu, ir </w:t>
      </w:r>
      <w:r w:rsidR="00685E60">
        <w:rPr>
          <w:rFonts w:ascii="Times New Roman" w:eastAsiaTheme="minorHAnsi" w:hAnsi="Times New Roman" w:cs="Times New Roman"/>
          <w:sz w:val="24"/>
          <w:szCs w:val="20"/>
        </w:rPr>
        <w:t>maz ticama</w:t>
      </w:r>
      <w:r w:rsidR="002A15FA">
        <w:rPr>
          <w:rFonts w:ascii="Times New Roman" w:eastAsiaTheme="minorHAnsi" w:hAnsi="Times New Roman" w:cs="Times New Roman"/>
          <w:sz w:val="24"/>
          <w:szCs w:val="20"/>
        </w:rPr>
        <w:t>.</w:t>
      </w:r>
      <w:r w:rsidRPr="0089209F">
        <w:rPr>
          <w:rFonts w:ascii="Times New Roman" w:eastAsiaTheme="minorHAnsi" w:hAnsi="Times New Roman" w:cs="Times New Roman"/>
          <w:sz w:val="24"/>
          <w:szCs w:val="20"/>
        </w:rPr>
        <w:t xml:space="preserve"> </w:t>
      </w:r>
      <w:r w:rsidR="00685E60">
        <w:rPr>
          <w:rFonts w:ascii="Times New Roman" w:eastAsiaTheme="minorHAnsi" w:hAnsi="Times New Roman" w:cs="Times New Roman"/>
          <w:sz w:val="24"/>
          <w:szCs w:val="20"/>
        </w:rPr>
        <w:t>Līdz šim</w:t>
      </w:r>
      <w:r w:rsidR="00685E60" w:rsidRPr="0089209F">
        <w:rPr>
          <w:rFonts w:ascii="Times New Roman" w:eastAsiaTheme="minorHAnsi" w:hAnsi="Times New Roman" w:cs="Times New Roman"/>
          <w:sz w:val="24"/>
          <w:szCs w:val="20"/>
        </w:rPr>
        <w:t xml:space="preserve"> šādu maksājumu nepieciešamība nav bijusi. </w:t>
      </w:r>
      <w:r w:rsidRPr="0089209F">
        <w:rPr>
          <w:rFonts w:ascii="Times New Roman" w:eastAsiaTheme="minorHAnsi" w:hAnsi="Times New Roman" w:cs="Times New Roman"/>
          <w:sz w:val="24"/>
          <w:szCs w:val="20"/>
        </w:rPr>
        <w:t xml:space="preserve">Jāatzīmē, ka kapitāla uz pieprasījuma jēga ir nodrošināt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augstu </w:t>
      </w:r>
      <w:r w:rsidR="00685E60">
        <w:rPr>
          <w:rFonts w:ascii="Times New Roman" w:eastAsiaTheme="minorHAnsi" w:hAnsi="Times New Roman" w:cs="Times New Roman"/>
          <w:sz w:val="24"/>
          <w:szCs w:val="20"/>
        </w:rPr>
        <w:t>kredīt</w:t>
      </w:r>
      <w:r w:rsidRPr="0089209F">
        <w:rPr>
          <w:rFonts w:ascii="Times New Roman" w:eastAsiaTheme="minorHAnsi" w:hAnsi="Times New Roman" w:cs="Times New Roman"/>
          <w:sz w:val="24"/>
          <w:szCs w:val="20"/>
        </w:rPr>
        <w:t>reitingu, lai varētu no starptautiskajiem finanšu tirgiem piesaistīt lēt</w:t>
      </w:r>
      <w:r>
        <w:rPr>
          <w:rFonts w:ascii="Times New Roman" w:eastAsiaTheme="minorHAnsi" w:hAnsi="Times New Roman" w:cs="Times New Roman"/>
          <w:sz w:val="24"/>
          <w:szCs w:val="20"/>
        </w:rPr>
        <w:t>ākus</w:t>
      </w:r>
      <w:r w:rsidRPr="0089209F">
        <w:rPr>
          <w:rFonts w:ascii="Times New Roman" w:eastAsiaTheme="minorHAnsi" w:hAnsi="Times New Roman" w:cs="Times New Roman"/>
          <w:sz w:val="24"/>
          <w:szCs w:val="20"/>
        </w:rPr>
        <w:t xml:space="preserve"> finanšu resursus. Kapitāls uz pieprasījumu darbojas kā pēdējā garantija, ja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cieš zaudējumus, ko nav iespējams segt ar pašas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uzkrātajām rezervēm. </w:t>
      </w:r>
    </w:p>
    <w:p w14:paraId="3A1B65EF" w14:textId="77777777" w:rsidR="00DB2A78" w:rsidRDefault="00DB2A78" w:rsidP="00DB2A78">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 xml:space="preserve">Balstoties uz VK apkopoto informāciju, uz 2022.gada beigām nav identificēts, ka varētu būt </w:t>
      </w:r>
      <w:r w:rsidRPr="009A6955">
        <w:rPr>
          <w:rFonts w:ascii="Times New Roman" w:eastAsiaTheme="minorHAnsi" w:hAnsi="Times New Roman" w:cs="Times New Roman"/>
          <w:sz w:val="24"/>
          <w:szCs w:val="20"/>
        </w:rPr>
        <w:t>mainī</w:t>
      </w:r>
      <w:r>
        <w:rPr>
          <w:rFonts w:ascii="Times New Roman" w:eastAsiaTheme="minorHAnsi" w:hAnsi="Times New Roman" w:cs="Times New Roman"/>
          <w:sz w:val="24"/>
          <w:szCs w:val="20"/>
        </w:rPr>
        <w:t>jusies</w:t>
      </w:r>
      <w:r w:rsidRPr="009A6955">
        <w:rPr>
          <w:rFonts w:ascii="Times New Roman" w:eastAsiaTheme="minorHAnsi" w:hAnsi="Times New Roman" w:cs="Times New Roman"/>
          <w:sz w:val="24"/>
          <w:szCs w:val="20"/>
        </w:rPr>
        <w:t xml:space="preserve"> </w:t>
      </w:r>
      <w:r>
        <w:rPr>
          <w:rFonts w:ascii="Times New Roman" w:eastAsiaTheme="minorHAnsi" w:hAnsi="Times New Roman" w:cs="Times New Roman"/>
          <w:sz w:val="24"/>
          <w:szCs w:val="20"/>
        </w:rPr>
        <w:t xml:space="preserve">Latvijas </w:t>
      </w:r>
      <w:r w:rsidRPr="009A6955">
        <w:rPr>
          <w:rFonts w:ascii="Times New Roman" w:eastAsiaTheme="minorHAnsi" w:hAnsi="Times New Roman" w:cs="Times New Roman"/>
          <w:sz w:val="24"/>
          <w:szCs w:val="20"/>
        </w:rPr>
        <w:t xml:space="preserve">ieguldījumu </w:t>
      </w:r>
      <w:r>
        <w:rPr>
          <w:rFonts w:ascii="Times New Roman" w:eastAsiaTheme="minorHAnsi" w:hAnsi="Times New Roman" w:cs="Times New Roman"/>
          <w:sz w:val="24"/>
          <w:szCs w:val="20"/>
        </w:rPr>
        <w:t xml:space="preserve">vērtība augstāk minētajās SFI. Visu SFI, kurās Latvija ir kapitāldaļu turētāja, </w:t>
      </w:r>
      <w:r w:rsidRPr="00C068FF">
        <w:rPr>
          <w:rFonts w:ascii="Times New Roman" w:eastAsiaTheme="minorHAnsi" w:hAnsi="Times New Roman" w:cs="Times New Roman"/>
          <w:sz w:val="24"/>
          <w:szCs w:val="20"/>
        </w:rPr>
        <w:t>202</w:t>
      </w:r>
      <w:r>
        <w:rPr>
          <w:rFonts w:ascii="Times New Roman" w:eastAsiaTheme="minorHAnsi" w:hAnsi="Times New Roman" w:cs="Times New Roman"/>
          <w:sz w:val="24"/>
          <w:szCs w:val="20"/>
        </w:rPr>
        <w:t>2</w:t>
      </w:r>
      <w:r w:rsidRPr="00C068FF">
        <w:rPr>
          <w:rFonts w:ascii="Times New Roman" w:eastAsiaTheme="minorHAnsi" w:hAnsi="Times New Roman" w:cs="Times New Roman"/>
          <w:sz w:val="24"/>
          <w:szCs w:val="20"/>
        </w:rPr>
        <w:t>.gada pārskati apliecina attiecīgo SFI finanšu stabilitāti. Visas minētās SFI darbojas ar peļņu</w:t>
      </w:r>
      <w:r>
        <w:rPr>
          <w:rFonts w:ascii="Times New Roman" w:eastAsiaTheme="minorHAnsi" w:hAnsi="Times New Roman" w:cs="Times New Roman"/>
          <w:sz w:val="24"/>
          <w:szCs w:val="20"/>
        </w:rPr>
        <w:t xml:space="preserve">, izņemot Eiropas Rekonstrukcijas un attīstības banku (ERAB) un Eiropas Stabilitātes mehānismu (ESM), kam konstatēti zaudējumi 2022.gadā – attiecīgi 1,1 mljrd. </w:t>
      </w:r>
      <w:proofErr w:type="spellStart"/>
      <w:r w:rsidRPr="00264264">
        <w:rPr>
          <w:rFonts w:ascii="Times New Roman" w:eastAsiaTheme="minorHAnsi" w:hAnsi="Times New Roman" w:cs="Times New Roman"/>
          <w:i/>
          <w:iCs/>
          <w:sz w:val="24"/>
          <w:szCs w:val="20"/>
        </w:rPr>
        <w:t>euro</w:t>
      </w:r>
      <w:proofErr w:type="spellEnd"/>
      <w:r>
        <w:rPr>
          <w:rStyle w:val="FootnoteReference"/>
          <w:rFonts w:ascii="Times New Roman" w:eastAsiaTheme="minorHAnsi" w:hAnsi="Times New Roman" w:cs="Times New Roman"/>
          <w:sz w:val="24"/>
          <w:szCs w:val="20"/>
        </w:rPr>
        <w:footnoteReference w:id="14"/>
      </w:r>
      <w:r>
        <w:rPr>
          <w:rFonts w:ascii="Times New Roman" w:eastAsiaTheme="minorHAnsi" w:hAnsi="Times New Roman" w:cs="Times New Roman"/>
          <w:sz w:val="24"/>
          <w:szCs w:val="20"/>
        </w:rPr>
        <w:t xml:space="preserve"> un 60,2 milj. </w:t>
      </w:r>
      <w:proofErr w:type="spellStart"/>
      <w:r w:rsidRPr="00264264">
        <w:rPr>
          <w:rFonts w:ascii="Times New Roman" w:eastAsiaTheme="minorHAnsi" w:hAnsi="Times New Roman" w:cs="Times New Roman"/>
          <w:i/>
          <w:iCs/>
          <w:sz w:val="24"/>
          <w:szCs w:val="20"/>
        </w:rPr>
        <w:t>euro</w:t>
      </w:r>
      <w:proofErr w:type="spellEnd"/>
      <w:r>
        <w:rPr>
          <w:rStyle w:val="FootnoteReference"/>
          <w:rFonts w:ascii="Times New Roman" w:eastAsiaTheme="minorHAnsi" w:hAnsi="Times New Roman" w:cs="Times New Roman"/>
          <w:sz w:val="24"/>
          <w:szCs w:val="20"/>
        </w:rPr>
        <w:footnoteReference w:id="15"/>
      </w:r>
      <w:r>
        <w:rPr>
          <w:rFonts w:ascii="Times New Roman" w:eastAsiaTheme="minorHAnsi" w:hAnsi="Times New Roman" w:cs="Times New Roman"/>
          <w:sz w:val="24"/>
          <w:szCs w:val="20"/>
        </w:rPr>
        <w:t xml:space="preserve"> apmērā, tomēr, pateicoties ERAB un ESM rezervēm un AAA kredītreitingam, to finanšu stabilitāte nav apdraudēta.</w:t>
      </w:r>
      <w:r w:rsidRPr="00C068FF">
        <w:rPr>
          <w:rFonts w:ascii="Times New Roman" w:eastAsiaTheme="minorHAnsi" w:hAnsi="Times New Roman" w:cs="Times New Roman"/>
          <w:sz w:val="24"/>
          <w:szCs w:val="20"/>
        </w:rPr>
        <w:t xml:space="preserve"> </w:t>
      </w:r>
    </w:p>
    <w:p w14:paraId="74204E7D" w14:textId="58C0DA52" w:rsidR="00597AED" w:rsidRPr="0020713B" w:rsidRDefault="00DB2A78" w:rsidP="0043659D">
      <w:pPr>
        <w:spacing w:after="0" w:line="240" w:lineRule="auto"/>
        <w:ind w:firstLine="709"/>
        <w:jc w:val="both"/>
        <w:rPr>
          <w:rFonts w:ascii="Times New Roman" w:eastAsiaTheme="minorHAnsi" w:hAnsi="Times New Roman" w:cs="Times New Roman"/>
          <w:b/>
          <w:bCs/>
          <w:sz w:val="24"/>
          <w:szCs w:val="20"/>
        </w:rPr>
      </w:pPr>
      <w:r w:rsidRPr="0089209F">
        <w:rPr>
          <w:rFonts w:ascii="Times New Roman" w:eastAsiaTheme="minorHAnsi" w:hAnsi="Times New Roman" w:cs="Times New Roman"/>
          <w:sz w:val="24"/>
          <w:szCs w:val="20"/>
        </w:rPr>
        <w:t xml:space="preserve">Ņemot vērā zemo riska iestāšanās varbūtību, </w:t>
      </w:r>
      <w:r w:rsidRPr="0020713B">
        <w:rPr>
          <w:rFonts w:ascii="Times New Roman" w:eastAsiaTheme="minorHAnsi" w:hAnsi="Times New Roman" w:cs="Times New Roman"/>
          <w:b/>
          <w:bCs/>
          <w:sz w:val="24"/>
          <w:szCs w:val="20"/>
        </w:rPr>
        <w:t xml:space="preserve">fiskālo risku nodrošinājuma rezerve šim riskam netiek veidota. </w:t>
      </w:r>
    </w:p>
    <w:p w14:paraId="16ABA98A" w14:textId="5A4BB112" w:rsidR="0030420E" w:rsidRDefault="0030420E" w:rsidP="00497710">
      <w:pPr>
        <w:pStyle w:val="Heading2"/>
        <w:numPr>
          <w:ilvl w:val="1"/>
          <w:numId w:val="4"/>
        </w:numPr>
        <w:tabs>
          <w:tab w:val="left" w:pos="709"/>
        </w:tabs>
        <w:spacing w:before="120" w:after="120" w:line="240" w:lineRule="auto"/>
        <w:ind w:left="567" w:hanging="555"/>
        <w:jc w:val="center"/>
        <w:rPr>
          <w:rFonts w:ascii="Times New Roman" w:hAnsi="Times New Roman" w:cs="Times New Roman"/>
          <w:color w:val="auto"/>
          <w:sz w:val="24"/>
          <w:szCs w:val="24"/>
        </w:rPr>
      </w:pPr>
      <w:bookmarkStart w:id="78" w:name="_Toc405371086"/>
      <w:bookmarkStart w:id="79" w:name="_Toc536779067"/>
      <w:bookmarkStart w:id="80" w:name="_Toc142388036"/>
      <w:r w:rsidRPr="00B70497">
        <w:rPr>
          <w:rFonts w:ascii="Times New Roman" w:hAnsi="Times New Roman" w:cs="Times New Roman"/>
          <w:color w:val="auto"/>
          <w:sz w:val="24"/>
          <w:szCs w:val="24"/>
        </w:rPr>
        <w:t xml:space="preserve">Valsts </w:t>
      </w:r>
      <w:r w:rsidR="00BD417F" w:rsidRPr="00B70497">
        <w:rPr>
          <w:rFonts w:ascii="Times New Roman" w:hAnsi="Times New Roman" w:cs="Times New Roman"/>
          <w:color w:val="auto"/>
          <w:sz w:val="24"/>
          <w:szCs w:val="24"/>
        </w:rPr>
        <w:t xml:space="preserve">un pašvaldību </w:t>
      </w:r>
      <w:r w:rsidRPr="00B70497">
        <w:rPr>
          <w:rFonts w:ascii="Times New Roman" w:hAnsi="Times New Roman" w:cs="Times New Roman"/>
          <w:color w:val="auto"/>
          <w:sz w:val="24"/>
          <w:szCs w:val="24"/>
        </w:rPr>
        <w:t>kapitālsabiedrības</w:t>
      </w:r>
      <w:bookmarkEnd w:id="78"/>
      <w:bookmarkEnd w:id="79"/>
      <w:bookmarkEnd w:id="80"/>
    </w:p>
    <w:p w14:paraId="6B09D5EC" w14:textId="72E1EB01" w:rsidR="001D3D94" w:rsidRPr="0037264A" w:rsidRDefault="001D3D94" w:rsidP="00497710">
      <w:pPr>
        <w:spacing w:after="0" w:line="240" w:lineRule="auto"/>
        <w:ind w:firstLine="709"/>
        <w:jc w:val="both"/>
        <w:rPr>
          <w:rFonts w:ascii="Times New Roman" w:eastAsiaTheme="minorHAnsi" w:hAnsi="Times New Roman" w:cs="Times New Roman"/>
          <w:sz w:val="24"/>
          <w:szCs w:val="20"/>
        </w:rPr>
      </w:pPr>
      <w:r w:rsidRPr="0037264A">
        <w:rPr>
          <w:rFonts w:ascii="Times New Roman" w:eastAsiaTheme="minorHAnsi" w:hAnsi="Times New Roman" w:cs="Times New Roman"/>
          <w:sz w:val="24"/>
          <w:szCs w:val="20"/>
        </w:rPr>
        <w:t>Šī specifiskā fiskālā riska avots attiecas uz kapitālsabiedrībām, kuras ir iekļautas vispārējās valdības sektorā (</w:t>
      </w:r>
      <w:proofErr w:type="spellStart"/>
      <w:r w:rsidRPr="0037264A">
        <w:rPr>
          <w:rFonts w:ascii="Times New Roman" w:eastAsiaTheme="minorHAnsi" w:hAnsi="Times New Roman" w:cs="Times New Roman"/>
          <w:sz w:val="24"/>
          <w:szCs w:val="20"/>
        </w:rPr>
        <w:t>apakšsektors</w:t>
      </w:r>
      <w:proofErr w:type="spellEnd"/>
      <w:r w:rsidRPr="0037264A">
        <w:rPr>
          <w:rFonts w:ascii="Times New Roman" w:eastAsiaTheme="minorHAnsi" w:hAnsi="Times New Roman" w:cs="Times New Roman"/>
          <w:sz w:val="24"/>
          <w:szCs w:val="20"/>
        </w:rPr>
        <w:t xml:space="preserve"> S130130 “Valsts struktūru kontrolēti un finansēti komersanti” un S130330 “Pašvaldību struktūru kontrolētas un finansētas komercsabiedrības”) ieņēmumu un izdevumu rezultātu un parādu atbilstoši </w:t>
      </w:r>
      <w:r w:rsidRPr="00396F3A">
        <w:rPr>
          <w:rFonts w:ascii="Times New Roman" w:eastAsiaTheme="minorHAnsi" w:hAnsi="Times New Roman" w:cs="Times New Roman"/>
          <w:sz w:val="24"/>
          <w:szCs w:val="20"/>
        </w:rPr>
        <w:t>EKS</w:t>
      </w:r>
      <w:r w:rsidR="0099117B">
        <w:rPr>
          <w:rFonts w:ascii="Times New Roman" w:eastAsiaTheme="minorHAnsi" w:hAnsi="Times New Roman" w:cs="Times New Roman"/>
          <w:sz w:val="24"/>
          <w:szCs w:val="20"/>
        </w:rPr>
        <w:t xml:space="preserve"> </w:t>
      </w:r>
      <w:r w:rsidRPr="0037264A">
        <w:rPr>
          <w:rFonts w:ascii="Times New Roman" w:eastAsiaTheme="minorHAnsi" w:hAnsi="Times New Roman" w:cs="Times New Roman"/>
          <w:sz w:val="24"/>
          <w:szCs w:val="20"/>
        </w:rPr>
        <w:t>uzskaites metodoloģijai (</w:t>
      </w:r>
      <w:r w:rsidR="0099117B">
        <w:rPr>
          <w:rFonts w:ascii="Times New Roman" w:eastAsiaTheme="minorHAnsi" w:hAnsi="Times New Roman" w:cs="Times New Roman"/>
          <w:sz w:val="24"/>
          <w:szCs w:val="20"/>
        </w:rPr>
        <w:t xml:space="preserve">šīs deklarācijas </w:t>
      </w:r>
      <w:proofErr w:type="spellStart"/>
      <w:r w:rsidR="0099117B">
        <w:rPr>
          <w:rFonts w:ascii="Times New Roman" w:eastAsiaTheme="minorHAnsi" w:hAnsi="Times New Roman" w:cs="Times New Roman"/>
          <w:sz w:val="24"/>
          <w:szCs w:val="20"/>
        </w:rPr>
        <w:t>apakšsadaļas</w:t>
      </w:r>
      <w:proofErr w:type="spellEnd"/>
      <w:r w:rsidR="0099117B">
        <w:rPr>
          <w:rFonts w:ascii="Times New Roman" w:eastAsiaTheme="minorHAnsi" w:hAnsi="Times New Roman" w:cs="Times New Roman"/>
          <w:sz w:val="24"/>
          <w:szCs w:val="20"/>
        </w:rPr>
        <w:t xml:space="preserve"> ietvaros </w:t>
      </w:r>
      <w:r w:rsidRPr="0037264A">
        <w:rPr>
          <w:rFonts w:ascii="Times New Roman" w:eastAsiaTheme="minorHAnsi" w:hAnsi="Times New Roman" w:cs="Times New Roman"/>
          <w:sz w:val="24"/>
          <w:szCs w:val="20"/>
        </w:rPr>
        <w:t xml:space="preserve">turpmāk – saimnieciskās darbības rezultāts) attiecīgajā pārskata periodā. </w:t>
      </w:r>
      <w:r w:rsidR="0049534B">
        <w:rPr>
          <w:rFonts w:ascii="Times New Roman" w:eastAsiaTheme="minorHAnsi" w:hAnsi="Times New Roman" w:cs="Times New Roman"/>
          <w:sz w:val="24"/>
        </w:rPr>
        <w:t>V</w:t>
      </w:r>
      <w:r w:rsidRPr="0037264A">
        <w:rPr>
          <w:rFonts w:ascii="Times New Roman" w:eastAsiaTheme="minorHAnsi" w:hAnsi="Times New Roman" w:cs="Times New Roman"/>
          <w:sz w:val="24"/>
        </w:rPr>
        <w:t>alsts un pašvaldību kapitālsabiedrības</w:t>
      </w:r>
      <w:r w:rsidRPr="0037264A">
        <w:rPr>
          <w:rFonts w:ascii="Times New Roman" w:eastAsiaTheme="minorHAnsi" w:hAnsi="Times New Roman"/>
          <w:sz w:val="24"/>
          <w:szCs w:val="24"/>
          <w:lang w:eastAsia="lv-LV"/>
        </w:rPr>
        <w:t xml:space="preserve"> tiek iekļautas </w:t>
      </w:r>
      <w:r w:rsidRPr="0037264A">
        <w:rPr>
          <w:rFonts w:ascii="Times New Roman" w:eastAsiaTheme="minorHAnsi" w:hAnsi="Times New Roman" w:cs="Times New Roman"/>
          <w:sz w:val="24"/>
          <w:szCs w:val="24"/>
          <w:lang w:eastAsia="lv-LV"/>
        </w:rPr>
        <w:t>vispārējās valdības sektorā, ja atbilstoši EKS metodoloģiskajiem kritērijiem tiek konstatēts, ka:</w:t>
      </w:r>
    </w:p>
    <w:p w14:paraId="7360BA97" w14:textId="77777777" w:rsidR="001D3D94" w:rsidRPr="0037264A" w:rsidRDefault="001D3D94" w:rsidP="001D3D94">
      <w:pPr>
        <w:numPr>
          <w:ilvl w:val="0"/>
          <w:numId w:val="18"/>
        </w:numPr>
        <w:spacing w:after="0" w:line="240" w:lineRule="auto"/>
        <w:ind w:left="1134" w:firstLine="0"/>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valsts vai pašvaldības kontrolē komercsabiedrību;</w:t>
      </w:r>
    </w:p>
    <w:p w14:paraId="60E3166F" w14:textId="1920A631" w:rsidR="001D3D94" w:rsidRDefault="001D3D94" w:rsidP="001D3D94">
      <w:pPr>
        <w:numPr>
          <w:ilvl w:val="0"/>
          <w:numId w:val="18"/>
        </w:numPr>
        <w:spacing w:after="0" w:line="240" w:lineRule="auto"/>
        <w:ind w:left="1418" w:hanging="284"/>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komercsabiedrība ir ārpus</w:t>
      </w:r>
      <w:r w:rsidR="00D35A3A" w:rsidRPr="0037264A">
        <w:rPr>
          <w:rFonts w:ascii="Times New Roman" w:eastAsiaTheme="minorHAnsi" w:hAnsi="Times New Roman" w:cs="Times New Roman"/>
          <w:sz w:val="24"/>
          <w:szCs w:val="20"/>
        </w:rPr>
        <w:t>–</w:t>
      </w:r>
      <w:r w:rsidRPr="0037264A">
        <w:rPr>
          <w:rFonts w:ascii="Times New Roman" w:eastAsia="Calibri" w:hAnsi="Times New Roman" w:cs="Times New Roman"/>
          <w:sz w:val="24"/>
          <w:szCs w:val="24"/>
          <w:lang w:eastAsia="lv-LV"/>
        </w:rPr>
        <w:t xml:space="preserve">tirgus ražotājs. </w:t>
      </w:r>
    </w:p>
    <w:p w14:paraId="02E0899A" w14:textId="77777777" w:rsidR="001D3D94" w:rsidRPr="0037264A" w:rsidRDefault="001D3D94" w:rsidP="001D3D94">
      <w:pPr>
        <w:spacing w:after="0" w:line="240" w:lineRule="auto"/>
        <w:ind w:firstLine="720"/>
        <w:jc w:val="both"/>
        <w:rPr>
          <w:rFonts w:ascii="Times New Roman" w:hAnsi="Times New Roman"/>
          <w:sz w:val="24"/>
        </w:rPr>
      </w:pPr>
      <w:r w:rsidRPr="0037264A">
        <w:rPr>
          <w:rFonts w:ascii="Times New Roman" w:hAnsi="Times New Roman"/>
          <w:sz w:val="24"/>
        </w:rPr>
        <w:t>Fiskālais risks iestājas gadījumā, kad saimnieciskās darbības rezultāts</w:t>
      </w:r>
      <w:r w:rsidRPr="0037264A" w:rsidDel="00A66465">
        <w:rPr>
          <w:rFonts w:ascii="Times New Roman" w:hAnsi="Times New Roman"/>
          <w:sz w:val="24"/>
        </w:rPr>
        <w:t xml:space="preserve"> </w:t>
      </w:r>
      <w:r w:rsidRPr="0037264A">
        <w:rPr>
          <w:rFonts w:ascii="Times New Roman" w:hAnsi="Times New Roman"/>
          <w:sz w:val="24"/>
        </w:rPr>
        <w:t>pārskata periodā negatīvi novirzās no vispārējās valdības budžeta prognozēs plānotā apmēra, tādējādi pasliktinot vispārējās valdības budžeta bilanci un/vai parādu. Risks iestājas arī gadījumā, ja iepriekš vispārējās valdības sektorā neklasificēta kapitālsabiedrība tiek klasificēta vispārējās valdības sektorā un tās saimnieciskās darbības rezultāts (ņemot vērā konsolidācijas efektus sektora ietvaros) ir negatīvs.</w:t>
      </w:r>
    </w:p>
    <w:p w14:paraId="7B0B9449" w14:textId="60016917" w:rsidR="001D3D94" w:rsidRPr="0037264A" w:rsidRDefault="001D3D94" w:rsidP="001D3D94">
      <w:pPr>
        <w:spacing w:after="0" w:line="240" w:lineRule="auto"/>
        <w:ind w:firstLine="720"/>
        <w:jc w:val="both"/>
      </w:pPr>
      <w:r w:rsidRPr="0037264A">
        <w:rPr>
          <w:rFonts w:ascii="Times New Roman" w:hAnsi="Times New Roman"/>
          <w:sz w:val="24"/>
        </w:rPr>
        <w:t>Sagatavojot vispārējās valdības budžeta prognozes, tiek izmantoti aptaujās iegūtie rezultāti un tiek aptaujāti pilnīgi visi centrālai valdībai pieklasificēti komersanti</w:t>
      </w:r>
      <w:r w:rsidR="001015EF">
        <w:rPr>
          <w:rFonts w:ascii="Times New Roman" w:hAnsi="Times New Roman"/>
          <w:sz w:val="24"/>
        </w:rPr>
        <w:t xml:space="preserve">, bet </w:t>
      </w:r>
      <w:r w:rsidRPr="0037264A">
        <w:rPr>
          <w:rFonts w:ascii="Times New Roman" w:hAnsi="Times New Roman"/>
          <w:sz w:val="24"/>
        </w:rPr>
        <w:t>selektīvi tiek izvēlētas pašvaldībām pieklasificētās komercsabiedrības ar lielāko ietekmi uz vispārējās valdības budžeta bilanci.</w:t>
      </w:r>
    </w:p>
    <w:p w14:paraId="0644AF55" w14:textId="353764CC" w:rsidR="001D3D94" w:rsidRPr="002F02DC" w:rsidRDefault="001D3D94" w:rsidP="001D3D94">
      <w:pPr>
        <w:shd w:val="clear" w:color="auto" w:fill="FFFFFF"/>
        <w:spacing w:after="0" w:line="240" w:lineRule="auto"/>
        <w:ind w:left="57" w:right="57" w:firstLine="720"/>
        <w:jc w:val="both"/>
        <w:rPr>
          <w:rFonts w:ascii="Calibri" w:eastAsia="Times New Roman" w:hAnsi="Calibri" w:cs="Calibri"/>
          <w:color w:val="000000"/>
          <w:lang w:eastAsia="lv-LV"/>
        </w:rPr>
      </w:pPr>
      <w:r w:rsidRPr="0037264A">
        <w:rPr>
          <w:rFonts w:ascii="Times New Roman" w:eastAsiaTheme="minorHAnsi" w:hAnsi="Times New Roman" w:cs="Times New Roman"/>
          <w:sz w:val="24"/>
        </w:rPr>
        <w:t xml:space="preserve">Lai novērstu </w:t>
      </w:r>
      <w:r w:rsidRPr="002F02DC">
        <w:rPr>
          <w:rFonts w:ascii="Times New Roman" w:eastAsia="Times New Roman" w:hAnsi="Times New Roman" w:cs="Times New Roman"/>
          <w:color w:val="000000"/>
          <w:sz w:val="24"/>
          <w:szCs w:val="24"/>
          <w:lang w:eastAsia="lv-LV"/>
        </w:rPr>
        <w:t xml:space="preserve">vispārējās valdības sektorā iekļauto valsts un pašvaldību kapitālsabiedrību nekontrolētu ietekmi uz vispārējās valdības budžeta bilanci, </w:t>
      </w:r>
      <w:r>
        <w:rPr>
          <w:rFonts w:ascii="Times New Roman" w:eastAsia="Times New Roman" w:hAnsi="Times New Roman" w:cs="Times New Roman"/>
          <w:color w:val="000000"/>
          <w:sz w:val="24"/>
          <w:szCs w:val="24"/>
          <w:lang w:eastAsia="lv-LV"/>
        </w:rPr>
        <w:t>likumā “Par vidēja termiņa budžeta ietvaru 2020., 2021. un 2022.gadam”</w:t>
      </w:r>
      <w:r w:rsidR="0082231D">
        <w:rPr>
          <w:rFonts w:ascii="Times New Roman" w:eastAsia="Times New Roman" w:hAnsi="Times New Roman" w:cs="Times New Roman"/>
          <w:color w:val="000000"/>
          <w:sz w:val="24"/>
          <w:szCs w:val="24"/>
          <w:lang w:eastAsia="lv-LV"/>
        </w:rPr>
        <w:t xml:space="preserve">, </w:t>
      </w:r>
      <w:r w:rsidR="00DC4D6C">
        <w:rPr>
          <w:rFonts w:ascii="Times New Roman" w:eastAsia="Times New Roman" w:hAnsi="Times New Roman" w:cs="Times New Roman"/>
          <w:color w:val="000000"/>
          <w:sz w:val="24"/>
          <w:szCs w:val="24"/>
          <w:lang w:eastAsia="lv-LV"/>
        </w:rPr>
        <w:t>likumā “Par vidēja termiņa budžeta ietvaru 2021., 2022. un 2023.gadam”</w:t>
      </w:r>
      <w:r w:rsidR="00630E31" w:rsidRPr="002F02DC">
        <w:rPr>
          <w:rFonts w:ascii="Times New Roman" w:eastAsia="Times New Roman" w:hAnsi="Times New Roman" w:cs="Times New Roman"/>
          <w:color w:val="000000"/>
          <w:sz w:val="24"/>
          <w:szCs w:val="24"/>
          <w:lang w:eastAsia="lv-LV"/>
        </w:rPr>
        <w:t xml:space="preserve"> </w:t>
      </w:r>
      <w:r w:rsidR="0082231D">
        <w:rPr>
          <w:rFonts w:ascii="Times New Roman" w:eastAsia="Times New Roman" w:hAnsi="Times New Roman" w:cs="Times New Roman"/>
          <w:color w:val="000000"/>
          <w:sz w:val="24"/>
          <w:szCs w:val="24"/>
          <w:lang w:eastAsia="lv-LV"/>
        </w:rPr>
        <w:t>un likumā “Par vidēja termiņa budžeta ietvaru 2022., 2023. un 2024.gadam”</w:t>
      </w:r>
      <w:r w:rsidR="00556607">
        <w:rPr>
          <w:rFonts w:ascii="Times New Roman" w:eastAsia="Times New Roman" w:hAnsi="Times New Roman" w:cs="Times New Roman"/>
          <w:color w:val="000000"/>
          <w:sz w:val="24"/>
          <w:szCs w:val="24"/>
          <w:lang w:eastAsia="lv-LV"/>
        </w:rPr>
        <w:t xml:space="preserve">, kā arī </w:t>
      </w:r>
      <w:r w:rsidR="00556607" w:rsidRPr="00B4428B">
        <w:rPr>
          <w:rFonts w:ascii="Times New Roman" w:eastAsia="Times New Roman" w:hAnsi="Times New Roman" w:cs="Times New Roman"/>
          <w:color w:val="000000"/>
          <w:sz w:val="24"/>
          <w:szCs w:val="24"/>
          <w:lang w:eastAsia="lv-LV"/>
        </w:rPr>
        <w:t>likumā</w:t>
      </w:r>
      <w:r w:rsidR="00556607">
        <w:rPr>
          <w:rFonts w:ascii="Times New Roman" w:eastAsia="Times New Roman" w:hAnsi="Times New Roman" w:cs="Times New Roman"/>
          <w:color w:val="000000"/>
          <w:sz w:val="24"/>
          <w:szCs w:val="24"/>
          <w:lang w:eastAsia="lv-LV"/>
        </w:rPr>
        <w:t xml:space="preserve"> “</w:t>
      </w:r>
      <w:r w:rsidR="00556607" w:rsidRPr="0058124B">
        <w:rPr>
          <w:rFonts w:ascii="Times New Roman" w:eastAsia="Times New Roman" w:hAnsi="Times New Roman" w:cs="Times New Roman"/>
          <w:color w:val="000000"/>
          <w:sz w:val="24"/>
          <w:szCs w:val="24"/>
          <w:lang w:eastAsia="lv-LV"/>
        </w:rPr>
        <w:t>Par valsts budžetu 2023.gadam un budžeta ietvaru 2023., 2024. un 2025.gadam</w:t>
      </w:r>
      <w:r w:rsidR="00556607">
        <w:rPr>
          <w:rFonts w:ascii="Times New Roman" w:eastAsia="Times New Roman" w:hAnsi="Times New Roman" w:cs="Times New Roman"/>
          <w:color w:val="000000"/>
          <w:sz w:val="24"/>
          <w:szCs w:val="24"/>
          <w:lang w:eastAsia="lv-LV"/>
        </w:rPr>
        <w:t>”</w:t>
      </w:r>
      <w:r w:rsidR="0082231D" w:rsidRPr="002F02DC">
        <w:rPr>
          <w:rFonts w:ascii="Times New Roman" w:eastAsia="Times New Roman" w:hAnsi="Times New Roman" w:cs="Times New Roman"/>
          <w:color w:val="000000"/>
          <w:sz w:val="24"/>
          <w:szCs w:val="24"/>
          <w:lang w:eastAsia="lv-LV"/>
        </w:rPr>
        <w:t xml:space="preserve"> </w:t>
      </w:r>
      <w:r w:rsidR="00556607">
        <w:rPr>
          <w:rFonts w:ascii="Times New Roman" w:eastAsia="Times New Roman" w:hAnsi="Times New Roman" w:cs="Times New Roman"/>
          <w:color w:val="000000"/>
          <w:sz w:val="24"/>
          <w:szCs w:val="24"/>
          <w:lang w:eastAsia="lv-LV"/>
        </w:rPr>
        <w:t>ir</w:t>
      </w:r>
      <w:r w:rsidR="003E69A8" w:rsidRPr="002F02DC">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iekļauts regulējums, kas paredz, ka:</w:t>
      </w:r>
    </w:p>
    <w:p w14:paraId="14070F32" w14:textId="5B26FED7" w:rsidR="001D3D94" w:rsidRPr="002F02DC" w:rsidRDefault="001D3D94" w:rsidP="001D3D94">
      <w:pPr>
        <w:numPr>
          <w:ilvl w:val="0"/>
          <w:numId w:val="36"/>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2F02DC">
        <w:rPr>
          <w:rFonts w:ascii="Times New Roman" w:eastAsia="Times New Roman" w:hAnsi="Times New Roman" w:cs="Times New Roman"/>
          <w:color w:val="000000"/>
          <w:sz w:val="24"/>
          <w:szCs w:val="24"/>
          <w:lang w:eastAsia="lv-LV"/>
        </w:rPr>
        <w:t>vispārējās valdības sektorā iekļautās valsts kapitālsabiedrības negatīvā ietekme uz vispārējās valdības</w:t>
      </w:r>
      <w:r w:rsidR="00BA7CFE">
        <w:rPr>
          <w:rFonts w:ascii="Times New Roman" w:eastAsia="Times New Roman" w:hAnsi="Times New Roman" w:cs="Times New Roman"/>
          <w:color w:val="000000"/>
          <w:sz w:val="24"/>
          <w:szCs w:val="24"/>
          <w:lang w:eastAsia="lv-LV"/>
        </w:rPr>
        <w:t xml:space="preserve"> budžeta bilanci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drīkst pārsniegt 5 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proofErr w:type="spellStart"/>
      <w:r w:rsidRPr="002F02DC">
        <w:rPr>
          <w:rFonts w:ascii="Times New Roman" w:eastAsia="Times New Roman" w:hAnsi="Times New Roman" w:cs="Times New Roman"/>
          <w:i/>
          <w:iCs/>
          <w:color w:val="000000"/>
          <w:sz w:val="24"/>
          <w:szCs w:val="24"/>
          <w:lang w:eastAsia="lv-LV"/>
        </w:rPr>
        <w:t>euro</w:t>
      </w:r>
      <w:proofErr w:type="spellEnd"/>
      <w:r w:rsidRPr="002F02DC">
        <w:rPr>
          <w:rFonts w:ascii="Times New Roman" w:eastAsia="Times New Roman" w:hAnsi="Times New Roman" w:cs="Times New Roman"/>
          <w:color w:val="000000"/>
          <w:sz w:val="24"/>
          <w:szCs w:val="24"/>
          <w:lang w:eastAsia="lv-LV"/>
        </w:rPr>
        <w:t xml:space="preserve"> tikai tad, ja ir saņemta </w:t>
      </w:r>
      <w:r w:rsidR="00F96C1A">
        <w:rPr>
          <w:rFonts w:ascii="Times New Roman" w:eastAsia="Times New Roman" w:hAnsi="Times New Roman" w:cs="Times New Roman"/>
          <w:color w:val="000000"/>
          <w:sz w:val="24"/>
          <w:szCs w:val="24"/>
          <w:lang w:eastAsia="lv-LV"/>
        </w:rPr>
        <w:t>MK</w:t>
      </w:r>
      <w:r w:rsidRPr="002F02DC">
        <w:rPr>
          <w:rFonts w:ascii="Times New Roman" w:eastAsia="Times New Roman" w:hAnsi="Times New Roman" w:cs="Times New Roman"/>
          <w:color w:val="000000"/>
          <w:sz w:val="24"/>
          <w:szCs w:val="24"/>
          <w:lang w:eastAsia="lv-LV"/>
        </w:rPr>
        <w:t xml:space="preserve"> piekrišana;</w:t>
      </w:r>
    </w:p>
    <w:p w14:paraId="65D28E79" w14:textId="0C9CC6A6" w:rsidR="00C240CB" w:rsidRPr="001F1B9E" w:rsidRDefault="001D3D94" w:rsidP="00F56613">
      <w:pPr>
        <w:numPr>
          <w:ilvl w:val="0"/>
          <w:numId w:val="37"/>
        </w:numPr>
        <w:shd w:val="clear" w:color="auto" w:fill="FFFFFF"/>
        <w:spacing w:after="0" w:line="240" w:lineRule="auto"/>
        <w:ind w:right="57"/>
        <w:jc w:val="both"/>
        <w:rPr>
          <w:rFonts w:ascii="Times New Roman" w:eastAsiaTheme="minorHAnsi" w:hAnsi="Times New Roman" w:cs="Times New Roman"/>
          <w:sz w:val="16"/>
          <w:szCs w:val="16"/>
        </w:rPr>
      </w:pPr>
      <w:r w:rsidRPr="002F02DC">
        <w:rPr>
          <w:rFonts w:ascii="Times New Roman" w:eastAsia="Times New Roman" w:hAnsi="Times New Roman" w:cs="Times New Roman"/>
          <w:color w:val="000000"/>
          <w:sz w:val="24"/>
          <w:szCs w:val="24"/>
          <w:lang w:eastAsia="lv-LV"/>
        </w:rPr>
        <w:t>pašvaldībām ir jāpārvalda to kapitālsab</w:t>
      </w:r>
      <w:r w:rsidR="00BA7CFE">
        <w:rPr>
          <w:rFonts w:ascii="Times New Roman" w:eastAsia="Times New Roman" w:hAnsi="Times New Roman" w:cs="Times New Roman"/>
          <w:color w:val="000000"/>
          <w:sz w:val="24"/>
          <w:szCs w:val="24"/>
          <w:lang w:eastAsia="lv-LV"/>
        </w:rPr>
        <w:t xml:space="preserve">iedrības tā, lai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konkrētas pašvaldības katras atsevišķās kapitālsabiedrības negatīvā ietekme uz vispārējās valdības</w:t>
      </w:r>
      <w:r>
        <w:rPr>
          <w:rFonts w:ascii="Times New Roman" w:eastAsia="Times New Roman" w:hAnsi="Times New Roman" w:cs="Times New Roman"/>
          <w:color w:val="000000"/>
          <w:sz w:val="24"/>
          <w:szCs w:val="24"/>
          <w:lang w:eastAsia="lv-LV"/>
        </w:rPr>
        <w:t xml:space="preserve"> budžeta bilanci nepārsniegtu 5 </w:t>
      </w:r>
      <w:r w:rsidRPr="002F02DC">
        <w:rPr>
          <w:rFonts w:ascii="Times New Roman" w:eastAsia="Times New Roman" w:hAnsi="Times New Roman" w:cs="Times New Roman"/>
          <w:color w:val="000000"/>
          <w:sz w:val="24"/>
          <w:szCs w:val="24"/>
          <w:lang w:eastAsia="lv-LV"/>
        </w:rPr>
        <w:t>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proofErr w:type="spellStart"/>
      <w:r w:rsidRPr="002F02DC">
        <w:rPr>
          <w:rFonts w:ascii="Times New Roman" w:eastAsia="Times New Roman" w:hAnsi="Times New Roman" w:cs="Times New Roman"/>
          <w:i/>
          <w:iCs/>
          <w:color w:val="000000"/>
          <w:sz w:val="24"/>
          <w:szCs w:val="24"/>
          <w:lang w:eastAsia="lv-LV"/>
        </w:rPr>
        <w:t>euro</w:t>
      </w:r>
      <w:proofErr w:type="spellEnd"/>
      <w:r w:rsidRPr="002F02DC">
        <w:rPr>
          <w:rFonts w:ascii="Times New Roman" w:eastAsia="Times New Roman" w:hAnsi="Times New Roman" w:cs="Times New Roman"/>
          <w:i/>
          <w:iCs/>
          <w:color w:val="000000"/>
          <w:sz w:val="24"/>
          <w:szCs w:val="24"/>
          <w:lang w:eastAsia="lv-LV"/>
        </w:rPr>
        <w:t>.</w:t>
      </w:r>
      <w:r w:rsidR="00B74150">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Negatīvā ietekme var pārsniegt 5 milj</w:t>
      </w:r>
      <w:r w:rsidR="00BA7CFE">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proofErr w:type="spellStart"/>
      <w:r w:rsidRPr="002F02DC">
        <w:rPr>
          <w:rFonts w:ascii="Times New Roman" w:eastAsia="Times New Roman" w:hAnsi="Times New Roman" w:cs="Times New Roman"/>
          <w:i/>
          <w:iCs/>
          <w:color w:val="000000"/>
          <w:sz w:val="24"/>
          <w:szCs w:val="24"/>
          <w:lang w:eastAsia="lv-LV"/>
        </w:rPr>
        <w:t>euro</w:t>
      </w:r>
      <w:proofErr w:type="spellEnd"/>
      <w:r w:rsidRPr="002F02DC">
        <w:rPr>
          <w:rFonts w:ascii="Times New Roman" w:eastAsia="Times New Roman" w:hAnsi="Times New Roman" w:cs="Times New Roman"/>
          <w:color w:val="000000"/>
          <w:sz w:val="24"/>
          <w:szCs w:val="24"/>
          <w:lang w:eastAsia="lv-LV"/>
        </w:rPr>
        <w:t xml:space="preserve">, ja pašvaldība nodrošina, </w:t>
      </w:r>
      <w:r w:rsidRPr="002F02DC">
        <w:rPr>
          <w:rFonts w:ascii="Times New Roman" w:eastAsia="Times New Roman" w:hAnsi="Times New Roman" w:cs="Times New Roman"/>
          <w:color w:val="000000"/>
          <w:sz w:val="24"/>
          <w:szCs w:val="24"/>
          <w:lang w:eastAsia="lv-LV"/>
        </w:rPr>
        <w:lastRenderedPageBreak/>
        <w:t>ka tā kopā ar savām vispārējās valdības sektorā iekļautajām kapitālsabiedrībām un citām institūcijām nodrošin</w:t>
      </w:r>
      <w:r>
        <w:rPr>
          <w:rFonts w:ascii="Times New Roman" w:eastAsia="Times New Roman" w:hAnsi="Times New Roman" w:cs="Times New Roman"/>
          <w:color w:val="000000"/>
          <w:sz w:val="24"/>
          <w:szCs w:val="24"/>
          <w:lang w:eastAsia="lv-LV"/>
        </w:rPr>
        <w:t xml:space="preserve">a neitrālu vai pozitīvu ietekmi vai arī ir saņemta </w:t>
      </w:r>
      <w:r w:rsidR="00F96C1A">
        <w:rPr>
          <w:rFonts w:ascii="Times New Roman" w:eastAsia="Times New Roman" w:hAnsi="Times New Roman" w:cs="Times New Roman"/>
          <w:color w:val="000000"/>
          <w:sz w:val="24"/>
          <w:szCs w:val="24"/>
          <w:lang w:eastAsia="lv-LV"/>
        </w:rPr>
        <w:t>MK</w:t>
      </w:r>
      <w:r>
        <w:rPr>
          <w:rFonts w:ascii="Times New Roman" w:eastAsia="Times New Roman" w:hAnsi="Times New Roman" w:cs="Times New Roman"/>
          <w:color w:val="000000"/>
          <w:sz w:val="24"/>
          <w:szCs w:val="24"/>
          <w:lang w:eastAsia="lv-LV"/>
        </w:rPr>
        <w:t xml:space="preserve"> piekrišana negatīvās ietekmes pārsniegšanai.</w:t>
      </w:r>
    </w:p>
    <w:p w14:paraId="4609E47D" w14:textId="5BC376A1" w:rsidR="001D3D94" w:rsidRPr="0037264A" w:rsidRDefault="001D3D94" w:rsidP="002A762C">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Savukārt attiecībā uz kapitālsabiedrībām, kuras </w:t>
      </w:r>
      <w:r w:rsidR="00D3581E">
        <w:rPr>
          <w:rFonts w:ascii="Times New Roman" w:hAnsi="Times New Roman" w:cs="Times New Roman"/>
          <w:color w:val="000000"/>
          <w:sz w:val="24"/>
          <w:szCs w:val="24"/>
        </w:rPr>
        <w:t>Centrālā statistikas pārvalde</w:t>
      </w:r>
      <w:r w:rsidR="00D3581E" w:rsidRPr="00396F3A">
        <w:rPr>
          <w:rFonts w:ascii="Times New Roman" w:eastAsiaTheme="minorHAnsi" w:hAnsi="Times New Roman" w:cs="Times New Roman"/>
          <w:sz w:val="24"/>
        </w:rPr>
        <w:t xml:space="preserve"> </w:t>
      </w:r>
      <w:r w:rsidR="00D3581E">
        <w:rPr>
          <w:rFonts w:ascii="Times New Roman" w:eastAsiaTheme="minorHAnsi" w:hAnsi="Times New Roman" w:cs="Times New Roman"/>
          <w:sz w:val="24"/>
        </w:rPr>
        <w:t xml:space="preserve">(turpmāk </w:t>
      </w:r>
      <w:r w:rsidR="00A760C1" w:rsidRPr="00396F3A">
        <w:rPr>
          <w:rFonts w:ascii="Times New Roman" w:eastAsiaTheme="minorHAnsi" w:hAnsi="Times New Roman" w:cs="Times New Roman"/>
          <w:sz w:val="24"/>
        </w:rPr>
        <w:t>CSP</w:t>
      </w:r>
      <w:r w:rsidR="00D3581E">
        <w:rPr>
          <w:rFonts w:ascii="Times New Roman" w:eastAsiaTheme="minorHAnsi" w:hAnsi="Times New Roman" w:cs="Times New Roman"/>
          <w:sz w:val="24"/>
        </w:rPr>
        <w:t>)</w:t>
      </w:r>
      <w:r w:rsidRPr="0037264A">
        <w:rPr>
          <w:rFonts w:ascii="Times New Roman" w:eastAsiaTheme="minorHAnsi" w:hAnsi="Times New Roman" w:cs="Times New Roman"/>
          <w:sz w:val="24"/>
        </w:rPr>
        <w:t xml:space="preserve"> pieklasificē vispārējās valdības sektorā notifikācijas sagatavošanas procesā, ir nošķirami divi gadījumi. Pirmajā gadījumā FM, pamatojoties uz tās rīcībā esošo informāciju par konkrētās kapitālsabiedrības darbību un savu novērtējumu par sabiedrības ietekmi uz vispārējās valdības sektora fiskālajiem rādītājiem, var </w:t>
      </w:r>
      <w:r w:rsidR="003235C5">
        <w:rPr>
          <w:rFonts w:ascii="Times New Roman" w:eastAsiaTheme="minorHAnsi" w:hAnsi="Times New Roman" w:cs="Times New Roman"/>
          <w:sz w:val="24"/>
        </w:rPr>
        <w:t>budžeta ietvara</w:t>
      </w:r>
      <w:r w:rsidRPr="0037264A">
        <w:rPr>
          <w:rFonts w:ascii="Times New Roman" w:eastAsiaTheme="minorHAnsi" w:hAnsi="Times New Roman" w:cs="Times New Roman"/>
          <w:sz w:val="24"/>
        </w:rPr>
        <w:t xml:space="preserve"> sagatavošanas procesā ietvert kapitālsabiedrības ietekmi fiskālajās prognozēs. Otrajā gadījumā, kad nav bijis iespējams paredzēt kādas kapitālsabiedrības klasificēšanu vispārējās valdības sektorā, tikai tās sabiedrības, kuru saimnieciskās darbības rezultāts (ņemot vērā konsolidācijas efektus sektora ietvaros) ir negatīvs, rada negatīvu fiskālo ietekmi. </w:t>
      </w:r>
    </w:p>
    <w:p w14:paraId="048F752B" w14:textId="469F1EBB" w:rsidR="001D3D94" w:rsidRPr="0037264A" w:rsidRDefault="001D3D94" w:rsidP="006413BB">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Iepriekšminētā riska mazināšanai tiek īstenots aktīvs dialogs ar kompetentajām statistikas iestādēm (t.i. </w:t>
      </w:r>
      <w:r w:rsidR="00B46098">
        <w:rPr>
          <w:rFonts w:ascii="Times New Roman" w:eastAsiaTheme="minorHAnsi" w:hAnsi="Times New Roman" w:cs="Times New Roman"/>
          <w:sz w:val="24"/>
        </w:rPr>
        <w:t>CSP</w:t>
      </w:r>
      <w:r w:rsidRPr="0037264A">
        <w:rPr>
          <w:rFonts w:ascii="Times New Roman" w:eastAsiaTheme="minorHAnsi" w:hAnsi="Times New Roman" w:cs="Times New Roman"/>
          <w:sz w:val="24"/>
        </w:rPr>
        <w:t xml:space="preserve"> un ES statistikas biroju </w:t>
      </w:r>
      <w:proofErr w:type="spellStart"/>
      <w:r w:rsidRPr="0037264A">
        <w:rPr>
          <w:rFonts w:ascii="Times New Roman" w:eastAsiaTheme="minorHAnsi" w:hAnsi="Times New Roman" w:cs="Times New Roman"/>
          <w:i/>
          <w:sz w:val="24"/>
        </w:rPr>
        <w:t>Eurostat</w:t>
      </w:r>
      <w:proofErr w:type="spellEnd"/>
      <w:r w:rsidRPr="0037264A">
        <w:rPr>
          <w:rFonts w:ascii="Times New Roman" w:eastAsiaTheme="minorHAnsi" w:hAnsi="Times New Roman" w:cs="Times New Roman"/>
          <w:sz w:val="24"/>
        </w:rPr>
        <w:t xml:space="preserve">), lai iespējamie pieklasificēšanās gadījumi tiktu savlaicīgi apzināti, lai gan ne vienmēr objektīvu iemeslu dēļ tas ir iespējams. </w:t>
      </w:r>
    </w:p>
    <w:p w14:paraId="5C8D4777" w14:textId="0DE52B8C" w:rsidR="007869F4" w:rsidRDefault="001D3D94">
      <w:pPr>
        <w:pStyle w:val="BodyText2"/>
        <w:tabs>
          <w:tab w:val="left" w:pos="709"/>
          <w:tab w:val="left" w:pos="1134"/>
        </w:tabs>
        <w:spacing w:after="0" w:line="240" w:lineRule="auto"/>
        <w:ind w:firstLine="709"/>
        <w:jc w:val="both"/>
        <w:rPr>
          <w:rFonts w:ascii="Times New Roman" w:hAnsi="Times New Roman" w:cs="Times New Roman"/>
          <w:bCs/>
          <w:sz w:val="24"/>
          <w:szCs w:val="24"/>
        </w:rPr>
      </w:pPr>
      <w:r w:rsidRPr="0037264A">
        <w:rPr>
          <w:rFonts w:ascii="Times New Roman" w:hAnsi="Times New Roman" w:cs="Times New Roman"/>
          <w:bCs/>
          <w:sz w:val="24"/>
          <w:szCs w:val="24"/>
        </w:rPr>
        <w:t xml:space="preserve">Pašlaik </w:t>
      </w:r>
      <w:r w:rsidR="00F0641B">
        <w:rPr>
          <w:rFonts w:ascii="Times New Roman" w:hAnsi="Times New Roman" w:cs="Times New Roman"/>
          <w:bCs/>
          <w:sz w:val="24"/>
          <w:szCs w:val="24"/>
        </w:rPr>
        <w:t>v</w:t>
      </w:r>
      <w:r w:rsidR="00F0641B" w:rsidRPr="00F0641B">
        <w:rPr>
          <w:rFonts w:ascii="Times New Roman" w:hAnsi="Times New Roman" w:cs="Times New Roman"/>
          <w:bCs/>
          <w:sz w:val="24"/>
          <w:szCs w:val="24"/>
        </w:rPr>
        <w:t>alsts akciju sabiedrība “Latvijas Dzelzceļš”</w:t>
      </w:r>
      <w:r w:rsidR="00F0641B">
        <w:rPr>
          <w:rFonts w:ascii="Times New Roman" w:hAnsi="Times New Roman" w:cs="Times New Roman"/>
          <w:bCs/>
          <w:sz w:val="24"/>
          <w:szCs w:val="24"/>
        </w:rPr>
        <w:t xml:space="preserve"> (turpmāk </w:t>
      </w:r>
      <w:proofErr w:type="spellStart"/>
      <w:r w:rsidRPr="00396F3A">
        <w:rPr>
          <w:rFonts w:ascii="Times New Roman" w:hAnsi="Times New Roman" w:cs="Times New Roman"/>
          <w:bCs/>
          <w:sz w:val="24"/>
          <w:szCs w:val="24"/>
        </w:rPr>
        <w:t>LDz</w:t>
      </w:r>
      <w:proofErr w:type="spellEnd"/>
      <w:r w:rsidR="00F0641B">
        <w:rPr>
          <w:rFonts w:ascii="Times New Roman" w:hAnsi="Times New Roman" w:cs="Times New Roman"/>
          <w:bCs/>
          <w:sz w:val="24"/>
          <w:szCs w:val="24"/>
        </w:rPr>
        <w:t>)</w:t>
      </w:r>
      <w:r w:rsidRPr="0037264A">
        <w:rPr>
          <w:rFonts w:ascii="Times New Roman" w:hAnsi="Times New Roman" w:cs="Times New Roman"/>
          <w:bCs/>
          <w:sz w:val="24"/>
          <w:szCs w:val="24"/>
        </w:rPr>
        <w:t xml:space="preserve"> atbilstoši </w:t>
      </w:r>
      <w:r w:rsidR="00A760C1">
        <w:rPr>
          <w:rFonts w:ascii="Times New Roman" w:eastAsiaTheme="minorHAnsi" w:hAnsi="Times New Roman" w:cs="Times New Roman"/>
          <w:sz w:val="24"/>
        </w:rPr>
        <w:t>CSP</w:t>
      </w:r>
      <w:r w:rsidR="00A760C1" w:rsidRPr="0037264A">
        <w:rPr>
          <w:rFonts w:ascii="Times New Roman" w:hAnsi="Times New Roman" w:cs="Times New Roman"/>
          <w:bCs/>
          <w:sz w:val="24"/>
          <w:szCs w:val="24"/>
        </w:rPr>
        <w:t xml:space="preserve"> </w:t>
      </w:r>
      <w:r w:rsidRPr="0037264A">
        <w:rPr>
          <w:rFonts w:ascii="Times New Roman" w:hAnsi="Times New Roman" w:cs="Times New Roman"/>
          <w:bCs/>
          <w:sz w:val="24"/>
          <w:szCs w:val="24"/>
        </w:rPr>
        <w:t xml:space="preserve">izveidotajam un uzturētajam institucionālo sektoru klasifikācijas vienību sarakstam ir klasificēts </w:t>
      </w:r>
      <w:proofErr w:type="spellStart"/>
      <w:r w:rsidRPr="0037264A">
        <w:rPr>
          <w:rFonts w:ascii="Times New Roman" w:hAnsi="Times New Roman" w:cs="Times New Roman"/>
          <w:bCs/>
          <w:sz w:val="24"/>
          <w:szCs w:val="24"/>
        </w:rPr>
        <w:t>nefinanšu</w:t>
      </w:r>
      <w:proofErr w:type="spellEnd"/>
      <w:r w:rsidRPr="0037264A">
        <w:rPr>
          <w:rFonts w:ascii="Times New Roman" w:hAnsi="Times New Roman" w:cs="Times New Roman"/>
          <w:bCs/>
          <w:sz w:val="24"/>
          <w:szCs w:val="24"/>
        </w:rPr>
        <w:t xml:space="preserve"> sabiedrību sektorā jeb ārpus vispārējās valdības sektora</w:t>
      </w:r>
      <w:r w:rsidRPr="0037264A">
        <w:rPr>
          <w:rStyle w:val="FootnoteReference"/>
          <w:rFonts w:ascii="Times New Roman" w:hAnsi="Times New Roman" w:cs="Times New Roman"/>
          <w:bCs/>
          <w:sz w:val="24"/>
          <w:szCs w:val="24"/>
        </w:rPr>
        <w:footnoteReference w:id="16"/>
      </w:r>
      <w:r w:rsidRPr="0037264A">
        <w:rPr>
          <w:rFonts w:ascii="Times New Roman" w:hAnsi="Times New Roman" w:cs="Times New Roman"/>
          <w:bCs/>
          <w:sz w:val="24"/>
          <w:szCs w:val="24"/>
        </w:rPr>
        <w:t xml:space="preserve">. Tomēr, ņemot vērā, ka lielā daļā citu ES dalībvalstu dzelzceļa infrastruktūras pārvaldītāji ir klasificēti vispārējās valdības sektorā, ES statistikas birojs </w:t>
      </w:r>
      <w:proofErr w:type="spellStart"/>
      <w:r w:rsidRPr="0037264A">
        <w:rPr>
          <w:rFonts w:ascii="Times New Roman" w:hAnsi="Times New Roman" w:cs="Times New Roman"/>
          <w:bCs/>
          <w:i/>
          <w:iCs/>
          <w:sz w:val="24"/>
          <w:szCs w:val="24"/>
        </w:rPr>
        <w:t>Eurostat</w:t>
      </w:r>
      <w:proofErr w:type="spellEnd"/>
      <w:r w:rsidRPr="0037264A">
        <w:rPr>
          <w:rFonts w:ascii="Times New Roman" w:hAnsi="Times New Roman" w:cs="Times New Roman"/>
          <w:bCs/>
          <w:sz w:val="24"/>
          <w:szCs w:val="24"/>
        </w:rPr>
        <w:t xml:space="preserve"> sadarbībā ar </w:t>
      </w:r>
      <w:r w:rsidR="00B46098">
        <w:rPr>
          <w:rFonts w:ascii="Times New Roman" w:eastAsiaTheme="minorHAnsi" w:hAnsi="Times New Roman" w:cs="Times New Roman"/>
          <w:sz w:val="24"/>
        </w:rPr>
        <w:t>CSP</w:t>
      </w:r>
      <w:r w:rsidR="00B46098" w:rsidRPr="0037264A">
        <w:rPr>
          <w:rFonts w:ascii="Times New Roman" w:hAnsi="Times New Roman" w:cs="Times New Roman"/>
          <w:bCs/>
          <w:sz w:val="24"/>
          <w:szCs w:val="24"/>
        </w:rPr>
        <w:t xml:space="preserve"> </w:t>
      </w:r>
      <w:r w:rsidR="00DC4D6C">
        <w:rPr>
          <w:rFonts w:ascii="Times New Roman" w:hAnsi="Times New Roman" w:cs="Times New Roman"/>
          <w:bCs/>
          <w:sz w:val="24"/>
          <w:szCs w:val="24"/>
        </w:rPr>
        <w:t>veic</w:t>
      </w:r>
      <w:r w:rsidRPr="0037264A">
        <w:rPr>
          <w:rFonts w:ascii="Times New Roman" w:hAnsi="Times New Roman" w:cs="Times New Roman"/>
          <w:bCs/>
          <w:sz w:val="24"/>
          <w:szCs w:val="24"/>
        </w:rPr>
        <w:t xml:space="preserve"> padziļinātu analīzi par </w:t>
      </w:r>
      <w:proofErr w:type="spellStart"/>
      <w:r w:rsidRPr="0037264A">
        <w:rPr>
          <w:rFonts w:ascii="Times New Roman" w:hAnsi="Times New Roman" w:cs="Times New Roman"/>
          <w:bCs/>
          <w:sz w:val="24"/>
          <w:szCs w:val="24"/>
        </w:rPr>
        <w:t>LDz</w:t>
      </w:r>
      <w:proofErr w:type="spellEnd"/>
      <w:r w:rsidR="00DC4D6C">
        <w:rPr>
          <w:rFonts w:ascii="Times New Roman" w:hAnsi="Times New Roman" w:cs="Times New Roman"/>
          <w:bCs/>
          <w:sz w:val="24"/>
          <w:szCs w:val="24"/>
        </w:rPr>
        <w:t xml:space="preserve">, lai </w:t>
      </w:r>
      <w:r w:rsidRPr="0037264A">
        <w:rPr>
          <w:rFonts w:ascii="Times New Roman" w:hAnsi="Times New Roman" w:cs="Times New Roman"/>
          <w:bCs/>
          <w:sz w:val="24"/>
          <w:szCs w:val="24"/>
        </w:rPr>
        <w:t>pārbaud</w:t>
      </w:r>
      <w:r w:rsidR="00DC4D6C">
        <w:rPr>
          <w:rFonts w:ascii="Times New Roman" w:hAnsi="Times New Roman" w:cs="Times New Roman"/>
          <w:bCs/>
          <w:sz w:val="24"/>
          <w:szCs w:val="24"/>
        </w:rPr>
        <w:t>ītu</w:t>
      </w:r>
      <w:r w:rsidRPr="0037264A">
        <w:rPr>
          <w:rFonts w:ascii="Times New Roman" w:hAnsi="Times New Roman" w:cs="Times New Roman"/>
          <w:bCs/>
          <w:sz w:val="24"/>
          <w:szCs w:val="24"/>
        </w:rPr>
        <w:t xml:space="preserve">, vai kapitālsabiedrības klasifikācija ārpus vispārējās valdības sektora ir korekta. Pamatojoties uz </w:t>
      </w:r>
      <w:proofErr w:type="spellStart"/>
      <w:r w:rsidRPr="0037264A">
        <w:rPr>
          <w:rFonts w:ascii="Times New Roman" w:hAnsi="Times New Roman" w:cs="Times New Roman"/>
          <w:bCs/>
          <w:i/>
          <w:iCs/>
          <w:sz w:val="24"/>
          <w:szCs w:val="24"/>
        </w:rPr>
        <w:t>Eurostat</w:t>
      </w:r>
      <w:proofErr w:type="spellEnd"/>
      <w:r w:rsidRPr="0037264A">
        <w:rPr>
          <w:rFonts w:ascii="Times New Roman" w:hAnsi="Times New Roman" w:cs="Times New Roman"/>
          <w:bCs/>
          <w:sz w:val="24"/>
          <w:szCs w:val="24"/>
        </w:rPr>
        <w:t xml:space="preserve"> metodoloģiju, kas nosaka šādu institūciju klasifikāciju vispārējās valdības sektorā, kā arī, ņemot vērā nozarē pastāvošās kravu apgrozījuma tendences, pastāv </w:t>
      </w:r>
      <w:r w:rsidR="007869F4">
        <w:rPr>
          <w:rFonts w:ascii="Times New Roman" w:hAnsi="Times New Roman" w:cs="Times New Roman"/>
          <w:bCs/>
          <w:sz w:val="24"/>
          <w:szCs w:val="24"/>
        </w:rPr>
        <w:t xml:space="preserve">būtisks </w:t>
      </w:r>
      <w:r w:rsidRPr="0037264A">
        <w:rPr>
          <w:rFonts w:ascii="Times New Roman" w:hAnsi="Times New Roman" w:cs="Times New Roman"/>
          <w:bCs/>
          <w:sz w:val="24"/>
          <w:szCs w:val="24"/>
        </w:rPr>
        <w:t xml:space="preserve">risks, ka </w:t>
      </w:r>
      <w:proofErr w:type="spellStart"/>
      <w:r w:rsidRPr="0037264A">
        <w:rPr>
          <w:rFonts w:ascii="Times New Roman" w:hAnsi="Times New Roman" w:cs="Times New Roman"/>
          <w:bCs/>
          <w:sz w:val="24"/>
          <w:szCs w:val="24"/>
        </w:rPr>
        <w:t>LDz</w:t>
      </w:r>
      <w:proofErr w:type="spellEnd"/>
      <w:r w:rsidRPr="0037264A">
        <w:rPr>
          <w:rFonts w:ascii="Times New Roman" w:hAnsi="Times New Roman" w:cs="Times New Roman"/>
          <w:bCs/>
          <w:sz w:val="24"/>
          <w:szCs w:val="24"/>
        </w:rPr>
        <w:t xml:space="preserve"> klasifikācija var tikt pārskatīta un uzņēmums var tikt klasificēts vispārējās valdības sektorā. </w:t>
      </w:r>
    </w:p>
    <w:p w14:paraId="5898B23B" w14:textId="2922BCF4" w:rsidR="006F3953" w:rsidRDefault="00D93E3A" w:rsidP="00EA5784">
      <w:pPr>
        <w:pStyle w:val="BodyText2"/>
        <w:tabs>
          <w:tab w:val="left" w:pos="709"/>
          <w:tab w:val="left" w:pos="1134"/>
        </w:tabs>
        <w:spacing w:after="0" w:line="240" w:lineRule="auto"/>
        <w:ind w:firstLine="709"/>
        <w:jc w:val="both"/>
        <w:rPr>
          <w:rFonts w:ascii="Times New Roman" w:hAnsi="Times New Roman" w:cs="Times New Roman"/>
          <w:bCs/>
          <w:sz w:val="24"/>
          <w:szCs w:val="24"/>
        </w:rPr>
      </w:pPr>
      <w:r w:rsidRPr="00F56613">
        <w:rPr>
          <w:rFonts w:ascii="Times New Roman" w:hAnsi="Times New Roman" w:cs="Times New Roman"/>
          <w:bCs/>
          <w:sz w:val="24"/>
          <w:szCs w:val="24"/>
        </w:rPr>
        <w:t>MK</w:t>
      </w:r>
      <w:r w:rsidR="00EA5784" w:rsidRPr="00F56613">
        <w:rPr>
          <w:rFonts w:ascii="Times New Roman" w:hAnsi="Times New Roman" w:cs="Times New Roman"/>
          <w:bCs/>
          <w:sz w:val="24"/>
          <w:szCs w:val="24"/>
        </w:rPr>
        <w:t xml:space="preserve"> 2021.gada 24.augustā</w:t>
      </w:r>
      <w:r w:rsidR="00EA5784" w:rsidRPr="00FA757E">
        <w:rPr>
          <w:rFonts w:ascii="Times New Roman" w:hAnsi="Times New Roman" w:cs="Times New Roman"/>
          <w:bCs/>
          <w:sz w:val="24"/>
          <w:szCs w:val="24"/>
        </w:rPr>
        <w:t xml:space="preserve"> izskatīja informatīvo ziņojumu “Fiskālo risku deklarācija” un pieņēma zināšanai tajā sniegto informāciju par fiskālo risku, kas saistīts a</w:t>
      </w:r>
      <w:r w:rsidR="00D46BA3" w:rsidRPr="00FA757E">
        <w:rPr>
          <w:rFonts w:ascii="Times New Roman" w:hAnsi="Times New Roman" w:cs="Times New Roman"/>
          <w:bCs/>
          <w:sz w:val="24"/>
          <w:szCs w:val="24"/>
        </w:rPr>
        <w:t xml:space="preserve">r </w:t>
      </w:r>
      <w:proofErr w:type="spellStart"/>
      <w:r w:rsidR="00EA5784" w:rsidRPr="00FA757E">
        <w:rPr>
          <w:rFonts w:ascii="Times New Roman" w:hAnsi="Times New Roman" w:cs="Times New Roman"/>
          <w:bCs/>
          <w:sz w:val="24"/>
          <w:szCs w:val="24"/>
        </w:rPr>
        <w:t>LDz</w:t>
      </w:r>
      <w:proofErr w:type="spellEnd"/>
      <w:r w:rsidR="00EA5784" w:rsidRPr="00FA757E">
        <w:rPr>
          <w:rFonts w:ascii="Times New Roman" w:hAnsi="Times New Roman" w:cs="Times New Roman"/>
          <w:bCs/>
          <w:sz w:val="24"/>
          <w:szCs w:val="24"/>
        </w:rPr>
        <w:t xml:space="preserve"> iespējamo </w:t>
      </w:r>
      <w:proofErr w:type="spellStart"/>
      <w:r w:rsidR="00EA5784" w:rsidRPr="00FA757E">
        <w:rPr>
          <w:rFonts w:ascii="Times New Roman" w:hAnsi="Times New Roman" w:cs="Times New Roman"/>
          <w:bCs/>
          <w:sz w:val="24"/>
          <w:szCs w:val="24"/>
        </w:rPr>
        <w:t>pārklasifikāciju</w:t>
      </w:r>
      <w:proofErr w:type="spellEnd"/>
      <w:r w:rsidR="00EA5784" w:rsidRPr="00FA757E">
        <w:rPr>
          <w:rFonts w:ascii="Times New Roman" w:hAnsi="Times New Roman" w:cs="Times New Roman"/>
          <w:bCs/>
          <w:sz w:val="24"/>
          <w:szCs w:val="24"/>
        </w:rPr>
        <w:t xml:space="preserve"> vispārējās valdības sektorā. Pamatojoties uz sniegto informāciju, </w:t>
      </w:r>
      <w:r w:rsidRPr="00FA757E">
        <w:rPr>
          <w:rFonts w:ascii="Times New Roman" w:hAnsi="Times New Roman" w:cs="Times New Roman"/>
          <w:bCs/>
          <w:sz w:val="24"/>
          <w:szCs w:val="24"/>
        </w:rPr>
        <w:t>MK</w:t>
      </w:r>
      <w:r w:rsidR="00EA5784" w:rsidRPr="00FA757E">
        <w:rPr>
          <w:rFonts w:ascii="Times New Roman" w:hAnsi="Times New Roman" w:cs="Times New Roman"/>
          <w:bCs/>
          <w:sz w:val="24"/>
          <w:szCs w:val="24"/>
        </w:rPr>
        <w:t xml:space="preserve"> noteica </w:t>
      </w:r>
      <w:proofErr w:type="spellStart"/>
      <w:r w:rsidR="00EA5784" w:rsidRPr="00FA757E">
        <w:rPr>
          <w:rFonts w:ascii="Times New Roman" w:hAnsi="Times New Roman" w:cs="Times New Roman"/>
          <w:bCs/>
          <w:sz w:val="24"/>
          <w:szCs w:val="24"/>
        </w:rPr>
        <w:t>LDz</w:t>
      </w:r>
      <w:proofErr w:type="spellEnd"/>
      <w:r w:rsidR="00EA5784" w:rsidRPr="00FA757E">
        <w:rPr>
          <w:rFonts w:ascii="Times New Roman" w:hAnsi="Times New Roman" w:cs="Times New Roman"/>
          <w:bCs/>
          <w:sz w:val="24"/>
          <w:szCs w:val="24"/>
        </w:rPr>
        <w:t xml:space="preserve"> pastiprinātu uzraudzību un uzdeva Satiksmes ministrijai saskaņā ar </w:t>
      </w:r>
      <w:r w:rsidR="009D4691" w:rsidRPr="00FA757E">
        <w:rPr>
          <w:rFonts w:ascii="Times New Roman" w:hAnsi="Times New Roman" w:cs="Times New Roman"/>
          <w:bCs/>
          <w:sz w:val="24"/>
          <w:szCs w:val="24"/>
        </w:rPr>
        <w:t>FM</w:t>
      </w:r>
      <w:r w:rsidR="00EA5784" w:rsidRPr="00FA757E">
        <w:rPr>
          <w:rFonts w:ascii="Times New Roman" w:hAnsi="Times New Roman" w:cs="Times New Roman"/>
          <w:bCs/>
          <w:sz w:val="24"/>
          <w:szCs w:val="24"/>
        </w:rPr>
        <w:t xml:space="preserve"> pieprasījumu noteiktajā termiņā un apjomā, kas nepieciešams EKS metodoloģijas institucionālo vienību klasificēšanas kritēriju novērtēšanai, sniegt nepieciešamo informāciju un veikt analītiskos aprēķinus </w:t>
      </w:r>
      <w:r w:rsidR="00EA5784" w:rsidRPr="006D39F0">
        <w:rPr>
          <w:rFonts w:ascii="Times New Roman" w:hAnsi="Times New Roman" w:cs="Times New Roman"/>
          <w:bCs/>
          <w:sz w:val="24"/>
          <w:szCs w:val="24"/>
        </w:rPr>
        <w:t>(</w:t>
      </w:r>
      <w:r w:rsidRPr="006D39F0">
        <w:rPr>
          <w:rFonts w:ascii="Times New Roman" w:hAnsi="Times New Roman" w:cs="Times New Roman"/>
          <w:bCs/>
          <w:sz w:val="24"/>
          <w:szCs w:val="24"/>
        </w:rPr>
        <w:t>MK</w:t>
      </w:r>
      <w:r w:rsidR="00EA5784" w:rsidRPr="006D39F0">
        <w:rPr>
          <w:rFonts w:ascii="Times New Roman" w:hAnsi="Times New Roman" w:cs="Times New Roman"/>
          <w:bCs/>
          <w:sz w:val="24"/>
          <w:szCs w:val="24"/>
        </w:rPr>
        <w:t xml:space="preserve"> 2021.gada 24.augusta sēdes </w:t>
      </w:r>
      <w:proofErr w:type="spellStart"/>
      <w:r w:rsidR="00EA5784" w:rsidRPr="006D39F0">
        <w:rPr>
          <w:rFonts w:ascii="Times New Roman" w:hAnsi="Times New Roman" w:cs="Times New Roman"/>
          <w:bCs/>
          <w:sz w:val="24"/>
          <w:szCs w:val="24"/>
        </w:rPr>
        <w:t>protokollēmuma</w:t>
      </w:r>
      <w:proofErr w:type="spellEnd"/>
      <w:r w:rsidR="00EA5784" w:rsidRPr="006D39F0">
        <w:rPr>
          <w:rFonts w:ascii="Times New Roman" w:hAnsi="Times New Roman" w:cs="Times New Roman"/>
          <w:bCs/>
          <w:sz w:val="24"/>
          <w:szCs w:val="24"/>
        </w:rPr>
        <w:t xml:space="preserve"> Nr.57 </w:t>
      </w:r>
      <w:bookmarkStart w:id="81" w:name="51"/>
      <w:r w:rsidR="00EA5784" w:rsidRPr="006D39F0">
        <w:rPr>
          <w:rFonts w:ascii="Times New Roman" w:hAnsi="Times New Roman" w:cs="Times New Roman"/>
          <w:bCs/>
          <w:sz w:val="24"/>
          <w:szCs w:val="24"/>
        </w:rPr>
        <w:t>51.§</w:t>
      </w:r>
      <w:bookmarkEnd w:id="81"/>
      <w:r w:rsidR="00EA5784" w:rsidRPr="006D39F0">
        <w:rPr>
          <w:rFonts w:ascii="Times New Roman" w:hAnsi="Times New Roman" w:cs="Times New Roman"/>
          <w:bCs/>
          <w:sz w:val="24"/>
          <w:szCs w:val="24"/>
        </w:rPr>
        <w:t xml:space="preserve"> 3.punkts).</w:t>
      </w:r>
      <w:r w:rsidR="00EA5784" w:rsidRPr="0058124B">
        <w:rPr>
          <w:rFonts w:ascii="Times New Roman" w:hAnsi="Times New Roman" w:cs="Times New Roman"/>
          <w:bCs/>
          <w:sz w:val="24"/>
          <w:szCs w:val="24"/>
        </w:rPr>
        <w:t xml:space="preserve"> </w:t>
      </w:r>
    </w:p>
    <w:p w14:paraId="5CDD3139" w14:textId="2FEE0A62" w:rsidR="00EA5784" w:rsidRPr="0058124B" w:rsidRDefault="00EA5784" w:rsidP="0058124B">
      <w:pPr>
        <w:pStyle w:val="BodyText2"/>
        <w:tabs>
          <w:tab w:val="left" w:pos="709"/>
          <w:tab w:val="left" w:pos="1134"/>
        </w:tabs>
        <w:spacing w:after="0" w:line="240" w:lineRule="auto"/>
        <w:ind w:firstLine="709"/>
        <w:jc w:val="both"/>
        <w:rPr>
          <w:rFonts w:ascii="Times New Roman" w:hAnsi="Times New Roman" w:cs="Times New Roman"/>
          <w:bCs/>
          <w:sz w:val="24"/>
          <w:szCs w:val="24"/>
        </w:rPr>
      </w:pPr>
      <w:r w:rsidRPr="00E843F0">
        <w:rPr>
          <w:rFonts w:ascii="Times New Roman" w:hAnsi="Times New Roman" w:cs="Times New Roman"/>
          <w:bCs/>
          <w:sz w:val="24"/>
          <w:szCs w:val="24"/>
        </w:rPr>
        <w:t xml:space="preserve">Sekojoši, pamatojoties uz </w:t>
      </w:r>
      <w:r w:rsidR="009D4691" w:rsidRPr="00E843F0">
        <w:rPr>
          <w:rFonts w:ascii="Times New Roman" w:hAnsi="Times New Roman" w:cs="Times New Roman"/>
          <w:bCs/>
          <w:sz w:val="24"/>
          <w:szCs w:val="24"/>
        </w:rPr>
        <w:t>FM</w:t>
      </w:r>
      <w:r w:rsidRPr="00E843F0">
        <w:rPr>
          <w:rFonts w:ascii="Times New Roman" w:hAnsi="Times New Roman" w:cs="Times New Roman"/>
          <w:bCs/>
          <w:sz w:val="24"/>
          <w:szCs w:val="24"/>
        </w:rPr>
        <w:t xml:space="preserve"> pieprasījumu sniegt novērtējumu </w:t>
      </w:r>
      <w:r w:rsidR="006334F6" w:rsidRPr="00E843F0">
        <w:rPr>
          <w:rFonts w:ascii="Times New Roman" w:hAnsi="Times New Roman" w:cs="Times New Roman"/>
          <w:bCs/>
          <w:sz w:val="24"/>
          <w:szCs w:val="24"/>
        </w:rPr>
        <w:t xml:space="preserve">par potenciālo ietekmi uz vispārējās valdības budžeta bilanci </w:t>
      </w:r>
      <w:proofErr w:type="spellStart"/>
      <w:r w:rsidR="006334F6" w:rsidRPr="00E843F0">
        <w:rPr>
          <w:rFonts w:ascii="Times New Roman" w:hAnsi="Times New Roman" w:cs="Times New Roman"/>
          <w:bCs/>
          <w:sz w:val="24"/>
          <w:szCs w:val="24"/>
        </w:rPr>
        <w:t>LDz</w:t>
      </w:r>
      <w:proofErr w:type="spellEnd"/>
      <w:r w:rsidR="006334F6" w:rsidRPr="00E843F0">
        <w:rPr>
          <w:rFonts w:ascii="Times New Roman" w:hAnsi="Times New Roman" w:cs="Times New Roman"/>
          <w:bCs/>
          <w:sz w:val="24"/>
          <w:szCs w:val="24"/>
        </w:rPr>
        <w:t xml:space="preserve"> </w:t>
      </w:r>
      <w:proofErr w:type="spellStart"/>
      <w:r w:rsidR="006334F6" w:rsidRPr="00E843F0">
        <w:rPr>
          <w:rFonts w:ascii="Times New Roman" w:hAnsi="Times New Roman" w:cs="Times New Roman"/>
          <w:bCs/>
          <w:sz w:val="24"/>
          <w:szCs w:val="24"/>
        </w:rPr>
        <w:t>pārklasifikācijas</w:t>
      </w:r>
      <w:proofErr w:type="spellEnd"/>
      <w:r w:rsidR="006334F6" w:rsidRPr="00E843F0">
        <w:rPr>
          <w:rFonts w:ascii="Times New Roman" w:hAnsi="Times New Roman" w:cs="Times New Roman"/>
          <w:bCs/>
          <w:sz w:val="24"/>
          <w:szCs w:val="24"/>
        </w:rPr>
        <w:t xml:space="preserve"> gadījumā, Satiksmes ministrija aplē</w:t>
      </w:r>
      <w:r w:rsidR="002C1561" w:rsidRPr="00E843F0">
        <w:rPr>
          <w:rFonts w:ascii="Times New Roman" w:hAnsi="Times New Roman" w:cs="Times New Roman"/>
          <w:bCs/>
          <w:sz w:val="24"/>
          <w:szCs w:val="24"/>
        </w:rPr>
        <w:t>sa</w:t>
      </w:r>
      <w:r w:rsidR="006334F6" w:rsidRPr="00E843F0">
        <w:rPr>
          <w:rFonts w:ascii="Times New Roman" w:hAnsi="Times New Roman" w:cs="Times New Roman"/>
          <w:bCs/>
          <w:sz w:val="24"/>
          <w:szCs w:val="24"/>
        </w:rPr>
        <w:t xml:space="preserve"> fiskālo ietekmi </w:t>
      </w:r>
      <w:r w:rsidR="0020068B" w:rsidRPr="00E843F0">
        <w:rPr>
          <w:rFonts w:ascii="Times New Roman" w:hAnsi="Times New Roman" w:cs="Times New Roman"/>
          <w:bCs/>
          <w:sz w:val="24"/>
          <w:szCs w:val="24"/>
        </w:rPr>
        <w:t>-0,287</w:t>
      </w:r>
      <w:r w:rsidR="007B04A8" w:rsidRPr="00E843F0">
        <w:rPr>
          <w:rFonts w:ascii="Times New Roman" w:hAnsi="Times New Roman" w:cs="Times New Roman"/>
          <w:bCs/>
          <w:sz w:val="24"/>
          <w:szCs w:val="24"/>
        </w:rPr>
        <w:t xml:space="preserve"> </w:t>
      </w:r>
      <w:r w:rsidR="006334F6" w:rsidRPr="00E843F0">
        <w:rPr>
          <w:rFonts w:ascii="Times New Roman" w:hAnsi="Times New Roman" w:cs="Times New Roman"/>
          <w:bCs/>
          <w:sz w:val="24"/>
          <w:szCs w:val="24"/>
        </w:rPr>
        <w:t xml:space="preserve">milj. </w:t>
      </w:r>
      <w:proofErr w:type="spellStart"/>
      <w:r w:rsidR="006334F6" w:rsidRPr="00E843F0">
        <w:rPr>
          <w:rFonts w:ascii="Times New Roman" w:hAnsi="Times New Roman" w:cs="Times New Roman"/>
          <w:bCs/>
          <w:i/>
          <w:iCs/>
          <w:sz w:val="24"/>
          <w:szCs w:val="24"/>
        </w:rPr>
        <w:t>euro</w:t>
      </w:r>
      <w:proofErr w:type="spellEnd"/>
      <w:r w:rsidR="006334F6" w:rsidRPr="00E843F0">
        <w:rPr>
          <w:rFonts w:ascii="Times New Roman" w:hAnsi="Times New Roman" w:cs="Times New Roman"/>
          <w:bCs/>
          <w:sz w:val="24"/>
          <w:szCs w:val="24"/>
        </w:rPr>
        <w:t xml:space="preserve"> 202</w:t>
      </w:r>
      <w:r w:rsidR="003A4642" w:rsidRPr="00E843F0">
        <w:rPr>
          <w:rFonts w:ascii="Times New Roman" w:hAnsi="Times New Roman" w:cs="Times New Roman"/>
          <w:bCs/>
          <w:sz w:val="24"/>
          <w:szCs w:val="24"/>
        </w:rPr>
        <w:t>4</w:t>
      </w:r>
      <w:r w:rsidR="006334F6" w:rsidRPr="00E843F0">
        <w:rPr>
          <w:rFonts w:ascii="Times New Roman" w:hAnsi="Times New Roman" w:cs="Times New Roman"/>
          <w:bCs/>
          <w:sz w:val="24"/>
          <w:szCs w:val="24"/>
        </w:rPr>
        <w:t>.gadam,</w:t>
      </w:r>
      <w:r w:rsidR="00067B45" w:rsidRPr="00E843F0">
        <w:rPr>
          <w:rFonts w:ascii="Times New Roman" w:hAnsi="Times New Roman" w:cs="Times New Roman"/>
          <w:bCs/>
          <w:sz w:val="24"/>
          <w:szCs w:val="24"/>
        </w:rPr>
        <w:t xml:space="preserve"> </w:t>
      </w:r>
      <w:r w:rsidR="0020068B" w:rsidRPr="00E843F0">
        <w:rPr>
          <w:rFonts w:ascii="Times New Roman" w:hAnsi="Times New Roman" w:cs="Times New Roman"/>
          <w:bCs/>
          <w:sz w:val="24"/>
          <w:szCs w:val="24"/>
        </w:rPr>
        <w:t xml:space="preserve">-28,491 </w:t>
      </w:r>
      <w:r w:rsidR="006334F6" w:rsidRPr="00E843F0">
        <w:rPr>
          <w:rFonts w:ascii="Times New Roman" w:hAnsi="Times New Roman" w:cs="Times New Roman"/>
          <w:bCs/>
          <w:sz w:val="24"/>
          <w:szCs w:val="24"/>
        </w:rPr>
        <w:t xml:space="preserve">milj. </w:t>
      </w:r>
      <w:proofErr w:type="spellStart"/>
      <w:r w:rsidR="006334F6" w:rsidRPr="00E843F0">
        <w:rPr>
          <w:rFonts w:ascii="Times New Roman" w:hAnsi="Times New Roman" w:cs="Times New Roman"/>
          <w:bCs/>
          <w:i/>
          <w:iCs/>
          <w:sz w:val="24"/>
          <w:szCs w:val="24"/>
        </w:rPr>
        <w:t>euro</w:t>
      </w:r>
      <w:proofErr w:type="spellEnd"/>
      <w:r w:rsidR="006334F6" w:rsidRPr="00E843F0">
        <w:rPr>
          <w:rFonts w:ascii="Times New Roman" w:hAnsi="Times New Roman" w:cs="Times New Roman"/>
          <w:bCs/>
          <w:i/>
          <w:iCs/>
          <w:sz w:val="24"/>
          <w:szCs w:val="24"/>
        </w:rPr>
        <w:t xml:space="preserve"> </w:t>
      </w:r>
      <w:r w:rsidR="006334F6" w:rsidRPr="00E843F0">
        <w:rPr>
          <w:rFonts w:ascii="Times New Roman" w:hAnsi="Times New Roman" w:cs="Times New Roman"/>
          <w:bCs/>
          <w:sz w:val="24"/>
          <w:szCs w:val="24"/>
        </w:rPr>
        <w:t>202</w:t>
      </w:r>
      <w:r w:rsidR="003A4642" w:rsidRPr="00E843F0">
        <w:rPr>
          <w:rFonts w:ascii="Times New Roman" w:hAnsi="Times New Roman" w:cs="Times New Roman"/>
          <w:bCs/>
          <w:sz w:val="24"/>
          <w:szCs w:val="24"/>
        </w:rPr>
        <w:t>5</w:t>
      </w:r>
      <w:r w:rsidR="006334F6" w:rsidRPr="00E843F0">
        <w:rPr>
          <w:rFonts w:ascii="Times New Roman" w:hAnsi="Times New Roman" w:cs="Times New Roman"/>
          <w:bCs/>
          <w:sz w:val="24"/>
          <w:szCs w:val="24"/>
        </w:rPr>
        <w:t>.gadam un</w:t>
      </w:r>
      <w:r w:rsidR="007B04A8" w:rsidRPr="00E843F0">
        <w:rPr>
          <w:rFonts w:ascii="Times New Roman" w:hAnsi="Times New Roman" w:cs="Times New Roman"/>
          <w:bCs/>
          <w:sz w:val="24"/>
          <w:szCs w:val="24"/>
        </w:rPr>
        <w:t xml:space="preserve"> </w:t>
      </w:r>
      <w:r w:rsidR="0020068B" w:rsidRPr="00E843F0">
        <w:rPr>
          <w:rFonts w:ascii="Times New Roman" w:hAnsi="Times New Roman" w:cs="Times New Roman"/>
          <w:bCs/>
          <w:sz w:val="24"/>
          <w:szCs w:val="24"/>
        </w:rPr>
        <w:t>-12,143</w:t>
      </w:r>
      <w:r w:rsidR="007B04A8" w:rsidRPr="00E843F0">
        <w:rPr>
          <w:rFonts w:ascii="Times New Roman" w:hAnsi="Times New Roman" w:cs="Times New Roman"/>
          <w:bCs/>
          <w:sz w:val="24"/>
          <w:szCs w:val="24"/>
        </w:rPr>
        <w:t xml:space="preserve"> </w:t>
      </w:r>
      <w:r w:rsidR="006334F6" w:rsidRPr="00E843F0">
        <w:rPr>
          <w:rFonts w:ascii="Times New Roman" w:hAnsi="Times New Roman" w:cs="Times New Roman"/>
          <w:bCs/>
          <w:sz w:val="24"/>
          <w:szCs w:val="24"/>
        </w:rPr>
        <w:t xml:space="preserve">milj. </w:t>
      </w:r>
      <w:proofErr w:type="spellStart"/>
      <w:r w:rsidR="006334F6" w:rsidRPr="00E843F0">
        <w:rPr>
          <w:rFonts w:ascii="Times New Roman" w:hAnsi="Times New Roman" w:cs="Times New Roman"/>
          <w:bCs/>
          <w:i/>
          <w:iCs/>
          <w:sz w:val="24"/>
          <w:szCs w:val="24"/>
        </w:rPr>
        <w:t>euro</w:t>
      </w:r>
      <w:proofErr w:type="spellEnd"/>
      <w:r w:rsidR="006334F6" w:rsidRPr="00E843F0">
        <w:rPr>
          <w:rFonts w:ascii="Times New Roman" w:hAnsi="Times New Roman" w:cs="Times New Roman"/>
          <w:bCs/>
          <w:i/>
          <w:iCs/>
          <w:sz w:val="24"/>
          <w:szCs w:val="24"/>
        </w:rPr>
        <w:t xml:space="preserve"> </w:t>
      </w:r>
      <w:r w:rsidR="006334F6" w:rsidRPr="00E843F0">
        <w:rPr>
          <w:rFonts w:ascii="Times New Roman" w:hAnsi="Times New Roman" w:cs="Times New Roman"/>
          <w:bCs/>
          <w:sz w:val="24"/>
          <w:szCs w:val="24"/>
        </w:rPr>
        <w:t>202</w:t>
      </w:r>
      <w:r w:rsidR="003A4642" w:rsidRPr="00E843F0">
        <w:rPr>
          <w:rFonts w:ascii="Times New Roman" w:hAnsi="Times New Roman" w:cs="Times New Roman"/>
          <w:bCs/>
          <w:sz w:val="24"/>
          <w:szCs w:val="24"/>
        </w:rPr>
        <w:t>6</w:t>
      </w:r>
      <w:r w:rsidR="006334F6" w:rsidRPr="00E843F0">
        <w:rPr>
          <w:rFonts w:ascii="Times New Roman" w:hAnsi="Times New Roman" w:cs="Times New Roman"/>
          <w:bCs/>
          <w:sz w:val="24"/>
          <w:szCs w:val="24"/>
        </w:rPr>
        <w:t>.gadam. Atbilstoši vērtējumam par fiskālā riska iestāšanās varbūtību, kas novērtēta ar 4 punktiem (koeficients 0,6)</w:t>
      </w:r>
      <w:r w:rsidR="000B4497" w:rsidRPr="00E843F0">
        <w:rPr>
          <w:rFonts w:ascii="Times New Roman" w:hAnsi="Times New Roman" w:cs="Times New Roman"/>
          <w:bCs/>
          <w:sz w:val="24"/>
          <w:szCs w:val="24"/>
        </w:rPr>
        <w:t xml:space="preserve">, fiskālā </w:t>
      </w:r>
      <w:r w:rsidR="006F3953" w:rsidRPr="00E843F0">
        <w:rPr>
          <w:rFonts w:ascii="Times New Roman" w:hAnsi="Times New Roman" w:cs="Times New Roman"/>
          <w:bCs/>
          <w:sz w:val="24"/>
          <w:szCs w:val="24"/>
        </w:rPr>
        <w:t>nodrošinājuma</w:t>
      </w:r>
      <w:r w:rsidR="000B4497" w:rsidRPr="00E843F0">
        <w:rPr>
          <w:rFonts w:ascii="Times New Roman" w:hAnsi="Times New Roman" w:cs="Times New Roman"/>
          <w:bCs/>
          <w:sz w:val="24"/>
          <w:szCs w:val="24"/>
        </w:rPr>
        <w:t xml:space="preserve"> rezerve dotajam riskam jāveido šādā apmēra:</w:t>
      </w:r>
      <w:r w:rsidR="007B04A8" w:rsidRPr="00E843F0">
        <w:rPr>
          <w:rFonts w:ascii="Times New Roman" w:hAnsi="Times New Roman" w:cs="Times New Roman"/>
          <w:bCs/>
          <w:sz w:val="24"/>
          <w:szCs w:val="24"/>
        </w:rPr>
        <w:t xml:space="preserve"> </w:t>
      </w:r>
      <w:bookmarkStart w:id="82" w:name="_Hlk141983450"/>
      <w:r w:rsidR="0020068B" w:rsidRPr="00E843F0">
        <w:rPr>
          <w:rFonts w:ascii="Times New Roman" w:hAnsi="Times New Roman" w:cs="Times New Roman"/>
          <w:bCs/>
          <w:sz w:val="24"/>
          <w:szCs w:val="24"/>
        </w:rPr>
        <w:t xml:space="preserve">0,172 </w:t>
      </w:r>
      <w:r w:rsidR="000B4497" w:rsidRPr="00E843F0">
        <w:rPr>
          <w:rFonts w:ascii="Times New Roman" w:hAnsi="Times New Roman" w:cs="Times New Roman"/>
          <w:bCs/>
          <w:sz w:val="24"/>
          <w:szCs w:val="24"/>
        </w:rPr>
        <w:t xml:space="preserve">milj. </w:t>
      </w:r>
      <w:proofErr w:type="spellStart"/>
      <w:r w:rsidR="000B4497" w:rsidRPr="00E843F0">
        <w:rPr>
          <w:rFonts w:ascii="Times New Roman" w:hAnsi="Times New Roman" w:cs="Times New Roman"/>
          <w:bCs/>
          <w:i/>
          <w:iCs/>
          <w:sz w:val="24"/>
          <w:szCs w:val="24"/>
        </w:rPr>
        <w:t>euro</w:t>
      </w:r>
      <w:proofErr w:type="spellEnd"/>
      <w:r w:rsidR="000B4497" w:rsidRPr="00E843F0">
        <w:rPr>
          <w:rFonts w:ascii="Times New Roman" w:hAnsi="Times New Roman" w:cs="Times New Roman"/>
          <w:bCs/>
          <w:sz w:val="24"/>
          <w:szCs w:val="24"/>
        </w:rPr>
        <w:t xml:space="preserve"> 202</w:t>
      </w:r>
      <w:r w:rsidR="00AA2A3D" w:rsidRPr="00E843F0">
        <w:rPr>
          <w:rFonts w:ascii="Times New Roman" w:hAnsi="Times New Roman" w:cs="Times New Roman"/>
          <w:bCs/>
          <w:sz w:val="24"/>
          <w:szCs w:val="24"/>
        </w:rPr>
        <w:t>4</w:t>
      </w:r>
      <w:r w:rsidR="000B4497" w:rsidRPr="00E843F0">
        <w:rPr>
          <w:rFonts w:ascii="Times New Roman" w:hAnsi="Times New Roman" w:cs="Times New Roman"/>
          <w:bCs/>
          <w:sz w:val="24"/>
          <w:szCs w:val="24"/>
        </w:rPr>
        <w:t xml:space="preserve">.gadam, </w:t>
      </w:r>
      <w:r w:rsidR="0020068B" w:rsidRPr="00E843F0">
        <w:rPr>
          <w:rFonts w:ascii="Times New Roman" w:hAnsi="Times New Roman" w:cs="Times New Roman"/>
          <w:bCs/>
          <w:sz w:val="24"/>
          <w:szCs w:val="24"/>
        </w:rPr>
        <w:t xml:space="preserve">17,095 milj. </w:t>
      </w:r>
      <w:proofErr w:type="spellStart"/>
      <w:r w:rsidR="000B4497" w:rsidRPr="00E843F0">
        <w:rPr>
          <w:rFonts w:ascii="Times New Roman" w:hAnsi="Times New Roman" w:cs="Times New Roman"/>
          <w:bCs/>
          <w:i/>
          <w:iCs/>
          <w:sz w:val="24"/>
          <w:szCs w:val="24"/>
        </w:rPr>
        <w:t>euro</w:t>
      </w:r>
      <w:proofErr w:type="spellEnd"/>
      <w:r w:rsidR="000B4497" w:rsidRPr="00E843F0">
        <w:rPr>
          <w:rFonts w:ascii="Times New Roman" w:hAnsi="Times New Roman" w:cs="Times New Roman"/>
          <w:bCs/>
          <w:sz w:val="24"/>
          <w:szCs w:val="24"/>
        </w:rPr>
        <w:t xml:space="preserve"> 202</w:t>
      </w:r>
      <w:r w:rsidR="00AA2A3D" w:rsidRPr="00E843F0">
        <w:rPr>
          <w:rFonts w:ascii="Times New Roman" w:hAnsi="Times New Roman" w:cs="Times New Roman"/>
          <w:bCs/>
          <w:sz w:val="24"/>
          <w:szCs w:val="24"/>
        </w:rPr>
        <w:t>5</w:t>
      </w:r>
      <w:r w:rsidR="000B4497" w:rsidRPr="00E843F0">
        <w:rPr>
          <w:rFonts w:ascii="Times New Roman" w:hAnsi="Times New Roman" w:cs="Times New Roman"/>
          <w:bCs/>
          <w:sz w:val="24"/>
          <w:szCs w:val="24"/>
        </w:rPr>
        <w:t xml:space="preserve">.gadam un </w:t>
      </w:r>
      <w:r w:rsidR="0020068B" w:rsidRPr="00E843F0">
        <w:rPr>
          <w:rFonts w:ascii="Times New Roman" w:hAnsi="Times New Roman" w:cs="Times New Roman"/>
          <w:bCs/>
          <w:sz w:val="24"/>
          <w:szCs w:val="24"/>
        </w:rPr>
        <w:t>7,286</w:t>
      </w:r>
      <w:r w:rsidR="007B04A8" w:rsidRPr="00E843F0">
        <w:rPr>
          <w:rFonts w:ascii="Times New Roman" w:hAnsi="Times New Roman" w:cs="Times New Roman"/>
          <w:bCs/>
          <w:sz w:val="24"/>
          <w:szCs w:val="24"/>
        </w:rPr>
        <w:t xml:space="preserve"> </w:t>
      </w:r>
      <w:r w:rsidR="000B4497" w:rsidRPr="00E843F0">
        <w:rPr>
          <w:rFonts w:ascii="Times New Roman" w:hAnsi="Times New Roman" w:cs="Times New Roman"/>
          <w:bCs/>
          <w:sz w:val="24"/>
          <w:szCs w:val="24"/>
        </w:rPr>
        <w:t xml:space="preserve">milj. </w:t>
      </w:r>
      <w:proofErr w:type="spellStart"/>
      <w:r w:rsidR="000B4497" w:rsidRPr="00E843F0">
        <w:rPr>
          <w:rFonts w:ascii="Times New Roman" w:hAnsi="Times New Roman" w:cs="Times New Roman"/>
          <w:bCs/>
          <w:i/>
          <w:iCs/>
          <w:sz w:val="24"/>
          <w:szCs w:val="24"/>
        </w:rPr>
        <w:t>euro</w:t>
      </w:r>
      <w:proofErr w:type="spellEnd"/>
      <w:r w:rsidR="00911CF6" w:rsidRPr="00E843F0">
        <w:rPr>
          <w:rFonts w:ascii="Times New Roman" w:hAnsi="Times New Roman" w:cs="Times New Roman"/>
          <w:bCs/>
          <w:sz w:val="24"/>
          <w:szCs w:val="24"/>
        </w:rPr>
        <w:t xml:space="preserve"> 202</w:t>
      </w:r>
      <w:r w:rsidR="00AA2A3D" w:rsidRPr="00E843F0">
        <w:rPr>
          <w:rFonts w:ascii="Times New Roman" w:hAnsi="Times New Roman" w:cs="Times New Roman"/>
          <w:bCs/>
          <w:sz w:val="24"/>
          <w:szCs w:val="24"/>
        </w:rPr>
        <w:t>6</w:t>
      </w:r>
      <w:r w:rsidR="00911CF6" w:rsidRPr="00E843F0">
        <w:rPr>
          <w:rFonts w:ascii="Times New Roman" w:hAnsi="Times New Roman" w:cs="Times New Roman"/>
          <w:bCs/>
          <w:sz w:val="24"/>
          <w:szCs w:val="24"/>
        </w:rPr>
        <w:t>. gadam</w:t>
      </w:r>
      <w:r w:rsidR="000B4497" w:rsidRPr="00E843F0">
        <w:rPr>
          <w:rFonts w:ascii="Times New Roman" w:hAnsi="Times New Roman" w:cs="Times New Roman"/>
          <w:bCs/>
          <w:i/>
          <w:iCs/>
          <w:sz w:val="24"/>
          <w:szCs w:val="24"/>
        </w:rPr>
        <w:t>.</w:t>
      </w:r>
    </w:p>
    <w:bookmarkEnd w:id="82"/>
    <w:p w14:paraId="27474DF2" w14:textId="77777777" w:rsidR="00EA5784" w:rsidRDefault="00EA5784" w:rsidP="0058124B">
      <w:pPr>
        <w:pStyle w:val="BodyText2"/>
        <w:tabs>
          <w:tab w:val="left" w:pos="709"/>
          <w:tab w:val="left" w:pos="1134"/>
        </w:tabs>
        <w:spacing w:after="0" w:line="240" w:lineRule="auto"/>
        <w:ind w:firstLine="709"/>
        <w:jc w:val="both"/>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9628"/>
      </w:tblGrid>
      <w:tr w:rsidR="005B7184" w14:paraId="6C0A4E5F" w14:textId="77777777" w:rsidTr="006D6BF4">
        <w:tc>
          <w:tcPr>
            <w:tcW w:w="9628" w:type="dxa"/>
            <w:tcBorders>
              <w:bottom w:val="single" w:sz="4" w:space="0" w:color="auto"/>
            </w:tcBorders>
            <w:shd w:val="clear" w:color="auto" w:fill="DEEAF6" w:themeFill="accent1" w:themeFillTint="33"/>
          </w:tcPr>
          <w:p w14:paraId="0B876DE2" w14:textId="77777777" w:rsidR="005B7184" w:rsidRPr="00C47A7A" w:rsidRDefault="005B7184" w:rsidP="00497710">
            <w:pPr>
              <w:spacing w:before="120"/>
              <w:jc w:val="center"/>
              <w:rPr>
                <w:rFonts w:cs="Times New Roman"/>
              </w:rPr>
            </w:pPr>
            <w:bookmarkStart w:id="83" w:name="_Toc47532075"/>
            <w:bookmarkStart w:id="84" w:name="_Hlk140573000"/>
            <w:r w:rsidRPr="00C47A7A">
              <w:rPr>
                <w:rFonts w:eastAsiaTheme="minorEastAsia" w:cs="Times New Roman"/>
                <w:b/>
              </w:rPr>
              <w:t xml:space="preserve">Attīstības finanšu institūcija </w:t>
            </w:r>
            <w:proofErr w:type="spellStart"/>
            <w:r w:rsidRPr="00C47A7A">
              <w:rPr>
                <w:rFonts w:eastAsiaTheme="minorEastAsia" w:cs="Times New Roman"/>
                <w:b/>
              </w:rPr>
              <w:t>Altum</w:t>
            </w:r>
            <w:bookmarkEnd w:id="83"/>
            <w:proofErr w:type="spellEnd"/>
          </w:p>
          <w:p w14:paraId="10BA13FA" w14:textId="77777777" w:rsidR="001D0D36" w:rsidRPr="00F56613" w:rsidRDefault="001D0D36" w:rsidP="00A01E7A">
            <w:pPr>
              <w:pStyle w:val="ListParagraph"/>
              <w:ind w:left="4430"/>
              <w:rPr>
                <w:rFonts w:ascii="Times New Roman" w:hAnsi="Times New Roman"/>
                <w:sz w:val="14"/>
                <w:szCs w:val="14"/>
                <w:highlight w:val="yellow"/>
              </w:rPr>
            </w:pPr>
          </w:p>
          <w:p w14:paraId="3E16DBD2" w14:textId="2A3B358F" w:rsidR="005B7184" w:rsidRDefault="005B7184" w:rsidP="00A01E7A">
            <w:pPr>
              <w:ind w:firstLine="720"/>
              <w:jc w:val="both"/>
              <w:rPr>
                <w:rFonts w:cs="Times New Roman"/>
              </w:rPr>
            </w:pPr>
            <w:r>
              <w:rPr>
                <w:rFonts w:cs="Times New Roman"/>
              </w:rPr>
              <w:t xml:space="preserve">Deklarācijas ietvaros, kā īpašu sabiedrību, kas klasificēta vispārējās valdības sektorā, ir jāizdala </w:t>
            </w:r>
            <w:r w:rsidR="009F3E79">
              <w:rPr>
                <w:rFonts w:cs="Times New Roman"/>
              </w:rPr>
              <w:t>a</w:t>
            </w:r>
            <w:r w:rsidR="009F3E79" w:rsidRPr="0058124B">
              <w:rPr>
                <w:color w:val="000000"/>
                <w:szCs w:val="24"/>
              </w:rPr>
              <w:t xml:space="preserve">kciju sabiedrība </w:t>
            </w:r>
            <w:r w:rsidR="00D3581E" w:rsidRPr="002F357F">
              <w:rPr>
                <w:color w:val="000000"/>
                <w:szCs w:val="24"/>
              </w:rPr>
              <w:t xml:space="preserve">“Attīstības finanšu institūcija </w:t>
            </w:r>
            <w:proofErr w:type="spellStart"/>
            <w:r w:rsidR="00D3581E" w:rsidRPr="002F357F">
              <w:rPr>
                <w:color w:val="000000"/>
                <w:szCs w:val="24"/>
              </w:rPr>
              <w:t>Altum</w:t>
            </w:r>
            <w:proofErr w:type="spellEnd"/>
            <w:r w:rsidR="00D3581E" w:rsidRPr="002F357F">
              <w:rPr>
                <w:color w:val="000000"/>
                <w:szCs w:val="24"/>
              </w:rPr>
              <w:t>”</w:t>
            </w:r>
            <w:r w:rsidR="00D3581E">
              <w:rPr>
                <w:color w:val="000000"/>
                <w:szCs w:val="24"/>
              </w:rPr>
              <w:t xml:space="preserve"> (turpmāk </w:t>
            </w:r>
            <w:proofErr w:type="spellStart"/>
            <w:r w:rsidR="00B6062F">
              <w:rPr>
                <w:rFonts w:cs="Times New Roman"/>
              </w:rPr>
              <w:t>Altum</w:t>
            </w:r>
            <w:proofErr w:type="spellEnd"/>
            <w:r w:rsidR="00D3581E">
              <w:rPr>
                <w:rFonts w:cs="Times New Roman"/>
              </w:rPr>
              <w:t>)</w:t>
            </w:r>
            <w:r>
              <w:rPr>
                <w:rFonts w:cs="Times New Roman"/>
              </w:rPr>
              <w:t xml:space="preserve">, jo tajā tiek koncentrēti paaugstināti finanšu riski, lai </w:t>
            </w:r>
            <w:r w:rsidRPr="00C974D7">
              <w:rPr>
                <w:rFonts w:cs="Times New Roman"/>
              </w:rPr>
              <w:t xml:space="preserve">vienuviet </w:t>
            </w:r>
            <w:r>
              <w:rPr>
                <w:rFonts w:cs="Times New Roman"/>
              </w:rPr>
              <w:t xml:space="preserve">efektīvi izmantotu </w:t>
            </w:r>
            <w:r w:rsidRPr="00C974D7">
              <w:rPr>
                <w:rFonts w:cs="Times New Roman"/>
              </w:rPr>
              <w:t>ierobežotos valsts resursus finanšu instrumentu valsts atbalsta un attīstības programmu īstenošanai</w:t>
            </w:r>
            <w:r>
              <w:rPr>
                <w:rFonts w:cs="Times New Roman"/>
              </w:rPr>
              <w:t>.</w:t>
            </w:r>
          </w:p>
          <w:p w14:paraId="0DFBDD63" w14:textId="589BD153" w:rsidR="005B7184" w:rsidRDefault="005B7184" w:rsidP="00A01E7A">
            <w:pPr>
              <w:ind w:firstLine="720"/>
              <w:jc w:val="both"/>
              <w:rPr>
                <w:rFonts w:cs="Times New Roman"/>
              </w:rPr>
            </w:pPr>
            <w:proofErr w:type="spellStart"/>
            <w:r w:rsidRPr="00064769">
              <w:rPr>
                <w:rFonts w:cs="Times New Roman"/>
              </w:rPr>
              <w:t>A</w:t>
            </w:r>
            <w:r>
              <w:rPr>
                <w:rFonts w:cs="Times New Roman"/>
              </w:rPr>
              <w:t>ltum</w:t>
            </w:r>
            <w:proofErr w:type="spellEnd"/>
            <w:r>
              <w:rPr>
                <w:rStyle w:val="FootnoteReference"/>
                <w:rFonts w:cs="Times New Roman"/>
              </w:rPr>
              <w:footnoteReference w:id="17"/>
            </w:r>
            <w:r>
              <w:rPr>
                <w:rFonts w:cs="Times New Roman"/>
              </w:rPr>
              <w:t xml:space="preserve"> dibināta 2013.gada 27.decembrī un </w:t>
            </w:r>
            <w:r w:rsidRPr="00064769">
              <w:rPr>
                <w:rFonts w:cs="Times New Roman"/>
              </w:rPr>
              <w:t xml:space="preserve">kā valsts kapitālsabiedrība fokusējas uz uzņēmējdarbības atbalstu ar finanšu instrumentu palīdzību. </w:t>
            </w:r>
            <w:proofErr w:type="spellStart"/>
            <w:r w:rsidRPr="00064769">
              <w:rPr>
                <w:rFonts w:cs="Times New Roman"/>
              </w:rPr>
              <w:t>A</w:t>
            </w:r>
            <w:r>
              <w:rPr>
                <w:rFonts w:cs="Times New Roman"/>
              </w:rPr>
              <w:t>ltum</w:t>
            </w:r>
            <w:proofErr w:type="spellEnd"/>
            <w:r w:rsidRPr="00064769">
              <w:rPr>
                <w:rFonts w:cs="Times New Roman"/>
              </w:rPr>
              <w:t xml:space="preserve"> ir </w:t>
            </w:r>
            <w:r w:rsidRPr="00146C29">
              <w:rPr>
                <w:rFonts w:cs="Times New Roman"/>
              </w:rPr>
              <w:t>vienota valsts mēroga</w:t>
            </w:r>
            <w:r w:rsidRPr="00064769">
              <w:rPr>
                <w:rFonts w:cs="Times New Roman"/>
              </w:rPr>
              <w:t xml:space="preserve"> </w:t>
            </w:r>
            <w:r w:rsidRPr="00064769">
              <w:rPr>
                <w:rFonts w:cs="Times New Roman"/>
              </w:rPr>
              <w:lastRenderedPageBreak/>
              <w:t>attīstības finanšu institūcija, kas ar finanšu instrumentiem (aizdevumiem, garantijām, ieguldījumiem riska kapitāla fondos u.c.) nodrošina finansējumu jomās, kuras valsts ir izvirzījusi kā svarīgas un atbalstāmas, un kurās pietiekamā apjomā nav pieejams kredītiestāžu finansējums. Programmu īstenošanai tiek izmantots Latvijas un ES fondu finansējums.</w:t>
            </w:r>
          </w:p>
          <w:p w14:paraId="02DD8DF7" w14:textId="05D3B2CD" w:rsidR="00E813BA" w:rsidRDefault="00E813BA" w:rsidP="00E813BA">
            <w:pPr>
              <w:jc w:val="both"/>
              <w:rPr>
                <w:rFonts w:cs="Times New Roman"/>
              </w:rPr>
            </w:pPr>
          </w:p>
          <w:p w14:paraId="58ABFE40" w14:textId="423618FE" w:rsidR="005B7184" w:rsidRPr="004172F5" w:rsidRDefault="005B7184" w:rsidP="005F74D8">
            <w:pPr>
              <w:autoSpaceDE w:val="0"/>
              <w:autoSpaceDN w:val="0"/>
              <w:adjustRightInd w:val="0"/>
              <w:spacing w:after="160"/>
              <w:jc w:val="right"/>
              <w:rPr>
                <w:rFonts w:cs="Times New Roman"/>
                <w:color w:val="000000"/>
                <w:szCs w:val="24"/>
              </w:rPr>
            </w:pPr>
            <w:r w:rsidRPr="004172F5">
              <w:rPr>
                <w:rFonts w:cs="Times New Roman"/>
                <w:b/>
                <w:color w:val="000000"/>
                <w:szCs w:val="20"/>
              </w:rPr>
              <w:t>Tabula Nr.</w:t>
            </w:r>
            <w:r w:rsidR="000C19C5">
              <w:rPr>
                <w:rFonts w:cs="Times New Roman"/>
                <w:b/>
                <w:color w:val="000000"/>
                <w:szCs w:val="20"/>
              </w:rPr>
              <w:t>2.</w:t>
            </w:r>
            <w:r w:rsidR="006F7C57">
              <w:rPr>
                <w:rFonts w:cs="Times New Roman"/>
                <w:b/>
                <w:color w:val="000000"/>
                <w:szCs w:val="20"/>
              </w:rPr>
              <w:t>10</w:t>
            </w:r>
            <w:r w:rsidR="000C19C5">
              <w:rPr>
                <w:rFonts w:cs="Times New Roman"/>
                <w:b/>
                <w:color w:val="000000"/>
                <w:szCs w:val="20"/>
              </w:rPr>
              <w:t>.1</w:t>
            </w:r>
            <w:r w:rsidRPr="004172F5">
              <w:rPr>
                <w:rFonts w:cs="Times New Roman"/>
                <w:b/>
                <w:color w:val="000000"/>
                <w:szCs w:val="20"/>
              </w:rPr>
              <w:t xml:space="preserve"> </w:t>
            </w:r>
            <w:proofErr w:type="spellStart"/>
            <w:r>
              <w:rPr>
                <w:rFonts w:cs="Times New Roman"/>
                <w:b/>
                <w:color w:val="000000"/>
                <w:szCs w:val="20"/>
              </w:rPr>
              <w:t>Altum</w:t>
            </w:r>
            <w:proofErr w:type="spellEnd"/>
            <w:r>
              <w:rPr>
                <w:rFonts w:cs="Times New Roman"/>
                <w:b/>
                <w:color w:val="000000"/>
                <w:szCs w:val="20"/>
              </w:rPr>
              <w:t xml:space="preserve"> plānotā un faktiskā ietekme uz vispārējās valdības budžeta bilanci</w:t>
            </w:r>
            <w:r w:rsidR="00FD33F0">
              <w:rPr>
                <w:rFonts w:cs="Times New Roman"/>
                <w:b/>
                <w:color w:val="000000"/>
                <w:szCs w:val="20"/>
              </w:rPr>
              <w:t>,</w:t>
            </w:r>
            <w:r>
              <w:rPr>
                <w:rFonts w:cs="Times New Roman"/>
                <w:b/>
                <w:color w:val="000000"/>
                <w:szCs w:val="20"/>
              </w:rPr>
              <w:t xml:space="preserve"> </w:t>
            </w:r>
            <w:r w:rsidRPr="004172F5">
              <w:rPr>
                <w:rFonts w:cs="Times New Roman"/>
                <w:b/>
                <w:color w:val="000000"/>
                <w:szCs w:val="20"/>
              </w:rPr>
              <w:t xml:space="preserve">milj. </w:t>
            </w:r>
            <w:proofErr w:type="spellStart"/>
            <w:r w:rsidRPr="004172F5">
              <w:rPr>
                <w:rFonts w:cs="Times New Roman"/>
                <w:b/>
                <w:i/>
                <w:color w:val="000000"/>
                <w:szCs w:val="20"/>
              </w:rPr>
              <w:t>euro</w:t>
            </w:r>
            <w:proofErr w:type="spellEnd"/>
            <w:r w:rsidRPr="004172F5">
              <w:rPr>
                <w:rFonts w:cs="Times New Roman"/>
                <w:b/>
                <w:color w:val="000000"/>
                <w:szCs w:val="20"/>
              </w:rPr>
              <w:t xml:space="preserve"> </w:t>
            </w:r>
          </w:p>
          <w:tbl>
            <w:tblPr>
              <w:tblStyle w:val="GridTable6Colorful-Accent11"/>
              <w:tblW w:w="9034" w:type="dxa"/>
              <w:jc w:val="center"/>
              <w:tblLook w:val="04A0" w:firstRow="1" w:lastRow="0" w:firstColumn="1" w:lastColumn="0" w:noHBand="0" w:noVBand="1"/>
            </w:tblPr>
            <w:tblGrid>
              <w:gridCol w:w="2108"/>
              <w:gridCol w:w="774"/>
              <w:gridCol w:w="1015"/>
              <w:gridCol w:w="1015"/>
              <w:gridCol w:w="1016"/>
              <w:gridCol w:w="1015"/>
              <w:gridCol w:w="1097"/>
              <w:gridCol w:w="994"/>
            </w:tblGrid>
            <w:tr w:rsidR="00497710" w14:paraId="5412690B" w14:textId="77777777" w:rsidTr="00497710">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59" w:type="dxa"/>
                  <w:tcBorders>
                    <w:top w:val="single" w:sz="12" w:space="0" w:color="5B9BD5" w:themeColor="accent1"/>
                    <w:left w:val="single" w:sz="12" w:space="0" w:color="5B9BD5" w:themeColor="accent1"/>
                    <w:right w:val="single" w:sz="12" w:space="0" w:color="5B9BD5" w:themeColor="accent1"/>
                  </w:tcBorders>
                  <w:vAlign w:val="center"/>
                </w:tcPr>
                <w:p w14:paraId="3EAABC77" w14:textId="77777777" w:rsidR="002B08D7" w:rsidRPr="004172F5" w:rsidRDefault="002B08D7" w:rsidP="002B08D7">
                  <w:pPr>
                    <w:jc w:val="right"/>
                    <w:rPr>
                      <w:b w:val="0"/>
                      <w:color w:val="auto"/>
                      <w:sz w:val="22"/>
                    </w:rPr>
                  </w:pPr>
                </w:p>
              </w:tc>
              <w:tc>
                <w:tcPr>
                  <w:tcW w:w="0" w:type="dxa"/>
                  <w:tcBorders>
                    <w:top w:val="single" w:sz="12" w:space="0" w:color="5B9BD5" w:themeColor="accent1"/>
                    <w:left w:val="single" w:sz="12" w:space="0" w:color="5B9BD5" w:themeColor="accent1"/>
                    <w:right w:val="single" w:sz="12" w:space="0" w:color="5B9BD5" w:themeColor="accent1"/>
                  </w:tcBorders>
                  <w:vAlign w:val="center"/>
                </w:tcPr>
                <w:p w14:paraId="370CF886"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4E3E0C">
                    <w:rPr>
                      <w:rFonts w:eastAsia="Times New Roman" w:cs="Times New Roman"/>
                      <w:color w:val="auto"/>
                      <w:sz w:val="22"/>
                      <w:lang w:eastAsia="lv-LV"/>
                    </w:rPr>
                    <w:t>2016</w:t>
                  </w:r>
                </w:p>
              </w:tc>
              <w:tc>
                <w:tcPr>
                  <w:tcW w:w="992" w:type="dxa"/>
                  <w:tcBorders>
                    <w:top w:val="single" w:sz="12" w:space="0" w:color="5B9BD5" w:themeColor="accent1"/>
                    <w:left w:val="single" w:sz="12" w:space="0" w:color="5B9BD5" w:themeColor="accent1"/>
                    <w:right w:val="single" w:sz="12" w:space="0" w:color="5B9BD5" w:themeColor="accent1"/>
                  </w:tcBorders>
                  <w:vAlign w:val="center"/>
                </w:tcPr>
                <w:p w14:paraId="07A6F79D"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4E3E0C">
                    <w:rPr>
                      <w:rFonts w:eastAsia="Times New Roman" w:cs="Times New Roman"/>
                      <w:color w:val="auto"/>
                      <w:sz w:val="22"/>
                      <w:lang w:eastAsia="lv-LV"/>
                    </w:rPr>
                    <w:t>2017</w:t>
                  </w:r>
                </w:p>
              </w:tc>
              <w:tc>
                <w:tcPr>
                  <w:tcW w:w="992" w:type="dxa"/>
                  <w:tcBorders>
                    <w:top w:val="single" w:sz="12" w:space="0" w:color="5B9BD5" w:themeColor="accent1"/>
                    <w:left w:val="single" w:sz="12" w:space="0" w:color="5B9BD5" w:themeColor="accent1"/>
                    <w:right w:val="single" w:sz="12" w:space="0" w:color="5B9BD5" w:themeColor="accent1"/>
                  </w:tcBorders>
                  <w:vAlign w:val="center"/>
                </w:tcPr>
                <w:p w14:paraId="2B75E7BA"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lv-LV"/>
                    </w:rPr>
                  </w:pPr>
                  <w:r w:rsidRPr="004E3E0C">
                    <w:rPr>
                      <w:rFonts w:eastAsia="Times New Roman" w:cs="Times New Roman"/>
                      <w:color w:val="auto"/>
                      <w:sz w:val="22"/>
                      <w:lang w:eastAsia="lv-LV"/>
                    </w:rPr>
                    <w:t>2018</w:t>
                  </w:r>
                </w:p>
              </w:tc>
              <w:tc>
                <w:tcPr>
                  <w:tcW w:w="993" w:type="dxa"/>
                  <w:tcBorders>
                    <w:top w:val="single" w:sz="12" w:space="0" w:color="5B9BD5" w:themeColor="accent1"/>
                    <w:left w:val="single" w:sz="12" w:space="0" w:color="5B9BD5" w:themeColor="accent1"/>
                    <w:right w:val="single" w:sz="12" w:space="0" w:color="5B9BD5" w:themeColor="accent1"/>
                  </w:tcBorders>
                  <w:vAlign w:val="center"/>
                </w:tcPr>
                <w:p w14:paraId="65478C0E"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2019</w:t>
                  </w:r>
                </w:p>
              </w:tc>
              <w:tc>
                <w:tcPr>
                  <w:tcW w:w="992" w:type="dxa"/>
                  <w:tcBorders>
                    <w:top w:val="single" w:sz="12" w:space="0" w:color="5B9BD5" w:themeColor="accent1"/>
                    <w:left w:val="single" w:sz="12" w:space="0" w:color="5B9BD5" w:themeColor="accent1"/>
                    <w:right w:val="single" w:sz="12" w:space="0" w:color="5B9BD5" w:themeColor="accent1"/>
                  </w:tcBorders>
                </w:tcPr>
                <w:p w14:paraId="04D4EBDA" w14:textId="77777777" w:rsidR="002B08D7" w:rsidRPr="00497710"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2020</w:t>
                  </w:r>
                </w:p>
              </w:tc>
              <w:tc>
                <w:tcPr>
                  <w:tcW w:w="1072" w:type="dxa"/>
                  <w:tcBorders>
                    <w:top w:val="single" w:sz="12" w:space="0" w:color="5B9BD5" w:themeColor="accent1"/>
                    <w:left w:val="single" w:sz="12" w:space="0" w:color="5B9BD5" w:themeColor="accent1"/>
                    <w:right w:val="single" w:sz="12" w:space="0" w:color="5B9BD5" w:themeColor="accent1"/>
                  </w:tcBorders>
                </w:tcPr>
                <w:p w14:paraId="7768B9D9" w14:textId="77777777" w:rsidR="002B08D7" w:rsidRPr="00497710"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2021</w:t>
                  </w:r>
                </w:p>
              </w:tc>
              <w:tc>
                <w:tcPr>
                  <w:tcW w:w="971" w:type="dxa"/>
                  <w:tcBorders>
                    <w:top w:val="single" w:sz="12" w:space="0" w:color="5B9BD5" w:themeColor="accent1"/>
                    <w:left w:val="single" w:sz="12" w:space="0" w:color="5B9BD5" w:themeColor="accent1"/>
                    <w:right w:val="single" w:sz="12" w:space="0" w:color="5B9BD5" w:themeColor="accent1"/>
                  </w:tcBorders>
                </w:tcPr>
                <w:p w14:paraId="07AEA7C1" w14:textId="77777777" w:rsidR="002B08D7" w:rsidRPr="00497710"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2022</w:t>
                  </w:r>
                </w:p>
              </w:tc>
            </w:tr>
            <w:tr w:rsidR="004E3E0C" w14:paraId="18E114FB" w14:textId="77777777" w:rsidTr="0049771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59"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tcPr>
                <w:p w14:paraId="3BFA357D" w14:textId="77777777" w:rsidR="002B08D7" w:rsidRPr="004172F5" w:rsidRDefault="002B08D7" w:rsidP="002B08D7">
                  <w:pPr>
                    <w:jc w:val="right"/>
                    <w:rPr>
                      <w:rFonts w:eastAsia="Times New Roman" w:cs="Times New Roman"/>
                      <w:b w:val="0"/>
                      <w:bCs w:val="0"/>
                      <w:sz w:val="22"/>
                      <w:lang w:eastAsia="lv-LV"/>
                    </w:rPr>
                  </w:pPr>
                  <w:proofErr w:type="spellStart"/>
                  <w:r>
                    <w:rPr>
                      <w:rFonts w:eastAsia="Times New Roman" w:cs="Times New Roman"/>
                      <w:b w:val="0"/>
                      <w:bCs w:val="0"/>
                      <w:color w:val="auto"/>
                      <w:sz w:val="22"/>
                      <w:lang w:eastAsia="lv-LV"/>
                    </w:rPr>
                    <w:t>Altum</w:t>
                  </w:r>
                  <w:proofErr w:type="spellEnd"/>
                  <w:r>
                    <w:rPr>
                      <w:rFonts w:eastAsia="Times New Roman" w:cs="Times New Roman"/>
                      <w:b w:val="0"/>
                      <w:bCs w:val="0"/>
                      <w:color w:val="auto"/>
                      <w:sz w:val="22"/>
                      <w:lang w:eastAsia="lv-LV"/>
                    </w:rPr>
                    <w:t xml:space="preserve"> ietekme</w:t>
                  </w:r>
                  <w:r w:rsidRPr="004172F5">
                    <w:rPr>
                      <w:rFonts w:eastAsia="Times New Roman" w:cs="Times New Roman"/>
                      <w:b w:val="0"/>
                      <w:bCs w:val="0"/>
                      <w:color w:val="auto"/>
                      <w:sz w:val="22"/>
                      <w:lang w:eastAsia="lv-LV"/>
                    </w:rPr>
                    <w:t xml:space="preserve"> (</w:t>
                  </w:r>
                  <w:r>
                    <w:rPr>
                      <w:rFonts w:eastAsia="Times New Roman" w:cs="Times New Roman"/>
                      <w:b w:val="0"/>
                      <w:bCs w:val="0"/>
                      <w:color w:val="auto"/>
                      <w:sz w:val="22"/>
                      <w:lang w:eastAsia="lv-LV"/>
                    </w:rPr>
                    <w:t>plāns</w:t>
                  </w:r>
                  <w:r w:rsidRPr="004172F5">
                    <w:rPr>
                      <w:rFonts w:eastAsia="Times New Roman" w:cs="Times New Roman"/>
                      <w:b w:val="0"/>
                      <w:bCs w:val="0"/>
                      <w:color w:val="auto"/>
                      <w:sz w:val="22"/>
                      <w:lang w:eastAsia="lv-LV"/>
                    </w:rPr>
                    <w:t>)</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8E2DE32"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2,269</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272D938"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6,223</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B03DD8A"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4,073</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2E56A059"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3,798</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4C523D0E"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4,890</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9FD1EAA"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9,712</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4E8E1003" w14:textId="77777777" w:rsidR="002B08D7" w:rsidRPr="00497710"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-1,447</w:t>
                  </w:r>
                </w:p>
              </w:tc>
            </w:tr>
            <w:tr w:rsidR="00497710" w14:paraId="548009CC" w14:textId="77777777" w:rsidTr="00497710">
              <w:trPr>
                <w:trHeight w:val="315"/>
                <w:jc w:val="center"/>
              </w:trPr>
              <w:tc>
                <w:tcPr>
                  <w:cnfStyle w:val="001000000000" w:firstRow="0" w:lastRow="0" w:firstColumn="1" w:lastColumn="0" w:oddVBand="0" w:evenVBand="0" w:oddHBand="0" w:evenHBand="0" w:firstRowFirstColumn="0" w:firstRowLastColumn="0" w:lastRowFirstColumn="0" w:lastRowLastColumn="0"/>
                  <w:tcW w:w="2059"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78529AF" w14:textId="77777777" w:rsidR="002B08D7" w:rsidRPr="004172F5" w:rsidRDefault="002B08D7" w:rsidP="002B08D7">
                  <w:pPr>
                    <w:jc w:val="right"/>
                    <w:rPr>
                      <w:rFonts w:eastAsia="Times New Roman" w:cs="Times New Roman"/>
                      <w:sz w:val="22"/>
                      <w:lang w:eastAsia="lv-LV"/>
                    </w:rPr>
                  </w:pPr>
                  <w:proofErr w:type="spellStart"/>
                  <w:r>
                    <w:rPr>
                      <w:rFonts w:eastAsia="Times New Roman" w:cs="Times New Roman"/>
                      <w:b w:val="0"/>
                      <w:bCs w:val="0"/>
                      <w:color w:val="auto"/>
                      <w:sz w:val="22"/>
                      <w:lang w:eastAsia="lv-LV"/>
                    </w:rPr>
                    <w:t>Altum</w:t>
                  </w:r>
                  <w:proofErr w:type="spellEnd"/>
                  <w:r>
                    <w:rPr>
                      <w:rFonts w:eastAsia="Times New Roman" w:cs="Times New Roman"/>
                      <w:b w:val="0"/>
                      <w:bCs w:val="0"/>
                      <w:color w:val="auto"/>
                      <w:sz w:val="22"/>
                      <w:lang w:eastAsia="lv-LV"/>
                    </w:rPr>
                    <w:t xml:space="preserve"> ietekme (izpilde)</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A9D030D"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5,619</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48AF9D0"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3,775</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129E9694"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-0,499</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9036289"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9,388</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41E81981"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-7,808</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00274DBF"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5,455</w:t>
                  </w:r>
                </w:p>
              </w:tc>
              <w:tc>
                <w:tcPr>
                  <w:tcW w:w="971"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EDE50BB" w14:textId="77777777" w:rsidR="002B08D7" w:rsidRPr="00497710"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4,076</w:t>
                  </w:r>
                </w:p>
              </w:tc>
            </w:tr>
          </w:tbl>
          <w:p w14:paraId="0857A7F4" w14:textId="77777777" w:rsidR="005B7184" w:rsidRPr="004172F5" w:rsidRDefault="005B7184" w:rsidP="00A01E7A">
            <w:pPr>
              <w:ind w:firstLine="720"/>
              <w:jc w:val="both"/>
              <w:rPr>
                <w:rFonts w:cs="Times New Roman"/>
                <w:szCs w:val="24"/>
              </w:rPr>
            </w:pPr>
          </w:p>
          <w:p w14:paraId="25D2FEDA" w14:textId="369667C1" w:rsidR="005B7184" w:rsidRDefault="005B7184" w:rsidP="00A01E7A">
            <w:pPr>
              <w:ind w:firstLine="720"/>
              <w:jc w:val="both"/>
              <w:rPr>
                <w:rFonts w:cs="Times New Roman"/>
              </w:rPr>
            </w:pPr>
            <w:r>
              <w:rPr>
                <w:rFonts w:cs="Times New Roman"/>
              </w:rPr>
              <w:t xml:space="preserve">Lai gan </w:t>
            </w:r>
            <w:proofErr w:type="spellStart"/>
            <w:r>
              <w:rPr>
                <w:rFonts w:cs="Times New Roman"/>
              </w:rPr>
              <w:t>Altum</w:t>
            </w:r>
            <w:proofErr w:type="spellEnd"/>
            <w:r>
              <w:rPr>
                <w:rFonts w:cs="Times New Roman"/>
              </w:rPr>
              <w:t xml:space="preserve"> ietekme un tās novirze no plānotā apmēra līdz šim ir bijusi simetriska (skat. </w:t>
            </w:r>
            <w:r w:rsidR="006A4468">
              <w:rPr>
                <w:rFonts w:cs="Times New Roman"/>
              </w:rPr>
              <w:t>T</w:t>
            </w:r>
            <w:r>
              <w:rPr>
                <w:rFonts w:cs="Times New Roman"/>
              </w:rPr>
              <w:t>abulu Nr.</w:t>
            </w:r>
            <w:r w:rsidR="006A4468">
              <w:rPr>
                <w:rFonts w:cs="Times New Roman"/>
              </w:rPr>
              <w:t>2.</w:t>
            </w:r>
            <w:r w:rsidR="006F7C57">
              <w:rPr>
                <w:rFonts w:cs="Times New Roman"/>
              </w:rPr>
              <w:t>10</w:t>
            </w:r>
            <w:r w:rsidR="006A4468">
              <w:rPr>
                <w:rFonts w:cs="Times New Roman"/>
              </w:rPr>
              <w:t>.1</w:t>
            </w:r>
            <w:r>
              <w:rPr>
                <w:rFonts w:cs="Times New Roman"/>
              </w:rPr>
              <w:t xml:space="preserve">), negatīvie riski potenciāli var iestāties </w:t>
            </w:r>
            <w:r w:rsidRPr="00632BEA">
              <w:rPr>
                <w:rFonts w:cs="Times New Roman"/>
              </w:rPr>
              <w:t xml:space="preserve">no </w:t>
            </w:r>
            <w:proofErr w:type="spellStart"/>
            <w:r w:rsidRPr="00632BEA">
              <w:rPr>
                <w:rFonts w:cs="Times New Roman"/>
              </w:rPr>
              <w:t>Altum</w:t>
            </w:r>
            <w:proofErr w:type="spellEnd"/>
            <w:r>
              <w:rPr>
                <w:rFonts w:cs="Times New Roman"/>
              </w:rPr>
              <w:t xml:space="preserve"> administrēto atbalsta </w:t>
            </w:r>
            <w:r w:rsidR="00E6549C">
              <w:rPr>
                <w:rFonts w:cs="Times New Roman"/>
              </w:rPr>
              <w:t xml:space="preserve">programmu </w:t>
            </w:r>
            <w:r>
              <w:rPr>
                <w:rFonts w:cs="Times New Roman"/>
              </w:rPr>
              <w:t>puses</w:t>
            </w:r>
            <w:r w:rsidR="005868AE">
              <w:rPr>
                <w:rFonts w:cs="Times New Roman"/>
              </w:rPr>
              <w:t>.</w:t>
            </w:r>
          </w:p>
          <w:p w14:paraId="7463F226" w14:textId="314A3936" w:rsidR="00FE4B6C" w:rsidRPr="00FE4B6C" w:rsidRDefault="00FE4B6C" w:rsidP="0058124B">
            <w:pPr>
              <w:ind w:firstLine="720"/>
              <w:jc w:val="both"/>
              <w:rPr>
                <w:rFonts w:cs="Times New Roman"/>
              </w:rPr>
            </w:pPr>
            <w:r w:rsidRPr="006E7898">
              <w:rPr>
                <w:rFonts w:cs="Times New Roman"/>
              </w:rPr>
              <w:t xml:space="preserve">Attiecībā uz </w:t>
            </w:r>
            <w:proofErr w:type="spellStart"/>
            <w:r w:rsidRPr="006E7898">
              <w:rPr>
                <w:rFonts w:cs="Times New Roman"/>
              </w:rPr>
              <w:t>Altum</w:t>
            </w:r>
            <w:proofErr w:type="spellEnd"/>
            <w:r w:rsidRPr="006E7898">
              <w:rPr>
                <w:rFonts w:cs="Times New Roman"/>
              </w:rPr>
              <w:t xml:space="preserve"> realizētajām atbalsta programmām, </w:t>
            </w:r>
            <w:proofErr w:type="spellStart"/>
            <w:r w:rsidRPr="006E7898">
              <w:rPr>
                <w:rFonts w:cs="Times New Roman"/>
              </w:rPr>
              <w:t>Altum</w:t>
            </w:r>
            <w:proofErr w:type="spellEnd"/>
            <w:r w:rsidRPr="006E7898">
              <w:rPr>
                <w:rFonts w:cs="Times New Roman"/>
              </w:rPr>
              <w:t xml:space="preserve"> pirms to ieviešanas aplēš sagaidāmos zaudējumus</w:t>
            </w:r>
            <w:r w:rsidR="0026310A">
              <w:rPr>
                <w:rFonts w:cs="Times New Roman"/>
              </w:rPr>
              <w:t xml:space="preserve"> </w:t>
            </w:r>
            <w:r w:rsidRPr="006E7898">
              <w:rPr>
                <w:rFonts w:cs="Times New Roman"/>
              </w:rPr>
              <w:t>un izveido segumu zaudējumu kompensēšanai riska seguma rezerves vai portfeļa zaudējumu rezerves speciālā rezerves kapitāla veidā (</w:t>
            </w:r>
            <w:r w:rsidR="00D46BA3">
              <w:rPr>
                <w:rFonts w:cs="Times New Roman"/>
              </w:rPr>
              <w:t xml:space="preserve">šīs deklarācijas </w:t>
            </w:r>
            <w:proofErr w:type="spellStart"/>
            <w:r w:rsidR="00D46BA3">
              <w:rPr>
                <w:rFonts w:cs="Times New Roman"/>
              </w:rPr>
              <w:t>apakšsadaļas</w:t>
            </w:r>
            <w:proofErr w:type="spellEnd"/>
            <w:r w:rsidR="00D46BA3">
              <w:rPr>
                <w:rFonts w:cs="Times New Roman"/>
              </w:rPr>
              <w:t xml:space="preserve"> ietvaros turpmāk – </w:t>
            </w:r>
            <w:r w:rsidRPr="006E7898">
              <w:rPr>
                <w:rFonts w:cs="Times New Roman"/>
              </w:rPr>
              <w:t>Riska segums) vai iekļauj maksā, ko sedz finanšu instrumenta gala saņēmējs. Aplēses par sagaidāmiem zaudējumiem visas programmas dzīves cikla laikā tiek veiktas izmantojot dažādas pieejas (metodoloģijas) un ciktāl praktiski iespējams specifiskie parametri tiek noteikti ņemot vērā atbalsta programmas veidu un specifiku</w:t>
            </w:r>
            <w:r>
              <w:rPr>
                <w:rFonts w:cs="Times New Roman"/>
              </w:rPr>
              <w:t xml:space="preserve">, </w:t>
            </w:r>
            <w:r w:rsidRPr="006E7898">
              <w:rPr>
                <w:rFonts w:cs="Times New Roman"/>
              </w:rPr>
              <w:t>t.sk. ņemot vērā programmas mērķus un nosacījumus. Aplēses tiek veiktas uz pieņēmumu pamata, kas ir balstīti uz vēsturiskiem datiem par iepriekš realizētām valsts atbalsta programmām, kas ir īstenotas programmai pielīdzināmās jomās, vai arī vēsturiskiem datiem, kas pieejami publiskās un/vai privātās datu bāzēs pielīdzināmos klientu un projektu segmentos.</w:t>
            </w:r>
          </w:p>
          <w:p w14:paraId="394D883A" w14:textId="311110E0" w:rsidR="00FE4B6C" w:rsidRPr="0058124B" w:rsidRDefault="00FE4B6C" w:rsidP="0058124B">
            <w:pPr>
              <w:ind w:firstLine="720"/>
              <w:jc w:val="both"/>
              <w:rPr>
                <w:rFonts w:cs="Times New Roman"/>
              </w:rPr>
            </w:pPr>
            <w:r>
              <w:rPr>
                <w:rFonts w:cs="Times New Roman"/>
              </w:rPr>
              <w:t xml:space="preserve">Fiskālais risks var iestāties, ja atbalsta programmu faktiskā izpilde būtiski novirzītos no plānotā, kā arī, ja faktiskie atbalsta programmu zaudējumi pārsniegtu aplēstos sagaidāmos zaudējumus. </w:t>
            </w:r>
            <w:bookmarkStart w:id="85" w:name="_Hlk124623188"/>
            <w:r>
              <w:rPr>
                <w:rFonts w:cs="Times New Roman"/>
              </w:rPr>
              <w:t xml:space="preserve">Nav sagaidāms, ka būs nepieciešams </w:t>
            </w:r>
            <w:proofErr w:type="spellStart"/>
            <w:r>
              <w:rPr>
                <w:rFonts w:cs="Times New Roman"/>
              </w:rPr>
              <w:t>Altum</w:t>
            </w:r>
            <w:proofErr w:type="spellEnd"/>
            <w:r>
              <w:rPr>
                <w:rFonts w:cs="Times New Roman"/>
              </w:rPr>
              <w:t xml:space="preserve"> palielināt Riska segumu, jo</w:t>
            </w:r>
            <w:r w:rsidR="008237F2">
              <w:rPr>
                <w:rFonts w:cs="Times New Roman"/>
              </w:rPr>
              <w:t>,</w:t>
            </w:r>
            <w:r>
              <w:rPr>
                <w:rFonts w:cs="Times New Roman"/>
              </w:rPr>
              <w:t xml:space="preserve"> aplēšot sagaidāmos zaudējumus </w:t>
            </w:r>
            <w:proofErr w:type="spellStart"/>
            <w:r>
              <w:rPr>
                <w:rFonts w:cs="Times New Roman"/>
              </w:rPr>
              <w:t>Altum</w:t>
            </w:r>
            <w:proofErr w:type="spellEnd"/>
            <w:r>
              <w:rPr>
                <w:rFonts w:cs="Times New Roman"/>
              </w:rPr>
              <w:t xml:space="preserve">, kā iepriekš ir minēts, izvēlas un pielieto pieejas, kas vislabāk atbilst konkrētajai programmai, kā arī ievēro piesardzības principu </w:t>
            </w:r>
            <w:r w:rsidRPr="00D56605">
              <w:rPr>
                <w:rFonts w:cs="Times New Roman"/>
              </w:rPr>
              <w:t>un kur iesp</w:t>
            </w:r>
            <w:r>
              <w:rPr>
                <w:rFonts w:cs="Times New Roman"/>
              </w:rPr>
              <w:t xml:space="preserve">ējams, piemēro ciklu aptverošu pieeju, kas ietver arī iespējamas krīzes iestāšanos. Programmas īstenošanas laikā </w:t>
            </w:r>
            <w:proofErr w:type="spellStart"/>
            <w:r>
              <w:rPr>
                <w:rFonts w:cs="Times New Roman"/>
              </w:rPr>
              <w:t>Altum</w:t>
            </w:r>
            <w:proofErr w:type="spellEnd"/>
            <w:r>
              <w:rPr>
                <w:rFonts w:cs="Times New Roman"/>
              </w:rPr>
              <w:t xml:space="preserve"> var veikt atkārtotu sagaidāmo zaudējumu novērtējumu un</w:t>
            </w:r>
            <w:r w:rsidR="008237F2">
              <w:rPr>
                <w:rFonts w:cs="Times New Roman"/>
              </w:rPr>
              <w:t>,</w:t>
            </w:r>
            <w:r>
              <w:rPr>
                <w:rFonts w:cs="Times New Roman"/>
              </w:rPr>
              <w:t xml:space="preserve"> identificējot potenciālu riska līmeņa un sagaidāmo zaudējumu pieaugumu, </w:t>
            </w:r>
            <w:r w:rsidRPr="00F56613">
              <w:rPr>
                <w:rFonts w:cs="Times New Roman"/>
              </w:rPr>
              <w:t>veikt izmaiņas</w:t>
            </w:r>
            <w:r>
              <w:rPr>
                <w:rFonts w:cs="Times New Roman"/>
              </w:rPr>
              <w:t>, kas samazina riska līmeni un zaudējumu apjomu vai arī apturēt programmas turpmāko realizāciju</w:t>
            </w:r>
            <w:r w:rsidRPr="0058124B">
              <w:rPr>
                <w:rFonts w:cs="Times New Roman"/>
              </w:rPr>
              <w:t>.</w:t>
            </w:r>
          </w:p>
          <w:p w14:paraId="6E6FEC9D" w14:textId="4F4BE968" w:rsidR="00FE4B6C" w:rsidRDefault="00FE4B6C" w:rsidP="0058124B">
            <w:pPr>
              <w:ind w:firstLine="720"/>
              <w:jc w:val="both"/>
              <w:rPr>
                <w:rFonts w:cs="Times New Roman"/>
              </w:rPr>
            </w:pPr>
            <w:r>
              <w:rPr>
                <w:rFonts w:cs="Times New Roman"/>
              </w:rPr>
              <w:t>2021.gad</w:t>
            </w:r>
            <w:bookmarkEnd w:id="85"/>
            <w:r>
              <w:rPr>
                <w:rFonts w:cs="Times New Roman"/>
              </w:rPr>
              <w:t xml:space="preserve">ā tika veikts neatkarīgs riska seguma pietiekamības novērtējums, kuru veica starptautiski atzīta </w:t>
            </w:r>
            <w:proofErr w:type="spellStart"/>
            <w:r>
              <w:rPr>
                <w:rFonts w:cs="Times New Roman"/>
              </w:rPr>
              <w:t>auditorkompānija</w:t>
            </w:r>
            <w:proofErr w:type="spellEnd"/>
            <w:r>
              <w:rPr>
                <w:rFonts w:cs="Times New Roman"/>
              </w:rPr>
              <w:t xml:space="preserve">, kur tika secināts, ka kopumā </w:t>
            </w:r>
            <w:proofErr w:type="spellStart"/>
            <w:r>
              <w:rPr>
                <w:rFonts w:cs="Times New Roman"/>
              </w:rPr>
              <w:t>Altum</w:t>
            </w:r>
            <w:proofErr w:type="spellEnd"/>
            <w:r>
              <w:rPr>
                <w:rFonts w:cs="Times New Roman"/>
              </w:rPr>
              <w:t xml:space="preserve"> atbalsta programmām izveidotais Riska segums ir vērtējams kā konservatīvs pie bāzes ekonomiskās attīstības scenārija un pietiekams pie pesimistiskā ekonomiskās attīstības scenārija. </w:t>
            </w:r>
            <w:proofErr w:type="spellStart"/>
            <w:r>
              <w:rPr>
                <w:rFonts w:cs="Times New Roman"/>
              </w:rPr>
              <w:t>Izvērtējuma</w:t>
            </w:r>
            <w:proofErr w:type="spellEnd"/>
            <w:r>
              <w:rPr>
                <w:rFonts w:cs="Times New Roman"/>
              </w:rPr>
              <w:t xml:space="preserve"> ietvaros tika veikta arī </w:t>
            </w:r>
            <w:proofErr w:type="spellStart"/>
            <w:r>
              <w:rPr>
                <w:rFonts w:cs="Times New Roman"/>
              </w:rPr>
              <w:t>Altum</w:t>
            </w:r>
            <w:proofErr w:type="spellEnd"/>
            <w:r>
              <w:rPr>
                <w:rFonts w:cs="Times New Roman"/>
              </w:rPr>
              <w:t xml:space="preserve"> izmantoto pieeju (metodoloģiju) un specifisko parametru aprēķinu validācija. </w:t>
            </w:r>
          </w:p>
          <w:p w14:paraId="56D5312E" w14:textId="06BC0DAC" w:rsidR="00FE4B6C" w:rsidRDefault="00FE4B6C" w:rsidP="0058124B">
            <w:pPr>
              <w:ind w:firstLine="720"/>
              <w:jc w:val="both"/>
              <w:rPr>
                <w:rFonts w:cs="Times New Roman"/>
              </w:rPr>
            </w:pPr>
            <w:r>
              <w:rPr>
                <w:rFonts w:cs="Times New Roman"/>
              </w:rPr>
              <w:t>Faktiskais atbalsta programmu zaudējumu apjoms nav pārsniedzis aplēsto sagaidāmo zaudējumu apjomu, kā arī</w:t>
            </w:r>
            <w:r w:rsidR="008237F2">
              <w:rPr>
                <w:rFonts w:cs="Times New Roman"/>
              </w:rPr>
              <w:t xml:space="preserve">, </w:t>
            </w:r>
            <w:r>
              <w:rPr>
                <w:rFonts w:cs="Times New Roman"/>
              </w:rPr>
              <w:t>analizējot specifiskos programmu riska līmeni raksturojošos rādītājus (piemēram, ienākumus nenesošo finanšu instrumentu apjoms, saistību nepildīšanas likmes)</w:t>
            </w:r>
            <w:r w:rsidR="008237F2">
              <w:rPr>
                <w:rFonts w:cs="Times New Roman"/>
              </w:rPr>
              <w:t>,</w:t>
            </w:r>
            <w:r>
              <w:rPr>
                <w:rFonts w:cs="Times New Roman"/>
              </w:rPr>
              <w:t xml:space="preserve"> faktiskie rādītāji nav pārsnieguši rādītājus, kuri tika izmantoti veicot aplēses par sagaidāmiem zaudējumiem.</w:t>
            </w:r>
          </w:p>
          <w:p w14:paraId="4BCC8C26" w14:textId="4A6A6B96" w:rsidR="00FE4B6C" w:rsidRDefault="00FE4B6C" w:rsidP="0058124B">
            <w:pPr>
              <w:ind w:firstLine="720"/>
              <w:jc w:val="both"/>
              <w:rPr>
                <w:rFonts w:cs="Times New Roman"/>
              </w:rPr>
            </w:pPr>
            <w:r>
              <w:rPr>
                <w:rFonts w:cs="Times New Roman"/>
              </w:rPr>
              <w:lastRenderedPageBreak/>
              <w:t xml:space="preserve">2022.gada 16.decembrī </w:t>
            </w:r>
            <w:proofErr w:type="spellStart"/>
            <w:r w:rsidRPr="0058124B">
              <w:rPr>
                <w:rFonts w:cs="Times New Roman"/>
                <w:i/>
                <w:iCs/>
              </w:rPr>
              <w:t>Moody’s</w:t>
            </w:r>
            <w:proofErr w:type="spellEnd"/>
            <w:r w:rsidRPr="0058124B">
              <w:rPr>
                <w:rFonts w:cs="Times New Roman"/>
                <w:i/>
                <w:iCs/>
              </w:rPr>
              <w:t xml:space="preserve"> Investors </w:t>
            </w:r>
            <w:proofErr w:type="spellStart"/>
            <w:r w:rsidRPr="0058124B">
              <w:rPr>
                <w:rFonts w:cs="Times New Roman"/>
                <w:i/>
                <w:iCs/>
              </w:rPr>
              <w:t>Service</w:t>
            </w:r>
            <w:proofErr w:type="spellEnd"/>
            <w:r>
              <w:rPr>
                <w:rFonts w:cs="Times New Roman"/>
              </w:rPr>
              <w:t xml:space="preserve"> (</w:t>
            </w:r>
            <w:proofErr w:type="spellStart"/>
            <w:r>
              <w:rPr>
                <w:rFonts w:cs="Times New Roman"/>
              </w:rPr>
              <w:t>Moody’s</w:t>
            </w:r>
            <w:proofErr w:type="spellEnd"/>
            <w:r>
              <w:rPr>
                <w:rFonts w:cs="Times New Roman"/>
              </w:rPr>
              <w:t xml:space="preserve">) atkārtoti apstiprināja </w:t>
            </w:r>
            <w:proofErr w:type="spellStart"/>
            <w:r>
              <w:rPr>
                <w:rFonts w:cs="Times New Roman"/>
              </w:rPr>
              <w:t>Altum</w:t>
            </w:r>
            <w:proofErr w:type="spellEnd"/>
            <w:r>
              <w:rPr>
                <w:rFonts w:cs="Times New Roman"/>
              </w:rPr>
              <w:t xml:space="preserve"> ilgtermiņa kredītreitingu Baa1 ar stabilu perspektīvas vērtējumu. </w:t>
            </w:r>
            <w:proofErr w:type="spellStart"/>
            <w:r>
              <w:rPr>
                <w:rFonts w:cs="Times New Roman"/>
              </w:rPr>
              <w:t>Moody’s</w:t>
            </w:r>
            <w:proofErr w:type="spellEnd"/>
            <w:r>
              <w:rPr>
                <w:rFonts w:cs="Times New Roman"/>
              </w:rPr>
              <w:t xml:space="preserve"> 2022.gada 21.decembra kredītspējas novērtējums ietver tādus būtiskus kritērijus kā </w:t>
            </w:r>
            <w:proofErr w:type="spellStart"/>
            <w:r>
              <w:rPr>
                <w:rFonts w:cs="Times New Roman"/>
              </w:rPr>
              <w:t>Altum</w:t>
            </w:r>
            <w:proofErr w:type="spellEnd"/>
            <w:r>
              <w:rPr>
                <w:rFonts w:cs="Times New Roman"/>
              </w:rPr>
              <w:t xml:space="preserve"> finanšu stabilitāte, spēja segt ar sniegtajiem finanšu instrumentiem saistītos riskus un to radītos zaudējumus. </w:t>
            </w:r>
            <w:proofErr w:type="spellStart"/>
            <w:r>
              <w:rPr>
                <w:rFonts w:cs="Times New Roman"/>
              </w:rPr>
              <w:t>Moody’s</w:t>
            </w:r>
            <w:proofErr w:type="spellEnd"/>
            <w:r>
              <w:rPr>
                <w:rFonts w:cs="Times New Roman"/>
              </w:rPr>
              <w:t xml:space="preserve"> vērtējumā ir norādīts, lai arī ienākumus nenesošo finanšu instrumentu apjoms saglabājas augsts, </w:t>
            </w:r>
            <w:proofErr w:type="spellStart"/>
            <w:r>
              <w:rPr>
                <w:rFonts w:cs="Times New Roman"/>
              </w:rPr>
              <w:t>Altum</w:t>
            </w:r>
            <w:proofErr w:type="spellEnd"/>
            <w:r>
              <w:rPr>
                <w:rFonts w:cs="Times New Roman"/>
              </w:rPr>
              <w:t xml:space="preserve"> rīcībā ir ievērojams riska seguma apjoms, lai segtu uzņemtos riskus. To atspoguļo kapitāla pietiekamības novērtējums, kas ir Aa3 līmenī. </w:t>
            </w:r>
            <w:proofErr w:type="spellStart"/>
            <w:r>
              <w:rPr>
                <w:rFonts w:cs="Times New Roman"/>
              </w:rPr>
              <w:t>Moody’s</w:t>
            </w:r>
            <w:proofErr w:type="spellEnd"/>
            <w:r>
              <w:rPr>
                <w:rFonts w:cs="Times New Roman"/>
              </w:rPr>
              <w:t xml:space="preserve"> vērtējumā </w:t>
            </w:r>
            <w:proofErr w:type="spellStart"/>
            <w:r>
              <w:rPr>
                <w:rFonts w:cs="Times New Roman"/>
              </w:rPr>
              <w:t>Altum</w:t>
            </w:r>
            <w:proofErr w:type="spellEnd"/>
            <w:r>
              <w:rPr>
                <w:rFonts w:cs="Times New Roman"/>
              </w:rPr>
              <w:t xml:space="preserve"> ir augsts kapitāla pietiekamības līmenis, kur viens no būtiskiem faktoriem ir ievērojamais riska seguma apjoms un kapitāla rezerves, lai pat pie pieaugoša garantiju portfeļa, izturētu ieņēmumu svārstības un nodrošinātu tālāku </w:t>
            </w:r>
            <w:proofErr w:type="spellStart"/>
            <w:r>
              <w:rPr>
                <w:rFonts w:cs="Times New Roman"/>
              </w:rPr>
              <w:t>Altum</w:t>
            </w:r>
            <w:proofErr w:type="spellEnd"/>
            <w:r>
              <w:rPr>
                <w:rFonts w:cs="Times New Roman"/>
              </w:rPr>
              <w:t xml:space="preserve"> izaugsmi. </w:t>
            </w:r>
          </w:p>
          <w:p w14:paraId="6D63C101" w14:textId="196064D7" w:rsidR="002B08D7" w:rsidRDefault="005B1F13" w:rsidP="002B08D7">
            <w:pPr>
              <w:ind w:firstLine="720"/>
              <w:jc w:val="both"/>
              <w:rPr>
                <w:rFonts w:eastAsia="Times New Roman" w:cs="Times New Roman"/>
                <w:szCs w:val="24"/>
                <w:lang w:eastAsia="en-GB"/>
              </w:rPr>
            </w:pPr>
            <w:r w:rsidRPr="0058124B">
              <w:rPr>
                <w:rFonts w:eastAsiaTheme="minorEastAsia" w:cs="Times New Roman"/>
              </w:rPr>
              <w:t xml:space="preserve">Atbilstoši FM novērtējumam </w:t>
            </w:r>
            <w:r w:rsidR="00D93E3A">
              <w:rPr>
                <w:rFonts w:eastAsiaTheme="minorEastAsia" w:cs="Times New Roman"/>
              </w:rPr>
              <w:t>MK</w:t>
            </w:r>
            <w:r w:rsidRPr="0058124B">
              <w:rPr>
                <w:rFonts w:eastAsiaTheme="minorEastAsia" w:cs="Times New Roman"/>
              </w:rPr>
              <w:t xml:space="preserve"> apstiprināto atbalsta programmu īstenošana ir palielinājusi vispārējās valdības budžeta izdevumus par 31,6 milj. </w:t>
            </w:r>
            <w:proofErr w:type="spellStart"/>
            <w:r w:rsidRPr="0058124B">
              <w:rPr>
                <w:rFonts w:eastAsiaTheme="minorEastAsia" w:cs="Times New Roman"/>
                <w:i/>
                <w:iCs/>
              </w:rPr>
              <w:t>euro</w:t>
            </w:r>
            <w:proofErr w:type="spellEnd"/>
            <w:r w:rsidRPr="0058124B">
              <w:rPr>
                <w:rFonts w:eastAsiaTheme="minorEastAsia" w:cs="Times New Roman"/>
              </w:rPr>
              <w:t xml:space="preserve"> 2020.gadā</w:t>
            </w:r>
            <w:r w:rsidR="00A373CE" w:rsidRPr="0058124B">
              <w:rPr>
                <w:rFonts w:eastAsiaTheme="minorEastAsia" w:cs="Times New Roman"/>
              </w:rPr>
              <w:t xml:space="preserve"> un </w:t>
            </w:r>
            <w:r w:rsidR="00AE5FC2" w:rsidRPr="0058124B">
              <w:rPr>
                <w:rFonts w:eastAsiaTheme="minorEastAsia" w:cs="Times New Roman"/>
              </w:rPr>
              <w:t xml:space="preserve">par </w:t>
            </w:r>
            <w:r w:rsidRPr="002F732A">
              <w:rPr>
                <w:rFonts w:cs="Times New Roman"/>
              </w:rPr>
              <w:t>8,0 milj</w:t>
            </w:r>
            <w:r w:rsidRPr="0058124B">
              <w:rPr>
                <w:rFonts w:eastAsiaTheme="minorEastAsia" w:cs="Times New Roman"/>
              </w:rPr>
              <w:t xml:space="preserve">. </w:t>
            </w:r>
            <w:proofErr w:type="spellStart"/>
            <w:r w:rsidRPr="0058124B">
              <w:rPr>
                <w:rFonts w:eastAsiaTheme="minorEastAsia" w:cs="Times New Roman"/>
                <w:i/>
                <w:iCs/>
              </w:rPr>
              <w:t>euro</w:t>
            </w:r>
            <w:proofErr w:type="spellEnd"/>
            <w:r w:rsidRPr="0058124B">
              <w:rPr>
                <w:rFonts w:eastAsiaTheme="minorEastAsia" w:cs="Times New Roman"/>
              </w:rPr>
              <w:t xml:space="preserve"> 2021.gadā</w:t>
            </w:r>
            <w:r w:rsidR="00A373CE" w:rsidRPr="0058124B">
              <w:rPr>
                <w:rFonts w:eastAsiaTheme="minorEastAsia" w:cs="Times New Roman"/>
              </w:rPr>
              <w:t xml:space="preserve">, </w:t>
            </w:r>
            <w:r w:rsidR="002B08D7" w:rsidRPr="0058124B">
              <w:rPr>
                <w:rFonts w:eastAsiaTheme="minorEastAsia" w:cs="Times New Roman"/>
              </w:rPr>
              <w:t>bet 2022.gadam ietekme</w:t>
            </w:r>
            <w:r w:rsidR="002B08D7">
              <w:rPr>
                <w:rFonts w:eastAsiaTheme="minorEastAsia" w:cs="Times New Roman"/>
              </w:rPr>
              <w:t xml:space="preserve"> novērtēta</w:t>
            </w:r>
            <w:r w:rsidR="002B08D7" w:rsidRPr="0058124B">
              <w:rPr>
                <w:rFonts w:eastAsiaTheme="minorEastAsia" w:cs="Times New Roman"/>
              </w:rPr>
              <w:t xml:space="preserve"> </w:t>
            </w:r>
            <w:r w:rsidR="002B08D7">
              <w:rPr>
                <w:rFonts w:eastAsiaTheme="minorEastAsia" w:cs="Times New Roman"/>
              </w:rPr>
              <w:t>4,6</w:t>
            </w:r>
            <w:r w:rsidR="002B08D7" w:rsidRPr="0058124B">
              <w:rPr>
                <w:rFonts w:eastAsiaTheme="minorEastAsia" w:cs="Times New Roman"/>
              </w:rPr>
              <w:t xml:space="preserve">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apmērā.</w:t>
            </w:r>
            <w:r w:rsidR="00A373CE" w:rsidRPr="0058124B">
              <w:rPr>
                <w:rFonts w:eastAsiaTheme="minorEastAsia" w:cs="Times New Roman"/>
              </w:rPr>
              <w:t xml:space="preserve"> Vienlaicīgi jāatzīmē, ka </w:t>
            </w:r>
            <w:r w:rsidR="007D4792">
              <w:rPr>
                <w:rFonts w:eastAsiaTheme="minorEastAsia" w:cs="Times New Roman"/>
              </w:rPr>
              <w:t xml:space="preserve">ir uzsākta </w:t>
            </w:r>
            <w:r w:rsidR="00A373CE" w:rsidRPr="0058124B">
              <w:rPr>
                <w:rFonts w:eastAsiaTheme="minorEastAsia" w:cs="Times New Roman"/>
              </w:rPr>
              <w:t>programm</w:t>
            </w:r>
            <w:r w:rsidR="007D4792">
              <w:rPr>
                <w:rFonts w:eastAsiaTheme="minorEastAsia" w:cs="Times New Roman"/>
              </w:rPr>
              <w:t>a</w:t>
            </w:r>
            <w:r w:rsidR="00A373CE" w:rsidRPr="0058124B">
              <w:rPr>
                <w:rFonts w:eastAsiaTheme="minorEastAsia" w:cs="Times New Roman"/>
              </w:rPr>
              <w:t xml:space="preserve"> aizdevumiem ar kapitāla atlaidi investīciju projektiem, lai veicinātu komersantu konkurētspēju. </w:t>
            </w:r>
            <w:r w:rsidR="002B08D7" w:rsidRPr="0058124B">
              <w:rPr>
                <w:rFonts w:eastAsiaTheme="minorEastAsia" w:cs="Times New Roman"/>
              </w:rPr>
              <w:t>Lai gan dotās programmas prognozētā ietekme ievērojami palielina vispārējās valdības izdevumus (</w:t>
            </w:r>
            <w:r w:rsidR="002B08D7">
              <w:rPr>
                <w:rFonts w:eastAsiaTheme="minorEastAsia" w:cs="Times New Roman"/>
              </w:rPr>
              <w:t>9,6</w:t>
            </w:r>
            <w:r w:rsidR="002B08D7" w:rsidRPr="0058124B">
              <w:rPr>
                <w:rFonts w:eastAsiaTheme="minorEastAsia" w:cs="Times New Roman"/>
              </w:rPr>
              <w:t xml:space="preserve">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2023.gadam</w:t>
            </w:r>
            <w:r w:rsidR="002B08D7">
              <w:rPr>
                <w:rFonts w:eastAsiaTheme="minorEastAsia" w:cs="Times New Roman"/>
              </w:rPr>
              <w:t>,</w:t>
            </w:r>
            <w:r w:rsidR="002B08D7" w:rsidRPr="0058124B">
              <w:rPr>
                <w:rFonts w:eastAsiaTheme="minorEastAsia" w:cs="Times New Roman"/>
              </w:rPr>
              <w:t xml:space="preserve"> </w:t>
            </w:r>
            <w:r w:rsidR="002B08D7">
              <w:rPr>
                <w:rFonts w:eastAsiaTheme="minorEastAsia" w:cs="Times New Roman"/>
              </w:rPr>
              <w:t>11,3</w:t>
            </w:r>
            <w:r w:rsidR="002B08D7" w:rsidRPr="0058124B">
              <w:rPr>
                <w:rFonts w:eastAsiaTheme="minorEastAsia" w:cs="Times New Roman"/>
              </w:rPr>
              <w:t xml:space="preserve">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2024.gadam</w:t>
            </w:r>
            <w:r w:rsidR="002B08D7">
              <w:rPr>
                <w:rFonts w:eastAsiaTheme="minorEastAsia" w:cs="Times New Roman"/>
              </w:rPr>
              <w:t xml:space="preserve">, 8,7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w:t>
            </w:r>
            <w:r w:rsidR="002B08D7">
              <w:rPr>
                <w:rFonts w:eastAsiaTheme="minorEastAsia" w:cs="Times New Roman"/>
              </w:rPr>
              <w:t>5</w:t>
            </w:r>
            <w:r w:rsidR="002B08D7" w:rsidRPr="0058124B">
              <w:rPr>
                <w:rFonts w:eastAsiaTheme="minorEastAsia" w:cs="Times New Roman"/>
              </w:rPr>
              <w:t>.gadam</w:t>
            </w:r>
            <w:r w:rsidR="002B08D7">
              <w:rPr>
                <w:rFonts w:eastAsiaTheme="minorEastAsia" w:cs="Times New Roman"/>
              </w:rPr>
              <w:t xml:space="preserve"> un 7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w:t>
            </w:r>
            <w:r w:rsidR="002B08D7">
              <w:rPr>
                <w:rFonts w:eastAsiaTheme="minorEastAsia" w:cs="Times New Roman"/>
              </w:rPr>
              <w:t>6</w:t>
            </w:r>
            <w:r w:rsidR="002B08D7" w:rsidRPr="0058124B">
              <w:rPr>
                <w:rFonts w:eastAsiaTheme="minorEastAsia" w:cs="Times New Roman"/>
              </w:rPr>
              <w:t>.gadam), fiskālā ietekme ir iestrādāta budžeta ietvara fiskālajās prognozēs.</w:t>
            </w:r>
          </w:p>
          <w:p w14:paraId="2650278F" w14:textId="206D6ADC" w:rsidR="005B7184" w:rsidRDefault="005B7184" w:rsidP="00D75116">
            <w:pPr>
              <w:ind w:firstLine="741"/>
              <w:jc w:val="both"/>
              <w:rPr>
                <w:rFonts w:cs="Times New Roman"/>
                <w:sz w:val="20"/>
                <w:szCs w:val="20"/>
                <w:highlight w:val="yellow"/>
              </w:rPr>
            </w:pPr>
            <w:r>
              <w:rPr>
                <w:rFonts w:cs="Times New Roman"/>
              </w:rPr>
              <w:t xml:space="preserve">FM turpina padziļināti uzraudzīt </w:t>
            </w:r>
            <w:proofErr w:type="spellStart"/>
            <w:r>
              <w:rPr>
                <w:rFonts w:cs="Times New Roman"/>
              </w:rPr>
              <w:t>Altum</w:t>
            </w:r>
            <w:proofErr w:type="spellEnd"/>
            <w:r>
              <w:rPr>
                <w:rFonts w:cs="Times New Roman"/>
              </w:rPr>
              <w:t xml:space="preserve"> darbību un</w:t>
            </w:r>
            <w:r w:rsidR="00911CF6">
              <w:rPr>
                <w:rFonts w:cs="Times New Roman"/>
              </w:rPr>
              <w:t>,</w:t>
            </w:r>
            <w:r>
              <w:rPr>
                <w:rFonts w:cs="Times New Roman"/>
              </w:rPr>
              <w:t xml:space="preserve"> nepieciešamības gadījumā</w:t>
            </w:r>
            <w:r w:rsidR="00911CF6">
              <w:rPr>
                <w:rFonts w:cs="Times New Roman"/>
              </w:rPr>
              <w:t>,</w:t>
            </w:r>
            <w:r>
              <w:rPr>
                <w:rFonts w:cs="Times New Roman"/>
              </w:rPr>
              <w:t xml:space="preserve"> ir gatava sniegt priekšlikumus specifisko risku mazināšanai. </w:t>
            </w:r>
            <w:bookmarkEnd w:id="84"/>
          </w:p>
        </w:tc>
      </w:tr>
    </w:tbl>
    <w:p w14:paraId="0C328793" w14:textId="77777777" w:rsidR="005B7184" w:rsidRDefault="005B7184" w:rsidP="00BA7CFE">
      <w:pPr>
        <w:spacing w:after="0" w:line="240" w:lineRule="auto"/>
        <w:ind w:firstLine="720"/>
        <w:jc w:val="both"/>
        <w:rPr>
          <w:rFonts w:ascii="Times New Roman" w:eastAsiaTheme="minorHAnsi" w:hAnsi="Times New Roman" w:cs="Times New Roman"/>
          <w:sz w:val="24"/>
        </w:rPr>
      </w:pPr>
    </w:p>
    <w:p w14:paraId="3047FF2C" w14:textId="77777777" w:rsidR="00C96845" w:rsidRDefault="00C96845" w:rsidP="00C96845">
      <w:pPr>
        <w:spacing w:after="0" w:line="240" w:lineRule="auto"/>
        <w:ind w:firstLine="720"/>
        <w:jc w:val="both"/>
        <w:rPr>
          <w:rFonts w:ascii="Times New Roman" w:eastAsiaTheme="minorHAnsi" w:hAnsi="Times New Roman" w:cs="Times New Roman"/>
          <w:sz w:val="24"/>
        </w:rPr>
      </w:pPr>
      <w:r w:rsidRPr="007D518F">
        <w:rPr>
          <w:rFonts w:ascii="Times New Roman" w:eastAsiaTheme="minorHAnsi" w:hAnsi="Times New Roman" w:cs="Times New Roman"/>
          <w:sz w:val="24"/>
        </w:rPr>
        <w:t xml:space="preserve">Vēsturiskie dati norāda, ka vidējā faktiskā kapitālsabiedrību saimnieciskās darbības ietekme, salīdzinot ar plānoto, laika posmā no </w:t>
      </w:r>
      <w:r w:rsidRPr="0020713B">
        <w:rPr>
          <w:rFonts w:ascii="Times New Roman" w:eastAsiaTheme="minorHAnsi" w:hAnsi="Times New Roman" w:cs="Times New Roman"/>
          <w:sz w:val="24"/>
        </w:rPr>
        <w:t>2013.gada</w:t>
      </w:r>
      <w:r w:rsidRPr="00C96845">
        <w:rPr>
          <w:rFonts w:ascii="Times New Roman" w:eastAsiaTheme="minorHAnsi" w:hAnsi="Times New Roman" w:cs="Times New Roman"/>
          <w:sz w:val="24"/>
        </w:rPr>
        <w:t xml:space="preserve"> </w:t>
      </w:r>
      <w:r w:rsidRPr="007D518F">
        <w:rPr>
          <w:rFonts w:ascii="Times New Roman" w:eastAsiaTheme="minorHAnsi" w:hAnsi="Times New Roman" w:cs="Times New Roman"/>
          <w:sz w:val="24"/>
        </w:rPr>
        <w:t>līdz 2022.gadam ir bijusi svārstīga, vienlaicīgi identificējams, ka līdz 2018.gadam negatīvās novirzes no plāna gan pēc skaita, gan apmēra ir bijušas novērotas biežāk, nekā pozitīvās novirzes, bet pēdējos gadus vairāk vērojamas pozitīvas novirzes (skat. tabulu Nr.</w:t>
      </w:r>
      <w:r>
        <w:rPr>
          <w:rFonts w:ascii="Times New Roman" w:eastAsiaTheme="minorHAnsi" w:hAnsi="Times New Roman" w:cs="Times New Roman"/>
          <w:sz w:val="24"/>
        </w:rPr>
        <w:t>2.10.2</w:t>
      </w:r>
      <w:r w:rsidRPr="007D518F">
        <w:rPr>
          <w:rFonts w:ascii="Times New Roman" w:eastAsiaTheme="minorHAnsi" w:hAnsi="Times New Roman" w:cs="Times New Roman"/>
          <w:sz w:val="24"/>
        </w:rPr>
        <w:t xml:space="preserve">). Tomēr jāņem vērā, ka tādi gadījumi, kad vispārējās valdības sektorā tiek klasificēti būtiski ekonomiskie subjekti (piemēram, SIA “Rīgas Satiksme” 2019./2020.gadā), ievērojami palielina novirzes no plānotās vispārējās valdības sektorā klasificēto komercsabiedrību bilances. Tas gan nedod pārliecību, ka šie gadījumi ir sistemātiski un nākotnē ir sagaidāma jaunu komercsabiedrību klasificēšana gadījumi vispārējās valdības sektorā (neskaitot </w:t>
      </w:r>
      <w:proofErr w:type="spellStart"/>
      <w:r w:rsidRPr="007D518F">
        <w:rPr>
          <w:rFonts w:ascii="Times New Roman" w:eastAsiaTheme="minorHAnsi" w:hAnsi="Times New Roman" w:cs="Times New Roman"/>
          <w:sz w:val="24"/>
        </w:rPr>
        <w:t>LDz</w:t>
      </w:r>
      <w:proofErr w:type="spellEnd"/>
      <w:r w:rsidRPr="007D518F">
        <w:rPr>
          <w:rFonts w:ascii="Times New Roman" w:eastAsiaTheme="minorHAnsi" w:hAnsi="Times New Roman" w:cs="Times New Roman"/>
          <w:sz w:val="24"/>
        </w:rPr>
        <w:t xml:space="preserve">). Vienlaicīgi jāņem vērā, ka, lai gan šādu komercsabiedrību pieklasificēšana pasliktina iepriekšējo gadu izpildi, izstrādājot </w:t>
      </w:r>
      <w:r w:rsidRPr="00497710">
        <w:rPr>
          <w:rFonts w:ascii="Times New Roman" w:eastAsiaTheme="minorHAnsi" w:hAnsi="Times New Roman" w:cs="Times New Roman"/>
          <w:sz w:val="24"/>
        </w:rPr>
        <w:t xml:space="preserve">likumu par valsts budžetu </w:t>
      </w:r>
      <w:r>
        <w:rPr>
          <w:rFonts w:ascii="Times New Roman" w:eastAsiaTheme="minorHAnsi" w:hAnsi="Times New Roman" w:cs="Times New Roman"/>
          <w:sz w:val="24"/>
        </w:rPr>
        <w:t xml:space="preserve">kārtējam gadam </w:t>
      </w:r>
      <w:r w:rsidRPr="00497710">
        <w:rPr>
          <w:rFonts w:ascii="Times New Roman" w:eastAsiaTheme="minorHAnsi" w:hAnsi="Times New Roman" w:cs="Times New Roman"/>
          <w:sz w:val="24"/>
        </w:rPr>
        <w:t xml:space="preserve">un </w:t>
      </w:r>
      <w:r>
        <w:rPr>
          <w:rFonts w:ascii="Times New Roman" w:eastAsiaTheme="minorHAnsi" w:hAnsi="Times New Roman" w:cs="Times New Roman"/>
          <w:sz w:val="24"/>
        </w:rPr>
        <w:t xml:space="preserve">vidēja termiņa </w:t>
      </w:r>
      <w:r w:rsidRPr="00497710">
        <w:rPr>
          <w:rFonts w:ascii="Times New Roman" w:eastAsiaTheme="minorHAnsi" w:hAnsi="Times New Roman" w:cs="Times New Roman"/>
          <w:sz w:val="24"/>
        </w:rPr>
        <w:t>budžeta ietvaru</w:t>
      </w:r>
      <w:r w:rsidRPr="007D518F">
        <w:rPr>
          <w:rFonts w:ascii="Times New Roman" w:eastAsiaTheme="minorHAnsi" w:hAnsi="Times New Roman" w:cs="Times New Roman"/>
          <w:sz w:val="24"/>
        </w:rPr>
        <w:t xml:space="preserve">, FM ņem vērā attiecīgās komercsabiedrības ietekmi uz budžeta bilanci. Vienlaicīgi </w:t>
      </w:r>
      <w:r w:rsidRPr="00497710">
        <w:rPr>
          <w:rFonts w:ascii="Times New Roman" w:eastAsiaTheme="minorHAnsi" w:hAnsi="Times New Roman" w:cs="Times New Roman"/>
          <w:sz w:val="24"/>
        </w:rPr>
        <w:t xml:space="preserve">likumā par valsts budžetu </w:t>
      </w:r>
      <w:r>
        <w:rPr>
          <w:rFonts w:ascii="Times New Roman" w:eastAsiaTheme="minorHAnsi" w:hAnsi="Times New Roman" w:cs="Times New Roman"/>
          <w:sz w:val="24"/>
        </w:rPr>
        <w:t xml:space="preserve">kārtējam gadam </w:t>
      </w:r>
      <w:r w:rsidRPr="00497710">
        <w:rPr>
          <w:rFonts w:ascii="Times New Roman" w:eastAsiaTheme="minorHAnsi" w:hAnsi="Times New Roman" w:cs="Times New Roman"/>
          <w:sz w:val="24"/>
        </w:rPr>
        <w:t xml:space="preserve">un </w:t>
      </w:r>
      <w:r>
        <w:rPr>
          <w:rFonts w:ascii="Times New Roman" w:eastAsiaTheme="minorHAnsi" w:hAnsi="Times New Roman" w:cs="Times New Roman"/>
          <w:sz w:val="24"/>
        </w:rPr>
        <w:t xml:space="preserve">vidēja termiņa </w:t>
      </w:r>
      <w:r w:rsidRPr="00497710">
        <w:rPr>
          <w:rFonts w:ascii="Times New Roman" w:eastAsiaTheme="minorHAnsi" w:hAnsi="Times New Roman" w:cs="Times New Roman"/>
          <w:sz w:val="24"/>
        </w:rPr>
        <w:t>budžeta ietvaru</w:t>
      </w:r>
      <w:r w:rsidRPr="007D518F">
        <w:rPr>
          <w:rFonts w:ascii="Times New Roman" w:eastAsiaTheme="minorHAnsi" w:hAnsi="Times New Roman" w:cs="Times New Roman"/>
          <w:sz w:val="24"/>
        </w:rPr>
        <w:t xml:space="preserve"> ietvertais pieklasificēto kapitālsabiedrību regulējums, kas ierobežo to neplānotas darbības ietekmi uz budžeta izpildes datiem, ir būtisks elements, kas uzrāda pozitīvu pienesumu dotā riska mazināšanai.</w:t>
      </w:r>
      <w:r w:rsidRPr="0037264A">
        <w:rPr>
          <w:rFonts w:ascii="Times New Roman" w:eastAsiaTheme="minorHAnsi" w:hAnsi="Times New Roman" w:cs="Times New Roman"/>
          <w:sz w:val="24"/>
        </w:rPr>
        <w:t xml:space="preserve"> </w:t>
      </w:r>
    </w:p>
    <w:p w14:paraId="7E6231E1" w14:textId="77777777" w:rsidR="0030079D" w:rsidRDefault="0030079D" w:rsidP="00497710">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52E810D6" w14:textId="1F588B14" w:rsidR="001C02DC" w:rsidRPr="001054F7" w:rsidRDefault="001C02DC" w:rsidP="001C02DC">
      <w:pPr>
        <w:autoSpaceDE w:val="0"/>
        <w:autoSpaceDN w:val="0"/>
        <w:adjustRightInd w:val="0"/>
        <w:spacing w:line="240" w:lineRule="auto"/>
        <w:jc w:val="right"/>
        <w:rPr>
          <w:rFonts w:ascii="Times New Roman" w:hAnsi="Times New Roman" w:cs="Times New Roman"/>
          <w:color w:val="000000"/>
          <w:sz w:val="24"/>
          <w:szCs w:val="24"/>
          <w:highlight w:val="yellow"/>
        </w:rPr>
      </w:pPr>
      <w:r w:rsidRPr="00075814">
        <w:rPr>
          <w:rFonts w:ascii="Times New Roman" w:eastAsiaTheme="minorHAnsi" w:hAnsi="Times New Roman" w:cs="Times New Roman"/>
          <w:b/>
          <w:color w:val="000000"/>
          <w:sz w:val="24"/>
          <w:szCs w:val="20"/>
        </w:rPr>
        <w:t>Tabula Nr.</w:t>
      </w:r>
      <w:r w:rsidR="000C19C5">
        <w:rPr>
          <w:rFonts w:ascii="Times New Roman" w:eastAsiaTheme="minorHAnsi" w:hAnsi="Times New Roman" w:cs="Times New Roman"/>
          <w:b/>
          <w:color w:val="000000"/>
          <w:sz w:val="24"/>
          <w:szCs w:val="20"/>
        </w:rPr>
        <w:t>2.10.2</w:t>
      </w:r>
      <w:r w:rsidRPr="00075814">
        <w:rPr>
          <w:rFonts w:ascii="Times New Roman" w:eastAsiaTheme="minorHAnsi" w:hAnsi="Times New Roman" w:cs="Times New Roman"/>
          <w:b/>
          <w:color w:val="000000"/>
          <w:sz w:val="24"/>
          <w:szCs w:val="20"/>
        </w:rPr>
        <w:t xml:space="preserve"> Vispārējās valdības sektorā klasificēto komercsabiedrību plānotā un faktiskā ietekme uz budžeta bilanci</w:t>
      </w:r>
      <w:r w:rsidR="00FD33F0">
        <w:rPr>
          <w:rFonts w:ascii="Times New Roman" w:eastAsiaTheme="minorHAnsi" w:hAnsi="Times New Roman" w:cs="Times New Roman"/>
          <w:b/>
          <w:color w:val="000000"/>
          <w:sz w:val="24"/>
          <w:szCs w:val="20"/>
        </w:rPr>
        <w:t>,</w:t>
      </w:r>
      <w:r w:rsidRPr="00075814">
        <w:rPr>
          <w:rFonts w:ascii="Times New Roman" w:eastAsiaTheme="minorHAnsi" w:hAnsi="Times New Roman" w:cs="Times New Roman"/>
          <w:b/>
          <w:color w:val="000000"/>
          <w:sz w:val="24"/>
          <w:szCs w:val="20"/>
        </w:rPr>
        <w:t xml:space="preserve"> milj. </w:t>
      </w:r>
      <w:proofErr w:type="spellStart"/>
      <w:r w:rsidRPr="00075814">
        <w:rPr>
          <w:rFonts w:ascii="Times New Roman" w:eastAsiaTheme="minorHAnsi" w:hAnsi="Times New Roman" w:cs="Times New Roman"/>
          <w:b/>
          <w:i/>
          <w:color w:val="000000"/>
          <w:sz w:val="24"/>
          <w:szCs w:val="20"/>
        </w:rPr>
        <w:t>euro</w:t>
      </w:r>
      <w:proofErr w:type="spellEnd"/>
      <w:r w:rsidRPr="00075814">
        <w:rPr>
          <w:rFonts w:ascii="Times New Roman" w:eastAsiaTheme="minorHAnsi" w:hAnsi="Times New Roman" w:cs="Times New Roman"/>
          <w:b/>
          <w:color w:val="000000"/>
          <w:sz w:val="24"/>
          <w:szCs w:val="20"/>
        </w:rPr>
        <w:t>*</w:t>
      </w:r>
      <w:r w:rsidRPr="001054F7">
        <w:rPr>
          <w:rFonts w:ascii="Times New Roman" w:eastAsiaTheme="minorHAnsi" w:hAnsi="Times New Roman" w:cs="Times New Roman"/>
          <w:b/>
          <w:color w:val="000000"/>
          <w:sz w:val="24"/>
          <w:szCs w:val="20"/>
          <w:highlight w:val="yellow"/>
        </w:rPr>
        <w:t xml:space="preserve"> </w:t>
      </w:r>
    </w:p>
    <w:tbl>
      <w:tblPr>
        <w:tblStyle w:val="GridTable6Colorful-Accent11"/>
        <w:tblW w:w="10038" w:type="dxa"/>
        <w:jc w:val="center"/>
        <w:tblLayout w:type="fixed"/>
        <w:tblLook w:val="04A0" w:firstRow="1" w:lastRow="0" w:firstColumn="1" w:lastColumn="0" w:noHBand="0" w:noVBand="1"/>
      </w:tblPr>
      <w:tblGrid>
        <w:gridCol w:w="2338"/>
        <w:gridCol w:w="758"/>
        <w:gridCol w:w="758"/>
        <w:gridCol w:w="757"/>
        <w:gridCol w:w="757"/>
        <w:gridCol w:w="757"/>
        <w:gridCol w:w="757"/>
        <w:gridCol w:w="757"/>
        <w:gridCol w:w="757"/>
        <w:gridCol w:w="821"/>
        <w:gridCol w:w="821"/>
      </w:tblGrid>
      <w:tr w:rsidR="002B08D7" w:rsidRPr="00B63917" w14:paraId="2322D528" w14:textId="1A30D446" w:rsidTr="00BE416D">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2BDAC0FA" w14:textId="77777777" w:rsidR="002B08D7" w:rsidRPr="00BE416D" w:rsidRDefault="002B08D7" w:rsidP="00D75116">
            <w:pPr>
              <w:jc w:val="center"/>
              <w:rPr>
                <w:rFonts w:eastAsia="Times New Roman" w:cs="Times New Roman"/>
                <w:bCs w:val="0"/>
                <w:color w:val="auto"/>
                <w:sz w:val="22"/>
                <w:lang w:eastAsia="lv-LV"/>
              </w:rPr>
            </w:pPr>
          </w:p>
        </w:tc>
        <w:tc>
          <w:tcPr>
            <w:tcW w:w="680" w:type="dxa"/>
            <w:vAlign w:val="center"/>
          </w:tcPr>
          <w:p w14:paraId="022A0B7E"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2013</w:t>
            </w:r>
          </w:p>
        </w:tc>
        <w:tc>
          <w:tcPr>
            <w:tcW w:w="680" w:type="dxa"/>
            <w:vAlign w:val="center"/>
          </w:tcPr>
          <w:p w14:paraId="22079DFE"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2014</w:t>
            </w:r>
          </w:p>
        </w:tc>
        <w:tc>
          <w:tcPr>
            <w:tcW w:w="680" w:type="dxa"/>
            <w:vAlign w:val="center"/>
          </w:tcPr>
          <w:p w14:paraId="1944DC1D"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2015</w:t>
            </w:r>
          </w:p>
        </w:tc>
        <w:tc>
          <w:tcPr>
            <w:tcW w:w="680" w:type="dxa"/>
            <w:vAlign w:val="center"/>
          </w:tcPr>
          <w:p w14:paraId="01BD0FEB"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2016</w:t>
            </w:r>
          </w:p>
        </w:tc>
        <w:tc>
          <w:tcPr>
            <w:tcW w:w="680" w:type="dxa"/>
            <w:vAlign w:val="center"/>
          </w:tcPr>
          <w:p w14:paraId="4D185382"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2017</w:t>
            </w:r>
          </w:p>
        </w:tc>
        <w:tc>
          <w:tcPr>
            <w:tcW w:w="680" w:type="dxa"/>
            <w:vAlign w:val="center"/>
          </w:tcPr>
          <w:p w14:paraId="3948715B"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2018</w:t>
            </w:r>
          </w:p>
        </w:tc>
        <w:tc>
          <w:tcPr>
            <w:tcW w:w="680" w:type="dxa"/>
            <w:vAlign w:val="center"/>
          </w:tcPr>
          <w:p w14:paraId="2B317359" w14:textId="5201A569"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2"/>
                <w:lang w:eastAsia="lv-LV"/>
              </w:rPr>
            </w:pPr>
            <w:r w:rsidRPr="00BE416D">
              <w:rPr>
                <w:rFonts w:eastAsia="Times New Roman" w:cs="Times New Roman"/>
                <w:color w:val="000000" w:themeColor="text1"/>
                <w:sz w:val="22"/>
                <w:lang w:eastAsia="lv-LV"/>
              </w:rPr>
              <w:t>2019</w:t>
            </w:r>
          </w:p>
        </w:tc>
        <w:tc>
          <w:tcPr>
            <w:tcW w:w="680" w:type="dxa"/>
            <w:vAlign w:val="center"/>
          </w:tcPr>
          <w:p w14:paraId="7A52FE81" w14:textId="43194780"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2"/>
                <w:lang w:eastAsia="lv-LV"/>
              </w:rPr>
            </w:pPr>
            <w:r w:rsidRPr="00BE416D">
              <w:rPr>
                <w:rFonts w:eastAsia="Times New Roman" w:cs="Times New Roman"/>
                <w:color w:val="000000" w:themeColor="text1"/>
                <w:sz w:val="22"/>
                <w:lang w:eastAsia="lv-LV"/>
              </w:rPr>
              <w:t>2020</w:t>
            </w:r>
          </w:p>
        </w:tc>
        <w:tc>
          <w:tcPr>
            <w:tcW w:w="737" w:type="dxa"/>
            <w:vAlign w:val="center"/>
          </w:tcPr>
          <w:p w14:paraId="6EE7175D" w14:textId="5060CAE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2"/>
                <w:lang w:eastAsia="lv-LV"/>
              </w:rPr>
            </w:pPr>
            <w:r w:rsidRPr="00BE416D">
              <w:rPr>
                <w:rFonts w:eastAsia="Times New Roman" w:cs="Times New Roman"/>
                <w:color w:val="000000" w:themeColor="text1"/>
                <w:sz w:val="22"/>
                <w:lang w:eastAsia="lv-LV"/>
              </w:rPr>
              <w:t>2021</w:t>
            </w:r>
          </w:p>
        </w:tc>
        <w:tc>
          <w:tcPr>
            <w:tcW w:w="737" w:type="dxa"/>
            <w:vAlign w:val="center"/>
          </w:tcPr>
          <w:p w14:paraId="5E4C3667" w14:textId="0F903DF8" w:rsidR="002B08D7" w:rsidRPr="00BE416D" w:rsidRDefault="002B08D7" w:rsidP="00ED65C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BE416D">
              <w:rPr>
                <w:rFonts w:eastAsia="Times New Roman" w:cs="Times New Roman"/>
                <w:color w:val="000000" w:themeColor="text1"/>
                <w:sz w:val="22"/>
                <w:lang w:eastAsia="lv-LV"/>
              </w:rPr>
              <w:t>2022</w:t>
            </w:r>
          </w:p>
        </w:tc>
      </w:tr>
      <w:tr w:rsidR="000C19C5" w:rsidRPr="00B63917" w14:paraId="5DD70B23" w14:textId="2CCFF75E" w:rsidTr="00BE416D">
        <w:trPr>
          <w:cnfStyle w:val="000000100000" w:firstRow="0" w:lastRow="0" w:firstColumn="0" w:lastColumn="0" w:oddVBand="0" w:evenVBand="0" w:oddHBand="1"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A581F60" w14:textId="77777777" w:rsidR="002B08D7" w:rsidRPr="00BA58D9" w:rsidRDefault="002B08D7" w:rsidP="00CE4C3B">
            <w:pPr>
              <w:rPr>
                <w:rFonts w:eastAsia="Times New Roman" w:cs="Times New Roman"/>
                <w:bCs w:val="0"/>
                <w:color w:val="auto"/>
                <w:sz w:val="21"/>
                <w:szCs w:val="21"/>
                <w:lang w:eastAsia="lv-LV"/>
              </w:rPr>
            </w:pPr>
            <w:r w:rsidRPr="00BA58D9">
              <w:rPr>
                <w:rFonts w:eastAsia="Times New Roman" w:cs="Times New Roman"/>
                <w:color w:val="auto"/>
                <w:sz w:val="21"/>
                <w:szCs w:val="21"/>
                <w:lang w:eastAsia="lv-LV"/>
              </w:rPr>
              <w:t>Vispārējās valdības sektorā klasificēto komercsabiedrību bilance (budžeta plāns)</w:t>
            </w:r>
          </w:p>
        </w:tc>
        <w:tc>
          <w:tcPr>
            <w:tcW w:w="680" w:type="dxa"/>
            <w:vAlign w:val="center"/>
          </w:tcPr>
          <w:p w14:paraId="71B8500F"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-69,6</w:t>
            </w:r>
          </w:p>
        </w:tc>
        <w:tc>
          <w:tcPr>
            <w:tcW w:w="680" w:type="dxa"/>
            <w:vAlign w:val="center"/>
          </w:tcPr>
          <w:p w14:paraId="46E43367"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-36,0</w:t>
            </w:r>
          </w:p>
        </w:tc>
        <w:tc>
          <w:tcPr>
            <w:tcW w:w="680" w:type="dxa"/>
            <w:vAlign w:val="center"/>
          </w:tcPr>
          <w:p w14:paraId="3B94DC3F"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-44,6</w:t>
            </w:r>
          </w:p>
        </w:tc>
        <w:tc>
          <w:tcPr>
            <w:tcW w:w="680" w:type="dxa"/>
            <w:vAlign w:val="center"/>
          </w:tcPr>
          <w:p w14:paraId="58D230F4"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20,3</w:t>
            </w:r>
          </w:p>
        </w:tc>
        <w:tc>
          <w:tcPr>
            <w:tcW w:w="680" w:type="dxa"/>
            <w:vAlign w:val="center"/>
          </w:tcPr>
          <w:p w14:paraId="12ACF934"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33,7</w:t>
            </w:r>
          </w:p>
        </w:tc>
        <w:tc>
          <w:tcPr>
            <w:tcW w:w="680" w:type="dxa"/>
            <w:vAlign w:val="center"/>
          </w:tcPr>
          <w:p w14:paraId="10E0FD56"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18,9</w:t>
            </w:r>
          </w:p>
        </w:tc>
        <w:tc>
          <w:tcPr>
            <w:tcW w:w="680" w:type="dxa"/>
            <w:vAlign w:val="center"/>
          </w:tcPr>
          <w:p w14:paraId="22637D9F"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14,3</w:t>
            </w:r>
          </w:p>
        </w:tc>
        <w:tc>
          <w:tcPr>
            <w:tcW w:w="680" w:type="dxa"/>
            <w:vAlign w:val="center"/>
          </w:tcPr>
          <w:p w14:paraId="141338D3" w14:textId="49254F31"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-57,1</w:t>
            </w:r>
          </w:p>
        </w:tc>
        <w:tc>
          <w:tcPr>
            <w:tcW w:w="737" w:type="dxa"/>
            <w:vAlign w:val="center"/>
          </w:tcPr>
          <w:p w14:paraId="47A30E8B" w14:textId="3E7D1DEF"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-46,1</w:t>
            </w:r>
          </w:p>
        </w:tc>
        <w:tc>
          <w:tcPr>
            <w:tcW w:w="737" w:type="dxa"/>
            <w:vAlign w:val="center"/>
          </w:tcPr>
          <w:p w14:paraId="4151A4D8" w14:textId="78855974" w:rsidR="002B08D7" w:rsidRPr="00BA58D9" w:rsidRDefault="002B08D7" w:rsidP="00ED65C3">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-72,1</w:t>
            </w:r>
          </w:p>
        </w:tc>
      </w:tr>
      <w:tr w:rsidR="002B08D7" w:rsidRPr="00B63917" w14:paraId="7D537900" w14:textId="742DC82F" w:rsidTr="00BE416D">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DD31768" w14:textId="252F3BB7" w:rsidR="002B08D7" w:rsidRPr="00BA58D9" w:rsidRDefault="002B08D7" w:rsidP="00CE4C3B">
            <w:pPr>
              <w:rPr>
                <w:rFonts w:eastAsia="Times New Roman" w:cs="Times New Roman"/>
                <w:bCs w:val="0"/>
                <w:color w:val="auto"/>
                <w:sz w:val="21"/>
                <w:szCs w:val="21"/>
                <w:lang w:eastAsia="lv-LV"/>
              </w:rPr>
            </w:pPr>
            <w:r w:rsidRPr="00BA58D9">
              <w:rPr>
                <w:rFonts w:eastAsia="Times New Roman" w:cs="Times New Roman"/>
                <w:color w:val="auto"/>
                <w:sz w:val="21"/>
                <w:szCs w:val="21"/>
                <w:lang w:eastAsia="lv-LV"/>
              </w:rPr>
              <w:t>Vispārējās valdības sektorā klasificēto komercsabiedrību bilance (izpilde)</w:t>
            </w:r>
          </w:p>
        </w:tc>
        <w:tc>
          <w:tcPr>
            <w:tcW w:w="680" w:type="dxa"/>
            <w:vAlign w:val="center"/>
          </w:tcPr>
          <w:p w14:paraId="4635B484" w14:textId="562AB446"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-91,9</w:t>
            </w:r>
          </w:p>
        </w:tc>
        <w:tc>
          <w:tcPr>
            <w:tcW w:w="680" w:type="dxa"/>
            <w:vAlign w:val="center"/>
          </w:tcPr>
          <w:p w14:paraId="155B0D96"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-50,5</w:t>
            </w:r>
          </w:p>
        </w:tc>
        <w:tc>
          <w:tcPr>
            <w:tcW w:w="680" w:type="dxa"/>
            <w:vAlign w:val="center"/>
          </w:tcPr>
          <w:p w14:paraId="612500F7"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-24,1</w:t>
            </w:r>
          </w:p>
        </w:tc>
        <w:tc>
          <w:tcPr>
            <w:tcW w:w="680" w:type="dxa"/>
            <w:vAlign w:val="center"/>
          </w:tcPr>
          <w:p w14:paraId="63A2FCE3"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19,2</w:t>
            </w:r>
          </w:p>
        </w:tc>
        <w:tc>
          <w:tcPr>
            <w:tcW w:w="680" w:type="dxa"/>
            <w:vAlign w:val="center"/>
          </w:tcPr>
          <w:p w14:paraId="7ECC85A6"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-40,9</w:t>
            </w:r>
          </w:p>
        </w:tc>
        <w:tc>
          <w:tcPr>
            <w:tcW w:w="680" w:type="dxa"/>
            <w:vAlign w:val="center"/>
          </w:tcPr>
          <w:p w14:paraId="073034CF"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1"/>
                <w:szCs w:val="21"/>
                <w:lang w:eastAsia="lv-LV"/>
              </w:rPr>
            </w:pPr>
            <w:r w:rsidRPr="00BA58D9">
              <w:rPr>
                <w:color w:val="000000"/>
                <w:sz w:val="21"/>
                <w:szCs w:val="21"/>
              </w:rPr>
              <w:t>-65,4</w:t>
            </w:r>
          </w:p>
        </w:tc>
        <w:tc>
          <w:tcPr>
            <w:tcW w:w="680" w:type="dxa"/>
            <w:vAlign w:val="center"/>
          </w:tcPr>
          <w:p w14:paraId="5F669448" w14:textId="3F52D605"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27,8</w:t>
            </w:r>
          </w:p>
        </w:tc>
        <w:tc>
          <w:tcPr>
            <w:tcW w:w="680" w:type="dxa"/>
            <w:vAlign w:val="center"/>
          </w:tcPr>
          <w:p w14:paraId="4A14222B" w14:textId="67E94991"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33,4</w:t>
            </w:r>
          </w:p>
        </w:tc>
        <w:tc>
          <w:tcPr>
            <w:tcW w:w="737" w:type="dxa"/>
            <w:vAlign w:val="center"/>
          </w:tcPr>
          <w:p w14:paraId="073B57CA" w14:textId="10AFC843"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-12,5^</w:t>
            </w:r>
          </w:p>
        </w:tc>
        <w:tc>
          <w:tcPr>
            <w:tcW w:w="737" w:type="dxa"/>
            <w:vAlign w:val="center"/>
          </w:tcPr>
          <w:p w14:paraId="1B65AB7D" w14:textId="4999C32D" w:rsidR="002B08D7" w:rsidRPr="00BA58D9" w:rsidRDefault="002B08D7" w:rsidP="002B08D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-23,8^</w:t>
            </w:r>
          </w:p>
        </w:tc>
      </w:tr>
      <w:tr w:rsidR="000C19C5" w:rsidRPr="00B63917" w14:paraId="3AC28108" w14:textId="267089FE" w:rsidTr="00BE41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655F5F5" w14:textId="77777777" w:rsidR="002B08D7" w:rsidRPr="00BA58D9" w:rsidRDefault="002B08D7" w:rsidP="00CE4C3B">
            <w:pPr>
              <w:rPr>
                <w:rFonts w:eastAsia="Times New Roman" w:cs="Times New Roman"/>
                <w:bCs w:val="0"/>
                <w:color w:val="auto"/>
                <w:sz w:val="21"/>
                <w:szCs w:val="21"/>
                <w:lang w:eastAsia="lv-LV"/>
              </w:rPr>
            </w:pPr>
            <w:r w:rsidRPr="00BA58D9">
              <w:rPr>
                <w:rFonts w:eastAsia="Times New Roman" w:cs="Times New Roman"/>
                <w:color w:val="auto"/>
                <w:sz w:val="21"/>
                <w:szCs w:val="21"/>
                <w:lang w:eastAsia="lv-LV"/>
              </w:rPr>
              <w:t>Faktiskās bilances novirze no plāna</w:t>
            </w:r>
          </w:p>
        </w:tc>
        <w:tc>
          <w:tcPr>
            <w:tcW w:w="680" w:type="dxa"/>
            <w:vAlign w:val="center"/>
          </w:tcPr>
          <w:p w14:paraId="2AC95C59"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-22,2</w:t>
            </w:r>
          </w:p>
        </w:tc>
        <w:tc>
          <w:tcPr>
            <w:tcW w:w="680" w:type="dxa"/>
            <w:vAlign w:val="center"/>
          </w:tcPr>
          <w:p w14:paraId="09E8797C"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-14,5</w:t>
            </w:r>
          </w:p>
        </w:tc>
        <w:tc>
          <w:tcPr>
            <w:tcW w:w="680" w:type="dxa"/>
            <w:vAlign w:val="center"/>
          </w:tcPr>
          <w:p w14:paraId="36893189"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20,6</w:t>
            </w:r>
          </w:p>
        </w:tc>
        <w:tc>
          <w:tcPr>
            <w:tcW w:w="680" w:type="dxa"/>
            <w:vAlign w:val="center"/>
          </w:tcPr>
          <w:p w14:paraId="483E240B"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-1,0</w:t>
            </w:r>
          </w:p>
        </w:tc>
        <w:tc>
          <w:tcPr>
            <w:tcW w:w="680" w:type="dxa"/>
            <w:vAlign w:val="center"/>
          </w:tcPr>
          <w:p w14:paraId="12F99A95"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-74,6</w:t>
            </w:r>
          </w:p>
        </w:tc>
        <w:tc>
          <w:tcPr>
            <w:tcW w:w="680" w:type="dxa"/>
            <w:vAlign w:val="center"/>
          </w:tcPr>
          <w:p w14:paraId="0CABFEC7"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1"/>
                <w:szCs w:val="21"/>
                <w:lang w:eastAsia="lv-LV"/>
              </w:rPr>
            </w:pPr>
            <w:r w:rsidRPr="00BA58D9">
              <w:rPr>
                <w:b/>
                <w:color w:val="000000"/>
                <w:sz w:val="21"/>
                <w:szCs w:val="21"/>
              </w:rPr>
              <w:t>-84,4</w:t>
            </w:r>
          </w:p>
        </w:tc>
        <w:tc>
          <w:tcPr>
            <w:tcW w:w="680" w:type="dxa"/>
            <w:vAlign w:val="center"/>
          </w:tcPr>
          <w:p w14:paraId="3D59D80F" w14:textId="7BB83203"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13,5</w:t>
            </w:r>
          </w:p>
        </w:tc>
        <w:tc>
          <w:tcPr>
            <w:tcW w:w="680" w:type="dxa"/>
            <w:vAlign w:val="center"/>
          </w:tcPr>
          <w:p w14:paraId="33ACCBB8" w14:textId="6463A455"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90,6</w:t>
            </w:r>
          </w:p>
        </w:tc>
        <w:tc>
          <w:tcPr>
            <w:tcW w:w="737" w:type="dxa"/>
            <w:vAlign w:val="center"/>
          </w:tcPr>
          <w:p w14:paraId="426339F6" w14:textId="74A37B13"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33,6</w:t>
            </w:r>
          </w:p>
        </w:tc>
        <w:tc>
          <w:tcPr>
            <w:tcW w:w="737" w:type="dxa"/>
            <w:vAlign w:val="center"/>
          </w:tcPr>
          <w:p w14:paraId="466A95DD" w14:textId="03029E3E" w:rsidR="002B08D7" w:rsidRPr="00BA58D9" w:rsidRDefault="002B08D7" w:rsidP="002B08D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48,3</w:t>
            </w:r>
          </w:p>
        </w:tc>
      </w:tr>
    </w:tbl>
    <w:p w14:paraId="7C627FB3" w14:textId="02FE2D5C" w:rsidR="001C02DC" w:rsidRPr="0037264A" w:rsidRDefault="001C02DC" w:rsidP="002D428D">
      <w:pPr>
        <w:spacing w:after="0" w:line="240" w:lineRule="auto"/>
        <w:ind w:left="-142"/>
        <w:jc w:val="both"/>
        <w:rPr>
          <w:rFonts w:ascii="Times New Roman" w:hAnsi="Times New Roman" w:cs="Times New Roman"/>
          <w:sz w:val="20"/>
          <w:szCs w:val="20"/>
        </w:rPr>
      </w:pPr>
      <w:r w:rsidRPr="0037264A">
        <w:rPr>
          <w:rFonts w:ascii="Times New Roman" w:hAnsi="Times New Roman" w:cs="Times New Roman"/>
          <w:sz w:val="20"/>
          <w:szCs w:val="20"/>
        </w:rPr>
        <w:t>*Neskaitot akciju sabiedrības EP</w:t>
      </w:r>
      <w:r w:rsidR="001C4E38">
        <w:rPr>
          <w:rFonts w:ascii="Times New Roman" w:hAnsi="Times New Roman" w:cs="Times New Roman"/>
          <w:sz w:val="20"/>
          <w:szCs w:val="20"/>
        </w:rPr>
        <w:t>T</w:t>
      </w:r>
      <w:r w:rsidRPr="0037264A">
        <w:rPr>
          <w:rFonts w:ascii="Times New Roman" w:hAnsi="Times New Roman" w:cs="Times New Roman"/>
          <w:sz w:val="20"/>
          <w:szCs w:val="20"/>
        </w:rPr>
        <w:t xml:space="preserve"> ietekmi.</w:t>
      </w:r>
    </w:p>
    <w:p w14:paraId="69C9E60B" w14:textId="6B1D138C" w:rsidR="001C02DC" w:rsidRPr="0037264A" w:rsidRDefault="00E54C62" w:rsidP="002D428D">
      <w:pPr>
        <w:spacing w:after="0" w:line="240" w:lineRule="auto"/>
        <w:ind w:left="-142"/>
        <w:jc w:val="both"/>
        <w:rPr>
          <w:rFonts w:ascii="Times New Roman" w:hAnsi="Times New Roman" w:cs="Times New Roman"/>
          <w:sz w:val="20"/>
          <w:szCs w:val="20"/>
        </w:rPr>
      </w:pPr>
      <w:r>
        <w:rPr>
          <w:rFonts w:ascii="Times New Roman" w:hAnsi="Times New Roman" w:cs="Times New Roman"/>
          <w:sz w:val="20"/>
          <w:szCs w:val="20"/>
        </w:rPr>
        <w:t>^</w:t>
      </w:r>
      <w:r w:rsidR="009F77D2" w:rsidRPr="00931EF1">
        <w:rPr>
          <w:rFonts w:ascii="Times New Roman" w:hAnsi="Times New Roman" w:cs="Times New Roman"/>
          <w:i/>
          <w:sz w:val="20"/>
          <w:szCs w:val="24"/>
        </w:rPr>
        <w:t xml:space="preserve">saskaņā ar </w:t>
      </w:r>
      <w:proofErr w:type="spellStart"/>
      <w:r w:rsidR="009F77D2">
        <w:rPr>
          <w:rFonts w:ascii="Times New Roman" w:hAnsi="Times New Roman" w:cs="Times New Roman"/>
          <w:i/>
          <w:sz w:val="20"/>
          <w:szCs w:val="24"/>
        </w:rPr>
        <w:t>Eurostat</w:t>
      </w:r>
      <w:proofErr w:type="spellEnd"/>
      <w:r w:rsidR="009F77D2">
        <w:rPr>
          <w:rFonts w:ascii="Times New Roman" w:hAnsi="Times New Roman" w:cs="Times New Roman"/>
          <w:i/>
          <w:sz w:val="20"/>
          <w:szCs w:val="24"/>
        </w:rPr>
        <w:t xml:space="preserve"> 2023.gada aprīļa vispārējās valdības budžeta notifikācijas datiem</w:t>
      </w:r>
      <w:r w:rsidR="009F77D2" w:rsidRPr="001054F7">
        <w:rPr>
          <w:rFonts w:ascii="Times New Roman" w:hAnsi="Times New Roman" w:cs="Times New Roman"/>
          <w:bCs/>
          <w:sz w:val="24"/>
          <w:szCs w:val="24"/>
          <w:highlight w:val="yellow"/>
        </w:rPr>
        <w:t xml:space="preserve"> </w:t>
      </w:r>
    </w:p>
    <w:p w14:paraId="6FE22D12" w14:textId="77777777" w:rsidR="001C02DC" w:rsidRDefault="001C02DC" w:rsidP="00BA7CFE">
      <w:pPr>
        <w:spacing w:after="0" w:line="240" w:lineRule="auto"/>
        <w:ind w:firstLine="720"/>
        <w:jc w:val="both"/>
        <w:rPr>
          <w:rFonts w:ascii="Times New Roman" w:eastAsiaTheme="minorHAnsi" w:hAnsi="Times New Roman" w:cs="Times New Roman"/>
          <w:sz w:val="24"/>
        </w:rPr>
      </w:pPr>
    </w:p>
    <w:p w14:paraId="3A36FFBA" w14:textId="77777777" w:rsidR="00502877" w:rsidRPr="00777B63" w:rsidRDefault="00502877" w:rsidP="00502877">
      <w:pPr>
        <w:spacing w:after="0"/>
        <w:ind w:firstLine="706"/>
        <w:jc w:val="both"/>
        <w:rPr>
          <w:rFonts w:ascii="Times New Roman" w:eastAsia="Calibri" w:hAnsi="Times New Roman" w:cs="Times New Roman"/>
          <w:color w:val="000000" w:themeColor="text1"/>
          <w:sz w:val="24"/>
          <w:szCs w:val="24"/>
        </w:rPr>
      </w:pPr>
      <w:r w:rsidRPr="00777B63">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2</w:t>
      </w:r>
      <w:r w:rsidRPr="00777B63">
        <w:rPr>
          <w:rFonts w:ascii="Times New Roman" w:hAnsi="Times New Roman" w:cs="Times New Roman"/>
          <w:color w:val="000000" w:themeColor="text1"/>
          <w:sz w:val="24"/>
          <w:szCs w:val="24"/>
        </w:rPr>
        <w:t xml:space="preserve">.gada vispārējās valdības klasificēto komercsabiedrību ietekme uz vispārējās valdības budžeta bilanci bija par </w:t>
      </w:r>
      <w:r>
        <w:rPr>
          <w:rFonts w:ascii="Times New Roman" w:hAnsi="Times New Roman" w:cs="Times New Roman"/>
          <w:color w:val="000000" w:themeColor="text1"/>
          <w:sz w:val="24"/>
          <w:szCs w:val="24"/>
        </w:rPr>
        <w:t xml:space="preserve">48,3 </w:t>
      </w:r>
      <w:r w:rsidRPr="00777B63">
        <w:rPr>
          <w:rFonts w:ascii="Times New Roman" w:hAnsi="Times New Roman" w:cs="Times New Roman"/>
          <w:color w:val="000000" w:themeColor="text1"/>
          <w:sz w:val="24"/>
          <w:szCs w:val="24"/>
        </w:rPr>
        <w:t xml:space="preserve">milj. </w:t>
      </w:r>
      <w:proofErr w:type="spellStart"/>
      <w:r w:rsidRPr="00777B63">
        <w:rPr>
          <w:rFonts w:ascii="Times New Roman" w:hAnsi="Times New Roman" w:cs="Times New Roman"/>
          <w:i/>
          <w:color w:val="000000" w:themeColor="text1"/>
          <w:sz w:val="24"/>
          <w:szCs w:val="24"/>
        </w:rPr>
        <w:t>euro</w:t>
      </w:r>
      <w:proofErr w:type="spellEnd"/>
      <w:r w:rsidRPr="00777B63">
        <w:rPr>
          <w:rFonts w:ascii="Times New Roman" w:hAnsi="Times New Roman" w:cs="Times New Roman"/>
          <w:color w:val="000000" w:themeColor="text1"/>
          <w:sz w:val="24"/>
          <w:szCs w:val="24"/>
        </w:rPr>
        <w:t xml:space="preserve"> pozitīvāka kā sākotnēji plānots, </w:t>
      </w:r>
      <w:r>
        <w:rPr>
          <w:rFonts w:ascii="Times New Roman" w:hAnsi="Times New Roman" w:cs="Times New Roman"/>
          <w:color w:val="000000" w:themeColor="text1"/>
          <w:sz w:val="24"/>
          <w:szCs w:val="24"/>
        </w:rPr>
        <w:t xml:space="preserve">galvenokārt </w:t>
      </w:r>
      <w:r w:rsidRPr="0058124B">
        <w:rPr>
          <w:rFonts w:ascii="Times New Roman" w:hAnsi="Times New Roman" w:cs="Times New Roman"/>
          <w:sz w:val="24"/>
          <w:szCs w:val="24"/>
        </w:rPr>
        <w:t xml:space="preserve">ņemot vērā nobīdes </w:t>
      </w:r>
      <w:r>
        <w:rPr>
          <w:rFonts w:ascii="Times New Roman" w:hAnsi="Times New Roman" w:cs="Times New Roman"/>
          <w:color w:val="000000" w:themeColor="text1"/>
          <w:sz w:val="24"/>
          <w:szCs w:val="24"/>
        </w:rPr>
        <w:t xml:space="preserve">AS “Pasažieru vilciens” </w:t>
      </w:r>
      <w:r>
        <w:rPr>
          <w:rFonts w:ascii="Times New Roman" w:hAnsi="Times New Roman" w:cs="Times New Roman"/>
          <w:sz w:val="24"/>
          <w:szCs w:val="24"/>
        </w:rPr>
        <w:t>elektrovilcienu piegādes termiņos</w:t>
      </w:r>
      <w:r w:rsidRPr="00777B63">
        <w:rPr>
          <w:rFonts w:ascii="Times New Roman" w:hAnsi="Times New Roman" w:cs="Times New Roman"/>
          <w:color w:val="000000" w:themeColor="text1"/>
          <w:sz w:val="24"/>
          <w:szCs w:val="24"/>
        </w:rPr>
        <w:t xml:space="preserve">. </w:t>
      </w:r>
    </w:p>
    <w:p w14:paraId="72A47B49" w14:textId="28860CC1" w:rsidR="004C6E61" w:rsidRPr="00E21995" w:rsidRDefault="00E17975" w:rsidP="0058124B">
      <w:pPr>
        <w:spacing w:after="0" w:line="240" w:lineRule="auto"/>
        <w:ind w:firstLine="706"/>
        <w:jc w:val="both"/>
        <w:rPr>
          <w:rFonts w:ascii="Times New Roman" w:hAnsi="Times New Roman" w:cs="Times New Roman"/>
          <w:color w:val="000000" w:themeColor="text1"/>
          <w:sz w:val="24"/>
        </w:rPr>
      </w:pPr>
      <w:r w:rsidRPr="00F56613">
        <w:rPr>
          <w:rFonts w:ascii="Times New Roman" w:eastAsia="Calibri" w:hAnsi="Times New Roman" w:cs="Times New Roman"/>
          <w:color w:val="000000" w:themeColor="text1"/>
          <w:sz w:val="24"/>
          <w:szCs w:val="24"/>
        </w:rPr>
        <w:t>Lai uzlabotu fiskālā riska vad</w:t>
      </w:r>
      <w:r w:rsidR="002A63B8" w:rsidRPr="00F56613">
        <w:rPr>
          <w:rFonts w:ascii="Times New Roman" w:eastAsia="Calibri" w:hAnsi="Times New Roman" w:cs="Times New Roman"/>
          <w:color w:val="000000" w:themeColor="text1"/>
          <w:sz w:val="24"/>
          <w:szCs w:val="24"/>
        </w:rPr>
        <w:t>ību</w:t>
      </w:r>
      <w:r w:rsidRPr="00F56613">
        <w:rPr>
          <w:rFonts w:ascii="Times New Roman" w:eastAsia="Calibri" w:hAnsi="Times New Roman" w:cs="Times New Roman"/>
          <w:color w:val="000000" w:themeColor="text1"/>
          <w:sz w:val="24"/>
          <w:szCs w:val="24"/>
        </w:rPr>
        <w:t xml:space="preserve">, </w:t>
      </w:r>
      <w:r w:rsidR="00761C53" w:rsidRPr="00F56613">
        <w:rPr>
          <w:rFonts w:ascii="Times New Roman" w:eastAsia="Calibri" w:hAnsi="Times New Roman" w:cs="Times New Roman"/>
          <w:color w:val="000000" w:themeColor="text1"/>
          <w:sz w:val="24"/>
          <w:szCs w:val="24"/>
        </w:rPr>
        <w:t>FM</w:t>
      </w:r>
      <w:r w:rsidRPr="00F56613">
        <w:rPr>
          <w:rFonts w:ascii="Times New Roman" w:eastAsia="Calibri" w:hAnsi="Times New Roman" w:cs="Times New Roman"/>
          <w:color w:val="000000" w:themeColor="text1"/>
          <w:sz w:val="24"/>
          <w:szCs w:val="24"/>
        </w:rPr>
        <w:t xml:space="preserve"> ir veikusi analīzi par </w:t>
      </w:r>
      <w:r w:rsidR="002A63B8" w:rsidRPr="00F56613">
        <w:rPr>
          <w:rFonts w:ascii="Times New Roman" w:eastAsia="Calibri" w:hAnsi="Times New Roman" w:cs="Times New Roman"/>
          <w:color w:val="000000" w:themeColor="text1"/>
          <w:sz w:val="24"/>
          <w:szCs w:val="24"/>
        </w:rPr>
        <w:t>faktiskās saimnieciskās darb</w:t>
      </w:r>
      <w:r w:rsidR="009E311E" w:rsidRPr="00F56613">
        <w:rPr>
          <w:rFonts w:ascii="Times New Roman" w:eastAsia="Calibri" w:hAnsi="Times New Roman" w:cs="Times New Roman"/>
          <w:color w:val="000000" w:themeColor="text1"/>
          <w:sz w:val="24"/>
          <w:szCs w:val="24"/>
        </w:rPr>
        <w:t xml:space="preserve">ības </w:t>
      </w:r>
      <w:r w:rsidR="002A63B8" w:rsidRPr="00F56613">
        <w:rPr>
          <w:rFonts w:ascii="Times New Roman" w:eastAsia="Calibri" w:hAnsi="Times New Roman" w:cs="Times New Roman"/>
          <w:color w:val="000000" w:themeColor="text1"/>
          <w:sz w:val="24"/>
          <w:szCs w:val="24"/>
        </w:rPr>
        <w:t>novirzēm no to prognozētājām vērtībām individuālo komersantu līmenī</w:t>
      </w:r>
      <w:r w:rsidR="009E311E" w:rsidRPr="00F56613">
        <w:rPr>
          <w:rFonts w:ascii="Times New Roman" w:eastAsia="Calibri" w:hAnsi="Times New Roman" w:cs="Times New Roman"/>
          <w:color w:val="000000" w:themeColor="text1"/>
          <w:sz w:val="24"/>
          <w:szCs w:val="24"/>
        </w:rPr>
        <w:t xml:space="preserve">. </w:t>
      </w:r>
      <w:r w:rsidR="00761C53" w:rsidRPr="00F56613">
        <w:rPr>
          <w:rFonts w:ascii="Times New Roman" w:eastAsia="Calibri" w:hAnsi="Times New Roman" w:cs="Times New Roman"/>
          <w:color w:val="000000" w:themeColor="text1"/>
          <w:sz w:val="24"/>
          <w:szCs w:val="24"/>
        </w:rPr>
        <w:t>Analīze uzrāda</w:t>
      </w:r>
      <w:r w:rsidR="009E311E" w:rsidRPr="00F56613">
        <w:rPr>
          <w:rFonts w:ascii="Times New Roman" w:eastAsia="Calibri" w:hAnsi="Times New Roman" w:cs="Times New Roman"/>
          <w:color w:val="000000" w:themeColor="text1"/>
          <w:sz w:val="24"/>
          <w:szCs w:val="24"/>
        </w:rPr>
        <w:t xml:space="preserve">, ka attiecībā uz absolūti lielāko daļu kapitālsabiedrību, kuru potenciālā ietekme varētu būt nozīmīga, novirzes </w:t>
      </w:r>
      <w:r w:rsidR="00761C53" w:rsidRPr="00F56613">
        <w:rPr>
          <w:rFonts w:ascii="Times New Roman" w:eastAsia="Calibri" w:hAnsi="Times New Roman" w:cs="Times New Roman"/>
          <w:color w:val="000000" w:themeColor="text1"/>
          <w:sz w:val="24"/>
          <w:szCs w:val="24"/>
        </w:rPr>
        <w:t xml:space="preserve">individuālo kapitālsabiedrību līmenī </w:t>
      </w:r>
      <w:r w:rsidR="009E311E" w:rsidRPr="00F56613">
        <w:rPr>
          <w:rFonts w:ascii="Times New Roman" w:eastAsia="Calibri" w:hAnsi="Times New Roman" w:cs="Times New Roman"/>
          <w:color w:val="000000" w:themeColor="text1"/>
          <w:sz w:val="24"/>
          <w:szCs w:val="24"/>
        </w:rPr>
        <w:t>uzrāda simetrijas principa ievērošanu.</w:t>
      </w:r>
      <w:r w:rsidR="00761C53" w:rsidRPr="00F56613">
        <w:rPr>
          <w:rFonts w:ascii="Times New Roman" w:eastAsia="Calibri" w:hAnsi="Times New Roman" w:cs="Times New Roman"/>
          <w:color w:val="000000" w:themeColor="text1"/>
          <w:sz w:val="24"/>
          <w:szCs w:val="24"/>
        </w:rPr>
        <w:t xml:space="preserve"> </w:t>
      </w:r>
    </w:p>
    <w:p w14:paraId="5D686ACA" w14:textId="1B2415E5" w:rsidR="00591A2F" w:rsidRPr="00075814" w:rsidRDefault="001D3D94" w:rsidP="0004033A">
      <w:pPr>
        <w:spacing w:after="100" w:afterAutospacing="1" w:line="240" w:lineRule="auto"/>
        <w:ind w:firstLine="720"/>
        <w:jc w:val="both"/>
        <w:rPr>
          <w:rFonts w:ascii="Times New Roman" w:hAnsi="Times New Roman" w:cs="Times New Roman"/>
          <w:sz w:val="24"/>
          <w:szCs w:val="24"/>
        </w:rPr>
      </w:pPr>
      <w:r w:rsidRPr="0037264A">
        <w:rPr>
          <w:rFonts w:ascii="Times New Roman" w:eastAsiaTheme="minorHAnsi" w:hAnsi="Times New Roman" w:cs="Times New Roman"/>
          <w:sz w:val="24"/>
        </w:rPr>
        <w:t>Ņemot vērā</w:t>
      </w:r>
      <w:r w:rsidR="004C6E61">
        <w:rPr>
          <w:rFonts w:ascii="Times New Roman" w:eastAsiaTheme="minorHAnsi" w:hAnsi="Times New Roman" w:cs="Times New Roman"/>
          <w:sz w:val="24"/>
        </w:rPr>
        <w:t xml:space="preserve"> pēdējo gadu tendences, papildu uzraudzības pa</w:t>
      </w:r>
      <w:r w:rsidR="00046FAC">
        <w:rPr>
          <w:rFonts w:ascii="Times New Roman" w:eastAsiaTheme="minorHAnsi" w:hAnsi="Times New Roman" w:cs="Times New Roman"/>
          <w:sz w:val="24"/>
        </w:rPr>
        <w:t>sākumus un ierobežojumus, kā arī</w:t>
      </w:r>
      <w:r w:rsidR="004C6E61">
        <w:rPr>
          <w:rFonts w:ascii="Times New Roman" w:eastAsiaTheme="minorHAnsi" w:hAnsi="Times New Roman" w:cs="Times New Roman"/>
          <w:sz w:val="24"/>
        </w:rPr>
        <w:t xml:space="preserve"> to, ka laika rinda uzrād</w:t>
      </w:r>
      <w:r w:rsidR="00182253">
        <w:rPr>
          <w:rFonts w:ascii="Times New Roman" w:eastAsiaTheme="minorHAnsi" w:hAnsi="Times New Roman" w:cs="Times New Roman"/>
          <w:sz w:val="24"/>
        </w:rPr>
        <w:t>a</w:t>
      </w:r>
      <w:r w:rsidR="004C6E61">
        <w:rPr>
          <w:rFonts w:ascii="Times New Roman" w:eastAsiaTheme="minorHAnsi" w:hAnsi="Times New Roman" w:cs="Times New Roman"/>
          <w:sz w:val="24"/>
        </w:rPr>
        <w:t xml:space="preserve"> </w:t>
      </w:r>
      <w:r w:rsidR="00C21B7F">
        <w:rPr>
          <w:rFonts w:ascii="Times New Roman" w:eastAsiaTheme="minorHAnsi" w:hAnsi="Times New Roman" w:cs="Times New Roman"/>
          <w:sz w:val="24"/>
        </w:rPr>
        <w:t>simetriskuma</w:t>
      </w:r>
      <w:r w:rsidR="004C6E61">
        <w:rPr>
          <w:rFonts w:ascii="Times New Roman" w:eastAsiaTheme="minorHAnsi" w:hAnsi="Times New Roman" w:cs="Times New Roman"/>
          <w:sz w:val="24"/>
        </w:rPr>
        <w:t xml:space="preserve"> principu</w:t>
      </w:r>
      <w:r w:rsidRPr="0037264A">
        <w:rPr>
          <w:rFonts w:ascii="Times New Roman" w:eastAsiaTheme="minorHAnsi" w:hAnsi="Times New Roman" w:cs="Times New Roman"/>
          <w:sz w:val="24"/>
        </w:rPr>
        <w:t xml:space="preserve">, </w:t>
      </w:r>
      <w:r w:rsidR="004C6E61">
        <w:rPr>
          <w:rFonts w:ascii="Times New Roman" w:eastAsiaTheme="minorHAnsi" w:hAnsi="Times New Roman" w:cs="Times New Roman"/>
          <w:sz w:val="24"/>
        </w:rPr>
        <w:t xml:space="preserve">dotais </w:t>
      </w:r>
      <w:r w:rsidRPr="0037264A">
        <w:rPr>
          <w:rFonts w:ascii="Times New Roman" w:eastAsiaTheme="minorHAnsi" w:hAnsi="Times New Roman" w:cs="Times New Roman"/>
          <w:sz w:val="24"/>
        </w:rPr>
        <w:t>risks netiek ietverts fiskālās nodrošinājuma rezerves aprēķinā</w:t>
      </w:r>
      <w:r w:rsidR="00182253">
        <w:rPr>
          <w:rFonts w:ascii="Times New Roman" w:eastAsiaTheme="minorHAnsi" w:hAnsi="Times New Roman" w:cs="Times New Roman"/>
          <w:sz w:val="24"/>
        </w:rPr>
        <w:t xml:space="preserve">, izņemot risku, kas saistās ar </w:t>
      </w:r>
      <w:r w:rsidR="00CA7040">
        <w:rPr>
          <w:rFonts w:ascii="Times New Roman" w:eastAsiaTheme="minorHAnsi" w:hAnsi="Times New Roman" w:cs="Times New Roman"/>
          <w:sz w:val="24"/>
        </w:rPr>
        <w:t xml:space="preserve">iespējamo </w:t>
      </w:r>
      <w:proofErr w:type="spellStart"/>
      <w:r w:rsidR="00182253">
        <w:rPr>
          <w:rFonts w:ascii="Times New Roman" w:eastAsiaTheme="minorHAnsi" w:hAnsi="Times New Roman" w:cs="Times New Roman"/>
          <w:sz w:val="24"/>
        </w:rPr>
        <w:t>LDz</w:t>
      </w:r>
      <w:proofErr w:type="spellEnd"/>
      <w:r w:rsidR="00182253">
        <w:rPr>
          <w:rFonts w:ascii="Times New Roman" w:eastAsiaTheme="minorHAnsi" w:hAnsi="Times New Roman" w:cs="Times New Roman"/>
          <w:sz w:val="24"/>
        </w:rPr>
        <w:t xml:space="preserve"> </w:t>
      </w:r>
      <w:proofErr w:type="spellStart"/>
      <w:r w:rsidR="00182253">
        <w:rPr>
          <w:rFonts w:ascii="Times New Roman" w:eastAsiaTheme="minorHAnsi" w:hAnsi="Times New Roman" w:cs="Times New Roman"/>
          <w:sz w:val="24"/>
        </w:rPr>
        <w:t>pārklasifikāciju</w:t>
      </w:r>
      <w:proofErr w:type="spellEnd"/>
      <w:r w:rsidR="00182253">
        <w:rPr>
          <w:rFonts w:ascii="Times New Roman" w:eastAsiaTheme="minorHAnsi" w:hAnsi="Times New Roman" w:cs="Times New Roman"/>
          <w:sz w:val="24"/>
        </w:rPr>
        <w:t xml:space="preserve"> vispārējās valdības sektorā.</w:t>
      </w:r>
      <w:r w:rsidR="00182253" w:rsidRPr="0037264A" w:rsidDel="00182253">
        <w:rPr>
          <w:rFonts w:ascii="Times New Roman" w:eastAsiaTheme="minorHAnsi" w:hAnsi="Times New Roman" w:cs="Times New Roman"/>
          <w:sz w:val="24"/>
        </w:rPr>
        <w:t xml:space="preserve"> </w:t>
      </w:r>
    </w:p>
    <w:p w14:paraId="07F57861" w14:textId="41E8DDBA" w:rsidR="00691BC6" w:rsidRPr="0084781F" w:rsidRDefault="001034C2" w:rsidP="00497710">
      <w:pPr>
        <w:pStyle w:val="Heading2"/>
        <w:numPr>
          <w:ilvl w:val="1"/>
          <w:numId w:val="4"/>
        </w:numPr>
        <w:spacing w:before="0" w:after="120" w:line="240" w:lineRule="auto"/>
        <w:ind w:left="0" w:firstLine="0"/>
        <w:jc w:val="center"/>
        <w:rPr>
          <w:rFonts w:ascii="Times New Roman" w:hAnsi="Times New Roman" w:cs="Times New Roman"/>
          <w:bCs w:val="0"/>
          <w:sz w:val="24"/>
          <w:szCs w:val="24"/>
        </w:rPr>
      </w:pPr>
      <w:bookmarkStart w:id="86" w:name="_Toc142388037"/>
      <w:proofErr w:type="spellStart"/>
      <w:r w:rsidRPr="0084781F">
        <w:rPr>
          <w:rFonts w:ascii="Times New Roman" w:hAnsi="Times New Roman" w:cs="Times New Roman"/>
          <w:bCs w:val="0"/>
          <w:sz w:val="24"/>
          <w:szCs w:val="24"/>
        </w:rPr>
        <w:t>Superdividendes</w:t>
      </w:r>
      <w:bookmarkEnd w:id="86"/>
      <w:proofErr w:type="spellEnd"/>
    </w:p>
    <w:p w14:paraId="2DDB1783" w14:textId="6494D39D" w:rsidR="00FC3626" w:rsidRPr="0037264A" w:rsidRDefault="00FC3626" w:rsidP="0066213A">
      <w:pPr>
        <w:spacing w:after="0" w:line="240" w:lineRule="auto"/>
        <w:ind w:firstLine="720"/>
        <w:jc w:val="both"/>
        <w:rPr>
          <w:rFonts w:eastAsiaTheme="minorHAnsi"/>
        </w:rPr>
      </w:pPr>
      <w:r w:rsidRPr="0037264A">
        <w:rPr>
          <w:rFonts w:ascii="Times New Roman" w:eastAsiaTheme="minorHAnsi" w:hAnsi="Times New Roman"/>
          <w:sz w:val="24"/>
        </w:rPr>
        <w:t>Maksājumus, kurus komercsabiedrības</w:t>
      </w:r>
      <w:r w:rsidR="00E919CF">
        <w:rPr>
          <w:rFonts w:ascii="Times New Roman" w:eastAsiaTheme="minorHAnsi" w:hAnsi="Times New Roman"/>
          <w:sz w:val="24"/>
        </w:rPr>
        <w:t xml:space="preserve"> </w:t>
      </w:r>
      <w:r w:rsidRPr="0037264A">
        <w:rPr>
          <w:rFonts w:ascii="Times New Roman" w:eastAsiaTheme="minorHAnsi" w:hAnsi="Times New Roman"/>
          <w:sz w:val="24"/>
        </w:rPr>
        <w:t xml:space="preserve">veic valdībai un/vai pašvaldībai kā akcionāram, parasti dēvē par dividendēm, atsaucoties uz komerctiesībām un saimnieciskās darbības grāmatvedības uzskaiti. Lielākajā daļā gadījumu šos maksājumus iegrāmato kā īpašuma ienākumus un tie veido vispārējās valdības budžeta ieņēmumus. </w:t>
      </w:r>
    </w:p>
    <w:p w14:paraId="4921D228" w14:textId="0302FCE5"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Vienlaicīgi</w:t>
      </w:r>
      <w:r w:rsidR="00911CF6">
        <w:rPr>
          <w:rFonts w:ascii="Times New Roman" w:eastAsiaTheme="minorHAnsi" w:hAnsi="Times New Roman"/>
          <w:sz w:val="24"/>
        </w:rPr>
        <w:t>,</w:t>
      </w:r>
      <w:r w:rsidRPr="0037264A">
        <w:rPr>
          <w:rFonts w:ascii="Times New Roman" w:eastAsiaTheme="minorHAnsi" w:hAnsi="Times New Roman"/>
          <w:sz w:val="24"/>
        </w:rPr>
        <w:t xml:space="preserve"> atbilstoši EKS metodoloģijai svarīgi noteikt vai komercsabiedrību veiktie maksājumi var tikt atzīti kā patiesas dividendes un tādējādi tie ir uzskatāmi par vispārējās valdības budžeta ieņēmumiem, vai arī tās ir jāuzskaita kā tā saucamās “</w:t>
      </w:r>
      <w:proofErr w:type="spellStart"/>
      <w:r w:rsidRPr="0037264A">
        <w:rPr>
          <w:rFonts w:ascii="Times New Roman" w:eastAsiaTheme="minorHAnsi" w:hAnsi="Times New Roman"/>
          <w:sz w:val="24"/>
        </w:rPr>
        <w:t>superdividendes</w:t>
      </w:r>
      <w:proofErr w:type="spellEnd"/>
      <w:r w:rsidRPr="0037264A">
        <w:rPr>
          <w:rFonts w:ascii="Times New Roman" w:eastAsiaTheme="minorHAnsi" w:hAnsi="Times New Roman"/>
          <w:sz w:val="24"/>
        </w:rPr>
        <w:t>” un sekojoši tās nevar tikt uzskaitītas kā vispārējās valdības budžeta ieņēmumi.</w:t>
      </w:r>
    </w:p>
    <w:p w14:paraId="31883301" w14:textId="7DF63A74"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 xml:space="preserve">Saskaņā ar EKS uzskaites principiem par dividendēm var atzīt tikai tos sadalei pieejamos komercsabiedrības ienākumus, kas gūti no saimnieciskās darbības jeb pamatdarbības. </w:t>
      </w:r>
      <w:r w:rsidR="00504BA6">
        <w:rPr>
          <w:rFonts w:ascii="Times New Roman" w:eastAsiaTheme="minorHAnsi" w:hAnsi="Times New Roman"/>
          <w:sz w:val="24"/>
        </w:rPr>
        <w:t>Attiecīgi</w:t>
      </w:r>
      <w:r w:rsidRPr="0037264A">
        <w:rPr>
          <w:rFonts w:ascii="Times New Roman" w:eastAsiaTheme="minorHAnsi" w:hAnsi="Times New Roman"/>
          <w:sz w:val="24"/>
        </w:rPr>
        <w:t xml:space="preserve"> ieņēmumus, kas veidojas no uzkrāto rezervju izmaksas, aktīvu pārdošanas vai pārvērtēšanas uzskaita kā </w:t>
      </w:r>
      <w:proofErr w:type="spellStart"/>
      <w:r w:rsidRPr="0037264A">
        <w:rPr>
          <w:rFonts w:ascii="Times New Roman" w:eastAsiaTheme="minorHAnsi" w:hAnsi="Times New Roman"/>
          <w:sz w:val="24"/>
        </w:rPr>
        <w:t>superdividendes</w:t>
      </w:r>
      <w:proofErr w:type="spellEnd"/>
      <w:r w:rsidRPr="0037264A">
        <w:rPr>
          <w:rFonts w:ascii="Times New Roman" w:eastAsiaTheme="minorHAnsi" w:hAnsi="Times New Roman"/>
          <w:sz w:val="24"/>
        </w:rPr>
        <w:t>.</w:t>
      </w:r>
    </w:p>
    <w:p w14:paraId="51198B79" w14:textId="671EF6F5" w:rsidR="00FC3626" w:rsidRPr="0037264A" w:rsidRDefault="001629B9" w:rsidP="0066213A">
      <w:pPr>
        <w:spacing w:after="0" w:line="240" w:lineRule="auto"/>
        <w:ind w:firstLine="720"/>
        <w:jc w:val="both"/>
        <w:rPr>
          <w:rFonts w:ascii="Times New Roman" w:eastAsiaTheme="minorHAnsi" w:hAnsi="Times New Roman"/>
          <w:sz w:val="24"/>
        </w:rPr>
      </w:pPr>
      <w:r w:rsidRPr="001629B9">
        <w:rPr>
          <w:rFonts w:ascii="Times New Roman" w:eastAsiaTheme="minorHAnsi" w:hAnsi="Times New Roman"/>
          <w:sz w:val="24"/>
        </w:rPr>
        <w:t xml:space="preserve">Dotais fiskālais risks iestājas tajos gadījumos, kad faktiskie ieņēmumi (atbilstoši EKS) par valsts kapitāla izmantošanu (t.i. dividendes) ir mazāki par plānoto apmēru, kā rezultātā tiek radīta negatīva ietekme uz attiecīgā gada vispārējās valdības budžeta bilanci. </w:t>
      </w:r>
      <w:r w:rsidR="00FC3626" w:rsidRPr="0037264A">
        <w:rPr>
          <w:rFonts w:ascii="Times New Roman" w:eastAsiaTheme="minorHAnsi" w:hAnsi="Times New Roman"/>
          <w:sz w:val="24"/>
        </w:rPr>
        <w:t xml:space="preserve">Lai gan </w:t>
      </w:r>
      <w:proofErr w:type="spellStart"/>
      <w:r w:rsidR="00C43369" w:rsidRPr="00C43369">
        <w:rPr>
          <w:rFonts w:ascii="Times New Roman" w:eastAsiaTheme="minorHAnsi" w:hAnsi="Times New Roman"/>
          <w:sz w:val="24"/>
        </w:rPr>
        <w:t>superdividenžu</w:t>
      </w:r>
      <w:proofErr w:type="spellEnd"/>
      <w:r w:rsidR="00C43369" w:rsidRPr="00C43369">
        <w:rPr>
          <w:rFonts w:ascii="Times New Roman" w:eastAsiaTheme="minorHAnsi" w:hAnsi="Times New Roman"/>
          <w:sz w:val="24"/>
        </w:rPr>
        <w:t xml:space="preserve"> iestāšanās gadījumi ir novērojami ar zināmu regularitāti </w:t>
      </w:r>
      <w:r w:rsidR="00FC3626" w:rsidRPr="0037264A">
        <w:rPr>
          <w:rFonts w:ascii="Times New Roman" w:eastAsiaTheme="minorHAnsi" w:hAnsi="Times New Roman"/>
          <w:sz w:val="24"/>
        </w:rPr>
        <w:t xml:space="preserve">un to apmēri ir bijuši </w:t>
      </w:r>
      <w:r w:rsidR="00C43369" w:rsidRPr="00C43369">
        <w:rPr>
          <w:rFonts w:ascii="Times New Roman" w:eastAsiaTheme="minorHAnsi" w:hAnsi="Times New Roman"/>
          <w:sz w:val="24"/>
        </w:rPr>
        <w:t>ļoti svārstīgi</w:t>
      </w:r>
      <w:r w:rsidR="00C43369">
        <w:rPr>
          <w:rFonts w:ascii="Times New Roman" w:eastAsiaTheme="minorHAnsi" w:hAnsi="Times New Roman"/>
          <w:sz w:val="24"/>
        </w:rPr>
        <w:t xml:space="preserve"> </w:t>
      </w:r>
      <w:r w:rsidR="00FC3626" w:rsidRPr="0037264A">
        <w:rPr>
          <w:rFonts w:ascii="Times New Roman" w:eastAsiaTheme="minorHAnsi" w:hAnsi="Times New Roman"/>
          <w:sz w:val="24"/>
        </w:rPr>
        <w:t>(sk</w:t>
      </w:r>
      <w:r w:rsidR="00FC3626">
        <w:rPr>
          <w:rFonts w:ascii="Times New Roman" w:eastAsiaTheme="minorHAnsi" w:hAnsi="Times New Roman"/>
          <w:sz w:val="24"/>
        </w:rPr>
        <w:t>at</w:t>
      </w:r>
      <w:r w:rsidR="00FC3626" w:rsidRPr="0037264A">
        <w:rPr>
          <w:rFonts w:ascii="Times New Roman" w:eastAsiaTheme="minorHAnsi" w:hAnsi="Times New Roman"/>
          <w:sz w:val="24"/>
        </w:rPr>
        <w:t>. tabulu Nr.</w:t>
      </w:r>
      <w:r w:rsidR="00A75ED7">
        <w:rPr>
          <w:rFonts w:ascii="Times New Roman" w:eastAsiaTheme="minorHAnsi" w:hAnsi="Times New Roman"/>
          <w:sz w:val="24"/>
        </w:rPr>
        <w:t>2.11.1</w:t>
      </w:r>
      <w:r w:rsidR="00FC3626" w:rsidRPr="0037264A">
        <w:rPr>
          <w:rFonts w:ascii="Times New Roman" w:eastAsiaTheme="minorHAnsi" w:hAnsi="Times New Roman"/>
          <w:sz w:val="24"/>
        </w:rPr>
        <w:t xml:space="preserve">), ir svarīgi novērtēt vai </w:t>
      </w:r>
      <w:r w:rsidR="00C43369" w:rsidRPr="0037264A">
        <w:rPr>
          <w:rFonts w:ascii="Times New Roman" w:eastAsiaTheme="minorHAnsi" w:hAnsi="Times New Roman"/>
          <w:sz w:val="24"/>
        </w:rPr>
        <w:t>t</w:t>
      </w:r>
      <w:r w:rsidR="00C43369">
        <w:rPr>
          <w:rFonts w:ascii="Times New Roman" w:eastAsiaTheme="minorHAnsi" w:hAnsi="Times New Roman"/>
          <w:sz w:val="24"/>
        </w:rPr>
        <w:t>ie</w:t>
      </w:r>
      <w:r w:rsidR="00C43369" w:rsidRPr="0037264A">
        <w:rPr>
          <w:rFonts w:ascii="Times New Roman" w:eastAsiaTheme="minorHAnsi" w:hAnsi="Times New Roman"/>
          <w:sz w:val="24"/>
        </w:rPr>
        <w:t xml:space="preserve"> </w:t>
      </w:r>
      <w:r w:rsidR="00FC3626" w:rsidRPr="0037264A">
        <w:rPr>
          <w:rFonts w:ascii="Times New Roman" w:eastAsiaTheme="minorHAnsi" w:hAnsi="Times New Roman"/>
          <w:sz w:val="24"/>
        </w:rPr>
        <w:t xml:space="preserve">ir tik </w:t>
      </w:r>
      <w:r w:rsidR="00C43369" w:rsidRPr="0037264A">
        <w:rPr>
          <w:rFonts w:ascii="Times New Roman" w:eastAsiaTheme="minorHAnsi" w:hAnsi="Times New Roman"/>
          <w:sz w:val="24"/>
        </w:rPr>
        <w:t>liel</w:t>
      </w:r>
      <w:r w:rsidR="00C43369">
        <w:rPr>
          <w:rFonts w:ascii="Times New Roman" w:eastAsiaTheme="minorHAnsi" w:hAnsi="Times New Roman"/>
          <w:sz w:val="24"/>
        </w:rPr>
        <w:t>i</w:t>
      </w:r>
      <w:r w:rsidR="00FC3626" w:rsidRPr="0037264A">
        <w:rPr>
          <w:rFonts w:ascii="Times New Roman" w:eastAsiaTheme="minorHAnsi" w:hAnsi="Times New Roman"/>
          <w:sz w:val="24"/>
        </w:rPr>
        <w:t>, lai veidotu prognozēto ieņēmu</w:t>
      </w:r>
      <w:r w:rsidR="00E01B1E">
        <w:rPr>
          <w:rFonts w:ascii="Times New Roman" w:eastAsiaTheme="minorHAnsi" w:hAnsi="Times New Roman"/>
          <w:sz w:val="24"/>
        </w:rPr>
        <w:t>mu</w:t>
      </w:r>
      <w:r w:rsidR="00FC3626" w:rsidRPr="0037264A">
        <w:rPr>
          <w:rFonts w:ascii="Times New Roman" w:eastAsiaTheme="minorHAnsi" w:hAnsi="Times New Roman"/>
          <w:sz w:val="24"/>
        </w:rPr>
        <w:t xml:space="preserve"> iztrūkumu valsts pamatbudžetā. </w:t>
      </w:r>
      <w:r w:rsidR="00911CF6">
        <w:rPr>
          <w:rFonts w:ascii="Times New Roman" w:eastAsiaTheme="minorHAnsi" w:hAnsi="Times New Roman"/>
          <w:sz w:val="24"/>
        </w:rPr>
        <w:t>J</w:t>
      </w:r>
      <w:r w:rsidR="00C43369" w:rsidRPr="00C43369">
        <w:rPr>
          <w:rFonts w:ascii="Times New Roman" w:eastAsiaTheme="minorHAnsi" w:hAnsi="Times New Roman"/>
          <w:sz w:val="24"/>
        </w:rPr>
        <w:t xml:space="preserve">āņem vērā, ka gan 2019. un 2020.gadā, gan arī 2022.gadā </w:t>
      </w:r>
      <w:proofErr w:type="spellStart"/>
      <w:r w:rsidR="00C43369" w:rsidRPr="00C43369">
        <w:rPr>
          <w:rFonts w:ascii="Times New Roman" w:eastAsiaTheme="minorHAnsi" w:hAnsi="Times New Roman"/>
          <w:sz w:val="24"/>
        </w:rPr>
        <w:t>superdividenžu</w:t>
      </w:r>
      <w:proofErr w:type="spellEnd"/>
      <w:r w:rsidR="00C43369" w:rsidRPr="00C43369">
        <w:rPr>
          <w:rFonts w:ascii="Times New Roman" w:eastAsiaTheme="minorHAnsi" w:hAnsi="Times New Roman"/>
          <w:sz w:val="24"/>
        </w:rPr>
        <w:t xml:space="preserve"> atzīšanas dēļ faktiskais maksājumu par valsts kapitāla izmantošanu apmērs ir bijis zemāks par plānoto.</w:t>
      </w:r>
    </w:p>
    <w:p w14:paraId="7FBC0B0C" w14:textId="77777777" w:rsidR="00FC3626" w:rsidRDefault="00FC3626" w:rsidP="00497710">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72522AA5" w14:textId="797D7D5E" w:rsidR="008920DE" w:rsidRPr="0037264A" w:rsidRDefault="008920DE" w:rsidP="008920DE">
      <w:pPr>
        <w:autoSpaceDE w:val="0"/>
        <w:autoSpaceDN w:val="0"/>
        <w:adjustRightInd w:val="0"/>
        <w:spacing w:line="240" w:lineRule="auto"/>
        <w:jc w:val="right"/>
        <w:rPr>
          <w:rFonts w:ascii="Times New Roman" w:eastAsiaTheme="minorHAnsi" w:hAnsi="Times New Roman" w:cs="Times New Roman"/>
          <w:b/>
          <w:color w:val="000000"/>
          <w:sz w:val="24"/>
          <w:szCs w:val="20"/>
        </w:rPr>
      </w:pPr>
      <w:r w:rsidRPr="0037264A">
        <w:rPr>
          <w:rFonts w:ascii="Times New Roman" w:eastAsiaTheme="minorHAnsi" w:hAnsi="Times New Roman" w:cs="Times New Roman"/>
          <w:b/>
          <w:color w:val="000000"/>
          <w:sz w:val="24"/>
          <w:szCs w:val="20"/>
        </w:rPr>
        <w:t>Tabula Nr.</w:t>
      </w:r>
      <w:r w:rsidR="00A75ED7">
        <w:rPr>
          <w:rFonts w:ascii="Times New Roman" w:eastAsiaTheme="minorHAnsi" w:hAnsi="Times New Roman" w:cs="Times New Roman"/>
          <w:b/>
          <w:color w:val="000000"/>
          <w:sz w:val="24"/>
          <w:szCs w:val="20"/>
        </w:rPr>
        <w:t>2.1</w:t>
      </w:r>
      <w:r w:rsidR="006F7C57">
        <w:rPr>
          <w:rFonts w:ascii="Times New Roman" w:eastAsiaTheme="minorHAnsi" w:hAnsi="Times New Roman" w:cs="Times New Roman"/>
          <w:b/>
          <w:color w:val="000000"/>
          <w:sz w:val="24"/>
          <w:szCs w:val="20"/>
        </w:rPr>
        <w:t>1</w:t>
      </w:r>
      <w:r w:rsidR="00A75ED7">
        <w:rPr>
          <w:rFonts w:ascii="Times New Roman" w:eastAsiaTheme="minorHAnsi" w:hAnsi="Times New Roman" w:cs="Times New Roman"/>
          <w:b/>
          <w:color w:val="000000"/>
          <w:sz w:val="24"/>
          <w:szCs w:val="20"/>
        </w:rPr>
        <w:t>.1</w:t>
      </w:r>
      <w:r w:rsidRPr="0037264A">
        <w:rPr>
          <w:rFonts w:ascii="Times New Roman" w:eastAsiaTheme="minorHAnsi" w:hAnsi="Times New Roman" w:cs="Times New Roman"/>
          <w:b/>
          <w:color w:val="000000"/>
          <w:sz w:val="24"/>
          <w:szCs w:val="20"/>
        </w:rPr>
        <w:t xml:space="preserve"> Maksājumu par valsts kapitāla izmantošanu (dividendes) plānotais apmērs un faktiskā izpilde</w:t>
      </w:r>
      <w:r w:rsidR="00FD33F0">
        <w:rPr>
          <w:rFonts w:ascii="Times New Roman" w:eastAsiaTheme="minorHAnsi" w:hAnsi="Times New Roman" w:cs="Times New Roman"/>
          <w:b/>
          <w:color w:val="000000"/>
          <w:sz w:val="24"/>
          <w:szCs w:val="20"/>
        </w:rPr>
        <w:t>,</w:t>
      </w:r>
      <w:r w:rsidRPr="0037264A">
        <w:rPr>
          <w:rFonts w:ascii="Times New Roman" w:eastAsiaTheme="minorHAnsi" w:hAnsi="Times New Roman" w:cs="Times New Roman"/>
          <w:b/>
          <w:color w:val="000000"/>
          <w:sz w:val="24"/>
          <w:szCs w:val="20"/>
        </w:rPr>
        <w:t xml:space="preserve"> </w:t>
      </w:r>
      <w:bookmarkStart w:id="87" w:name="_Hlk141478665"/>
      <w:r w:rsidRPr="0037264A">
        <w:rPr>
          <w:rFonts w:ascii="Times New Roman" w:eastAsiaTheme="minorHAnsi" w:hAnsi="Times New Roman" w:cs="Times New Roman"/>
          <w:b/>
          <w:color w:val="000000"/>
          <w:sz w:val="24"/>
          <w:szCs w:val="20"/>
        </w:rPr>
        <w:t xml:space="preserve">milj. </w:t>
      </w:r>
      <w:proofErr w:type="spellStart"/>
      <w:r w:rsidRPr="0037264A">
        <w:rPr>
          <w:rFonts w:ascii="Times New Roman" w:eastAsiaTheme="minorHAnsi" w:hAnsi="Times New Roman" w:cs="Times New Roman"/>
          <w:b/>
          <w:i/>
          <w:color w:val="000000"/>
          <w:sz w:val="24"/>
          <w:szCs w:val="20"/>
        </w:rPr>
        <w:t>euro</w:t>
      </w:r>
      <w:bookmarkEnd w:id="87"/>
      <w:proofErr w:type="spellEnd"/>
    </w:p>
    <w:tbl>
      <w:tblPr>
        <w:tblStyle w:val="TableGrid"/>
        <w:tblW w:w="1006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2317"/>
        <w:gridCol w:w="775"/>
        <w:gridCol w:w="775"/>
        <w:gridCol w:w="775"/>
        <w:gridCol w:w="774"/>
        <w:gridCol w:w="774"/>
        <w:gridCol w:w="774"/>
        <w:gridCol w:w="774"/>
        <w:gridCol w:w="774"/>
        <w:gridCol w:w="774"/>
        <w:gridCol w:w="774"/>
      </w:tblGrid>
      <w:tr w:rsidR="00502877" w:rsidRPr="00533BC5" w14:paraId="1EC6D6EC" w14:textId="16D4D2BA" w:rsidTr="00497710">
        <w:tc>
          <w:tcPr>
            <w:tcW w:w="1696" w:type="dxa"/>
            <w:shd w:val="clear" w:color="auto" w:fill="DEEAF6" w:themeFill="accent1" w:themeFillTint="33"/>
          </w:tcPr>
          <w:p w14:paraId="553AF087" w14:textId="77777777" w:rsidR="00502877" w:rsidRPr="00365C21" w:rsidRDefault="00502877" w:rsidP="00B97861">
            <w:pPr>
              <w:autoSpaceDE w:val="0"/>
              <w:autoSpaceDN w:val="0"/>
              <w:adjustRightInd w:val="0"/>
              <w:jc w:val="right"/>
              <w:rPr>
                <w:rFonts w:cs="Times New Roman"/>
                <w:b/>
                <w:color w:val="000000" w:themeColor="text1"/>
                <w:sz w:val="22"/>
              </w:rPr>
            </w:pPr>
            <w:bookmarkStart w:id="88" w:name="_Hlk119329793"/>
          </w:p>
        </w:tc>
        <w:tc>
          <w:tcPr>
            <w:tcW w:w="567" w:type="dxa"/>
            <w:shd w:val="clear" w:color="auto" w:fill="DEEAF6" w:themeFill="accent1" w:themeFillTint="33"/>
            <w:vAlign w:val="center"/>
          </w:tcPr>
          <w:p w14:paraId="512A5D28"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2013</w:t>
            </w:r>
          </w:p>
        </w:tc>
        <w:tc>
          <w:tcPr>
            <w:tcW w:w="567" w:type="dxa"/>
            <w:shd w:val="clear" w:color="auto" w:fill="DEEAF6" w:themeFill="accent1" w:themeFillTint="33"/>
            <w:vAlign w:val="center"/>
          </w:tcPr>
          <w:p w14:paraId="6144B9DF"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2014</w:t>
            </w:r>
          </w:p>
        </w:tc>
        <w:tc>
          <w:tcPr>
            <w:tcW w:w="567" w:type="dxa"/>
            <w:shd w:val="clear" w:color="auto" w:fill="DEEAF6" w:themeFill="accent1" w:themeFillTint="33"/>
            <w:vAlign w:val="center"/>
          </w:tcPr>
          <w:p w14:paraId="249B80E5"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2015</w:t>
            </w:r>
          </w:p>
        </w:tc>
        <w:tc>
          <w:tcPr>
            <w:tcW w:w="567" w:type="dxa"/>
            <w:shd w:val="clear" w:color="auto" w:fill="DEEAF6" w:themeFill="accent1" w:themeFillTint="33"/>
            <w:vAlign w:val="center"/>
          </w:tcPr>
          <w:p w14:paraId="7CACA5B5"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2016</w:t>
            </w:r>
          </w:p>
        </w:tc>
        <w:tc>
          <w:tcPr>
            <w:tcW w:w="567" w:type="dxa"/>
            <w:shd w:val="clear" w:color="auto" w:fill="DEEAF6" w:themeFill="accent1" w:themeFillTint="33"/>
            <w:vAlign w:val="center"/>
          </w:tcPr>
          <w:p w14:paraId="065E0CC4"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2017</w:t>
            </w:r>
          </w:p>
        </w:tc>
        <w:tc>
          <w:tcPr>
            <w:tcW w:w="567" w:type="dxa"/>
            <w:shd w:val="clear" w:color="auto" w:fill="DEEAF6" w:themeFill="accent1" w:themeFillTint="33"/>
            <w:vAlign w:val="center"/>
          </w:tcPr>
          <w:p w14:paraId="611C5FFE"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2018</w:t>
            </w:r>
          </w:p>
        </w:tc>
        <w:tc>
          <w:tcPr>
            <w:tcW w:w="567" w:type="dxa"/>
            <w:shd w:val="clear" w:color="auto" w:fill="DEEAF6" w:themeFill="accent1" w:themeFillTint="33"/>
            <w:vAlign w:val="center"/>
          </w:tcPr>
          <w:p w14:paraId="189B743C" w14:textId="77777777" w:rsidR="00502877" w:rsidRPr="00497710" w:rsidRDefault="00502877" w:rsidP="004A160C">
            <w:pPr>
              <w:autoSpaceDE w:val="0"/>
              <w:autoSpaceDN w:val="0"/>
              <w:adjustRightInd w:val="0"/>
              <w:jc w:val="center"/>
              <w:rPr>
                <w:rFonts w:cs="Times New Roman"/>
                <w:b/>
                <w:sz w:val="20"/>
                <w:szCs w:val="20"/>
              </w:rPr>
            </w:pPr>
            <w:r w:rsidRPr="00497710">
              <w:rPr>
                <w:rFonts w:cs="Times New Roman"/>
                <w:b/>
                <w:sz w:val="20"/>
                <w:szCs w:val="20"/>
              </w:rPr>
              <w:t>2019</w:t>
            </w:r>
          </w:p>
        </w:tc>
        <w:tc>
          <w:tcPr>
            <w:tcW w:w="567" w:type="dxa"/>
            <w:shd w:val="clear" w:color="auto" w:fill="DEEAF6" w:themeFill="accent1" w:themeFillTint="33"/>
            <w:vAlign w:val="center"/>
          </w:tcPr>
          <w:p w14:paraId="5C384A6C" w14:textId="2B7E4457" w:rsidR="00502877" w:rsidRPr="00497710" w:rsidRDefault="00502877" w:rsidP="004A160C">
            <w:pPr>
              <w:autoSpaceDE w:val="0"/>
              <w:autoSpaceDN w:val="0"/>
              <w:adjustRightInd w:val="0"/>
              <w:jc w:val="center"/>
              <w:rPr>
                <w:rFonts w:cs="Times New Roman"/>
                <w:b/>
                <w:sz w:val="20"/>
                <w:szCs w:val="20"/>
              </w:rPr>
            </w:pPr>
            <w:r w:rsidRPr="00497710">
              <w:rPr>
                <w:rFonts w:cs="Times New Roman"/>
                <w:b/>
                <w:sz w:val="20"/>
                <w:szCs w:val="20"/>
              </w:rPr>
              <w:t>2020</w:t>
            </w:r>
          </w:p>
        </w:tc>
        <w:tc>
          <w:tcPr>
            <w:tcW w:w="567" w:type="dxa"/>
            <w:shd w:val="clear" w:color="auto" w:fill="DEEAF6" w:themeFill="accent1" w:themeFillTint="33"/>
            <w:vAlign w:val="center"/>
          </w:tcPr>
          <w:p w14:paraId="20A1F6C7" w14:textId="3671B427" w:rsidR="00502877" w:rsidRPr="00497710" w:rsidRDefault="00502877" w:rsidP="00401901">
            <w:pPr>
              <w:autoSpaceDE w:val="0"/>
              <w:autoSpaceDN w:val="0"/>
              <w:adjustRightInd w:val="0"/>
              <w:jc w:val="center"/>
              <w:rPr>
                <w:rFonts w:cs="Times New Roman"/>
                <w:b/>
                <w:sz w:val="20"/>
                <w:szCs w:val="20"/>
              </w:rPr>
            </w:pPr>
            <w:r w:rsidRPr="00497710">
              <w:rPr>
                <w:rFonts w:cs="Times New Roman"/>
                <w:b/>
                <w:sz w:val="20"/>
                <w:szCs w:val="20"/>
              </w:rPr>
              <w:t>2021</w:t>
            </w:r>
          </w:p>
        </w:tc>
        <w:tc>
          <w:tcPr>
            <w:tcW w:w="567" w:type="dxa"/>
            <w:shd w:val="clear" w:color="auto" w:fill="DEEAF6" w:themeFill="accent1" w:themeFillTint="33"/>
          </w:tcPr>
          <w:p w14:paraId="7DA4EBE1" w14:textId="46607480" w:rsidR="00502877" w:rsidRPr="00497710" w:rsidRDefault="00502877" w:rsidP="00401901">
            <w:pPr>
              <w:autoSpaceDE w:val="0"/>
              <w:autoSpaceDN w:val="0"/>
              <w:adjustRightInd w:val="0"/>
              <w:jc w:val="center"/>
              <w:rPr>
                <w:rFonts w:cs="Times New Roman"/>
                <w:b/>
                <w:sz w:val="20"/>
                <w:szCs w:val="20"/>
              </w:rPr>
            </w:pPr>
            <w:r w:rsidRPr="00497710">
              <w:rPr>
                <w:rFonts w:cs="Times New Roman"/>
                <w:b/>
                <w:sz w:val="20"/>
                <w:szCs w:val="20"/>
              </w:rPr>
              <w:t>2022</w:t>
            </w:r>
          </w:p>
        </w:tc>
      </w:tr>
      <w:tr w:rsidR="00502877" w:rsidRPr="00533BC5" w14:paraId="0D3B9A51" w14:textId="3AFA0D6D" w:rsidTr="00497710">
        <w:tc>
          <w:tcPr>
            <w:tcW w:w="1696" w:type="dxa"/>
          </w:tcPr>
          <w:p w14:paraId="4D2FED42" w14:textId="77777777" w:rsidR="00502877" w:rsidRPr="00497710" w:rsidRDefault="00502877" w:rsidP="00FC3626">
            <w:pPr>
              <w:autoSpaceDE w:val="0"/>
              <w:autoSpaceDN w:val="0"/>
              <w:adjustRightInd w:val="0"/>
              <w:jc w:val="right"/>
              <w:rPr>
                <w:rFonts w:cs="Times New Roman"/>
                <w:color w:val="000000" w:themeColor="text1"/>
                <w:sz w:val="20"/>
                <w:szCs w:val="20"/>
              </w:rPr>
            </w:pPr>
            <w:r w:rsidRPr="00497710">
              <w:rPr>
                <w:rFonts w:cs="Times New Roman"/>
                <w:sz w:val="20"/>
                <w:szCs w:val="20"/>
              </w:rPr>
              <w:t>Maksājumu par valsts kapitāla izmantošanu (dividendes) plānotais apmērs</w:t>
            </w:r>
          </w:p>
        </w:tc>
        <w:tc>
          <w:tcPr>
            <w:tcW w:w="567" w:type="dxa"/>
            <w:vAlign w:val="center"/>
          </w:tcPr>
          <w:p w14:paraId="42ADC86E" w14:textId="24D7DA8C"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w:t>
            </w:r>
          </w:p>
        </w:tc>
        <w:tc>
          <w:tcPr>
            <w:tcW w:w="567" w:type="dxa"/>
            <w:vAlign w:val="center"/>
          </w:tcPr>
          <w:p w14:paraId="1FEEFA6E" w14:textId="68F46E1D"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w:t>
            </w:r>
          </w:p>
        </w:tc>
        <w:tc>
          <w:tcPr>
            <w:tcW w:w="567" w:type="dxa"/>
            <w:vAlign w:val="center"/>
          </w:tcPr>
          <w:p w14:paraId="2E0A18F7" w14:textId="355C6638"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120,6</w:t>
            </w:r>
          </w:p>
        </w:tc>
        <w:tc>
          <w:tcPr>
            <w:tcW w:w="567" w:type="dxa"/>
            <w:vAlign w:val="center"/>
          </w:tcPr>
          <w:p w14:paraId="546C8EC0" w14:textId="201034A2"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151,2</w:t>
            </w:r>
          </w:p>
        </w:tc>
        <w:tc>
          <w:tcPr>
            <w:tcW w:w="567" w:type="dxa"/>
            <w:vAlign w:val="center"/>
          </w:tcPr>
          <w:p w14:paraId="63AD3F7A" w14:textId="63D52D48"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154,3</w:t>
            </w:r>
          </w:p>
        </w:tc>
        <w:tc>
          <w:tcPr>
            <w:tcW w:w="567" w:type="dxa"/>
            <w:vAlign w:val="center"/>
          </w:tcPr>
          <w:p w14:paraId="08692276" w14:textId="4DF064A9"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163,0</w:t>
            </w:r>
          </w:p>
        </w:tc>
        <w:tc>
          <w:tcPr>
            <w:tcW w:w="567" w:type="dxa"/>
            <w:vAlign w:val="center"/>
          </w:tcPr>
          <w:p w14:paraId="445BB500" w14:textId="1EAEAB37" w:rsidR="00502877" w:rsidRPr="00497710" w:rsidRDefault="00502877" w:rsidP="00502877">
            <w:pPr>
              <w:autoSpaceDE w:val="0"/>
              <w:autoSpaceDN w:val="0"/>
              <w:adjustRightInd w:val="0"/>
              <w:jc w:val="center"/>
              <w:rPr>
                <w:rFonts w:cs="Times New Roman"/>
                <w:sz w:val="20"/>
                <w:szCs w:val="20"/>
              </w:rPr>
            </w:pPr>
            <w:r w:rsidRPr="00497710">
              <w:rPr>
                <w:sz w:val="20"/>
                <w:szCs w:val="20"/>
              </w:rPr>
              <w:t>204,3</w:t>
            </w:r>
          </w:p>
        </w:tc>
        <w:tc>
          <w:tcPr>
            <w:tcW w:w="567" w:type="dxa"/>
            <w:vAlign w:val="center"/>
          </w:tcPr>
          <w:p w14:paraId="749D1D58" w14:textId="5E2225A6" w:rsidR="00502877" w:rsidRPr="00497710" w:rsidRDefault="00502877" w:rsidP="00502877">
            <w:pPr>
              <w:autoSpaceDE w:val="0"/>
              <w:autoSpaceDN w:val="0"/>
              <w:adjustRightInd w:val="0"/>
              <w:jc w:val="center"/>
              <w:rPr>
                <w:sz w:val="20"/>
                <w:szCs w:val="20"/>
              </w:rPr>
            </w:pPr>
            <w:r w:rsidRPr="00497710">
              <w:rPr>
                <w:sz w:val="20"/>
                <w:szCs w:val="20"/>
              </w:rPr>
              <w:t>196,1</w:t>
            </w:r>
          </w:p>
        </w:tc>
        <w:tc>
          <w:tcPr>
            <w:tcW w:w="567" w:type="dxa"/>
            <w:vAlign w:val="center"/>
          </w:tcPr>
          <w:p w14:paraId="080B4CBF" w14:textId="591EE9BA" w:rsidR="00502877" w:rsidRPr="00497710" w:rsidRDefault="00502877" w:rsidP="00502877">
            <w:pPr>
              <w:autoSpaceDE w:val="0"/>
              <w:autoSpaceDN w:val="0"/>
              <w:adjustRightInd w:val="0"/>
              <w:jc w:val="center"/>
              <w:rPr>
                <w:sz w:val="20"/>
                <w:szCs w:val="20"/>
              </w:rPr>
            </w:pPr>
            <w:r w:rsidRPr="00497710">
              <w:rPr>
                <w:sz w:val="20"/>
                <w:szCs w:val="20"/>
              </w:rPr>
              <w:t>190,6</w:t>
            </w:r>
          </w:p>
        </w:tc>
        <w:tc>
          <w:tcPr>
            <w:tcW w:w="567" w:type="dxa"/>
            <w:vAlign w:val="center"/>
          </w:tcPr>
          <w:p w14:paraId="25E1DDA6" w14:textId="33FD4438" w:rsidR="00502877" w:rsidRPr="00497710" w:rsidRDefault="00502877" w:rsidP="00502877">
            <w:pPr>
              <w:autoSpaceDE w:val="0"/>
              <w:autoSpaceDN w:val="0"/>
              <w:adjustRightInd w:val="0"/>
              <w:jc w:val="center"/>
              <w:rPr>
                <w:sz w:val="20"/>
                <w:szCs w:val="20"/>
              </w:rPr>
            </w:pPr>
            <w:r w:rsidRPr="00497710">
              <w:rPr>
                <w:sz w:val="20"/>
                <w:szCs w:val="20"/>
              </w:rPr>
              <w:t>195,3</w:t>
            </w:r>
          </w:p>
        </w:tc>
      </w:tr>
      <w:bookmarkEnd w:id="88"/>
      <w:tr w:rsidR="00502877" w:rsidRPr="00533BC5" w14:paraId="7D09433B" w14:textId="6500F4FB" w:rsidTr="00497710">
        <w:tc>
          <w:tcPr>
            <w:tcW w:w="1696" w:type="dxa"/>
            <w:shd w:val="clear" w:color="auto" w:fill="auto"/>
          </w:tcPr>
          <w:p w14:paraId="429BDCAF" w14:textId="0B3BBBDB" w:rsidR="00502877" w:rsidRPr="00497710" w:rsidRDefault="00502877" w:rsidP="00FC3626">
            <w:pPr>
              <w:autoSpaceDE w:val="0"/>
              <w:autoSpaceDN w:val="0"/>
              <w:adjustRightInd w:val="0"/>
              <w:jc w:val="right"/>
              <w:rPr>
                <w:rFonts w:cs="Times New Roman"/>
                <w:color w:val="000000" w:themeColor="text1"/>
                <w:sz w:val="20"/>
                <w:szCs w:val="20"/>
              </w:rPr>
            </w:pPr>
            <w:proofErr w:type="spellStart"/>
            <w:r w:rsidRPr="00497710">
              <w:rPr>
                <w:rFonts w:cs="Times New Roman"/>
                <w:sz w:val="20"/>
                <w:szCs w:val="20"/>
              </w:rPr>
              <w:t>Superdividendes</w:t>
            </w:r>
            <w:proofErr w:type="spellEnd"/>
            <w:r w:rsidR="00B4428B" w:rsidRPr="00497710">
              <w:rPr>
                <w:rFonts w:cs="Times New Roman"/>
                <w:sz w:val="20"/>
                <w:szCs w:val="20"/>
              </w:rPr>
              <w:t>**</w:t>
            </w:r>
          </w:p>
        </w:tc>
        <w:tc>
          <w:tcPr>
            <w:tcW w:w="567" w:type="dxa"/>
            <w:shd w:val="clear" w:color="auto" w:fill="auto"/>
            <w:vAlign w:val="center"/>
          </w:tcPr>
          <w:p w14:paraId="706DF572" w14:textId="0E3CC365"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-5,8</w:t>
            </w:r>
          </w:p>
        </w:tc>
        <w:tc>
          <w:tcPr>
            <w:tcW w:w="567" w:type="dxa"/>
            <w:shd w:val="clear" w:color="auto" w:fill="auto"/>
            <w:vAlign w:val="center"/>
          </w:tcPr>
          <w:p w14:paraId="456E0861" w14:textId="1C44206F"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-29,6</w:t>
            </w:r>
          </w:p>
        </w:tc>
        <w:tc>
          <w:tcPr>
            <w:tcW w:w="567" w:type="dxa"/>
            <w:shd w:val="clear" w:color="auto" w:fill="auto"/>
            <w:vAlign w:val="center"/>
          </w:tcPr>
          <w:p w14:paraId="294455B8" w14:textId="5B730FFE"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-1,7</w:t>
            </w:r>
          </w:p>
        </w:tc>
        <w:tc>
          <w:tcPr>
            <w:tcW w:w="567" w:type="dxa"/>
            <w:shd w:val="clear" w:color="auto" w:fill="auto"/>
            <w:vAlign w:val="center"/>
          </w:tcPr>
          <w:p w14:paraId="3D993D93" w14:textId="68397CCE"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-0,1</w:t>
            </w:r>
          </w:p>
        </w:tc>
        <w:tc>
          <w:tcPr>
            <w:tcW w:w="567" w:type="dxa"/>
            <w:shd w:val="clear" w:color="auto" w:fill="auto"/>
            <w:vAlign w:val="center"/>
          </w:tcPr>
          <w:p w14:paraId="3ADC000D" w14:textId="44990965"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-0,1</w:t>
            </w:r>
          </w:p>
        </w:tc>
        <w:tc>
          <w:tcPr>
            <w:tcW w:w="567" w:type="dxa"/>
            <w:shd w:val="clear" w:color="auto" w:fill="auto"/>
            <w:vAlign w:val="center"/>
          </w:tcPr>
          <w:p w14:paraId="24FACFC9" w14:textId="443ECE7D"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-0,5</w:t>
            </w:r>
          </w:p>
        </w:tc>
        <w:tc>
          <w:tcPr>
            <w:tcW w:w="567" w:type="dxa"/>
            <w:shd w:val="clear" w:color="auto" w:fill="auto"/>
            <w:vAlign w:val="center"/>
          </w:tcPr>
          <w:p w14:paraId="45021C6C" w14:textId="4D636D48" w:rsidR="00502877" w:rsidRPr="00497710" w:rsidRDefault="00502877" w:rsidP="00502877">
            <w:pPr>
              <w:autoSpaceDE w:val="0"/>
              <w:autoSpaceDN w:val="0"/>
              <w:adjustRightInd w:val="0"/>
              <w:jc w:val="center"/>
              <w:rPr>
                <w:rFonts w:cs="Times New Roman"/>
                <w:sz w:val="20"/>
                <w:szCs w:val="20"/>
              </w:rPr>
            </w:pPr>
            <w:r w:rsidRPr="00497710">
              <w:rPr>
                <w:sz w:val="20"/>
                <w:szCs w:val="20"/>
              </w:rPr>
              <w:t>-85,9</w:t>
            </w:r>
          </w:p>
        </w:tc>
        <w:tc>
          <w:tcPr>
            <w:tcW w:w="567" w:type="dxa"/>
            <w:shd w:val="clear" w:color="auto" w:fill="auto"/>
            <w:vAlign w:val="center"/>
          </w:tcPr>
          <w:p w14:paraId="032BD065" w14:textId="7A643799" w:rsidR="00502877" w:rsidRPr="00497710" w:rsidRDefault="00502877" w:rsidP="00502877">
            <w:pPr>
              <w:autoSpaceDE w:val="0"/>
              <w:autoSpaceDN w:val="0"/>
              <w:adjustRightInd w:val="0"/>
              <w:jc w:val="center"/>
              <w:rPr>
                <w:sz w:val="20"/>
                <w:szCs w:val="20"/>
              </w:rPr>
            </w:pPr>
            <w:r w:rsidRPr="00497710">
              <w:rPr>
                <w:sz w:val="20"/>
                <w:szCs w:val="20"/>
              </w:rPr>
              <w:t>-48,8</w:t>
            </w:r>
          </w:p>
        </w:tc>
        <w:tc>
          <w:tcPr>
            <w:tcW w:w="567" w:type="dxa"/>
            <w:shd w:val="clear" w:color="auto" w:fill="auto"/>
            <w:vAlign w:val="center"/>
          </w:tcPr>
          <w:p w14:paraId="784BC676" w14:textId="4049F8B0" w:rsidR="00502877" w:rsidRPr="00497710" w:rsidRDefault="00502877" w:rsidP="00502877">
            <w:pPr>
              <w:autoSpaceDE w:val="0"/>
              <w:autoSpaceDN w:val="0"/>
              <w:adjustRightInd w:val="0"/>
              <w:jc w:val="center"/>
              <w:rPr>
                <w:sz w:val="20"/>
                <w:szCs w:val="20"/>
              </w:rPr>
            </w:pPr>
            <w:r w:rsidRPr="00497710">
              <w:rPr>
                <w:sz w:val="20"/>
                <w:szCs w:val="20"/>
              </w:rPr>
              <w:t>-10,0</w:t>
            </w:r>
          </w:p>
        </w:tc>
        <w:tc>
          <w:tcPr>
            <w:tcW w:w="567" w:type="dxa"/>
            <w:vAlign w:val="center"/>
          </w:tcPr>
          <w:p w14:paraId="70C32C8E" w14:textId="662D7551" w:rsidR="00502877" w:rsidRPr="00497710" w:rsidRDefault="00502877" w:rsidP="00502877">
            <w:pPr>
              <w:autoSpaceDE w:val="0"/>
              <w:autoSpaceDN w:val="0"/>
              <w:adjustRightInd w:val="0"/>
              <w:jc w:val="center"/>
              <w:rPr>
                <w:sz w:val="20"/>
                <w:szCs w:val="20"/>
              </w:rPr>
            </w:pPr>
            <w:r w:rsidRPr="00497710">
              <w:rPr>
                <w:sz w:val="20"/>
                <w:szCs w:val="20"/>
              </w:rPr>
              <w:t>-33,1</w:t>
            </w:r>
          </w:p>
        </w:tc>
      </w:tr>
      <w:tr w:rsidR="00502877" w:rsidRPr="00533BC5" w14:paraId="488CE978" w14:textId="0A912898" w:rsidTr="00497710">
        <w:tc>
          <w:tcPr>
            <w:tcW w:w="1696" w:type="dxa"/>
          </w:tcPr>
          <w:p w14:paraId="67653321" w14:textId="77777777" w:rsidR="00502877" w:rsidRPr="00497710" w:rsidRDefault="00502877" w:rsidP="00FC3626">
            <w:pPr>
              <w:autoSpaceDE w:val="0"/>
              <w:autoSpaceDN w:val="0"/>
              <w:adjustRightInd w:val="0"/>
              <w:jc w:val="right"/>
              <w:rPr>
                <w:rFonts w:cs="Times New Roman"/>
                <w:color w:val="000000" w:themeColor="text1"/>
                <w:sz w:val="20"/>
                <w:szCs w:val="20"/>
              </w:rPr>
            </w:pPr>
            <w:r w:rsidRPr="00497710">
              <w:rPr>
                <w:rFonts w:cs="Times New Roman"/>
                <w:sz w:val="20"/>
                <w:szCs w:val="20"/>
              </w:rPr>
              <w:t xml:space="preserve">Maksājumu par valsts kapitāla izmantošanu apmērs (izpilde, atskaitot </w:t>
            </w:r>
            <w:proofErr w:type="spellStart"/>
            <w:r w:rsidRPr="00497710">
              <w:rPr>
                <w:rFonts w:cs="Times New Roman"/>
                <w:sz w:val="20"/>
                <w:szCs w:val="20"/>
              </w:rPr>
              <w:t>superdividendes</w:t>
            </w:r>
            <w:proofErr w:type="spellEnd"/>
            <w:r w:rsidRPr="00497710">
              <w:rPr>
                <w:rFonts w:cs="Times New Roman"/>
                <w:sz w:val="20"/>
                <w:szCs w:val="20"/>
              </w:rPr>
              <w:t>)</w:t>
            </w:r>
          </w:p>
        </w:tc>
        <w:tc>
          <w:tcPr>
            <w:tcW w:w="567" w:type="dxa"/>
            <w:vAlign w:val="center"/>
          </w:tcPr>
          <w:p w14:paraId="30676D34" w14:textId="008692CD"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153,4</w:t>
            </w:r>
          </w:p>
        </w:tc>
        <w:tc>
          <w:tcPr>
            <w:tcW w:w="567" w:type="dxa"/>
            <w:vAlign w:val="center"/>
          </w:tcPr>
          <w:p w14:paraId="0AD5332B" w14:textId="1CE7217B"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102,9</w:t>
            </w:r>
          </w:p>
        </w:tc>
        <w:tc>
          <w:tcPr>
            <w:tcW w:w="567" w:type="dxa"/>
            <w:vAlign w:val="center"/>
          </w:tcPr>
          <w:p w14:paraId="3018B2D7" w14:textId="08893677"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141,0</w:t>
            </w:r>
          </w:p>
        </w:tc>
        <w:tc>
          <w:tcPr>
            <w:tcW w:w="567" w:type="dxa"/>
            <w:vAlign w:val="center"/>
          </w:tcPr>
          <w:p w14:paraId="3E91C11D" w14:textId="71B5DD9E"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166,8</w:t>
            </w:r>
          </w:p>
        </w:tc>
        <w:tc>
          <w:tcPr>
            <w:tcW w:w="567" w:type="dxa"/>
            <w:vAlign w:val="center"/>
          </w:tcPr>
          <w:p w14:paraId="78AA5BA9" w14:textId="031B2FB8"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154,3</w:t>
            </w:r>
          </w:p>
        </w:tc>
        <w:tc>
          <w:tcPr>
            <w:tcW w:w="567" w:type="dxa"/>
            <w:vAlign w:val="center"/>
          </w:tcPr>
          <w:p w14:paraId="3A8B5257" w14:textId="5685D5CC"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186,1*</w:t>
            </w:r>
          </w:p>
        </w:tc>
        <w:tc>
          <w:tcPr>
            <w:tcW w:w="567" w:type="dxa"/>
            <w:vAlign w:val="center"/>
          </w:tcPr>
          <w:p w14:paraId="0DE29579" w14:textId="574A8767" w:rsidR="00502877" w:rsidRPr="00497710" w:rsidRDefault="00502877" w:rsidP="00502877">
            <w:pPr>
              <w:autoSpaceDE w:val="0"/>
              <w:autoSpaceDN w:val="0"/>
              <w:adjustRightInd w:val="0"/>
              <w:jc w:val="center"/>
              <w:rPr>
                <w:rFonts w:cs="Times New Roman"/>
                <w:sz w:val="20"/>
                <w:szCs w:val="20"/>
              </w:rPr>
            </w:pPr>
            <w:r w:rsidRPr="00497710">
              <w:rPr>
                <w:sz w:val="20"/>
                <w:szCs w:val="20"/>
              </w:rPr>
              <w:t>158,3</w:t>
            </w:r>
          </w:p>
        </w:tc>
        <w:tc>
          <w:tcPr>
            <w:tcW w:w="567" w:type="dxa"/>
            <w:vAlign w:val="center"/>
          </w:tcPr>
          <w:p w14:paraId="1E54557E" w14:textId="2341A53E" w:rsidR="00502877" w:rsidRPr="00497710" w:rsidRDefault="00502877" w:rsidP="00502877">
            <w:pPr>
              <w:autoSpaceDE w:val="0"/>
              <w:autoSpaceDN w:val="0"/>
              <w:adjustRightInd w:val="0"/>
              <w:jc w:val="center"/>
              <w:rPr>
                <w:sz w:val="20"/>
                <w:szCs w:val="20"/>
              </w:rPr>
            </w:pPr>
            <w:r w:rsidRPr="00497710">
              <w:rPr>
                <w:sz w:val="20"/>
                <w:szCs w:val="20"/>
              </w:rPr>
              <w:t>182,5</w:t>
            </w:r>
          </w:p>
        </w:tc>
        <w:tc>
          <w:tcPr>
            <w:tcW w:w="567" w:type="dxa"/>
            <w:vAlign w:val="center"/>
          </w:tcPr>
          <w:p w14:paraId="233BAD68" w14:textId="467258D9" w:rsidR="00502877" w:rsidRPr="00497710" w:rsidRDefault="00502877" w:rsidP="00502877">
            <w:pPr>
              <w:autoSpaceDE w:val="0"/>
              <w:autoSpaceDN w:val="0"/>
              <w:adjustRightInd w:val="0"/>
              <w:jc w:val="center"/>
              <w:rPr>
                <w:sz w:val="20"/>
                <w:szCs w:val="20"/>
              </w:rPr>
            </w:pPr>
            <w:r w:rsidRPr="00497710">
              <w:rPr>
                <w:sz w:val="20"/>
                <w:szCs w:val="20"/>
              </w:rPr>
              <w:t>217,3</w:t>
            </w:r>
          </w:p>
        </w:tc>
        <w:tc>
          <w:tcPr>
            <w:tcW w:w="567" w:type="dxa"/>
            <w:vAlign w:val="center"/>
          </w:tcPr>
          <w:p w14:paraId="7DCEFCFF" w14:textId="31FD9B4D" w:rsidR="00502877" w:rsidRPr="00497710" w:rsidRDefault="00502877" w:rsidP="00502877">
            <w:pPr>
              <w:autoSpaceDE w:val="0"/>
              <w:autoSpaceDN w:val="0"/>
              <w:adjustRightInd w:val="0"/>
              <w:jc w:val="center"/>
              <w:rPr>
                <w:sz w:val="20"/>
                <w:szCs w:val="20"/>
              </w:rPr>
            </w:pPr>
            <w:r w:rsidRPr="00497710">
              <w:rPr>
                <w:sz w:val="20"/>
                <w:szCs w:val="20"/>
              </w:rPr>
              <w:t>177,4</w:t>
            </w:r>
          </w:p>
        </w:tc>
      </w:tr>
      <w:tr w:rsidR="00E843F0" w:rsidRPr="00533BC5" w14:paraId="6479D732" w14:textId="77777777" w:rsidTr="00497710">
        <w:tc>
          <w:tcPr>
            <w:tcW w:w="1696" w:type="dxa"/>
          </w:tcPr>
          <w:p w14:paraId="501425DC" w14:textId="742E507B" w:rsidR="00E843F0" w:rsidRPr="00497710" w:rsidRDefault="00E843F0" w:rsidP="00FC3626">
            <w:pPr>
              <w:autoSpaceDE w:val="0"/>
              <w:autoSpaceDN w:val="0"/>
              <w:adjustRightInd w:val="0"/>
              <w:jc w:val="right"/>
              <w:rPr>
                <w:rFonts w:cs="Times New Roman"/>
                <w:sz w:val="20"/>
                <w:szCs w:val="20"/>
              </w:rPr>
            </w:pPr>
            <w:r>
              <w:rPr>
                <w:rFonts w:cs="Times New Roman"/>
                <w:sz w:val="20"/>
                <w:szCs w:val="20"/>
              </w:rPr>
              <w:t>Novirze</w:t>
            </w:r>
          </w:p>
        </w:tc>
        <w:tc>
          <w:tcPr>
            <w:tcW w:w="567" w:type="dxa"/>
            <w:vAlign w:val="center"/>
          </w:tcPr>
          <w:p w14:paraId="2FFD5126" w14:textId="77777777" w:rsidR="00E843F0" w:rsidRPr="00497710" w:rsidRDefault="00E843F0" w:rsidP="00502877">
            <w:pPr>
              <w:autoSpaceDE w:val="0"/>
              <w:autoSpaceDN w:val="0"/>
              <w:adjustRightInd w:val="0"/>
              <w:jc w:val="center"/>
              <w:rPr>
                <w:sz w:val="20"/>
                <w:szCs w:val="20"/>
              </w:rPr>
            </w:pPr>
          </w:p>
        </w:tc>
        <w:tc>
          <w:tcPr>
            <w:tcW w:w="567" w:type="dxa"/>
            <w:vAlign w:val="center"/>
          </w:tcPr>
          <w:p w14:paraId="241EEBAF" w14:textId="77777777" w:rsidR="00E843F0" w:rsidRPr="00497710" w:rsidRDefault="00E843F0" w:rsidP="00502877">
            <w:pPr>
              <w:autoSpaceDE w:val="0"/>
              <w:autoSpaceDN w:val="0"/>
              <w:adjustRightInd w:val="0"/>
              <w:jc w:val="center"/>
              <w:rPr>
                <w:sz w:val="20"/>
                <w:szCs w:val="20"/>
              </w:rPr>
            </w:pPr>
          </w:p>
        </w:tc>
        <w:tc>
          <w:tcPr>
            <w:tcW w:w="567" w:type="dxa"/>
            <w:vAlign w:val="center"/>
          </w:tcPr>
          <w:p w14:paraId="514459FC" w14:textId="3B2F1E07" w:rsidR="00E843F0" w:rsidRPr="00497710" w:rsidRDefault="00CE7A9A" w:rsidP="00502877">
            <w:pPr>
              <w:autoSpaceDE w:val="0"/>
              <w:autoSpaceDN w:val="0"/>
              <w:adjustRightInd w:val="0"/>
              <w:jc w:val="center"/>
              <w:rPr>
                <w:sz w:val="20"/>
                <w:szCs w:val="20"/>
              </w:rPr>
            </w:pPr>
            <w:r>
              <w:rPr>
                <w:sz w:val="20"/>
                <w:szCs w:val="20"/>
              </w:rPr>
              <w:t>+20,4</w:t>
            </w:r>
          </w:p>
        </w:tc>
        <w:tc>
          <w:tcPr>
            <w:tcW w:w="567" w:type="dxa"/>
            <w:vAlign w:val="center"/>
          </w:tcPr>
          <w:p w14:paraId="463D0857" w14:textId="68677B34" w:rsidR="00E843F0" w:rsidRPr="00497710" w:rsidRDefault="00CE7A9A" w:rsidP="00502877">
            <w:pPr>
              <w:autoSpaceDE w:val="0"/>
              <w:autoSpaceDN w:val="0"/>
              <w:adjustRightInd w:val="0"/>
              <w:jc w:val="center"/>
              <w:rPr>
                <w:sz w:val="20"/>
                <w:szCs w:val="20"/>
              </w:rPr>
            </w:pPr>
            <w:r>
              <w:rPr>
                <w:sz w:val="20"/>
                <w:szCs w:val="20"/>
              </w:rPr>
              <w:t>+15,6</w:t>
            </w:r>
          </w:p>
        </w:tc>
        <w:tc>
          <w:tcPr>
            <w:tcW w:w="567" w:type="dxa"/>
            <w:vAlign w:val="center"/>
          </w:tcPr>
          <w:p w14:paraId="2E75CBBF" w14:textId="17D9EE32" w:rsidR="00E843F0" w:rsidRPr="00497710" w:rsidRDefault="00CE7A9A" w:rsidP="00502877">
            <w:pPr>
              <w:autoSpaceDE w:val="0"/>
              <w:autoSpaceDN w:val="0"/>
              <w:adjustRightInd w:val="0"/>
              <w:jc w:val="center"/>
              <w:rPr>
                <w:sz w:val="20"/>
                <w:szCs w:val="20"/>
              </w:rPr>
            </w:pPr>
            <w:r>
              <w:rPr>
                <w:sz w:val="20"/>
                <w:szCs w:val="20"/>
              </w:rPr>
              <w:t>0</w:t>
            </w:r>
          </w:p>
        </w:tc>
        <w:tc>
          <w:tcPr>
            <w:tcW w:w="567" w:type="dxa"/>
            <w:vAlign w:val="center"/>
          </w:tcPr>
          <w:p w14:paraId="78162591" w14:textId="617A4ACA" w:rsidR="00E843F0" w:rsidRPr="00497710" w:rsidRDefault="00CE7A9A" w:rsidP="00502877">
            <w:pPr>
              <w:autoSpaceDE w:val="0"/>
              <w:autoSpaceDN w:val="0"/>
              <w:adjustRightInd w:val="0"/>
              <w:jc w:val="center"/>
              <w:rPr>
                <w:sz w:val="20"/>
                <w:szCs w:val="20"/>
              </w:rPr>
            </w:pPr>
            <w:r>
              <w:rPr>
                <w:sz w:val="20"/>
                <w:szCs w:val="20"/>
              </w:rPr>
              <w:t>+23,1</w:t>
            </w:r>
          </w:p>
        </w:tc>
        <w:tc>
          <w:tcPr>
            <w:tcW w:w="567" w:type="dxa"/>
            <w:vAlign w:val="center"/>
          </w:tcPr>
          <w:p w14:paraId="04AC1AF3" w14:textId="6910265D" w:rsidR="00E843F0" w:rsidRPr="00497710" w:rsidRDefault="00CE7A9A" w:rsidP="00502877">
            <w:pPr>
              <w:autoSpaceDE w:val="0"/>
              <w:autoSpaceDN w:val="0"/>
              <w:adjustRightInd w:val="0"/>
              <w:jc w:val="center"/>
              <w:rPr>
                <w:sz w:val="20"/>
                <w:szCs w:val="20"/>
              </w:rPr>
            </w:pPr>
            <w:r>
              <w:rPr>
                <w:sz w:val="20"/>
                <w:szCs w:val="20"/>
              </w:rPr>
              <w:t>-46,0</w:t>
            </w:r>
          </w:p>
        </w:tc>
        <w:tc>
          <w:tcPr>
            <w:tcW w:w="567" w:type="dxa"/>
            <w:vAlign w:val="center"/>
          </w:tcPr>
          <w:p w14:paraId="599285B6" w14:textId="299FB230" w:rsidR="00E843F0" w:rsidRPr="00497710" w:rsidRDefault="00CE7A9A" w:rsidP="00502877">
            <w:pPr>
              <w:autoSpaceDE w:val="0"/>
              <w:autoSpaceDN w:val="0"/>
              <w:adjustRightInd w:val="0"/>
              <w:jc w:val="center"/>
              <w:rPr>
                <w:sz w:val="20"/>
                <w:szCs w:val="20"/>
              </w:rPr>
            </w:pPr>
            <w:r>
              <w:rPr>
                <w:sz w:val="20"/>
                <w:szCs w:val="20"/>
              </w:rPr>
              <w:t>-13,6</w:t>
            </w:r>
          </w:p>
        </w:tc>
        <w:tc>
          <w:tcPr>
            <w:tcW w:w="567" w:type="dxa"/>
            <w:vAlign w:val="center"/>
          </w:tcPr>
          <w:p w14:paraId="6520821D" w14:textId="7A854AC6" w:rsidR="00E843F0" w:rsidRPr="00497710" w:rsidRDefault="00CE7A9A" w:rsidP="00502877">
            <w:pPr>
              <w:autoSpaceDE w:val="0"/>
              <w:autoSpaceDN w:val="0"/>
              <w:adjustRightInd w:val="0"/>
              <w:jc w:val="center"/>
              <w:rPr>
                <w:sz w:val="20"/>
                <w:szCs w:val="20"/>
              </w:rPr>
            </w:pPr>
            <w:r>
              <w:rPr>
                <w:sz w:val="20"/>
                <w:szCs w:val="20"/>
              </w:rPr>
              <w:t>+26,7</w:t>
            </w:r>
          </w:p>
        </w:tc>
        <w:tc>
          <w:tcPr>
            <w:tcW w:w="567" w:type="dxa"/>
            <w:vAlign w:val="center"/>
          </w:tcPr>
          <w:p w14:paraId="2B2C7B10" w14:textId="3BA034CB" w:rsidR="00E843F0" w:rsidRPr="00497710" w:rsidRDefault="00CE7A9A" w:rsidP="00502877">
            <w:pPr>
              <w:autoSpaceDE w:val="0"/>
              <w:autoSpaceDN w:val="0"/>
              <w:adjustRightInd w:val="0"/>
              <w:jc w:val="center"/>
              <w:rPr>
                <w:sz w:val="20"/>
                <w:szCs w:val="20"/>
              </w:rPr>
            </w:pPr>
            <w:r>
              <w:rPr>
                <w:sz w:val="20"/>
                <w:szCs w:val="20"/>
              </w:rPr>
              <w:t>-17,9</w:t>
            </w:r>
          </w:p>
        </w:tc>
      </w:tr>
    </w:tbl>
    <w:p w14:paraId="60E5885E" w14:textId="3923B51E" w:rsidR="008920DE" w:rsidRPr="002D428D" w:rsidRDefault="00FC3626" w:rsidP="008920DE">
      <w:pPr>
        <w:spacing w:after="0" w:line="240" w:lineRule="auto"/>
        <w:jc w:val="both"/>
        <w:rPr>
          <w:rFonts w:ascii="Times New Roman" w:eastAsiaTheme="minorHAnsi" w:hAnsi="Times New Roman" w:cs="Times New Roman"/>
          <w:i/>
          <w:iCs/>
          <w:sz w:val="20"/>
          <w:szCs w:val="20"/>
        </w:rPr>
      </w:pPr>
      <w:r w:rsidRPr="002D428D">
        <w:rPr>
          <w:rFonts w:ascii="Times New Roman" w:eastAsiaTheme="minorHAnsi" w:hAnsi="Times New Roman" w:cs="Times New Roman"/>
          <w:i/>
          <w:iCs/>
          <w:sz w:val="20"/>
          <w:szCs w:val="20"/>
        </w:rPr>
        <w:t xml:space="preserve">* bez AS “Latvenergo” dividenžu daļas, kas neitralizē vienreizējo kompensāciju 51,7 milj. </w:t>
      </w:r>
      <w:proofErr w:type="spellStart"/>
      <w:r w:rsidRPr="002D428D">
        <w:rPr>
          <w:rFonts w:ascii="Times New Roman" w:eastAsiaTheme="minorHAnsi" w:hAnsi="Times New Roman" w:cs="Times New Roman"/>
          <w:i/>
          <w:iCs/>
          <w:sz w:val="20"/>
          <w:szCs w:val="20"/>
        </w:rPr>
        <w:t>euro</w:t>
      </w:r>
      <w:proofErr w:type="spellEnd"/>
      <w:r w:rsidRPr="002D428D">
        <w:rPr>
          <w:rFonts w:ascii="Times New Roman" w:eastAsiaTheme="minorHAnsi" w:hAnsi="Times New Roman" w:cs="Times New Roman"/>
          <w:i/>
          <w:iCs/>
          <w:sz w:val="20"/>
          <w:szCs w:val="20"/>
        </w:rPr>
        <w:t xml:space="preserve"> apmērā.</w:t>
      </w:r>
    </w:p>
    <w:p w14:paraId="2D2745D0" w14:textId="7EE9C93D" w:rsidR="00502877" w:rsidRPr="002D428D" w:rsidRDefault="00502877" w:rsidP="00502877">
      <w:pPr>
        <w:spacing w:after="0" w:line="240" w:lineRule="auto"/>
        <w:jc w:val="both"/>
        <w:rPr>
          <w:rFonts w:ascii="Times New Roman" w:eastAsiaTheme="minorHAnsi" w:hAnsi="Times New Roman" w:cs="Times New Roman"/>
          <w:i/>
          <w:iCs/>
          <w:sz w:val="20"/>
          <w:szCs w:val="20"/>
        </w:rPr>
      </w:pPr>
      <w:r w:rsidRPr="002D428D">
        <w:rPr>
          <w:rFonts w:ascii="Times New Roman" w:eastAsiaTheme="minorHAnsi" w:hAnsi="Times New Roman" w:cs="Times New Roman"/>
          <w:i/>
          <w:iCs/>
          <w:sz w:val="20"/>
          <w:szCs w:val="20"/>
        </w:rPr>
        <w:t xml:space="preserve">** neskaitot </w:t>
      </w:r>
      <w:proofErr w:type="spellStart"/>
      <w:r w:rsidRPr="002D428D">
        <w:rPr>
          <w:rFonts w:ascii="Times New Roman" w:eastAsiaTheme="minorHAnsi" w:hAnsi="Times New Roman" w:cs="Times New Roman"/>
          <w:i/>
          <w:iCs/>
          <w:sz w:val="20"/>
          <w:szCs w:val="20"/>
        </w:rPr>
        <w:t>ad</w:t>
      </w:r>
      <w:proofErr w:type="spellEnd"/>
      <w:r w:rsidRPr="002D428D">
        <w:rPr>
          <w:rFonts w:ascii="Times New Roman" w:eastAsiaTheme="minorHAnsi" w:hAnsi="Times New Roman" w:cs="Times New Roman"/>
          <w:i/>
          <w:iCs/>
          <w:sz w:val="20"/>
          <w:szCs w:val="20"/>
        </w:rPr>
        <w:t xml:space="preserve"> </w:t>
      </w:r>
      <w:proofErr w:type="spellStart"/>
      <w:r w:rsidRPr="002D428D">
        <w:rPr>
          <w:rFonts w:ascii="Times New Roman" w:eastAsiaTheme="minorHAnsi" w:hAnsi="Times New Roman" w:cs="Times New Roman"/>
          <w:i/>
          <w:iCs/>
          <w:sz w:val="20"/>
          <w:szCs w:val="20"/>
        </w:rPr>
        <w:t>hoc</w:t>
      </w:r>
      <w:proofErr w:type="spellEnd"/>
      <w:r w:rsidRPr="002D428D">
        <w:rPr>
          <w:rFonts w:ascii="Times New Roman" w:eastAsiaTheme="minorHAnsi" w:hAnsi="Times New Roman" w:cs="Times New Roman"/>
          <w:i/>
          <w:iCs/>
          <w:sz w:val="20"/>
          <w:szCs w:val="20"/>
        </w:rPr>
        <w:t xml:space="preserve"> korekciju.</w:t>
      </w:r>
    </w:p>
    <w:p w14:paraId="04ACE66E" w14:textId="77777777" w:rsidR="00FC3626" w:rsidRPr="0037264A" w:rsidRDefault="00FC3626" w:rsidP="008920DE">
      <w:pPr>
        <w:spacing w:after="0" w:line="240" w:lineRule="auto"/>
        <w:jc w:val="both"/>
        <w:rPr>
          <w:rFonts w:eastAsiaTheme="minorHAnsi"/>
        </w:rPr>
      </w:pPr>
    </w:p>
    <w:p w14:paraId="376D2DEA" w14:textId="77777777" w:rsidR="00502877" w:rsidRDefault="00502877" w:rsidP="00502877">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2019.</w:t>
      </w:r>
      <w:r>
        <w:rPr>
          <w:rFonts w:ascii="Times New Roman" w:eastAsiaTheme="minorHAnsi" w:hAnsi="Times New Roman"/>
          <w:sz w:val="24"/>
        </w:rPr>
        <w:t xml:space="preserve"> un 2020.</w:t>
      </w:r>
      <w:r w:rsidRPr="0037264A">
        <w:rPr>
          <w:rFonts w:ascii="Times New Roman" w:eastAsiaTheme="minorHAnsi" w:hAnsi="Times New Roman"/>
          <w:sz w:val="24"/>
        </w:rPr>
        <w:t xml:space="preserve">gadā novērotais </w:t>
      </w:r>
      <w:proofErr w:type="spellStart"/>
      <w:r w:rsidRPr="0037264A">
        <w:rPr>
          <w:rFonts w:ascii="Times New Roman" w:eastAsiaTheme="minorHAnsi" w:hAnsi="Times New Roman"/>
          <w:sz w:val="24"/>
        </w:rPr>
        <w:t>superdividenžu</w:t>
      </w:r>
      <w:proofErr w:type="spellEnd"/>
      <w:r w:rsidRPr="0037264A">
        <w:rPr>
          <w:rFonts w:ascii="Times New Roman" w:eastAsiaTheme="minorHAnsi" w:hAnsi="Times New Roman"/>
          <w:sz w:val="24"/>
        </w:rPr>
        <w:t xml:space="preserve"> apmērs </w:t>
      </w:r>
      <w:r>
        <w:rPr>
          <w:rFonts w:ascii="Times New Roman" w:eastAsiaTheme="minorHAnsi" w:hAnsi="Times New Roman"/>
          <w:sz w:val="24"/>
        </w:rPr>
        <w:t>galvenokārt</w:t>
      </w:r>
      <w:r w:rsidRPr="0037264A">
        <w:rPr>
          <w:rFonts w:ascii="Times New Roman" w:eastAsiaTheme="minorHAnsi" w:hAnsi="Times New Roman"/>
          <w:sz w:val="24"/>
        </w:rPr>
        <w:t xml:space="preserve"> attiecas uz AS “Latvenergo” valsts budžetā iemaksātajām dividendēm. </w:t>
      </w:r>
      <w:r>
        <w:rPr>
          <w:rFonts w:ascii="Times New Roman" w:eastAsiaTheme="minorHAnsi" w:hAnsi="Times New Roman"/>
          <w:sz w:val="24"/>
        </w:rPr>
        <w:t xml:space="preserve">Savukārt 2021.gadā </w:t>
      </w:r>
      <w:proofErr w:type="spellStart"/>
      <w:r>
        <w:rPr>
          <w:rFonts w:ascii="Times New Roman" w:eastAsiaTheme="minorHAnsi" w:hAnsi="Times New Roman"/>
          <w:sz w:val="24"/>
        </w:rPr>
        <w:t>superdividendes</w:t>
      </w:r>
      <w:proofErr w:type="spellEnd"/>
      <w:r>
        <w:rPr>
          <w:rFonts w:ascii="Times New Roman" w:eastAsiaTheme="minorHAnsi" w:hAnsi="Times New Roman"/>
          <w:sz w:val="24"/>
        </w:rPr>
        <w:t xml:space="preserve"> 10 milj. </w:t>
      </w:r>
      <w:proofErr w:type="spellStart"/>
      <w:r w:rsidRPr="0058124B">
        <w:rPr>
          <w:rFonts w:ascii="Times New Roman" w:eastAsiaTheme="minorHAnsi" w:hAnsi="Times New Roman"/>
          <w:i/>
          <w:iCs/>
          <w:sz w:val="24"/>
        </w:rPr>
        <w:t>euro</w:t>
      </w:r>
      <w:proofErr w:type="spellEnd"/>
      <w:r>
        <w:rPr>
          <w:rFonts w:ascii="Times New Roman" w:eastAsiaTheme="minorHAnsi" w:hAnsi="Times New Roman"/>
          <w:sz w:val="24"/>
        </w:rPr>
        <w:t xml:space="preserve"> apmērā ir </w:t>
      </w:r>
      <w:r>
        <w:rPr>
          <w:rFonts w:ascii="Times New Roman" w:eastAsiaTheme="minorHAnsi" w:hAnsi="Times New Roman"/>
          <w:sz w:val="24"/>
        </w:rPr>
        <w:lastRenderedPageBreak/>
        <w:t xml:space="preserve">radušās no VAS “Latvijas valsts meži” valsts budžetā iemaksātajiem līdzekļiem, </w:t>
      </w:r>
      <w:r w:rsidRPr="002D428D">
        <w:rPr>
          <w:rFonts w:ascii="Times New Roman" w:eastAsiaTheme="minorHAnsi" w:hAnsi="Times New Roman"/>
          <w:sz w:val="24"/>
        </w:rPr>
        <w:t xml:space="preserve">bet 2022.gadā attiecīgi 20 milj. </w:t>
      </w:r>
      <w:proofErr w:type="spellStart"/>
      <w:r w:rsidRPr="002D428D">
        <w:rPr>
          <w:rFonts w:ascii="Times New Roman" w:eastAsiaTheme="minorHAnsi" w:hAnsi="Times New Roman"/>
          <w:i/>
          <w:iCs/>
          <w:sz w:val="24"/>
        </w:rPr>
        <w:t>euro</w:t>
      </w:r>
      <w:proofErr w:type="spellEnd"/>
      <w:r w:rsidRPr="002D428D">
        <w:rPr>
          <w:rFonts w:ascii="Times New Roman" w:eastAsiaTheme="minorHAnsi" w:hAnsi="Times New Roman"/>
          <w:sz w:val="24"/>
        </w:rPr>
        <w:t xml:space="preserve"> saistās ar AS “Augstsprieguma tīkls” dividenžu maksājumu un 12 milj.</w:t>
      </w:r>
      <w:r w:rsidRPr="00247361">
        <w:rPr>
          <w:rFonts w:ascii="Times New Roman" w:eastAsiaTheme="minorHAnsi" w:hAnsi="Times New Roman"/>
          <w:sz w:val="24"/>
        </w:rPr>
        <w:t xml:space="preserve"> </w:t>
      </w:r>
      <w:proofErr w:type="spellStart"/>
      <w:r w:rsidRPr="00247361">
        <w:rPr>
          <w:rFonts w:ascii="Times New Roman" w:eastAsiaTheme="minorHAnsi" w:hAnsi="Times New Roman"/>
          <w:i/>
          <w:iCs/>
          <w:sz w:val="24"/>
        </w:rPr>
        <w:t>euro</w:t>
      </w:r>
      <w:proofErr w:type="spellEnd"/>
      <w:r w:rsidRPr="00247361">
        <w:rPr>
          <w:rFonts w:ascii="Times New Roman" w:eastAsiaTheme="minorHAnsi" w:hAnsi="Times New Roman"/>
          <w:sz w:val="24"/>
        </w:rPr>
        <w:t xml:space="preserve"> ietekme saistāma ar AS “Latvenergo” maksājumu valsts budžetā.</w:t>
      </w:r>
    </w:p>
    <w:p w14:paraId="72872F77" w14:textId="4D105013" w:rsidR="00502877" w:rsidRPr="00591550" w:rsidRDefault="00502877" w:rsidP="00502877">
      <w:pPr>
        <w:spacing w:after="0" w:line="240" w:lineRule="auto"/>
        <w:ind w:firstLine="720"/>
        <w:jc w:val="both"/>
        <w:rPr>
          <w:rFonts w:ascii="Times New Roman" w:eastAsiaTheme="minorHAnsi" w:hAnsi="Times New Roman"/>
          <w:sz w:val="24"/>
        </w:rPr>
      </w:pPr>
      <w:r>
        <w:rPr>
          <w:rFonts w:ascii="Times New Roman" w:eastAsiaTheme="minorHAnsi" w:hAnsi="Times New Roman"/>
          <w:sz w:val="24"/>
        </w:rPr>
        <w:t xml:space="preserve">Jāatzīmē, ka 2023.gada martā ES statistikas birojs </w:t>
      </w:r>
      <w:proofErr w:type="spellStart"/>
      <w:r w:rsidRPr="00620C70">
        <w:rPr>
          <w:rFonts w:ascii="Times New Roman" w:eastAsiaTheme="minorHAnsi" w:hAnsi="Times New Roman"/>
          <w:i/>
          <w:iCs/>
          <w:sz w:val="24"/>
        </w:rPr>
        <w:t>Eurostat</w:t>
      </w:r>
      <w:proofErr w:type="spellEnd"/>
      <w:r>
        <w:rPr>
          <w:rFonts w:ascii="Times New Roman" w:eastAsiaTheme="minorHAnsi" w:hAnsi="Times New Roman"/>
          <w:i/>
          <w:iCs/>
          <w:sz w:val="24"/>
        </w:rPr>
        <w:t xml:space="preserve"> </w:t>
      </w:r>
      <w:r>
        <w:rPr>
          <w:rFonts w:ascii="Times New Roman" w:eastAsiaTheme="minorHAnsi" w:hAnsi="Times New Roman"/>
          <w:sz w:val="24"/>
        </w:rPr>
        <w:t xml:space="preserve">publicēja </w:t>
      </w:r>
      <w:proofErr w:type="spellStart"/>
      <w:r w:rsidRPr="00620C70">
        <w:rPr>
          <w:rFonts w:ascii="Times New Roman" w:eastAsiaTheme="minorHAnsi" w:hAnsi="Times New Roman"/>
          <w:i/>
          <w:iCs/>
          <w:sz w:val="24"/>
        </w:rPr>
        <w:t>ex</w:t>
      </w:r>
      <w:proofErr w:type="spellEnd"/>
      <w:r w:rsidRPr="00620C70">
        <w:rPr>
          <w:rFonts w:ascii="Times New Roman" w:eastAsiaTheme="minorHAnsi" w:hAnsi="Times New Roman"/>
          <w:i/>
          <w:iCs/>
          <w:sz w:val="24"/>
        </w:rPr>
        <w:t>-post</w:t>
      </w:r>
      <w:r>
        <w:rPr>
          <w:rFonts w:ascii="Times New Roman" w:eastAsiaTheme="minorHAnsi" w:hAnsi="Times New Roman"/>
          <w:sz w:val="24"/>
        </w:rPr>
        <w:t xml:space="preserve"> konsultācijas materiālu attiecībā uz obligātā iepirkuma shēmas statistisko uzskaiti un tā ietvaros CSP tika ieteikts pārrēķināt AS “Latvenergo” </w:t>
      </w:r>
      <w:proofErr w:type="spellStart"/>
      <w:r>
        <w:rPr>
          <w:rFonts w:ascii="Times New Roman" w:eastAsiaTheme="minorHAnsi" w:hAnsi="Times New Roman"/>
          <w:sz w:val="24"/>
        </w:rPr>
        <w:t>superdividenžu</w:t>
      </w:r>
      <w:proofErr w:type="spellEnd"/>
      <w:r>
        <w:rPr>
          <w:rFonts w:ascii="Times New Roman" w:eastAsiaTheme="minorHAnsi" w:hAnsi="Times New Roman"/>
          <w:sz w:val="24"/>
        </w:rPr>
        <w:t xml:space="preserve"> novērtējumu. 2023.gada aprīļa vispārējās valdības budžeta deficīta un parāda notifikācijas laikā CSP veica </w:t>
      </w:r>
      <w:proofErr w:type="spellStart"/>
      <w:r w:rsidRPr="00620C70">
        <w:rPr>
          <w:rFonts w:ascii="Times New Roman" w:eastAsiaTheme="minorHAnsi" w:hAnsi="Times New Roman"/>
          <w:i/>
          <w:iCs/>
          <w:sz w:val="24"/>
        </w:rPr>
        <w:t>ad</w:t>
      </w:r>
      <w:proofErr w:type="spellEnd"/>
      <w:r w:rsidRPr="00620C70">
        <w:rPr>
          <w:rFonts w:ascii="Times New Roman" w:eastAsiaTheme="minorHAnsi" w:hAnsi="Times New Roman"/>
          <w:i/>
          <w:iCs/>
          <w:sz w:val="24"/>
        </w:rPr>
        <w:t xml:space="preserve"> </w:t>
      </w:r>
      <w:proofErr w:type="spellStart"/>
      <w:r w:rsidRPr="00620C70">
        <w:rPr>
          <w:rFonts w:ascii="Times New Roman" w:eastAsiaTheme="minorHAnsi" w:hAnsi="Times New Roman"/>
          <w:i/>
          <w:iCs/>
          <w:sz w:val="24"/>
        </w:rPr>
        <w:t>hoc</w:t>
      </w:r>
      <w:proofErr w:type="spellEnd"/>
      <w:r>
        <w:rPr>
          <w:rFonts w:ascii="Times New Roman" w:eastAsiaTheme="minorHAnsi" w:hAnsi="Times New Roman"/>
          <w:sz w:val="24"/>
        </w:rPr>
        <w:t xml:space="preserve"> korekciju, kas apvieno gan izmaiņas obligātā iepirkuma shēmas uzskaitē, gan izmaiņas </w:t>
      </w:r>
      <w:proofErr w:type="spellStart"/>
      <w:r>
        <w:rPr>
          <w:rFonts w:ascii="Times New Roman" w:eastAsiaTheme="minorHAnsi" w:hAnsi="Times New Roman"/>
          <w:sz w:val="24"/>
        </w:rPr>
        <w:t>superdividenžu</w:t>
      </w:r>
      <w:proofErr w:type="spellEnd"/>
      <w:r>
        <w:rPr>
          <w:rFonts w:ascii="Times New Roman" w:eastAsiaTheme="minorHAnsi" w:hAnsi="Times New Roman"/>
          <w:sz w:val="24"/>
        </w:rPr>
        <w:t xml:space="preserve"> apmēra uzskaitē. Paredzams, ka 2023.gada oktobra notifikācijas laikā </w:t>
      </w:r>
      <w:proofErr w:type="spellStart"/>
      <w:r w:rsidRPr="00620C70">
        <w:rPr>
          <w:rFonts w:ascii="Times New Roman" w:eastAsiaTheme="minorHAnsi" w:hAnsi="Times New Roman"/>
          <w:i/>
          <w:iCs/>
          <w:sz w:val="24"/>
        </w:rPr>
        <w:t>ad</w:t>
      </w:r>
      <w:proofErr w:type="spellEnd"/>
      <w:r w:rsidRPr="00620C70">
        <w:rPr>
          <w:rFonts w:ascii="Times New Roman" w:eastAsiaTheme="minorHAnsi" w:hAnsi="Times New Roman"/>
          <w:i/>
          <w:iCs/>
          <w:sz w:val="24"/>
        </w:rPr>
        <w:t xml:space="preserve"> </w:t>
      </w:r>
      <w:proofErr w:type="spellStart"/>
      <w:r w:rsidRPr="00620C70">
        <w:rPr>
          <w:rFonts w:ascii="Times New Roman" w:eastAsiaTheme="minorHAnsi" w:hAnsi="Times New Roman"/>
          <w:i/>
          <w:iCs/>
          <w:sz w:val="24"/>
        </w:rPr>
        <w:t>hoc</w:t>
      </w:r>
      <w:proofErr w:type="spellEnd"/>
      <w:r>
        <w:rPr>
          <w:rFonts w:ascii="Times New Roman" w:eastAsiaTheme="minorHAnsi" w:hAnsi="Times New Roman"/>
          <w:sz w:val="24"/>
        </w:rPr>
        <w:t xml:space="preserve"> korekcijas vietā tiks precizētas patstāvīgas korekcijas, t.sk. tik</w:t>
      </w:r>
      <w:r w:rsidR="00874341">
        <w:rPr>
          <w:rFonts w:ascii="Times New Roman" w:eastAsiaTheme="minorHAnsi" w:hAnsi="Times New Roman"/>
          <w:sz w:val="24"/>
        </w:rPr>
        <w:t>s</w:t>
      </w:r>
      <w:r>
        <w:rPr>
          <w:rFonts w:ascii="Times New Roman" w:eastAsiaTheme="minorHAnsi" w:hAnsi="Times New Roman"/>
          <w:sz w:val="24"/>
        </w:rPr>
        <w:t xml:space="preserve"> mainīta </w:t>
      </w:r>
      <w:r w:rsidRPr="009F24C3">
        <w:rPr>
          <w:rFonts w:ascii="Times New Roman" w:eastAsiaTheme="minorHAnsi" w:hAnsi="Times New Roman"/>
          <w:sz w:val="24"/>
        </w:rPr>
        <w:t xml:space="preserve">(uzlabosies) </w:t>
      </w:r>
      <w:proofErr w:type="spellStart"/>
      <w:r w:rsidRPr="009F24C3">
        <w:rPr>
          <w:rFonts w:ascii="Times New Roman" w:eastAsiaTheme="minorHAnsi" w:hAnsi="Times New Roman"/>
          <w:sz w:val="24"/>
        </w:rPr>
        <w:t>superdividenžu</w:t>
      </w:r>
      <w:proofErr w:type="spellEnd"/>
      <w:r w:rsidRPr="009F24C3">
        <w:rPr>
          <w:rFonts w:ascii="Times New Roman" w:eastAsiaTheme="minorHAnsi" w:hAnsi="Times New Roman"/>
          <w:sz w:val="24"/>
        </w:rPr>
        <w:t xml:space="preserve"> korekcija un valsts</w:t>
      </w:r>
      <w:r>
        <w:rPr>
          <w:rFonts w:ascii="Times New Roman" w:eastAsiaTheme="minorHAnsi" w:hAnsi="Times New Roman"/>
          <w:sz w:val="24"/>
        </w:rPr>
        <w:t xml:space="preserve"> budžeta dividenžu ieņēmumi par 28 milj. </w:t>
      </w:r>
      <w:proofErr w:type="spellStart"/>
      <w:r w:rsidRPr="00620C70">
        <w:rPr>
          <w:rFonts w:ascii="Times New Roman" w:eastAsiaTheme="minorHAnsi" w:hAnsi="Times New Roman"/>
          <w:i/>
          <w:iCs/>
          <w:sz w:val="24"/>
        </w:rPr>
        <w:t>euro</w:t>
      </w:r>
      <w:proofErr w:type="spellEnd"/>
      <w:r>
        <w:rPr>
          <w:rFonts w:ascii="Times New Roman" w:eastAsiaTheme="minorHAnsi" w:hAnsi="Times New Roman"/>
          <w:sz w:val="24"/>
        </w:rPr>
        <w:t xml:space="preserve"> 2019.gadā, 14 milj. </w:t>
      </w:r>
      <w:proofErr w:type="spellStart"/>
      <w:r w:rsidRPr="00620C70">
        <w:rPr>
          <w:rFonts w:ascii="Times New Roman" w:eastAsiaTheme="minorHAnsi" w:hAnsi="Times New Roman"/>
          <w:i/>
          <w:iCs/>
          <w:sz w:val="24"/>
        </w:rPr>
        <w:t>euro</w:t>
      </w:r>
      <w:proofErr w:type="spellEnd"/>
      <w:r>
        <w:rPr>
          <w:rFonts w:ascii="Times New Roman" w:eastAsiaTheme="minorHAnsi" w:hAnsi="Times New Roman"/>
          <w:sz w:val="24"/>
        </w:rPr>
        <w:t xml:space="preserve"> ik gadu no 2020. līdz 2022.gadam.</w:t>
      </w:r>
    </w:p>
    <w:p w14:paraId="28A3AFB3" w14:textId="7A1B6881" w:rsidR="00261582" w:rsidRDefault="00502877" w:rsidP="00350733">
      <w:pPr>
        <w:spacing w:after="100" w:afterAutospacing="1" w:line="240" w:lineRule="auto"/>
        <w:ind w:firstLine="720"/>
        <w:jc w:val="both"/>
        <w:rPr>
          <w:rFonts w:ascii="Times New Roman" w:eastAsiaTheme="minorHAnsi" w:hAnsi="Times New Roman"/>
          <w:sz w:val="24"/>
        </w:rPr>
      </w:pPr>
      <w:r>
        <w:rPr>
          <w:rFonts w:ascii="Times New Roman" w:eastAsiaTheme="minorHAnsi" w:hAnsi="Times New Roman"/>
          <w:sz w:val="24"/>
        </w:rPr>
        <w:t xml:space="preserve">Ņemot vērā pēdējo gadu tendences, nav iespējams izslēgt turpmāku </w:t>
      </w:r>
      <w:proofErr w:type="spellStart"/>
      <w:r>
        <w:rPr>
          <w:rFonts w:ascii="Times New Roman" w:eastAsiaTheme="minorHAnsi" w:hAnsi="Times New Roman"/>
          <w:sz w:val="24"/>
        </w:rPr>
        <w:t>superdividenžu</w:t>
      </w:r>
      <w:proofErr w:type="spellEnd"/>
      <w:r>
        <w:rPr>
          <w:rFonts w:ascii="Times New Roman" w:eastAsiaTheme="minorHAnsi" w:hAnsi="Times New Roman"/>
          <w:sz w:val="24"/>
        </w:rPr>
        <w:t xml:space="preserve"> riska iestāšanos</w:t>
      </w:r>
      <w:r w:rsidRPr="00E843F0">
        <w:rPr>
          <w:rFonts w:ascii="Times New Roman" w:eastAsiaTheme="minorHAnsi" w:hAnsi="Times New Roman"/>
          <w:sz w:val="24"/>
        </w:rPr>
        <w:t xml:space="preserve">. Tomēr, analizējot lielāko uzņēmumu pēc valsts budžetā iemaksājamo dividenžu apmēra operatīvās darbības pārskatus, prognozējams, ka </w:t>
      </w:r>
      <w:proofErr w:type="spellStart"/>
      <w:r w:rsidRPr="00E843F0">
        <w:rPr>
          <w:rFonts w:ascii="Times New Roman" w:eastAsiaTheme="minorHAnsi" w:hAnsi="Times New Roman"/>
          <w:sz w:val="24"/>
        </w:rPr>
        <w:t>superdividenžu</w:t>
      </w:r>
      <w:proofErr w:type="spellEnd"/>
      <w:r w:rsidRPr="00E843F0">
        <w:rPr>
          <w:rFonts w:ascii="Times New Roman" w:eastAsiaTheme="minorHAnsi" w:hAnsi="Times New Roman"/>
          <w:sz w:val="24"/>
        </w:rPr>
        <w:t xml:space="preserve"> un attiecīgi budžeta ietvarā plānoto ieņēmumu no dividendēm neizpilde ir zema</w:t>
      </w:r>
      <w:r w:rsidR="00E843F0" w:rsidRPr="002D428D">
        <w:rPr>
          <w:rFonts w:ascii="Times New Roman" w:eastAsiaTheme="minorHAnsi" w:hAnsi="Times New Roman"/>
          <w:sz w:val="24"/>
        </w:rPr>
        <w:t>.</w:t>
      </w:r>
      <w:r w:rsidRPr="00E843F0">
        <w:rPr>
          <w:rFonts w:ascii="Times New Roman" w:eastAsiaTheme="minorHAnsi" w:hAnsi="Times New Roman"/>
          <w:sz w:val="24"/>
        </w:rPr>
        <w:t xml:space="preserve"> </w:t>
      </w:r>
      <w:r w:rsidRPr="009F24C3">
        <w:rPr>
          <w:rFonts w:ascii="Times New Roman" w:eastAsiaTheme="minorHAnsi" w:hAnsi="Times New Roman"/>
          <w:sz w:val="24"/>
        </w:rPr>
        <w:t>Ievērojot, ka vidējā gada fiskālā ietekme, kas ir radusies no iepriekšējo gadu budžeta ieņēmumu pozīcijas neizpildes</w:t>
      </w:r>
      <w:r w:rsidR="00E843F0" w:rsidRPr="002D428D">
        <w:rPr>
          <w:rFonts w:ascii="Times New Roman" w:eastAsiaTheme="minorHAnsi" w:hAnsi="Times New Roman"/>
          <w:sz w:val="24"/>
        </w:rPr>
        <w:t xml:space="preserve"> laika rindā no 2015.gada līdz 2022.gadam</w:t>
      </w:r>
      <w:r w:rsidR="009F24C3" w:rsidRPr="002D428D">
        <w:rPr>
          <w:rFonts w:ascii="Times New Roman" w:eastAsiaTheme="minorHAnsi" w:hAnsi="Times New Roman"/>
          <w:sz w:val="24"/>
        </w:rPr>
        <w:t xml:space="preserve"> veido 8,3</w:t>
      </w:r>
      <w:r w:rsidR="009F24C3" w:rsidRPr="002D428D">
        <w:rPr>
          <w:rFonts w:ascii="Times New Roman" w:eastAsiaTheme="minorHAnsi" w:hAnsi="Times New Roman"/>
          <w:i/>
          <w:sz w:val="24"/>
        </w:rPr>
        <w:t xml:space="preserve"> </w:t>
      </w:r>
      <w:r w:rsidR="009F24C3" w:rsidRPr="002D428D">
        <w:rPr>
          <w:rFonts w:ascii="Times New Roman" w:eastAsiaTheme="minorHAnsi" w:hAnsi="Times New Roman"/>
          <w:iCs/>
          <w:sz w:val="24"/>
        </w:rPr>
        <w:t>milj.</w:t>
      </w:r>
      <w:r w:rsidR="009F24C3" w:rsidRPr="002D428D">
        <w:rPr>
          <w:rFonts w:ascii="Times New Roman" w:eastAsiaTheme="minorHAnsi" w:hAnsi="Times New Roman"/>
          <w:i/>
          <w:sz w:val="24"/>
        </w:rPr>
        <w:t xml:space="preserve"> </w:t>
      </w:r>
      <w:proofErr w:type="spellStart"/>
      <w:r w:rsidR="009F24C3" w:rsidRPr="002D428D">
        <w:rPr>
          <w:rFonts w:ascii="Times New Roman" w:eastAsiaTheme="minorHAnsi" w:hAnsi="Times New Roman"/>
          <w:i/>
          <w:sz w:val="24"/>
        </w:rPr>
        <w:t>euro</w:t>
      </w:r>
      <w:proofErr w:type="spellEnd"/>
      <w:r w:rsidR="009F24C3" w:rsidRPr="002D428D">
        <w:rPr>
          <w:rFonts w:ascii="Times New Roman" w:eastAsiaTheme="minorHAnsi" w:hAnsi="Times New Roman"/>
          <w:i/>
          <w:sz w:val="24"/>
        </w:rPr>
        <w:t xml:space="preserve"> </w:t>
      </w:r>
      <w:r w:rsidR="009F24C3" w:rsidRPr="002D428D">
        <w:rPr>
          <w:rFonts w:ascii="Times New Roman" w:eastAsiaTheme="minorHAnsi" w:hAnsi="Times New Roman"/>
          <w:iCs/>
          <w:sz w:val="24"/>
        </w:rPr>
        <w:t>(pozitīva ietekme, izpilde pārsniedz plānoto)</w:t>
      </w:r>
      <w:r w:rsidR="009F24C3" w:rsidRPr="002D428D">
        <w:rPr>
          <w:rFonts w:ascii="Times New Roman" w:eastAsiaTheme="minorHAnsi" w:hAnsi="Times New Roman"/>
          <w:i/>
          <w:sz w:val="24"/>
        </w:rPr>
        <w:t xml:space="preserve">, </w:t>
      </w:r>
      <w:r w:rsidR="009F24C3" w:rsidRPr="002D428D">
        <w:rPr>
          <w:rFonts w:ascii="Times New Roman" w:eastAsiaTheme="minorHAnsi" w:hAnsi="Times New Roman"/>
          <w:iCs/>
          <w:sz w:val="24"/>
        </w:rPr>
        <w:t xml:space="preserve">attiecīgi </w:t>
      </w:r>
      <w:r w:rsidR="009F24C3" w:rsidRPr="002D428D">
        <w:rPr>
          <w:rFonts w:ascii="Times New Roman" w:eastAsiaTheme="minorHAnsi" w:hAnsi="Times New Roman"/>
          <w:b/>
          <w:bCs/>
          <w:iCs/>
          <w:sz w:val="24"/>
        </w:rPr>
        <w:t>fiskālo nodrošinājuma rezervi veidot nav nepieciešams.</w:t>
      </w:r>
    </w:p>
    <w:p w14:paraId="669D7CB3" w14:textId="2D273315" w:rsidR="00261582" w:rsidRPr="001D0BDB" w:rsidRDefault="00261582"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89" w:name="_Toc142388038"/>
      <w:r w:rsidRPr="001D0BDB">
        <w:rPr>
          <w:rFonts w:ascii="Times New Roman" w:hAnsi="Times New Roman" w:cs="Times New Roman"/>
          <w:bCs w:val="0"/>
          <w:sz w:val="24"/>
          <w:szCs w:val="24"/>
        </w:rPr>
        <w:t>P</w:t>
      </w:r>
      <w:r w:rsidRPr="00264E5D">
        <w:rPr>
          <w:rFonts w:ascii="Times New Roman" w:hAnsi="Times New Roman" w:cs="Times New Roman"/>
          <w:bCs w:val="0"/>
          <w:sz w:val="24"/>
          <w:szCs w:val="24"/>
        </w:rPr>
        <w:t>ubliskās</w:t>
      </w:r>
      <w:r w:rsidRPr="00B118DB">
        <w:rPr>
          <w:rFonts w:ascii="Times New Roman" w:hAnsi="Times New Roman" w:cs="Times New Roman"/>
          <w:bCs w:val="0"/>
          <w:sz w:val="24"/>
          <w:szCs w:val="24"/>
        </w:rPr>
        <w:t xml:space="preserve"> un privātās partnerības (t.sk. koncesijas) projekti</w:t>
      </w:r>
      <w:bookmarkEnd w:id="89"/>
    </w:p>
    <w:p w14:paraId="42C5C4B5" w14:textId="335AFBB9" w:rsidR="00261582" w:rsidRPr="00B118DB" w:rsidRDefault="00261582" w:rsidP="00261582">
      <w:pPr>
        <w:spacing w:after="0" w:line="240" w:lineRule="auto"/>
        <w:jc w:val="both"/>
        <w:rPr>
          <w:rFonts w:ascii="Times New Roman" w:eastAsiaTheme="minorHAnsi" w:hAnsi="Times New Roman" w:cs="Times New Roman"/>
          <w:sz w:val="24"/>
          <w:szCs w:val="20"/>
        </w:rPr>
      </w:pPr>
      <w:r w:rsidRPr="00B118DB">
        <w:rPr>
          <w:rFonts w:ascii="Times New Roman" w:eastAsiaTheme="minorHAnsi" w:hAnsi="Times New Roman"/>
          <w:sz w:val="24"/>
        </w:rPr>
        <w:tab/>
      </w:r>
      <w:r w:rsidR="00F64903" w:rsidRPr="00F64903">
        <w:rPr>
          <w:rFonts w:ascii="Times New Roman" w:eastAsiaTheme="minorHAnsi" w:hAnsi="Times New Roman"/>
          <w:sz w:val="24"/>
        </w:rPr>
        <w:t>Publiskā un privātā partnerība</w:t>
      </w:r>
      <w:r w:rsidR="00F64903">
        <w:rPr>
          <w:rFonts w:ascii="Times New Roman" w:eastAsiaTheme="minorHAnsi" w:hAnsi="Times New Roman"/>
          <w:sz w:val="24"/>
        </w:rPr>
        <w:t xml:space="preserve"> (turpmāk </w:t>
      </w:r>
      <w:r w:rsidRPr="00396F3A">
        <w:rPr>
          <w:rFonts w:ascii="Times New Roman" w:eastAsiaTheme="minorHAnsi" w:hAnsi="Times New Roman"/>
          <w:sz w:val="24"/>
        </w:rPr>
        <w:t>PPP</w:t>
      </w:r>
      <w:r w:rsidR="00F64903">
        <w:rPr>
          <w:rFonts w:ascii="Times New Roman" w:eastAsiaTheme="minorHAnsi" w:hAnsi="Times New Roman"/>
          <w:sz w:val="24"/>
        </w:rPr>
        <w:t>)</w:t>
      </w:r>
      <w:r w:rsidRPr="00B118DB">
        <w:rPr>
          <w:rFonts w:ascii="Times New Roman" w:eastAsiaTheme="minorHAnsi" w:hAnsi="Times New Roman"/>
          <w:sz w:val="24"/>
        </w:rPr>
        <w:t xml:space="preserve"> ir sadarbības forma starp publisko un privāto sektoru, ar mērķi īstenot nozīmīgus un izmaksu ziņā apjomīgus ekonomiskās un sociālās infrastruktūras projektus. Publiskā partnera ieinteresētību šādas sadarbības formas īstenošanā pamatā balstās uz to, ka privātais partneris varētu sniegt pakalpojumus iedzīvotājiem efektīvāk kā to darītu publiskais partneris, kā arī tas, ka publiskā partnera budžeta izdevumu apmērs tiek sadalīts visā projekta īstenošanas laikā (ne tikai kapitālieguldījumu veikšanas laikā), ļaujot izvairīties no būtiskas ietekmes uz budžetu atsevišķos gados. Lielāko daļu </w:t>
      </w:r>
      <w:r w:rsidRPr="00B118DB">
        <w:rPr>
          <w:rFonts w:ascii="Times New Roman" w:eastAsiaTheme="minorHAnsi" w:hAnsi="Times New Roman" w:cs="Times New Roman"/>
          <w:sz w:val="24"/>
          <w:szCs w:val="20"/>
        </w:rPr>
        <w:t>risku un ieguvumu partnerības iepirkuma projektā jāuzņemas privātajam partnerim. Šādi paši principi ir attiecināmi arī uz koncesijas projektiem, bet atšķirībā no partnerības iepirkumu projektiem, kur lielāko daļu no privātā partnera ieņēmumiem veido vispārējās valdības sektora maksājumi par pakalpojumiem, koncesijas gadījumā lielākā daļa ieņēmumu tiek gūta no galalietotājiem (t.i. mājsaimniecībām, uzņēmumiem u.c.).</w:t>
      </w:r>
    </w:p>
    <w:p w14:paraId="381819E3" w14:textId="459A7643" w:rsidR="00261582" w:rsidRPr="00B118DB" w:rsidRDefault="00261582" w:rsidP="00261582">
      <w:pPr>
        <w:spacing w:after="0" w:line="240" w:lineRule="auto"/>
        <w:ind w:firstLine="720"/>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EKS metodoloģijā, atbilstoši kurai tiek koriģēti arī Latvijas valsts konsolidētā kopbudžeta radītāji, no statistiskās klasifikācijas aspekta katra PPP (t.sk. koncesijas) projekta gadījumā ir svarīgi noskaidrot, kura partnera – publiskā vai privātā – aktīvu bilancē tiks uzskaitīts konkrētais projekts. Ja atbilstoši risku un ieguvumu sadales analīzei tiek novērtēts, ka projekta aktīvi ir jāuzskaita privātā partnera aktīvu bilancē, tad saglabājās partnerības modeļa pamatprincips, kas ļauj sadalīt vispārējās valdības budžeta izdevumus pakāpeniski projekta īstenošanas laika periodā – attiecīgi ikgadējo maksājumu apmērā, ko publiskais partneris maksā privātajam partnerim par sniegtajiem pakalpojumiem (koncesijas gadījumā var tikt paredzēts, ka visi ieņēmumi tiek saņemti no galalietotājiem un tādējādi publiskā partnera maksājumi netiek paredzēti). Savukārt, ja atbilstoši EKS metodoloģiskajam novērtējumam aktīvus ir nepieciešams uzskaitīt publiskā partnera bilancē, tad situācija būtiski mainās, jo šajā gadījumā salīdzinoši nelielā laika posmā, parasti projekta būvniecības gados, tiks koncentrēts viss ieguldīto kapitālo investīciju fiskālās ietekmes apmērs.</w:t>
      </w:r>
    </w:p>
    <w:p w14:paraId="0FA5F3E8" w14:textId="51B7B417" w:rsidR="00261582" w:rsidRPr="00B118DB" w:rsidRDefault="00261582" w:rsidP="00E45C3F">
      <w:pPr>
        <w:spacing w:after="0" w:line="240" w:lineRule="auto"/>
        <w:ind w:firstLine="709"/>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Līdz ar to fiskālais risks šādas sadarbības formas gadījumā var īstenoties situācijā, ja atbilstoši EKS metodoloģijai privātais partneris vairs neuzņemas lielāko daļu ar projekta īstenošanu saistītos riskus (t.i. būvniecības, pieejamības un pieprasījuma riskus, kā arī riskus, kas saistīti ar finansēšanu vai iespējamo galvojumu izsniegšanu u.c.) vai arī negūst ar projekta īstenošanu saistītus ieguvumus, nespēj pildīt iepriekš uzņemtās saistības politisko vai ekonomisko apstākļu dēļ, kā arī maksātnespējas gadījumā</w:t>
      </w:r>
      <w:r w:rsidRPr="00B118DB">
        <w:rPr>
          <w:rFonts w:ascii="Times New Roman" w:eastAsiaTheme="minorHAnsi" w:hAnsi="Times New Roman" w:cs="Times New Roman"/>
          <w:i/>
          <w:sz w:val="24"/>
          <w:szCs w:val="20"/>
        </w:rPr>
        <w:t>.</w:t>
      </w:r>
      <w:r w:rsidRPr="00B118DB">
        <w:rPr>
          <w:rFonts w:ascii="Times New Roman" w:eastAsiaTheme="minorHAnsi" w:hAnsi="Times New Roman" w:cs="Times New Roman"/>
          <w:sz w:val="24"/>
          <w:szCs w:val="20"/>
        </w:rPr>
        <w:t xml:space="preserve"> Šajā gadījumā projekta izmaksas var tikt attiecinātas uz vispārējās valdības sektoru, tādējādi būtiski pasliktinot iepriekš plānoto vispārējās valdības budžeta bilanci un parādu.</w:t>
      </w:r>
    </w:p>
    <w:p w14:paraId="6C8AC7F9" w14:textId="0F84C8B3" w:rsidR="00261582" w:rsidRPr="00B118DB" w:rsidRDefault="00261582" w:rsidP="00497710">
      <w:pPr>
        <w:spacing w:after="0" w:line="240" w:lineRule="auto"/>
        <w:ind w:firstLine="709"/>
        <w:jc w:val="both"/>
        <w:rPr>
          <w:rFonts w:ascii="Times New Roman" w:eastAsiaTheme="minorHAnsi" w:hAnsi="Times New Roman" w:cs="Times New Roman"/>
          <w:sz w:val="24"/>
        </w:rPr>
      </w:pPr>
      <w:r w:rsidRPr="00B118DB">
        <w:rPr>
          <w:rFonts w:ascii="Times New Roman" w:eastAsiaTheme="minorHAnsi" w:hAnsi="Times New Roman" w:cs="Times New Roman"/>
          <w:sz w:val="24"/>
          <w:szCs w:val="20"/>
        </w:rPr>
        <w:lastRenderedPageBreak/>
        <w:t xml:space="preserve">2009.gada 1.oktobrī stājās spēkā Publiskās un privātās partnerības likums, kas nosaka PPP procesa pamatprincipus. Šī likuma svarīgs elements ir sākotnējā risku vadība, jo tiek izvērtēti projektu finanšu un ekonomiskie aprēķini, kas tiek saskaņoti ar atbildīgajām iestādēm. Vienlaikus uz šī likuma pamata tika izstrādāti </w:t>
      </w:r>
      <w:r>
        <w:rPr>
          <w:rFonts w:ascii="Times New Roman" w:eastAsiaTheme="minorHAnsi" w:hAnsi="Times New Roman" w:cs="Times New Roman"/>
          <w:sz w:val="24"/>
          <w:szCs w:val="20"/>
        </w:rPr>
        <w:t>MK</w:t>
      </w:r>
      <w:r w:rsidRPr="00B118DB">
        <w:rPr>
          <w:rFonts w:ascii="Times New Roman" w:eastAsiaTheme="minorHAnsi" w:hAnsi="Times New Roman" w:cs="Times New Roman"/>
          <w:sz w:val="24"/>
          <w:szCs w:val="20"/>
        </w:rPr>
        <w:t xml:space="preserve"> 2009.gada 20.oktobra noteikumi</w:t>
      </w:r>
      <w:r w:rsidRPr="00B118DB">
        <w:rPr>
          <w:rFonts w:ascii="Times New Roman" w:eastAsiaTheme="minorHAnsi" w:hAnsi="Times New Roman" w:cs="Times New Roman"/>
          <w:sz w:val="24"/>
        </w:rPr>
        <w:t xml:space="preserve"> Nr.1216 „Noteikumi par uzraudzības institūcijas darbību un publiskā partnera vai tā pārstāvja līguma izpildes pārskata sniegšanu”, kas nosaka, ka publiskais partneris vai tā pārstāvis noteiktā termiņā sniedz publiskās un privātās partnerības līguma izpildes pārskatu uzraudzības institūcijai informāciju par projekta ieviešanu, publiskā partnera veiktajiem maksājumiem privātajam partnerim, problēmām projekta ieviešanas laikā. Pēc pārskata saņemšanas uzraudzības institūcija sagatavo atzinumu par konkrēto projektu, izvērtējot veikto būvdarbu vai pakalpojumu atbilstību partnerības iepirkuma un koncesijas līgumam un PPP aktīvu uzskaites nosacījumu ievērošanu, tas ir, vai līgums nerada nevēlamu ietekmi uz vispārējās valdības budžeta bilanci un parādu.</w:t>
      </w:r>
    </w:p>
    <w:p w14:paraId="417DEE33"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szCs w:val="20"/>
        </w:rPr>
        <w:t>2016.gadā CSP veica aptauju par līgumiem, kas noslēgti pirms Publiskās un privātās partnerības likuma stāšanās spēkā un atbilstu PPP projektu pazīmēm, lai identificētu potenciāli iepriekš neuzskaitītus PPP projektus</w:t>
      </w:r>
      <w:r>
        <w:rPr>
          <w:rFonts w:ascii="Times New Roman" w:eastAsiaTheme="minorHAnsi" w:hAnsi="Times New Roman" w:cs="Times New Roman"/>
          <w:sz w:val="24"/>
          <w:szCs w:val="20"/>
        </w:rPr>
        <w:t xml:space="preserve"> (izņemot koncesijas)</w:t>
      </w:r>
      <w:r w:rsidRPr="0037264A">
        <w:rPr>
          <w:rFonts w:ascii="Times New Roman" w:eastAsiaTheme="minorHAnsi" w:hAnsi="Times New Roman" w:cs="Times New Roman"/>
          <w:sz w:val="24"/>
          <w:szCs w:val="20"/>
        </w:rPr>
        <w:t xml:space="preserve">. Šīs aptaujas rezultātā netika iegūta informācija, kas norādītu, ka pastāvētu līdz šim neuzskaitīti partnerības iepirkuma projekti. Tādējādi nav pamata uzskatīt, ka nākotnē varētu tikt atklāts kāds līdz šim neuzskaitīts publiskā partnera aktīvu bilancē attiecināms projekts. Tādējādi iespējams secināt, ka iepriekš neuzskaitītu PPP projektu fiskālā riska iestāšanās varbūtības un ietekmes apmērs ir tuvs nullei. </w:t>
      </w:r>
    </w:p>
    <w:p w14:paraId="1727FD5C" w14:textId="135D5BD6" w:rsidR="00261582" w:rsidRDefault="004A63BC" w:rsidP="00261582">
      <w:pPr>
        <w:spacing w:after="0" w:line="240" w:lineRule="auto"/>
        <w:ind w:firstLine="720"/>
        <w:jc w:val="both"/>
        <w:rPr>
          <w:rFonts w:ascii="Times New Roman" w:hAnsi="Times New Roman"/>
          <w:sz w:val="24"/>
        </w:rPr>
      </w:pPr>
      <w:r>
        <w:rPr>
          <w:rFonts w:ascii="Times New Roman" w:eastAsiaTheme="minorHAnsi" w:hAnsi="Times New Roman" w:cs="Times New Roman"/>
          <w:sz w:val="24"/>
        </w:rPr>
        <w:t>2021.</w:t>
      </w:r>
      <w:r w:rsidR="00261582">
        <w:rPr>
          <w:rFonts w:ascii="Times New Roman" w:eastAsiaTheme="minorHAnsi" w:hAnsi="Times New Roman" w:cs="Times New Roman"/>
          <w:sz w:val="24"/>
        </w:rPr>
        <w:t xml:space="preserve">gada jūlijā tika noslēgts </w:t>
      </w:r>
      <w:r w:rsidR="00261582" w:rsidRPr="008C4DD4">
        <w:rPr>
          <w:rFonts w:ascii="Times New Roman" w:eastAsiaTheme="minorHAnsi" w:hAnsi="Times New Roman" w:cs="Times New Roman"/>
          <w:sz w:val="24"/>
        </w:rPr>
        <w:t xml:space="preserve">līgums </w:t>
      </w:r>
      <w:r w:rsidR="00261582" w:rsidRPr="0037264A">
        <w:rPr>
          <w:rFonts w:ascii="Times New Roman" w:eastAsiaTheme="minorHAnsi" w:hAnsi="Times New Roman" w:cs="Times New Roman"/>
          <w:sz w:val="24"/>
          <w:szCs w:val="20"/>
        </w:rPr>
        <w:t>par E67/A7 R</w:t>
      </w:r>
      <w:r w:rsidR="00261582" w:rsidRPr="0037264A">
        <w:rPr>
          <w:rFonts w:ascii="Times New Roman" w:eastAsiaTheme="minorHAnsi" w:hAnsi="Times New Roman" w:cs="Times New Roman" w:hint="eastAsia"/>
          <w:sz w:val="24"/>
          <w:szCs w:val="20"/>
        </w:rPr>
        <w:t>ī</w:t>
      </w:r>
      <w:r w:rsidR="00261582" w:rsidRPr="0037264A">
        <w:rPr>
          <w:rFonts w:ascii="Times New Roman" w:eastAsiaTheme="minorHAnsi" w:hAnsi="Times New Roman" w:cs="Times New Roman"/>
          <w:sz w:val="24"/>
          <w:szCs w:val="20"/>
        </w:rPr>
        <w:t>ga</w:t>
      </w:r>
      <w:r w:rsidR="00261582" w:rsidRPr="0037264A">
        <w:rPr>
          <w:rFonts w:ascii="Times New Roman" w:eastAsiaTheme="minorHAnsi" w:hAnsi="Times New Roman" w:cs="Times New Roman" w:hint="eastAsia"/>
          <w:sz w:val="24"/>
          <w:szCs w:val="20"/>
        </w:rPr>
        <w:t>–</w:t>
      </w:r>
      <w:r w:rsidR="00261582" w:rsidRPr="0037264A">
        <w:rPr>
          <w:rFonts w:ascii="Times New Roman" w:eastAsiaTheme="minorHAnsi" w:hAnsi="Times New Roman" w:cs="Times New Roman"/>
          <w:sz w:val="24"/>
          <w:szCs w:val="20"/>
        </w:rPr>
        <w:t>Bauska</w:t>
      </w:r>
      <w:r w:rsidR="00261582" w:rsidRPr="0037264A">
        <w:rPr>
          <w:rFonts w:ascii="Times New Roman" w:eastAsiaTheme="minorHAnsi" w:hAnsi="Times New Roman" w:cs="Times New Roman" w:hint="eastAsia"/>
          <w:sz w:val="24"/>
          <w:szCs w:val="20"/>
        </w:rPr>
        <w:t>–</w:t>
      </w:r>
      <w:r w:rsidR="00261582" w:rsidRPr="0037264A">
        <w:rPr>
          <w:rFonts w:ascii="Times New Roman" w:eastAsiaTheme="minorHAnsi" w:hAnsi="Times New Roman" w:cs="Times New Roman"/>
          <w:sz w:val="24"/>
          <w:szCs w:val="20"/>
        </w:rPr>
        <w:t>Lietuvas robeža (Grenctāle) posma 7,9</w:t>
      </w:r>
      <w:r w:rsidR="00261582" w:rsidRPr="0037264A">
        <w:rPr>
          <w:rFonts w:ascii="Times New Roman" w:hAnsi="Times New Roman" w:cs="Times New Roman"/>
          <w:color w:val="000000"/>
          <w:sz w:val="24"/>
          <w:szCs w:val="24"/>
        </w:rPr>
        <w:t>–</w:t>
      </w:r>
      <w:r w:rsidR="00261582" w:rsidRPr="0037264A">
        <w:rPr>
          <w:rFonts w:ascii="Times New Roman" w:eastAsiaTheme="minorHAnsi" w:hAnsi="Times New Roman" w:cs="Times New Roman"/>
          <w:sz w:val="24"/>
          <w:szCs w:val="20"/>
        </w:rPr>
        <w:t>25,0 km (</w:t>
      </w:r>
      <w:r w:rsidR="00261582" w:rsidRPr="0037264A">
        <w:rPr>
          <w:rFonts w:ascii="Times New Roman" w:eastAsiaTheme="minorHAnsi" w:hAnsi="Times New Roman" w:cs="Times New Roman" w:hint="eastAsia"/>
          <w:sz w:val="24"/>
          <w:szCs w:val="20"/>
        </w:rPr>
        <w:t>Ķ</w:t>
      </w:r>
      <w:r w:rsidR="00261582" w:rsidRPr="0037264A">
        <w:rPr>
          <w:rFonts w:ascii="Times New Roman" w:eastAsiaTheme="minorHAnsi" w:hAnsi="Times New Roman" w:cs="Times New Roman"/>
          <w:sz w:val="24"/>
          <w:szCs w:val="20"/>
        </w:rPr>
        <w:t>ekavas apvedce</w:t>
      </w:r>
      <w:r w:rsidR="00261582" w:rsidRPr="0037264A">
        <w:rPr>
          <w:rFonts w:ascii="Times New Roman" w:eastAsiaTheme="minorHAnsi" w:hAnsi="Times New Roman" w:cs="Times New Roman" w:hint="eastAsia"/>
          <w:sz w:val="24"/>
          <w:szCs w:val="20"/>
        </w:rPr>
        <w:t>ļ</w:t>
      </w:r>
      <w:r w:rsidR="00261582" w:rsidRPr="0037264A">
        <w:rPr>
          <w:rFonts w:ascii="Times New Roman" w:eastAsiaTheme="minorHAnsi" w:hAnsi="Times New Roman" w:cs="Times New Roman"/>
          <w:sz w:val="24"/>
          <w:szCs w:val="20"/>
        </w:rPr>
        <w:t>a) projekt</w:t>
      </w:r>
      <w:r w:rsidR="00261582" w:rsidRPr="0037264A">
        <w:rPr>
          <w:rFonts w:ascii="Times New Roman" w:eastAsiaTheme="minorHAnsi" w:hAnsi="Times New Roman" w:cs="Times New Roman" w:hint="eastAsia"/>
          <w:sz w:val="24"/>
          <w:szCs w:val="20"/>
        </w:rPr>
        <w:t>ēš</w:t>
      </w:r>
      <w:r w:rsidR="00261582" w:rsidRPr="0037264A">
        <w:rPr>
          <w:rFonts w:ascii="Times New Roman" w:eastAsiaTheme="minorHAnsi" w:hAnsi="Times New Roman" w:cs="Times New Roman"/>
          <w:sz w:val="24"/>
          <w:szCs w:val="20"/>
        </w:rPr>
        <w:t>anu, b</w:t>
      </w:r>
      <w:r w:rsidR="00261582" w:rsidRPr="0037264A">
        <w:rPr>
          <w:rFonts w:ascii="Times New Roman" w:eastAsiaTheme="minorHAnsi" w:hAnsi="Times New Roman" w:cs="Times New Roman" w:hint="eastAsia"/>
          <w:sz w:val="24"/>
          <w:szCs w:val="20"/>
        </w:rPr>
        <w:t>ū</w:t>
      </w:r>
      <w:r w:rsidR="00261582" w:rsidRPr="0037264A">
        <w:rPr>
          <w:rFonts w:ascii="Times New Roman" w:eastAsiaTheme="minorHAnsi" w:hAnsi="Times New Roman" w:cs="Times New Roman"/>
          <w:sz w:val="24"/>
          <w:szCs w:val="20"/>
        </w:rPr>
        <w:t>vniec</w:t>
      </w:r>
      <w:r w:rsidR="00261582" w:rsidRPr="0037264A">
        <w:rPr>
          <w:rFonts w:ascii="Times New Roman" w:eastAsiaTheme="minorHAnsi" w:hAnsi="Times New Roman" w:cs="Times New Roman" w:hint="eastAsia"/>
          <w:sz w:val="24"/>
          <w:szCs w:val="20"/>
        </w:rPr>
        <w:t>ī</w:t>
      </w:r>
      <w:r w:rsidR="00261582" w:rsidRPr="0037264A">
        <w:rPr>
          <w:rFonts w:ascii="Times New Roman" w:eastAsiaTheme="minorHAnsi" w:hAnsi="Times New Roman" w:cs="Times New Roman"/>
          <w:sz w:val="24"/>
          <w:szCs w:val="20"/>
        </w:rPr>
        <w:t>bu, finans</w:t>
      </w:r>
      <w:r w:rsidR="00261582" w:rsidRPr="0037264A">
        <w:rPr>
          <w:rFonts w:ascii="Times New Roman" w:eastAsiaTheme="minorHAnsi" w:hAnsi="Times New Roman" w:cs="Times New Roman" w:hint="eastAsia"/>
          <w:sz w:val="24"/>
          <w:szCs w:val="20"/>
        </w:rPr>
        <w:t>ēš</w:t>
      </w:r>
      <w:r w:rsidR="00261582" w:rsidRPr="0037264A">
        <w:rPr>
          <w:rFonts w:ascii="Times New Roman" w:eastAsiaTheme="minorHAnsi" w:hAnsi="Times New Roman" w:cs="Times New Roman"/>
          <w:sz w:val="24"/>
          <w:szCs w:val="20"/>
        </w:rPr>
        <w:t>anu un uztur</w:t>
      </w:r>
      <w:r w:rsidR="00261582" w:rsidRPr="0037264A">
        <w:rPr>
          <w:rFonts w:ascii="Times New Roman" w:eastAsiaTheme="minorHAnsi" w:hAnsi="Times New Roman" w:cs="Times New Roman" w:hint="eastAsia"/>
          <w:sz w:val="24"/>
          <w:szCs w:val="20"/>
        </w:rPr>
        <w:t>ēš</w:t>
      </w:r>
      <w:r w:rsidR="00261582">
        <w:rPr>
          <w:rFonts w:ascii="Times New Roman" w:eastAsiaTheme="minorHAnsi" w:hAnsi="Times New Roman" w:cs="Times New Roman"/>
          <w:sz w:val="24"/>
          <w:szCs w:val="20"/>
        </w:rPr>
        <w:t xml:space="preserve">anu (Ķekavas apvedceļa PPP), </w:t>
      </w:r>
      <w:r w:rsidR="00261582" w:rsidRPr="008C4DD4">
        <w:rPr>
          <w:rFonts w:ascii="Times New Roman" w:eastAsiaTheme="minorHAnsi" w:hAnsi="Times New Roman" w:cs="Times New Roman"/>
          <w:sz w:val="24"/>
        </w:rPr>
        <w:t>kas ir Baltijas valstīs pirmais vērienīgais PPP projekts ceļu būvniecībā</w:t>
      </w:r>
      <w:r w:rsidR="00261582">
        <w:rPr>
          <w:rFonts w:ascii="Times New Roman" w:eastAsiaTheme="minorHAnsi" w:hAnsi="Times New Roman" w:cs="Times New Roman"/>
          <w:sz w:val="24"/>
        </w:rPr>
        <w:t>.</w:t>
      </w:r>
      <w:r w:rsidR="00261582">
        <w:rPr>
          <w:rFonts w:ascii="Times New Roman" w:eastAsiaTheme="minorHAnsi" w:hAnsi="Times New Roman" w:cs="Times New Roman"/>
          <w:sz w:val="24"/>
          <w:szCs w:val="20"/>
        </w:rPr>
        <w:t xml:space="preserve"> Jāatzīmē, ka pirms līguma parakstīšanas tā projekts</w:t>
      </w:r>
      <w:r w:rsidR="00261582" w:rsidRPr="0037264A">
        <w:rPr>
          <w:rFonts w:ascii="Times New Roman" w:eastAsiaTheme="minorHAnsi" w:hAnsi="Times New Roman" w:cs="Times New Roman"/>
          <w:sz w:val="24"/>
          <w:szCs w:val="20"/>
        </w:rPr>
        <w:t xml:space="preserve"> </w:t>
      </w:r>
      <w:r w:rsidR="00261582">
        <w:rPr>
          <w:rFonts w:ascii="Times New Roman" w:eastAsiaTheme="minorHAnsi" w:hAnsi="Times New Roman" w:cs="Times New Roman"/>
          <w:sz w:val="24"/>
          <w:szCs w:val="20"/>
        </w:rPr>
        <w:t>tika</w:t>
      </w:r>
      <w:r w:rsidR="00261582" w:rsidRPr="0037264A">
        <w:rPr>
          <w:rFonts w:ascii="Times New Roman" w:eastAsiaTheme="minorHAnsi" w:hAnsi="Times New Roman" w:cs="Times New Roman"/>
          <w:sz w:val="24"/>
          <w:szCs w:val="20"/>
        </w:rPr>
        <w:t xml:space="preserve"> saskaņots ar ES Statistikas biroju </w:t>
      </w:r>
      <w:proofErr w:type="spellStart"/>
      <w:r w:rsidR="00261582" w:rsidRPr="0037264A">
        <w:rPr>
          <w:rFonts w:ascii="Times New Roman" w:eastAsiaTheme="minorHAnsi" w:hAnsi="Times New Roman" w:cs="Times New Roman"/>
          <w:i/>
          <w:sz w:val="24"/>
          <w:szCs w:val="20"/>
        </w:rPr>
        <w:t>Eurostat</w:t>
      </w:r>
      <w:proofErr w:type="spellEnd"/>
      <w:r w:rsidR="00261582" w:rsidRPr="0037264A">
        <w:rPr>
          <w:rFonts w:ascii="Times New Roman" w:eastAsiaTheme="minorHAnsi" w:hAnsi="Times New Roman" w:cs="Times New Roman"/>
          <w:i/>
          <w:sz w:val="24"/>
          <w:szCs w:val="20"/>
        </w:rPr>
        <w:t>,</w:t>
      </w:r>
      <w:r w:rsidR="00261582" w:rsidRPr="0037264A">
        <w:rPr>
          <w:rFonts w:ascii="Times New Roman" w:hAnsi="Times New Roman"/>
          <w:i/>
          <w:sz w:val="24"/>
        </w:rPr>
        <w:t xml:space="preserve"> </w:t>
      </w:r>
      <w:r w:rsidR="00261582">
        <w:rPr>
          <w:rFonts w:ascii="Times New Roman" w:eastAsiaTheme="minorHAnsi" w:hAnsi="Times New Roman" w:cs="Times New Roman"/>
          <w:sz w:val="24"/>
          <w:szCs w:val="20"/>
        </w:rPr>
        <w:t>nosakot</w:t>
      </w:r>
      <w:r w:rsidR="00261582" w:rsidRPr="0037264A">
        <w:rPr>
          <w:rFonts w:ascii="Times New Roman" w:eastAsiaTheme="minorHAnsi" w:hAnsi="Times New Roman" w:cs="Times New Roman"/>
          <w:sz w:val="24"/>
          <w:szCs w:val="20"/>
        </w:rPr>
        <w:t>, ka aktīvi ir uzskaitāmi privātā partnera aktīvu bilancē</w:t>
      </w:r>
      <w:r w:rsidR="00261582">
        <w:rPr>
          <w:rStyle w:val="FootnoteReference"/>
          <w:rFonts w:ascii="Times New Roman" w:eastAsiaTheme="minorHAnsi" w:hAnsi="Times New Roman" w:cs="Times New Roman"/>
          <w:sz w:val="24"/>
          <w:szCs w:val="20"/>
        </w:rPr>
        <w:footnoteReference w:id="18"/>
      </w:r>
      <w:r w:rsidR="00261582" w:rsidRPr="0037264A">
        <w:rPr>
          <w:rFonts w:ascii="Times New Roman" w:hAnsi="Times New Roman"/>
          <w:i/>
          <w:sz w:val="24"/>
        </w:rPr>
        <w:t>.</w:t>
      </w:r>
      <w:r w:rsidR="00261582">
        <w:rPr>
          <w:rFonts w:ascii="Times New Roman" w:hAnsi="Times New Roman"/>
          <w:i/>
          <w:sz w:val="24"/>
        </w:rPr>
        <w:t xml:space="preserve"> </w:t>
      </w:r>
      <w:r w:rsidR="00261582">
        <w:rPr>
          <w:rFonts w:ascii="Times New Roman" w:hAnsi="Times New Roman"/>
          <w:sz w:val="24"/>
        </w:rPr>
        <w:t xml:space="preserve">Tādējādi ir novērsti riski, ka projekts varētu negatīvi ietekmēt turpmāko gadu vispārējās valdības budžeta bilanci un parādu. </w:t>
      </w:r>
    </w:p>
    <w:p w14:paraId="742F7C4C" w14:textId="423F3E37" w:rsidR="00261582" w:rsidRPr="0020713B" w:rsidRDefault="00CD5476" w:rsidP="00261582">
      <w:pPr>
        <w:spacing w:after="0" w:line="240" w:lineRule="auto"/>
        <w:ind w:firstLine="720"/>
        <w:jc w:val="both"/>
        <w:rPr>
          <w:rFonts w:ascii="Times New Roman" w:eastAsiaTheme="minorHAnsi" w:hAnsi="Times New Roman" w:cs="Times New Roman"/>
          <w:b/>
          <w:bCs/>
          <w:sz w:val="24"/>
        </w:rPr>
      </w:pPr>
      <w:r>
        <w:rPr>
          <w:rFonts w:ascii="Times New Roman" w:hAnsi="Times New Roman"/>
          <w:sz w:val="24"/>
        </w:rPr>
        <w:t>Tabulā Nr.</w:t>
      </w:r>
      <w:r w:rsidR="0077673B">
        <w:rPr>
          <w:rFonts w:ascii="Times New Roman" w:hAnsi="Times New Roman"/>
          <w:sz w:val="24"/>
        </w:rPr>
        <w:t>2.12.1</w:t>
      </w:r>
      <w:r w:rsidR="00261582">
        <w:rPr>
          <w:rFonts w:ascii="Times New Roman" w:hAnsi="Times New Roman"/>
          <w:sz w:val="24"/>
        </w:rPr>
        <w:t xml:space="preserve"> ir apkopota informācija par divu pašreizējo ārpusbilances PPP projektu maksimālo iespējamo fiskālo ietekmi</w:t>
      </w:r>
      <w:r w:rsidR="00261582" w:rsidRPr="004C4B10">
        <w:rPr>
          <w:rFonts w:ascii="Times New Roman" w:eastAsiaTheme="minorHAnsi" w:hAnsi="Times New Roman" w:cs="Times New Roman"/>
          <w:sz w:val="24"/>
        </w:rPr>
        <w:t xml:space="preserve"> </w:t>
      </w:r>
      <w:r w:rsidR="00261582" w:rsidRPr="0037264A">
        <w:rPr>
          <w:rFonts w:ascii="Times New Roman" w:eastAsiaTheme="minorHAnsi" w:hAnsi="Times New Roman" w:cs="Times New Roman"/>
          <w:sz w:val="24"/>
        </w:rPr>
        <w:t xml:space="preserve">uz vispārējās valdības budžeta bilanci un valsts parādu, ja </w:t>
      </w:r>
      <w:r w:rsidR="00261582">
        <w:rPr>
          <w:rFonts w:ascii="Times New Roman" w:eastAsiaTheme="minorHAnsi" w:hAnsi="Times New Roman" w:cs="Times New Roman"/>
          <w:sz w:val="24"/>
        </w:rPr>
        <w:t>tie</w:t>
      </w:r>
      <w:r w:rsidR="00261582" w:rsidRPr="0037264A">
        <w:rPr>
          <w:rFonts w:ascii="Times New Roman" w:eastAsiaTheme="minorHAnsi" w:hAnsi="Times New Roman" w:cs="Times New Roman"/>
          <w:sz w:val="24"/>
        </w:rPr>
        <w:t xml:space="preserve"> pilnā apmērā kādā no attie</w:t>
      </w:r>
      <w:r w:rsidR="00261582">
        <w:rPr>
          <w:rFonts w:ascii="Times New Roman" w:eastAsiaTheme="minorHAnsi" w:hAnsi="Times New Roman" w:cs="Times New Roman"/>
          <w:sz w:val="24"/>
        </w:rPr>
        <w:t>cīgajiem gadiem tiktu uzskaitīti</w:t>
      </w:r>
      <w:r w:rsidR="00261582" w:rsidRPr="0037264A">
        <w:rPr>
          <w:rFonts w:ascii="Times New Roman" w:eastAsiaTheme="minorHAnsi" w:hAnsi="Times New Roman" w:cs="Times New Roman"/>
          <w:sz w:val="24"/>
        </w:rPr>
        <w:t xml:space="preserve"> publiskā partnera bilancē</w:t>
      </w:r>
      <w:r w:rsidR="00261582">
        <w:rPr>
          <w:rFonts w:ascii="Times New Roman" w:hAnsi="Times New Roman"/>
          <w:sz w:val="24"/>
        </w:rPr>
        <w:t xml:space="preserve">. Tomēr, ņemot vērā, ka fiskālā riska iestāšanās tiek novērtēta tuvāk nullei, šim riskam </w:t>
      </w:r>
      <w:r w:rsidR="00261582" w:rsidRPr="0020713B">
        <w:rPr>
          <w:rFonts w:ascii="Times New Roman" w:hAnsi="Times New Roman"/>
          <w:b/>
          <w:bCs/>
          <w:sz w:val="24"/>
        </w:rPr>
        <w:t>fiskālā nodrošinājuma rezerve netiek veidota.</w:t>
      </w:r>
    </w:p>
    <w:p w14:paraId="52F0C6C3" w14:textId="77777777" w:rsidR="0013367A" w:rsidRDefault="0013367A" w:rsidP="00261582">
      <w:pPr>
        <w:spacing w:after="0" w:line="240" w:lineRule="auto"/>
        <w:ind w:firstLine="720"/>
        <w:jc w:val="both"/>
        <w:rPr>
          <w:rFonts w:ascii="Times New Roman" w:eastAsiaTheme="minorHAnsi" w:hAnsi="Times New Roman" w:cs="Times New Roman"/>
          <w:sz w:val="24"/>
        </w:rPr>
      </w:pPr>
    </w:p>
    <w:p w14:paraId="79BEE534" w14:textId="710968B5" w:rsidR="00C9289F" w:rsidRDefault="00261582" w:rsidP="00BE416D">
      <w:pPr>
        <w:pStyle w:val="Default"/>
        <w:spacing w:after="160"/>
        <w:jc w:val="right"/>
        <w:rPr>
          <w:rFonts w:ascii="Times New Roman" w:hAnsi="Times New Roman" w:cs="Times New Roman"/>
          <w:b/>
          <w:bCs/>
          <w:sz w:val="23"/>
          <w:szCs w:val="23"/>
        </w:rPr>
      </w:pPr>
      <w:r w:rsidRPr="00656DCF">
        <w:rPr>
          <w:rFonts w:ascii="Times New Roman" w:eastAsiaTheme="minorHAnsi" w:hAnsi="Times New Roman" w:cs="Times New Roman"/>
          <w:b/>
          <w:szCs w:val="20"/>
        </w:rPr>
        <w:t>Tabula Nr.</w:t>
      </w:r>
      <w:r w:rsidR="0077673B">
        <w:rPr>
          <w:rFonts w:ascii="Times New Roman" w:eastAsiaTheme="minorHAnsi" w:hAnsi="Times New Roman" w:cs="Times New Roman"/>
          <w:b/>
          <w:szCs w:val="20"/>
        </w:rPr>
        <w:t>2.12.1</w:t>
      </w:r>
      <w:r w:rsidRPr="00656DCF">
        <w:rPr>
          <w:rFonts w:ascii="Times New Roman" w:eastAsiaTheme="minorHAnsi" w:hAnsi="Times New Roman" w:cs="Times New Roman"/>
          <w:b/>
          <w:szCs w:val="20"/>
        </w:rPr>
        <w:t xml:space="preserve"> </w:t>
      </w:r>
      <w:r w:rsidRPr="00656DCF">
        <w:rPr>
          <w:rFonts w:ascii="Times New Roman" w:hAnsi="Times New Roman" w:cs="Times New Roman"/>
          <w:b/>
          <w:bCs/>
          <w:sz w:val="23"/>
          <w:szCs w:val="23"/>
        </w:rPr>
        <w:t>Ārpusbilances publisko un privāto partnerību iespējamā ietekme uz vispārējās valdības budžeta bilanci un valsts parādu</w:t>
      </w:r>
      <w:r w:rsidR="00FD33F0">
        <w:rPr>
          <w:rFonts w:ascii="Times New Roman" w:hAnsi="Times New Roman" w:cs="Times New Roman"/>
          <w:b/>
          <w:bCs/>
          <w:sz w:val="23"/>
          <w:szCs w:val="23"/>
        </w:rPr>
        <w:t>,</w:t>
      </w:r>
      <w:r w:rsidR="00F647C6">
        <w:rPr>
          <w:rFonts w:ascii="Times New Roman" w:hAnsi="Times New Roman" w:cs="Times New Roman"/>
          <w:b/>
          <w:bCs/>
          <w:sz w:val="23"/>
          <w:szCs w:val="23"/>
        </w:rPr>
        <w:t xml:space="preserve"> </w:t>
      </w:r>
      <w:r w:rsidR="00F647C6" w:rsidRPr="0037264A">
        <w:rPr>
          <w:rFonts w:ascii="Times New Roman" w:eastAsiaTheme="minorHAnsi" w:hAnsi="Times New Roman" w:cs="Times New Roman"/>
          <w:b/>
          <w:szCs w:val="20"/>
        </w:rPr>
        <w:t xml:space="preserve">milj. </w:t>
      </w:r>
      <w:proofErr w:type="spellStart"/>
      <w:r w:rsidR="00F647C6" w:rsidRPr="0037264A">
        <w:rPr>
          <w:rFonts w:ascii="Times New Roman" w:eastAsiaTheme="minorHAnsi" w:hAnsi="Times New Roman" w:cs="Times New Roman"/>
          <w:b/>
          <w:i/>
          <w:szCs w:val="20"/>
        </w:rPr>
        <w:t>euro</w:t>
      </w:r>
      <w:proofErr w:type="spellEnd"/>
    </w:p>
    <w:tbl>
      <w:tblPr>
        <w:tblStyle w:val="GridTable6Colorful-Accent11"/>
        <w:tblW w:w="9493" w:type="dxa"/>
        <w:jc w:val="center"/>
        <w:tblLayout w:type="fixed"/>
        <w:tblLook w:val="04A0" w:firstRow="1" w:lastRow="0" w:firstColumn="1" w:lastColumn="0" w:noHBand="0" w:noVBand="1"/>
      </w:tblPr>
      <w:tblGrid>
        <w:gridCol w:w="2456"/>
        <w:gridCol w:w="703"/>
        <w:gridCol w:w="703"/>
        <w:gridCol w:w="703"/>
        <w:gridCol w:w="704"/>
        <w:gridCol w:w="704"/>
        <w:gridCol w:w="704"/>
        <w:gridCol w:w="704"/>
        <w:gridCol w:w="704"/>
        <w:gridCol w:w="704"/>
        <w:gridCol w:w="704"/>
      </w:tblGrid>
      <w:tr w:rsidR="00C9289F" w:rsidRPr="006D6BF4" w14:paraId="6A6E6773" w14:textId="77777777" w:rsidTr="00497710">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EEAF6" w:themeFill="accent1" w:themeFillTint="33"/>
            <w:vAlign w:val="center"/>
            <w:hideMark/>
          </w:tcPr>
          <w:p w14:paraId="2B6BE385" w14:textId="77777777" w:rsidR="00C9289F" w:rsidRPr="00D1418E" w:rsidRDefault="00C9289F" w:rsidP="008B7470">
            <w:pPr>
              <w:jc w:val="center"/>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PPP projekts</w:t>
            </w:r>
          </w:p>
        </w:tc>
        <w:tc>
          <w:tcPr>
            <w:tcW w:w="567" w:type="dxa"/>
            <w:gridSpan w:val="10"/>
          </w:tcPr>
          <w:p w14:paraId="650420E2" w14:textId="151C2EE2" w:rsidR="00C9289F" w:rsidRPr="00F56613" w:rsidRDefault="00C9289F" w:rsidP="008B74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Potenciālā ietekme</w:t>
            </w:r>
            <w:r w:rsidRPr="00D1418E">
              <w:rPr>
                <w:rFonts w:eastAsia="Times New Roman" w:cs="Times New Roman"/>
                <w:i/>
                <w:color w:val="000000" w:themeColor="text1"/>
                <w:sz w:val="22"/>
                <w:lang w:eastAsia="lv-LV"/>
              </w:rPr>
              <w:t>*</w:t>
            </w:r>
            <w:r w:rsidRPr="00D1418E">
              <w:rPr>
                <w:rFonts w:eastAsia="Times New Roman" w:cs="Times New Roman"/>
                <w:color w:val="000000" w:themeColor="text1"/>
                <w:sz w:val="22"/>
                <w:lang w:eastAsia="lv-LV"/>
              </w:rPr>
              <w:t xml:space="preserve"> </w:t>
            </w:r>
          </w:p>
        </w:tc>
      </w:tr>
      <w:tr w:rsidR="0026310A" w:rsidRPr="0082035E" w14:paraId="7D665427" w14:textId="77777777" w:rsidTr="0049771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28838F74" w14:textId="77777777" w:rsidR="00C9289F" w:rsidRPr="00D1418E" w:rsidRDefault="00C9289F" w:rsidP="008B7470">
            <w:pPr>
              <w:jc w:val="center"/>
              <w:rPr>
                <w:rFonts w:eastAsia="Times New Roman" w:cs="Times New Roman"/>
                <w:b w:val="0"/>
                <w:color w:val="000000" w:themeColor="text1"/>
                <w:sz w:val="22"/>
                <w:lang w:eastAsia="lv-LV"/>
              </w:rPr>
            </w:pPr>
          </w:p>
        </w:tc>
        <w:tc>
          <w:tcPr>
            <w:tcW w:w="567" w:type="dxa"/>
            <w:vAlign w:val="center"/>
          </w:tcPr>
          <w:p w14:paraId="5A232576"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D1418E">
              <w:rPr>
                <w:rFonts w:eastAsia="Times New Roman" w:cs="Times New Roman"/>
                <w:b/>
                <w:color w:val="000000" w:themeColor="text1"/>
                <w:sz w:val="22"/>
                <w:lang w:eastAsia="lv-LV"/>
              </w:rPr>
              <w:t>2017</w:t>
            </w:r>
          </w:p>
        </w:tc>
        <w:tc>
          <w:tcPr>
            <w:tcW w:w="567" w:type="dxa"/>
            <w:vAlign w:val="center"/>
          </w:tcPr>
          <w:p w14:paraId="11611548"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D1418E">
              <w:rPr>
                <w:rFonts w:eastAsia="Times New Roman" w:cs="Times New Roman"/>
                <w:b/>
                <w:color w:val="000000" w:themeColor="text1"/>
                <w:sz w:val="22"/>
                <w:lang w:eastAsia="lv-LV"/>
              </w:rPr>
              <w:t>2018</w:t>
            </w:r>
          </w:p>
        </w:tc>
        <w:tc>
          <w:tcPr>
            <w:tcW w:w="567" w:type="dxa"/>
            <w:vAlign w:val="center"/>
          </w:tcPr>
          <w:p w14:paraId="547A36D5"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D1418E">
              <w:rPr>
                <w:rFonts w:eastAsia="Times New Roman" w:cs="Times New Roman"/>
                <w:b/>
                <w:bCs/>
                <w:color w:val="000000" w:themeColor="text1"/>
                <w:sz w:val="22"/>
                <w:lang w:eastAsia="lv-LV"/>
              </w:rPr>
              <w:t>2019</w:t>
            </w:r>
          </w:p>
        </w:tc>
        <w:tc>
          <w:tcPr>
            <w:tcW w:w="567" w:type="dxa"/>
            <w:vAlign w:val="center"/>
          </w:tcPr>
          <w:p w14:paraId="6F9674C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2020</w:t>
            </w:r>
          </w:p>
        </w:tc>
        <w:tc>
          <w:tcPr>
            <w:tcW w:w="567" w:type="dxa"/>
            <w:vAlign w:val="center"/>
          </w:tcPr>
          <w:p w14:paraId="7A09CEC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2021</w:t>
            </w:r>
          </w:p>
        </w:tc>
        <w:tc>
          <w:tcPr>
            <w:tcW w:w="567" w:type="dxa"/>
            <w:vAlign w:val="center"/>
          </w:tcPr>
          <w:p w14:paraId="654D9641"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2022</w:t>
            </w:r>
          </w:p>
        </w:tc>
        <w:tc>
          <w:tcPr>
            <w:tcW w:w="567" w:type="dxa"/>
            <w:vAlign w:val="center"/>
          </w:tcPr>
          <w:p w14:paraId="6C8A3B37"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2023</w:t>
            </w:r>
          </w:p>
        </w:tc>
        <w:tc>
          <w:tcPr>
            <w:tcW w:w="567" w:type="dxa"/>
            <w:vAlign w:val="center"/>
          </w:tcPr>
          <w:p w14:paraId="0E0E93A3"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2024</w:t>
            </w:r>
          </w:p>
        </w:tc>
        <w:tc>
          <w:tcPr>
            <w:tcW w:w="567" w:type="dxa"/>
            <w:vAlign w:val="center"/>
          </w:tcPr>
          <w:p w14:paraId="604281FF"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F56613">
              <w:rPr>
                <w:rFonts w:eastAsia="Times New Roman" w:cs="Times New Roman"/>
                <w:b/>
                <w:bCs/>
                <w:color w:val="000000" w:themeColor="text1"/>
                <w:sz w:val="22"/>
                <w:lang w:eastAsia="lv-LV"/>
              </w:rPr>
              <w:t>2025</w:t>
            </w:r>
          </w:p>
        </w:tc>
        <w:tc>
          <w:tcPr>
            <w:tcW w:w="567" w:type="dxa"/>
          </w:tcPr>
          <w:p w14:paraId="7281ECCC"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F56613">
              <w:rPr>
                <w:rFonts w:eastAsia="Times New Roman" w:cs="Times New Roman"/>
                <w:b/>
                <w:bCs/>
                <w:color w:val="000000" w:themeColor="text1"/>
                <w:sz w:val="22"/>
                <w:lang w:eastAsia="lv-LV"/>
              </w:rPr>
              <w:t>2026</w:t>
            </w:r>
          </w:p>
        </w:tc>
      </w:tr>
      <w:tr w:rsidR="00C9289F" w:rsidRPr="0082035E" w14:paraId="2856D308" w14:textId="77777777" w:rsidTr="00497710">
        <w:trPr>
          <w:trHeight w:val="314"/>
          <w:jc w:val="center"/>
        </w:trPr>
        <w:tc>
          <w:tcPr>
            <w:cnfStyle w:val="001000000000" w:firstRow="0" w:lastRow="0" w:firstColumn="1" w:lastColumn="0" w:oddVBand="0" w:evenVBand="0" w:oddHBand="0" w:evenHBand="0" w:firstRowFirstColumn="0" w:firstRowLastColumn="0" w:lastRowFirstColumn="0" w:lastRowLastColumn="0"/>
            <w:tcW w:w="1980" w:type="dxa"/>
            <w:hideMark/>
          </w:tcPr>
          <w:p w14:paraId="59B75AB8" w14:textId="77777777" w:rsidR="00C9289F" w:rsidRPr="00D1418E" w:rsidRDefault="00C9289F" w:rsidP="008B7470">
            <w:pPr>
              <w:rPr>
                <w:rFonts w:eastAsia="Times New Roman" w:cs="Times New Roman"/>
                <w:b w:val="0"/>
                <w:color w:val="000000" w:themeColor="text1"/>
                <w:sz w:val="22"/>
                <w:lang w:eastAsia="lv-LV"/>
              </w:rPr>
            </w:pPr>
            <w:r w:rsidRPr="00D1418E">
              <w:rPr>
                <w:rFonts w:cs="Times New Roman"/>
                <w:color w:val="000000" w:themeColor="text1"/>
                <w:sz w:val="22"/>
              </w:rPr>
              <w:t>Pirmsskolas izglītības iestāžu būvniecība un apsaimniekošana**</w:t>
            </w:r>
          </w:p>
        </w:tc>
        <w:tc>
          <w:tcPr>
            <w:tcW w:w="567" w:type="dxa"/>
            <w:vAlign w:val="center"/>
          </w:tcPr>
          <w:p w14:paraId="6A203D1A"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5</w:t>
            </w:r>
          </w:p>
        </w:tc>
        <w:tc>
          <w:tcPr>
            <w:tcW w:w="567" w:type="dxa"/>
            <w:vAlign w:val="center"/>
          </w:tcPr>
          <w:p w14:paraId="71D4FCBD"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5</w:t>
            </w:r>
          </w:p>
        </w:tc>
        <w:tc>
          <w:tcPr>
            <w:tcW w:w="567" w:type="dxa"/>
            <w:vAlign w:val="center"/>
          </w:tcPr>
          <w:p w14:paraId="12F0C6E3"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4</w:t>
            </w:r>
          </w:p>
        </w:tc>
        <w:tc>
          <w:tcPr>
            <w:tcW w:w="567" w:type="dxa"/>
            <w:vAlign w:val="center"/>
          </w:tcPr>
          <w:p w14:paraId="3A0ABF6B"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4</w:t>
            </w:r>
          </w:p>
        </w:tc>
        <w:tc>
          <w:tcPr>
            <w:tcW w:w="567" w:type="dxa"/>
            <w:vAlign w:val="center"/>
          </w:tcPr>
          <w:p w14:paraId="495E3440"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3</w:t>
            </w:r>
          </w:p>
        </w:tc>
        <w:tc>
          <w:tcPr>
            <w:tcW w:w="567" w:type="dxa"/>
            <w:vAlign w:val="center"/>
          </w:tcPr>
          <w:p w14:paraId="3E0766EC"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3</w:t>
            </w:r>
          </w:p>
        </w:tc>
        <w:tc>
          <w:tcPr>
            <w:tcW w:w="567" w:type="dxa"/>
            <w:vAlign w:val="center"/>
          </w:tcPr>
          <w:p w14:paraId="3D044640"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2</w:t>
            </w:r>
          </w:p>
        </w:tc>
        <w:tc>
          <w:tcPr>
            <w:tcW w:w="567" w:type="dxa"/>
            <w:vAlign w:val="center"/>
          </w:tcPr>
          <w:p w14:paraId="6807C8E8" w14:textId="77777777" w:rsidR="00C9289F" w:rsidRPr="00F56613"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2</w:t>
            </w:r>
          </w:p>
        </w:tc>
        <w:tc>
          <w:tcPr>
            <w:tcW w:w="567" w:type="dxa"/>
            <w:vAlign w:val="center"/>
          </w:tcPr>
          <w:p w14:paraId="0DB36D50"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w:t>
            </w:r>
          </w:p>
        </w:tc>
        <w:tc>
          <w:tcPr>
            <w:tcW w:w="567" w:type="dxa"/>
            <w:vAlign w:val="center"/>
          </w:tcPr>
          <w:p w14:paraId="3775414C" w14:textId="117FACD9" w:rsidR="00C9289F" w:rsidRPr="00D1418E" w:rsidRDefault="00B75D22"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1</w:t>
            </w:r>
          </w:p>
        </w:tc>
      </w:tr>
      <w:tr w:rsidR="0026310A" w:rsidRPr="008B7470" w14:paraId="08C3473C" w14:textId="77777777" w:rsidTr="00497710">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5EAAC41" w14:textId="77777777" w:rsidR="00C9289F" w:rsidRPr="00F56613" w:rsidRDefault="00C9289F" w:rsidP="008B7470">
            <w:pPr>
              <w:rPr>
                <w:rFonts w:cs="Times New Roman"/>
                <w:color w:val="000000" w:themeColor="text1"/>
                <w:sz w:val="22"/>
              </w:rPr>
            </w:pPr>
            <w:r w:rsidRPr="00D1418E">
              <w:rPr>
                <w:rFonts w:cs="Times New Roman"/>
                <w:color w:val="000000" w:themeColor="text1"/>
                <w:sz w:val="22"/>
              </w:rPr>
              <w:t>Ķekavas apvedceļa PPP</w:t>
            </w:r>
          </w:p>
        </w:tc>
        <w:tc>
          <w:tcPr>
            <w:tcW w:w="567" w:type="dxa"/>
            <w:shd w:val="clear" w:color="auto" w:fill="auto"/>
            <w:vAlign w:val="center"/>
          </w:tcPr>
          <w:p w14:paraId="36DF04FE"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24CF53C6"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40CDA20E"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2BCEC5BC"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36847E3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13E9B675"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83</w:t>
            </w:r>
          </w:p>
        </w:tc>
        <w:tc>
          <w:tcPr>
            <w:tcW w:w="567" w:type="dxa"/>
            <w:shd w:val="clear" w:color="auto" w:fill="auto"/>
            <w:vAlign w:val="center"/>
          </w:tcPr>
          <w:p w14:paraId="080950C4"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122</w:t>
            </w:r>
          </w:p>
        </w:tc>
        <w:tc>
          <w:tcPr>
            <w:tcW w:w="567" w:type="dxa"/>
            <w:shd w:val="clear" w:color="auto" w:fill="auto"/>
            <w:vAlign w:val="center"/>
          </w:tcPr>
          <w:p w14:paraId="686C33C3"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120</w:t>
            </w:r>
          </w:p>
        </w:tc>
        <w:tc>
          <w:tcPr>
            <w:tcW w:w="567" w:type="dxa"/>
            <w:shd w:val="clear" w:color="auto" w:fill="auto"/>
            <w:vAlign w:val="center"/>
          </w:tcPr>
          <w:p w14:paraId="1A0AA166"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120</w:t>
            </w:r>
          </w:p>
        </w:tc>
        <w:tc>
          <w:tcPr>
            <w:tcW w:w="567" w:type="dxa"/>
            <w:shd w:val="clear" w:color="auto" w:fill="auto"/>
            <w:vAlign w:val="center"/>
          </w:tcPr>
          <w:p w14:paraId="24DE8C9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120</w:t>
            </w:r>
          </w:p>
        </w:tc>
      </w:tr>
    </w:tbl>
    <w:p w14:paraId="56FA4DA0" w14:textId="77777777" w:rsidR="00261582" w:rsidRDefault="00261582" w:rsidP="00261582">
      <w:pPr>
        <w:spacing w:after="0" w:line="240" w:lineRule="auto"/>
        <w:jc w:val="both"/>
        <w:rPr>
          <w:rFonts w:ascii="Times New Roman" w:eastAsiaTheme="minorHAnsi" w:hAnsi="Times New Roman"/>
          <w:i/>
          <w:sz w:val="20"/>
          <w:szCs w:val="20"/>
        </w:rPr>
      </w:pPr>
      <w:r w:rsidRPr="00B118DB">
        <w:rPr>
          <w:rFonts w:ascii="Times New Roman" w:eastAsiaTheme="minorHAnsi" w:hAnsi="Times New Roman"/>
          <w:i/>
          <w:sz w:val="20"/>
          <w:szCs w:val="20"/>
        </w:rPr>
        <w:t>* Novērtētā ietekme norāda negatīvo fiskālo ietekmi, kas potenciāli rastos, ja projekts pilnā apmērā tiktu attiecināts publiskā partnera bilancē kādā no attiecīgajiem gadiem.</w:t>
      </w:r>
    </w:p>
    <w:p w14:paraId="5B80D26F" w14:textId="77777777" w:rsidR="00261582" w:rsidRPr="00B118DB" w:rsidRDefault="00261582" w:rsidP="00261582">
      <w:pPr>
        <w:spacing w:after="0" w:line="240" w:lineRule="auto"/>
        <w:jc w:val="both"/>
        <w:rPr>
          <w:rFonts w:ascii="Times New Roman" w:eastAsiaTheme="minorHAnsi" w:hAnsi="Times New Roman"/>
          <w:i/>
          <w:sz w:val="20"/>
          <w:szCs w:val="20"/>
        </w:rPr>
      </w:pPr>
      <w:r>
        <w:rPr>
          <w:rFonts w:ascii="Times New Roman" w:eastAsiaTheme="minorHAnsi" w:hAnsi="Times New Roman"/>
          <w:i/>
          <w:sz w:val="20"/>
          <w:szCs w:val="20"/>
        </w:rPr>
        <w:t>** FM novērtējums.</w:t>
      </w:r>
    </w:p>
    <w:p w14:paraId="7815C7F5" w14:textId="77777777" w:rsidR="00261582" w:rsidRPr="00EA2003" w:rsidRDefault="00261582" w:rsidP="00261582">
      <w:pPr>
        <w:spacing w:after="0" w:line="240" w:lineRule="auto"/>
        <w:ind w:firstLine="720"/>
        <w:jc w:val="both"/>
        <w:rPr>
          <w:rFonts w:ascii="Times New Roman" w:eastAsiaTheme="minorHAnsi" w:hAnsi="Times New Roman" w:cs="Times New Roman"/>
          <w:sz w:val="24"/>
          <w:szCs w:val="20"/>
          <w:highlight w:val="yellow"/>
        </w:rPr>
      </w:pPr>
    </w:p>
    <w:p w14:paraId="5E560C4B" w14:textId="17CAC994" w:rsidR="005962CD" w:rsidRPr="00E2711F" w:rsidRDefault="005962CD"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90" w:name="_Toc121870862"/>
      <w:bookmarkStart w:id="91" w:name="_Toc125316306"/>
      <w:bookmarkStart w:id="92" w:name="_Toc125316667"/>
      <w:bookmarkStart w:id="93" w:name="_Toc125362728"/>
      <w:bookmarkStart w:id="94" w:name="_Toc125382149"/>
      <w:bookmarkStart w:id="95" w:name="_Toc125399741"/>
      <w:bookmarkStart w:id="96" w:name="_Toc121870863"/>
      <w:bookmarkStart w:id="97" w:name="_Toc125316307"/>
      <w:bookmarkStart w:id="98" w:name="_Toc125316668"/>
      <w:bookmarkStart w:id="99" w:name="_Toc125362729"/>
      <w:bookmarkStart w:id="100" w:name="_Toc125382150"/>
      <w:bookmarkStart w:id="101" w:name="_Toc125399742"/>
      <w:bookmarkStart w:id="102" w:name="_Toc80106057"/>
      <w:bookmarkStart w:id="103" w:name="_Toc142388039"/>
      <w:bookmarkEnd w:id="90"/>
      <w:bookmarkEnd w:id="91"/>
      <w:bookmarkEnd w:id="92"/>
      <w:bookmarkEnd w:id="93"/>
      <w:bookmarkEnd w:id="94"/>
      <w:bookmarkEnd w:id="95"/>
      <w:bookmarkEnd w:id="96"/>
      <w:bookmarkEnd w:id="97"/>
      <w:bookmarkEnd w:id="98"/>
      <w:bookmarkEnd w:id="99"/>
      <w:bookmarkEnd w:id="100"/>
      <w:bookmarkEnd w:id="101"/>
      <w:bookmarkEnd w:id="102"/>
      <w:r w:rsidRPr="00E2711F">
        <w:rPr>
          <w:rFonts w:ascii="Times New Roman" w:hAnsi="Times New Roman" w:cs="Times New Roman"/>
          <w:bCs w:val="0"/>
          <w:sz w:val="24"/>
          <w:szCs w:val="24"/>
        </w:rPr>
        <w:t>Enerģijas publiskais tirgotājs</w:t>
      </w:r>
      <w:bookmarkEnd w:id="103"/>
    </w:p>
    <w:p w14:paraId="26227051" w14:textId="7E85BFE1" w:rsidR="005962CD" w:rsidRDefault="00F64903" w:rsidP="005962CD">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Obligātā iepirkuma komponente</w:t>
      </w:r>
      <w:r w:rsidRPr="00BB69DC">
        <w:rPr>
          <w:rFonts w:ascii="Times New Roman" w:hAnsi="Times New Roman" w:cs="Times New Roman"/>
          <w:sz w:val="24"/>
          <w:szCs w:val="24"/>
        </w:rPr>
        <w:t xml:space="preserve"> </w:t>
      </w:r>
      <w:r>
        <w:rPr>
          <w:rFonts w:ascii="Times New Roman" w:hAnsi="Times New Roman" w:cs="Times New Roman"/>
          <w:sz w:val="24"/>
          <w:szCs w:val="24"/>
        </w:rPr>
        <w:t xml:space="preserve">(turpmāk </w:t>
      </w:r>
      <w:r w:rsidR="005962CD" w:rsidRPr="00BB69DC">
        <w:rPr>
          <w:rFonts w:ascii="Times New Roman" w:hAnsi="Times New Roman" w:cs="Times New Roman"/>
          <w:sz w:val="24"/>
          <w:szCs w:val="24"/>
        </w:rPr>
        <w:t>OIK</w:t>
      </w:r>
      <w:r>
        <w:rPr>
          <w:rFonts w:ascii="Times New Roman" w:hAnsi="Times New Roman" w:cs="Times New Roman"/>
          <w:sz w:val="24"/>
          <w:szCs w:val="24"/>
        </w:rPr>
        <w:t>)</w:t>
      </w:r>
      <w:r w:rsidR="005962CD" w:rsidRPr="00B6282C">
        <w:rPr>
          <w:rFonts w:ascii="Times New Roman" w:hAnsi="Times New Roman" w:cs="Times New Roman"/>
          <w:sz w:val="24"/>
          <w:szCs w:val="24"/>
        </w:rPr>
        <w:t xml:space="preserve"> tik</w:t>
      </w:r>
      <w:r w:rsidR="00051102">
        <w:rPr>
          <w:rFonts w:ascii="Times New Roman" w:hAnsi="Times New Roman" w:cs="Times New Roman"/>
          <w:sz w:val="24"/>
          <w:szCs w:val="24"/>
        </w:rPr>
        <w:t>a</w:t>
      </w:r>
      <w:r w:rsidR="005962CD" w:rsidRPr="00B6282C">
        <w:rPr>
          <w:rFonts w:ascii="Times New Roman" w:hAnsi="Times New Roman" w:cs="Times New Roman"/>
          <w:sz w:val="24"/>
          <w:szCs w:val="24"/>
        </w:rPr>
        <w:t xml:space="preserve"> iekļauta rēķinā, ko klienti maksā</w:t>
      </w:r>
      <w:r w:rsidR="00051102">
        <w:rPr>
          <w:rFonts w:ascii="Times New Roman" w:hAnsi="Times New Roman" w:cs="Times New Roman"/>
          <w:sz w:val="24"/>
          <w:szCs w:val="24"/>
        </w:rPr>
        <w:t>ja</w:t>
      </w:r>
      <w:r w:rsidR="005962CD" w:rsidRPr="00B6282C">
        <w:rPr>
          <w:rFonts w:ascii="Times New Roman" w:hAnsi="Times New Roman" w:cs="Times New Roman"/>
          <w:sz w:val="24"/>
          <w:szCs w:val="24"/>
        </w:rPr>
        <w:t xml:space="preserve"> par patērēto elektroenerģiju un sistēmas pakalpojumiem. Pienākums iekasēt OIK ieņēmumus no klientiem </w:t>
      </w:r>
      <w:r w:rsidR="00051102">
        <w:rPr>
          <w:rFonts w:ascii="Times New Roman" w:hAnsi="Times New Roman" w:cs="Times New Roman"/>
          <w:sz w:val="24"/>
          <w:szCs w:val="24"/>
        </w:rPr>
        <w:lastRenderedPageBreak/>
        <w:t>bija</w:t>
      </w:r>
      <w:r w:rsidR="00051102" w:rsidRPr="00B6282C">
        <w:rPr>
          <w:rFonts w:ascii="Times New Roman" w:hAnsi="Times New Roman" w:cs="Times New Roman"/>
          <w:sz w:val="24"/>
          <w:szCs w:val="24"/>
        </w:rPr>
        <w:t xml:space="preserve"> </w:t>
      </w:r>
      <w:r w:rsidR="005962CD" w:rsidRPr="00B6282C">
        <w:rPr>
          <w:rFonts w:ascii="Times New Roman" w:hAnsi="Times New Roman" w:cs="Times New Roman"/>
          <w:sz w:val="24"/>
          <w:szCs w:val="24"/>
        </w:rPr>
        <w:t>sadales un pārvades sistēmas operatoriem</w:t>
      </w:r>
      <w:r w:rsidR="005962CD" w:rsidRPr="00B6282C">
        <w:rPr>
          <w:rStyle w:val="FootnoteReference"/>
          <w:rFonts w:ascii="Times New Roman" w:hAnsi="Times New Roman" w:cs="Times New Roman"/>
          <w:sz w:val="24"/>
          <w:szCs w:val="24"/>
        </w:rPr>
        <w:footnoteReference w:id="19"/>
      </w:r>
      <w:r w:rsidR="005962CD" w:rsidRPr="00B6282C">
        <w:rPr>
          <w:rFonts w:ascii="Times New Roman" w:hAnsi="Times New Roman" w:cs="Times New Roman"/>
          <w:sz w:val="24"/>
          <w:szCs w:val="24"/>
        </w:rPr>
        <w:t>, kas tālāk šos ieņēmumus pārskait</w:t>
      </w:r>
      <w:r w:rsidR="00051102">
        <w:rPr>
          <w:rFonts w:ascii="Times New Roman" w:hAnsi="Times New Roman" w:cs="Times New Roman"/>
          <w:sz w:val="24"/>
          <w:szCs w:val="24"/>
        </w:rPr>
        <w:t>īja</w:t>
      </w:r>
      <w:r w:rsidR="00F0641B">
        <w:rPr>
          <w:rFonts w:ascii="Times New Roman" w:hAnsi="Times New Roman" w:cs="Times New Roman"/>
          <w:sz w:val="24"/>
          <w:szCs w:val="24"/>
        </w:rPr>
        <w:t xml:space="preserve"> s</w:t>
      </w:r>
      <w:r w:rsidR="00F0641B" w:rsidRPr="00F0641B">
        <w:rPr>
          <w:rFonts w:ascii="Times New Roman" w:hAnsi="Times New Roman" w:cs="Times New Roman"/>
          <w:sz w:val="24"/>
          <w:szCs w:val="24"/>
        </w:rPr>
        <w:t>abiedrība</w:t>
      </w:r>
      <w:r w:rsidR="00F0641B">
        <w:rPr>
          <w:rFonts w:ascii="Times New Roman" w:hAnsi="Times New Roman" w:cs="Times New Roman"/>
          <w:sz w:val="24"/>
          <w:szCs w:val="24"/>
        </w:rPr>
        <w:t>i</w:t>
      </w:r>
      <w:r w:rsidR="00F0641B" w:rsidRPr="00F0641B">
        <w:rPr>
          <w:rFonts w:ascii="Times New Roman" w:hAnsi="Times New Roman" w:cs="Times New Roman"/>
          <w:sz w:val="24"/>
          <w:szCs w:val="24"/>
        </w:rPr>
        <w:t xml:space="preserve"> ar ierobežotu atbildību “Enerģijas publiskais tirgotājs”</w:t>
      </w:r>
      <w:r w:rsidR="005962CD" w:rsidRPr="00B6282C">
        <w:rPr>
          <w:rFonts w:ascii="Times New Roman" w:hAnsi="Times New Roman" w:cs="Times New Roman"/>
          <w:sz w:val="24"/>
          <w:szCs w:val="24"/>
        </w:rPr>
        <w:t xml:space="preserve"> </w:t>
      </w:r>
      <w:r w:rsidR="00F0641B">
        <w:rPr>
          <w:rFonts w:ascii="Times New Roman" w:hAnsi="Times New Roman" w:cs="Times New Roman"/>
          <w:sz w:val="24"/>
          <w:szCs w:val="24"/>
        </w:rPr>
        <w:t xml:space="preserve">(turpmāk </w:t>
      </w:r>
      <w:r w:rsidR="00EF293A">
        <w:rPr>
          <w:rFonts w:ascii="Times New Roman" w:hAnsi="Times New Roman" w:cs="Times New Roman"/>
          <w:sz w:val="24"/>
          <w:szCs w:val="24"/>
        </w:rPr>
        <w:t>EPT</w:t>
      </w:r>
      <w:r w:rsidR="00F0641B">
        <w:rPr>
          <w:rFonts w:ascii="Times New Roman" w:hAnsi="Times New Roman" w:cs="Times New Roman"/>
          <w:sz w:val="24"/>
          <w:szCs w:val="24"/>
        </w:rPr>
        <w:t>)</w:t>
      </w:r>
      <w:r w:rsidR="005962CD" w:rsidRPr="00B6282C">
        <w:rPr>
          <w:rFonts w:ascii="Times New Roman" w:hAnsi="Times New Roman" w:cs="Times New Roman"/>
          <w:sz w:val="24"/>
          <w:szCs w:val="24"/>
        </w:rPr>
        <w:t xml:space="preserve">. </w:t>
      </w:r>
      <w:r w:rsidR="00AA6475">
        <w:rPr>
          <w:rFonts w:ascii="Times New Roman" w:hAnsi="Times New Roman" w:cs="Times New Roman"/>
          <w:sz w:val="24"/>
          <w:szCs w:val="24"/>
        </w:rPr>
        <w:t xml:space="preserve">Vēsturiski </w:t>
      </w:r>
      <w:r w:rsidR="005962CD" w:rsidRPr="00B6282C">
        <w:rPr>
          <w:rFonts w:ascii="Times New Roman" w:hAnsi="Times New Roman" w:cs="Times New Roman"/>
          <w:sz w:val="24"/>
          <w:szCs w:val="24"/>
        </w:rPr>
        <w:t>OIK apmēru, kuru maksā gala patērētāji, ierobežo</w:t>
      </w:r>
      <w:r w:rsidR="00AA6475">
        <w:rPr>
          <w:rFonts w:ascii="Times New Roman" w:hAnsi="Times New Roman" w:cs="Times New Roman"/>
          <w:sz w:val="24"/>
          <w:szCs w:val="24"/>
        </w:rPr>
        <w:t>ja</w:t>
      </w:r>
      <w:r w:rsidR="005962CD" w:rsidRPr="00B6282C">
        <w:rPr>
          <w:rFonts w:ascii="Times New Roman" w:hAnsi="Times New Roman" w:cs="Times New Roman"/>
          <w:sz w:val="24"/>
          <w:szCs w:val="24"/>
        </w:rPr>
        <w:t xml:space="preserve"> ar atsevišķiem tiesību aktiem, paredzot, ka visu to apjomu, ko nesedz gala lietotāju maksājumi, sedz valsts budžeta līdzfinansējums.</w:t>
      </w:r>
    </w:p>
    <w:p w14:paraId="3CAEA557" w14:textId="3284C355" w:rsidR="00244990" w:rsidRPr="00874341" w:rsidRDefault="00261D5B" w:rsidP="0058124B">
      <w:pPr>
        <w:spacing w:after="0" w:line="240" w:lineRule="auto"/>
        <w:ind w:firstLine="709"/>
        <w:jc w:val="both"/>
        <w:rPr>
          <w:rFonts w:ascii="Times New Roman" w:hAnsi="Times New Roman" w:cs="Times New Roman"/>
          <w:sz w:val="24"/>
          <w:szCs w:val="24"/>
        </w:rPr>
      </w:pPr>
      <w:r w:rsidRPr="00874341">
        <w:rPr>
          <w:rFonts w:ascii="Times New Roman" w:hAnsi="Times New Roman" w:cs="Times New Roman"/>
          <w:sz w:val="24"/>
          <w:szCs w:val="24"/>
        </w:rPr>
        <w:t>MK</w:t>
      </w:r>
      <w:r w:rsidR="00EF293A" w:rsidRPr="00874341">
        <w:rPr>
          <w:rFonts w:ascii="Times New Roman" w:hAnsi="Times New Roman" w:cs="Times New Roman"/>
          <w:sz w:val="24"/>
          <w:szCs w:val="24"/>
        </w:rPr>
        <w:t xml:space="preserve"> 2022.gada 30.augusta s</w:t>
      </w:r>
      <w:r w:rsidR="00EF293A" w:rsidRPr="00874341">
        <w:rPr>
          <w:rFonts w:ascii="Times New Roman" w:hAnsi="Times New Roman" w:cs="Times New Roman" w:hint="eastAsia"/>
          <w:sz w:val="24"/>
          <w:szCs w:val="24"/>
        </w:rPr>
        <w:t>ē</w:t>
      </w:r>
      <w:r w:rsidR="00EF293A" w:rsidRPr="00874341">
        <w:rPr>
          <w:rFonts w:ascii="Times New Roman" w:hAnsi="Times New Roman" w:cs="Times New Roman"/>
          <w:sz w:val="24"/>
          <w:szCs w:val="24"/>
        </w:rPr>
        <w:t>d</w:t>
      </w:r>
      <w:r w:rsidR="00EF293A" w:rsidRPr="00874341">
        <w:rPr>
          <w:rFonts w:ascii="Times New Roman" w:hAnsi="Times New Roman" w:cs="Times New Roman" w:hint="eastAsia"/>
          <w:sz w:val="24"/>
          <w:szCs w:val="24"/>
        </w:rPr>
        <w:t>ē</w:t>
      </w:r>
      <w:r w:rsidR="00EF293A" w:rsidRPr="00874341">
        <w:rPr>
          <w:rFonts w:ascii="Times New Roman" w:hAnsi="Times New Roman" w:cs="Times New Roman"/>
          <w:sz w:val="24"/>
          <w:szCs w:val="24"/>
        </w:rPr>
        <w:t xml:space="preserve"> tika izskat</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ts Ekonomikas ministrijas sagatavotais</w:t>
      </w:r>
      <w:r w:rsidR="00350733">
        <w:rPr>
          <w:rFonts w:ascii="Times New Roman" w:hAnsi="Times New Roman" w:cs="Times New Roman"/>
          <w:sz w:val="24"/>
          <w:szCs w:val="24"/>
        </w:rPr>
        <w:t xml:space="preserve"> </w:t>
      </w:r>
      <w:r w:rsidR="00EF293A" w:rsidRPr="00874341">
        <w:rPr>
          <w:rFonts w:ascii="Times New Roman" w:hAnsi="Times New Roman" w:cs="Times New Roman"/>
          <w:sz w:val="24"/>
          <w:szCs w:val="24"/>
        </w:rPr>
        <w:t>konceptu</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lais</w:t>
      </w:r>
      <w:r w:rsidR="008022DD" w:rsidRPr="00874341">
        <w:rPr>
          <w:rFonts w:ascii="Times New Roman" w:hAnsi="Times New Roman" w:cs="Times New Roman"/>
          <w:sz w:val="24"/>
          <w:szCs w:val="24"/>
        </w:rPr>
        <w:t xml:space="preserve"> </w:t>
      </w:r>
      <w:r w:rsidR="00EF293A" w:rsidRPr="00874341">
        <w:rPr>
          <w:rFonts w:ascii="Times New Roman" w:hAnsi="Times New Roman" w:cs="Times New Roman"/>
          <w:sz w:val="24"/>
          <w:szCs w:val="24"/>
        </w:rPr>
        <w:t>zi</w:t>
      </w:r>
      <w:r w:rsidR="00EF293A" w:rsidRPr="00874341">
        <w:rPr>
          <w:rFonts w:ascii="Times New Roman" w:hAnsi="Times New Roman" w:cs="Times New Roman" w:hint="eastAsia"/>
          <w:sz w:val="24"/>
          <w:szCs w:val="24"/>
        </w:rPr>
        <w:t>ņ</w:t>
      </w:r>
      <w:r w:rsidR="00EF293A" w:rsidRPr="00874341">
        <w:rPr>
          <w:rFonts w:ascii="Times New Roman" w:hAnsi="Times New Roman" w:cs="Times New Roman"/>
          <w:sz w:val="24"/>
          <w:szCs w:val="24"/>
        </w:rPr>
        <w:t>ojums</w:t>
      </w:r>
      <w:r w:rsidR="007D0416" w:rsidRPr="00874341">
        <w:rPr>
          <w:rFonts w:ascii="Times New Roman" w:hAnsi="Times New Roman" w:cs="Times New Roman"/>
          <w:sz w:val="24"/>
          <w:szCs w:val="24"/>
        </w:rPr>
        <w:t xml:space="preserve"> “</w:t>
      </w:r>
      <w:r w:rsidR="00EF293A" w:rsidRPr="00874341">
        <w:rPr>
          <w:rFonts w:ascii="Times New Roman" w:hAnsi="Times New Roman" w:cs="Times New Roman"/>
          <w:sz w:val="24"/>
          <w:szCs w:val="24"/>
        </w:rPr>
        <w:t>Kompleksi pas</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kumi oblig</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 xml:space="preserve"> iepirkuma komponentes problem</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tikas risin</w:t>
      </w:r>
      <w:r w:rsidR="00EF293A" w:rsidRPr="00874341">
        <w:rPr>
          <w:rFonts w:ascii="Times New Roman" w:hAnsi="Times New Roman" w:cs="Times New Roman" w:hint="eastAsia"/>
          <w:sz w:val="24"/>
          <w:szCs w:val="24"/>
        </w:rPr>
        <w:t>āš</w:t>
      </w:r>
      <w:r w:rsidR="00EF293A" w:rsidRPr="00874341">
        <w:rPr>
          <w:rFonts w:ascii="Times New Roman" w:hAnsi="Times New Roman" w:cs="Times New Roman"/>
          <w:sz w:val="24"/>
          <w:szCs w:val="24"/>
        </w:rPr>
        <w:t>anai</w:t>
      </w:r>
      <w:r w:rsidR="00EF293A" w:rsidRPr="00874341">
        <w:rPr>
          <w:rFonts w:ascii="Times New Roman" w:hAnsi="Times New Roman" w:cs="Times New Roman" w:hint="eastAsia"/>
          <w:sz w:val="24"/>
          <w:szCs w:val="24"/>
        </w:rPr>
        <w:t> </w:t>
      </w:r>
      <w:r w:rsidR="00EF293A" w:rsidRPr="00874341">
        <w:rPr>
          <w:rFonts w:ascii="Times New Roman" w:hAnsi="Times New Roman" w:cs="Times New Roman"/>
          <w:sz w:val="24"/>
          <w:szCs w:val="24"/>
        </w:rPr>
        <w:t>un elektroener</w:t>
      </w:r>
      <w:r w:rsidR="00EF293A" w:rsidRPr="00874341">
        <w:rPr>
          <w:rFonts w:ascii="Times New Roman" w:hAnsi="Times New Roman" w:cs="Times New Roman" w:hint="eastAsia"/>
          <w:sz w:val="24"/>
          <w:szCs w:val="24"/>
        </w:rPr>
        <w:t>ģ</w:t>
      </w:r>
      <w:r w:rsidR="00EF293A" w:rsidRPr="00874341">
        <w:rPr>
          <w:rFonts w:ascii="Times New Roman" w:hAnsi="Times New Roman" w:cs="Times New Roman"/>
          <w:sz w:val="24"/>
          <w:szCs w:val="24"/>
        </w:rPr>
        <w:t>ijas tirgus att</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st</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bai</w:t>
      </w:r>
      <w:r w:rsidR="008413B5" w:rsidRPr="00874341">
        <w:rPr>
          <w:rFonts w:ascii="Times New Roman" w:hAnsi="Times New Roman" w:cs="Times New Roman"/>
          <w:sz w:val="24"/>
          <w:szCs w:val="24"/>
        </w:rPr>
        <w:t>”</w:t>
      </w:r>
      <w:r w:rsidR="00EF293A" w:rsidRPr="00874341">
        <w:rPr>
          <w:rFonts w:ascii="Times New Roman" w:hAnsi="Times New Roman" w:cs="Times New Roman"/>
          <w:sz w:val="24"/>
          <w:szCs w:val="24"/>
        </w:rPr>
        <w:t>, un</w:t>
      </w:r>
      <w:r w:rsidR="00EF293A" w:rsidRPr="00874341">
        <w:rPr>
          <w:rFonts w:ascii="Times New Roman" w:hAnsi="Times New Roman" w:cs="Times New Roman" w:hint="eastAsia"/>
          <w:sz w:val="24"/>
          <w:szCs w:val="24"/>
        </w:rPr>
        <w:t> </w:t>
      </w:r>
      <w:r w:rsidR="00EF293A" w:rsidRPr="00497710">
        <w:rPr>
          <w:rFonts w:ascii="Times New Roman" w:hAnsi="Times New Roman"/>
          <w:sz w:val="24"/>
          <w:szCs w:val="24"/>
        </w:rPr>
        <w:t>vald</w:t>
      </w:r>
      <w:r w:rsidR="00EF293A" w:rsidRPr="00497710">
        <w:rPr>
          <w:rFonts w:ascii="Times New Roman" w:hAnsi="Times New Roman" w:hint="eastAsia"/>
          <w:sz w:val="24"/>
          <w:szCs w:val="24"/>
        </w:rPr>
        <w:t>ī</w:t>
      </w:r>
      <w:r w:rsidR="00EF293A" w:rsidRPr="00497710">
        <w:rPr>
          <w:rFonts w:ascii="Times New Roman" w:hAnsi="Times New Roman"/>
          <w:sz w:val="24"/>
          <w:szCs w:val="24"/>
        </w:rPr>
        <w:t>ba atbalst</w:t>
      </w:r>
      <w:r w:rsidR="00EF293A" w:rsidRPr="00497710">
        <w:rPr>
          <w:rFonts w:ascii="Times New Roman" w:hAnsi="Times New Roman" w:hint="eastAsia"/>
          <w:sz w:val="24"/>
          <w:szCs w:val="24"/>
        </w:rPr>
        <w:t>ī</w:t>
      </w:r>
      <w:r w:rsidR="00EF293A" w:rsidRPr="00497710">
        <w:rPr>
          <w:rFonts w:ascii="Times New Roman" w:hAnsi="Times New Roman"/>
          <w:sz w:val="24"/>
          <w:szCs w:val="24"/>
        </w:rPr>
        <w:t>ja</w:t>
      </w:r>
      <w:r w:rsidR="00EF293A" w:rsidRPr="00874341">
        <w:rPr>
          <w:rFonts w:ascii="Times New Roman" w:hAnsi="Times New Roman" w:cs="Times New Roman"/>
          <w:sz w:val="24"/>
          <w:szCs w:val="24"/>
        </w:rPr>
        <w:t xml:space="preserve">, ka </w:t>
      </w:r>
      <w:r w:rsidR="00EF293A" w:rsidRPr="00497710">
        <w:rPr>
          <w:rFonts w:ascii="Times New Roman" w:hAnsi="Times New Roman"/>
          <w:sz w:val="24"/>
          <w:szCs w:val="24"/>
        </w:rPr>
        <w:t>no 2022.gada 1.septembra l</w:t>
      </w:r>
      <w:r w:rsidR="00EF293A" w:rsidRPr="00497710">
        <w:rPr>
          <w:rFonts w:ascii="Times New Roman" w:hAnsi="Times New Roman" w:hint="eastAsia"/>
          <w:sz w:val="24"/>
          <w:szCs w:val="24"/>
        </w:rPr>
        <w:t>ī</w:t>
      </w:r>
      <w:r w:rsidR="00EF293A" w:rsidRPr="00497710">
        <w:rPr>
          <w:rFonts w:ascii="Times New Roman" w:hAnsi="Times New Roman"/>
          <w:sz w:val="24"/>
          <w:szCs w:val="24"/>
        </w:rPr>
        <w:t>dz 2025.gada 31.decembrim OIK vid</w:t>
      </w:r>
      <w:r w:rsidR="00EF293A" w:rsidRPr="00497710">
        <w:rPr>
          <w:rFonts w:ascii="Times New Roman" w:hAnsi="Times New Roman" w:hint="eastAsia"/>
          <w:sz w:val="24"/>
          <w:szCs w:val="24"/>
        </w:rPr>
        <w:t>ē</w:t>
      </w:r>
      <w:r w:rsidR="00EF293A" w:rsidRPr="00497710">
        <w:rPr>
          <w:rFonts w:ascii="Times New Roman" w:hAnsi="Times New Roman"/>
          <w:sz w:val="24"/>
          <w:szCs w:val="24"/>
        </w:rPr>
        <w:t>j</w:t>
      </w:r>
      <w:r w:rsidR="00EF293A" w:rsidRPr="00874341">
        <w:rPr>
          <w:rFonts w:ascii="Times New Roman" w:hAnsi="Times New Roman" w:cs="Times New Roman"/>
          <w:sz w:val="24"/>
          <w:szCs w:val="24"/>
        </w:rPr>
        <w:t>ā</w:t>
      </w:r>
      <w:r w:rsidR="00EF293A" w:rsidRPr="00497710">
        <w:rPr>
          <w:rFonts w:ascii="Times New Roman" w:hAnsi="Times New Roman"/>
          <w:sz w:val="24"/>
          <w:szCs w:val="24"/>
        </w:rPr>
        <w:t xml:space="preserve"> likm</w:t>
      </w:r>
      <w:r w:rsidR="00EF293A" w:rsidRPr="00874341">
        <w:rPr>
          <w:rFonts w:ascii="Times New Roman" w:hAnsi="Times New Roman" w:cs="Times New Roman"/>
          <w:sz w:val="24"/>
          <w:szCs w:val="24"/>
        </w:rPr>
        <w:t xml:space="preserve">e tiek </w:t>
      </w:r>
      <w:r w:rsidR="00EF293A" w:rsidRPr="00497710">
        <w:rPr>
          <w:rFonts w:ascii="Times New Roman" w:hAnsi="Times New Roman"/>
          <w:sz w:val="24"/>
          <w:szCs w:val="24"/>
        </w:rPr>
        <w:t>noteikt</w:t>
      </w:r>
      <w:r w:rsidR="00EF293A" w:rsidRPr="00874341">
        <w:rPr>
          <w:rFonts w:ascii="Times New Roman" w:hAnsi="Times New Roman" w:cs="Times New Roman"/>
          <w:sz w:val="24"/>
          <w:szCs w:val="24"/>
        </w:rPr>
        <w:t>a</w:t>
      </w:r>
      <w:r w:rsidR="00EF293A" w:rsidRPr="00497710">
        <w:rPr>
          <w:rFonts w:ascii="Times New Roman" w:hAnsi="Times New Roman"/>
          <w:sz w:val="24"/>
          <w:szCs w:val="24"/>
        </w:rPr>
        <w:t xml:space="preserve"> 0 </w:t>
      </w:r>
      <w:proofErr w:type="spellStart"/>
      <w:r w:rsidR="00EF293A" w:rsidRPr="00874341">
        <w:rPr>
          <w:rFonts w:ascii="Times New Roman" w:hAnsi="Times New Roman" w:cs="Times New Roman"/>
          <w:i/>
          <w:iCs/>
          <w:sz w:val="24"/>
          <w:szCs w:val="24"/>
        </w:rPr>
        <w:t>euro</w:t>
      </w:r>
      <w:proofErr w:type="spellEnd"/>
      <w:r w:rsidR="00EF293A" w:rsidRPr="00497710">
        <w:rPr>
          <w:rFonts w:ascii="Times New Roman" w:hAnsi="Times New Roman"/>
          <w:sz w:val="24"/>
          <w:szCs w:val="24"/>
        </w:rPr>
        <w:t>/</w:t>
      </w:r>
      <w:proofErr w:type="spellStart"/>
      <w:r w:rsidR="00EF293A" w:rsidRPr="00497710">
        <w:rPr>
          <w:rFonts w:ascii="Times New Roman" w:hAnsi="Times New Roman"/>
          <w:sz w:val="24"/>
          <w:szCs w:val="24"/>
        </w:rPr>
        <w:t>MWh</w:t>
      </w:r>
      <w:proofErr w:type="spellEnd"/>
      <w:r w:rsidR="00EF293A" w:rsidRPr="00874341">
        <w:rPr>
          <w:rFonts w:ascii="Times New Roman" w:hAnsi="Times New Roman" w:cs="Times New Roman"/>
          <w:sz w:val="24"/>
          <w:szCs w:val="24"/>
        </w:rPr>
        <w:t xml:space="preserve">. Vienlaikus </w:t>
      </w:r>
      <w:r w:rsidRPr="00874341">
        <w:rPr>
          <w:rFonts w:ascii="Times New Roman" w:hAnsi="Times New Roman" w:cs="Times New Roman"/>
          <w:sz w:val="24"/>
          <w:szCs w:val="24"/>
        </w:rPr>
        <w:t xml:space="preserve"> MK</w:t>
      </w:r>
      <w:r w:rsidR="00EF293A" w:rsidRPr="00874341">
        <w:rPr>
          <w:rFonts w:ascii="Times New Roman" w:hAnsi="Times New Roman" w:cs="Times New Roman"/>
          <w:sz w:val="24"/>
          <w:szCs w:val="24"/>
        </w:rPr>
        <w:t xml:space="preserve"> uzdeva Ekonomikas ministrijai izstr</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d</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 groz</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jumus Elektroener</w:t>
      </w:r>
      <w:r w:rsidR="00EF293A" w:rsidRPr="00874341">
        <w:rPr>
          <w:rFonts w:ascii="Times New Roman" w:hAnsi="Times New Roman" w:cs="Times New Roman" w:hint="eastAsia"/>
          <w:sz w:val="24"/>
          <w:szCs w:val="24"/>
        </w:rPr>
        <w:t>ģ</w:t>
      </w:r>
      <w:r w:rsidR="00EF293A" w:rsidRPr="00874341">
        <w:rPr>
          <w:rFonts w:ascii="Times New Roman" w:hAnsi="Times New Roman" w:cs="Times New Roman"/>
          <w:sz w:val="24"/>
          <w:szCs w:val="24"/>
        </w:rPr>
        <w:t>ijas tirgus likum</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 pied</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v</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jot risin</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jumu, kura ietvaros oblig</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 xml:space="preserve"> iepirkuma izmaksas gan l</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dz 2025.gadam, gan turpm</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k netiks segtas no Latvijas elektroener</w:t>
      </w:r>
      <w:r w:rsidR="00EF293A" w:rsidRPr="00874341">
        <w:rPr>
          <w:rFonts w:ascii="Times New Roman" w:hAnsi="Times New Roman" w:cs="Times New Roman" w:hint="eastAsia"/>
          <w:sz w:val="24"/>
          <w:szCs w:val="24"/>
        </w:rPr>
        <w:t>ģ</w:t>
      </w:r>
      <w:r w:rsidR="00EF293A" w:rsidRPr="00874341">
        <w:rPr>
          <w:rFonts w:ascii="Times New Roman" w:hAnsi="Times New Roman" w:cs="Times New Roman"/>
          <w:sz w:val="24"/>
          <w:szCs w:val="24"/>
        </w:rPr>
        <w:t>ijas galalietot</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jiem</w:t>
      </w:r>
      <w:r w:rsidR="00244990" w:rsidRPr="00874341">
        <w:rPr>
          <w:rFonts w:ascii="Times New Roman" w:hAnsi="Times New Roman" w:cs="Times New Roman"/>
          <w:sz w:val="24"/>
          <w:szCs w:val="24"/>
        </w:rPr>
        <w:t xml:space="preserve">. </w:t>
      </w:r>
    </w:p>
    <w:p w14:paraId="257B0E34" w14:textId="46A5B96D" w:rsidR="0079427B" w:rsidRPr="00B6282C" w:rsidRDefault="00C56756" w:rsidP="0079427B">
      <w:pPr>
        <w:spacing w:after="0" w:line="240" w:lineRule="auto"/>
        <w:ind w:firstLine="709"/>
        <w:jc w:val="both"/>
        <w:rPr>
          <w:rFonts w:ascii="Times New Roman" w:hAnsi="Times New Roman" w:cs="Times New Roman"/>
          <w:sz w:val="24"/>
          <w:szCs w:val="24"/>
        </w:rPr>
      </w:pPr>
      <w:r w:rsidRPr="00BF7020">
        <w:rPr>
          <w:rFonts w:ascii="Times New Roman" w:hAnsi="Times New Roman" w:cs="Times New Roman"/>
          <w:sz w:val="24"/>
          <w:szCs w:val="24"/>
        </w:rPr>
        <w:t>MK 2022.gada 20.decembrī a</w:t>
      </w:r>
      <w:r w:rsidR="00244990" w:rsidRPr="0058124B">
        <w:rPr>
          <w:rFonts w:ascii="Times New Roman" w:hAnsi="Times New Roman" w:cs="Times New Roman"/>
          <w:sz w:val="24"/>
          <w:szCs w:val="24"/>
        </w:rPr>
        <w:t>pstiprinā</w:t>
      </w:r>
      <w:r w:rsidRPr="00BF7020">
        <w:rPr>
          <w:rFonts w:ascii="Times New Roman" w:hAnsi="Times New Roman" w:cs="Times New Roman"/>
          <w:sz w:val="24"/>
          <w:szCs w:val="24"/>
        </w:rPr>
        <w:t>ja</w:t>
      </w:r>
      <w:r w:rsidR="00244990" w:rsidRPr="0058124B">
        <w:rPr>
          <w:rFonts w:ascii="Times New Roman" w:hAnsi="Times New Roman" w:cs="Times New Roman"/>
          <w:sz w:val="24"/>
          <w:szCs w:val="24"/>
        </w:rPr>
        <w:t xml:space="preserve"> Ekonomikas ministrijas izstrādāt</w:t>
      </w:r>
      <w:r w:rsidRPr="00BF7020">
        <w:rPr>
          <w:rFonts w:ascii="Times New Roman" w:hAnsi="Times New Roman" w:cs="Times New Roman"/>
          <w:sz w:val="24"/>
          <w:szCs w:val="24"/>
        </w:rPr>
        <w:t>os</w:t>
      </w:r>
      <w:r w:rsidR="00244990" w:rsidRPr="0058124B">
        <w:rPr>
          <w:rFonts w:ascii="Times New Roman" w:hAnsi="Times New Roman" w:cs="Times New Roman"/>
          <w:sz w:val="24"/>
          <w:szCs w:val="24"/>
        </w:rPr>
        <w:t> grozījum</w:t>
      </w:r>
      <w:r w:rsidRPr="00BF7020">
        <w:rPr>
          <w:rFonts w:ascii="Times New Roman" w:hAnsi="Times New Roman" w:cs="Times New Roman"/>
          <w:sz w:val="24"/>
          <w:szCs w:val="24"/>
        </w:rPr>
        <w:t>us</w:t>
      </w:r>
      <w:r w:rsidR="00244990" w:rsidRPr="0058124B">
        <w:rPr>
          <w:rFonts w:ascii="Times New Roman" w:hAnsi="Times New Roman" w:cs="Times New Roman"/>
          <w:sz w:val="24"/>
          <w:szCs w:val="24"/>
        </w:rPr>
        <w:t xml:space="preserve"> Elektroenerģijas tirgus likumā, </w:t>
      </w:r>
      <w:r w:rsidRPr="00BF7020">
        <w:rPr>
          <w:rFonts w:ascii="Times New Roman" w:hAnsi="Times New Roman" w:cs="Times New Roman"/>
          <w:sz w:val="24"/>
          <w:szCs w:val="24"/>
        </w:rPr>
        <w:t xml:space="preserve">kas </w:t>
      </w:r>
      <w:r w:rsidR="00244990" w:rsidRPr="0058124B">
        <w:rPr>
          <w:rFonts w:ascii="Times New Roman" w:hAnsi="Times New Roman" w:cs="Times New Roman"/>
          <w:sz w:val="24"/>
          <w:szCs w:val="24"/>
        </w:rPr>
        <w:t>paredz, ka elektroenerģijas lietotājiem turpmāk vairs nebūs jāsedz obligātā iepirkuma izmaksas, t.i. elektroenerģijas rēķinos vairs neparādīsies aile “obligātā iepirkuma komponente”.</w:t>
      </w:r>
      <w:r w:rsidRPr="00BF7020">
        <w:rPr>
          <w:rFonts w:ascii="Times New Roman" w:hAnsi="Times New Roman" w:cs="Times New Roman"/>
          <w:sz w:val="24"/>
          <w:szCs w:val="24"/>
        </w:rPr>
        <w:t xml:space="preserve"> </w:t>
      </w:r>
      <w:r w:rsidR="00732FDE" w:rsidRPr="00BF7020">
        <w:rPr>
          <w:rFonts w:ascii="Times New Roman" w:hAnsi="Times New Roman" w:cs="Times New Roman"/>
          <w:sz w:val="24"/>
          <w:szCs w:val="24"/>
        </w:rPr>
        <w:t xml:space="preserve">Šāds risinājums </w:t>
      </w:r>
      <w:r w:rsidR="007C40FD" w:rsidRPr="00BF7020">
        <w:rPr>
          <w:rFonts w:ascii="Times New Roman" w:hAnsi="Times New Roman" w:cs="Times New Roman"/>
          <w:sz w:val="24"/>
          <w:szCs w:val="24"/>
        </w:rPr>
        <w:t>paredzētu, ka EPT darbības nesegtie izdevumi tiktu</w:t>
      </w:r>
      <w:r w:rsidR="00732FDE" w:rsidRPr="00BF7020">
        <w:rPr>
          <w:rFonts w:ascii="Times New Roman" w:hAnsi="Times New Roman" w:cs="Times New Roman"/>
          <w:sz w:val="24"/>
          <w:szCs w:val="24"/>
        </w:rPr>
        <w:t xml:space="preserve"> </w:t>
      </w:r>
      <w:r w:rsidR="007C40FD" w:rsidRPr="00BF7020">
        <w:rPr>
          <w:rFonts w:ascii="Times New Roman" w:hAnsi="Times New Roman" w:cs="Times New Roman"/>
          <w:sz w:val="24"/>
          <w:szCs w:val="24"/>
        </w:rPr>
        <w:t>kompensēti ar</w:t>
      </w:r>
      <w:r w:rsidR="00732FDE" w:rsidRPr="00BF7020">
        <w:rPr>
          <w:rFonts w:ascii="Times New Roman" w:hAnsi="Times New Roman" w:cs="Times New Roman"/>
          <w:sz w:val="24"/>
          <w:szCs w:val="24"/>
        </w:rPr>
        <w:t xml:space="preserve"> valsts budžet</w:t>
      </w:r>
      <w:r w:rsidR="007C40FD" w:rsidRPr="00BF7020">
        <w:rPr>
          <w:rFonts w:ascii="Times New Roman" w:hAnsi="Times New Roman" w:cs="Times New Roman"/>
          <w:sz w:val="24"/>
          <w:szCs w:val="24"/>
        </w:rPr>
        <w:t>ā</w:t>
      </w:r>
      <w:r w:rsidR="00732FDE" w:rsidRPr="00BF7020">
        <w:rPr>
          <w:rFonts w:ascii="Times New Roman" w:hAnsi="Times New Roman" w:cs="Times New Roman"/>
          <w:sz w:val="24"/>
          <w:szCs w:val="24"/>
        </w:rPr>
        <w:t xml:space="preserve"> ieskaitāmajām AS “Latvenergo” dividendēm.</w:t>
      </w:r>
    </w:p>
    <w:p w14:paraId="2DBBE921" w14:textId="7A879E17" w:rsidR="00A82582" w:rsidRDefault="005962CD" w:rsidP="0058124B">
      <w:pPr>
        <w:spacing w:after="0" w:line="240" w:lineRule="auto"/>
        <w:ind w:firstLine="709"/>
        <w:jc w:val="both"/>
        <w:rPr>
          <w:rFonts w:ascii="Times New Roman" w:hAnsi="Times New Roman"/>
          <w:sz w:val="24"/>
          <w:szCs w:val="24"/>
        </w:rPr>
      </w:pPr>
      <w:r w:rsidRPr="00A82582">
        <w:rPr>
          <w:rFonts w:ascii="Times New Roman" w:hAnsi="Times New Roman" w:cs="Times New Roman"/>
          <w:sz w:val="24"/>
          <w:szCs w:val="24"/>
        </w:rPr>
        <w:t xml:space="preserve">Atbilstoši CSP izveidotajam un uzturētajam institucionālo vienību klasifikācijas sarakstam EPT </w:t>
      </w:r>
      <w:r w:rsidR="00534E24">
        <w:rPr>
          <w:rFonts w:ascii="Times New Roman" w:hAnsi="Times New Roman" w:cs="Times New Roman"/>
          <w:sz w:val="24"/>
          <w:szCs w:val="24"/>
        </w:rPr>
        <w:t xml:space="preserve">(AS “Latvenergo” meitas sabiedrība) </w:t>
      </w:r>
      <w:r w:rsidRPr="00A82582">
        <w:rPr>
          <w:rFonts w:ascii="Times New Roman" w:hAnsi="Times New Roman" w:cs="Times New Roman"/>
          <w:sz w:val="24"/>
          <w:szCs w:val="24"/>
        </w:rPr>
        <w:t xml:space="preserve">ir klasificēts vispārējās valdības sektorā, turklāt tā administrētās </w:t>
      </w:r>
      <w:r w:rsidR="00261D5B">
        <w:rPr>
          <w:rFonts w:ascii="Times New Roman" w:hAnsi="Times New Roman" w:cs="Times New Roman"/>
          <w:sz w:val="24"/>
          <w:szCs w:val="24"/>
        </w:rPr>
        <w:t>obligātā iepirkuma</w:t>
      </w:r>
      <w:r w:rsidR="00261D5B" w:rsidRPr="00A82582">
        <w:rPr>
          <w:rFonts w:ascii="Times New Roman" w:hAnsi="Times New Roman" w:cs="Times New Roman"/>
          <w:sz w:val="24"/>
          <w:szCs w:val="24"/>
        </w:rPr>
        <w:t xml:space="preserve"> </w:t>
      </w:r>
      <w:r w:rsidRPr="00A82582">
        <w:rPr>
          <w:rFonts w:ascii="Times New Roman" w:hAnsi="Times New Roman" w:cs="Times New Roman"/>
          <w:sz w:val="24"/>
          <w:szCs w:val="24"/>
        </w:rPr>
        <w:t>plūsmas tiek attiecinātas uz vispārējās valdības fiskālajiem rādītājiem.</w:t>
      </w:r>
      <w:r w:rsidR="0079427B" w:rsidRPr="00A82582">
        <w:rPr>
          <w:rFonts w:ascii="Times New Roman" w:hAnsi="Times New Roman" w:cs="Times New Roman"/>
          <w:sz w:val="24"/>
          <w:szCs w:val="24"/>
        </w:rPr>
        <w:t xml:space="preserve"> Tādējādi, neskatoties uz obligātā iepirkuma finansēšanas reformu, kas no dotā fiskālā riska izslēdz OIK (t.i. EPT ieņēmumi no elektroenerģijas patērētājiem) svārstību efektu, fiskālais risks saistībā ar EPT citu izdevumu un ieņēmumu novirzēm no plānotā apmērā saglabājas. Tomēr, vienlaicīgi jāatzīmē, ka pēdējos gados</w:t>
      </w:r>
      <w:r w:rsidR="0079427B">
        <w:rPr>
          <w:rFonts w:ascii="Times New Roman" w:hAnsi="Times New Roman" w:cs="Times New Roman"/>
          <w:sz w:val="24"/>
          <w:szCs w:val="24"/>
        </w:rPr>
        <w:t xml:space="preserve"> (un jo īpaši 2022.gada pirmajā pusgadā saistībā ar </w:t>
      </w:r>
      <w:r w:rsidR="00534E24">
        <w:rPr>
          <w:rFonts w:ascii="Times New Roman" w:hAnsi="Times New Roman" w:cs="Times New Roman"/>
          <w:sz w:val="24"/>
          <w:szCs w:val="24"/>
        </w:rPr>
        <w:t xml:space="preserve">augstajām </w:t>
      </w:r>
      <w:r w:rsidR="0079427B">
        <w:rPr>
          <w:rFonts w:ascii="Times New Roman" w:hAnsi="Times New Roman" w:cs="Times New Roman"/>
          <w:sz w:val="24"/>
          <w:szCs w:val="24"/>
        </w:rPr>
        <w:t>elektroener</w:t>
      </w:r>
      <w:r w:rsidR="00534E24">
        <w:rPr>
          <w:rFonts w:ascii="Times New Roman" w:hAnsi="Times New Roman" w:cs="Times New Roman"/>
          <w:sz w:val="24"/>
          <w:szCs w:val="24"/>
        </w:rPr>
        <w:t xml:space="preserve">ģijas cenām </w:t>
      </w:r>
      <w:proofErr w:type="spellStart"/>
      <w:r w:rsidR="00534E24" w:rsidRPr="0058124B">
        <w:rPr>
          <w:rFonts w:ascii="Times New Roman" w:hAnsi="Times New Roman" w:cs="Times New Roman"/>
          <w:i/>
          <w:iCs/>
          <w:sz w:val="24"/>
          <w:szCs w:val="24"/>
        </w:rPr>
        <w:t>NordPool</w:t>
      </w:r>
      <w:proofErr w:type="spellEnd"/>
      <w:r w:rsidR="00534E24">
        <w:rPr>
          <w:rFonts w:ascii="Times New Roman" w:hAnsi="Times New Roman" w:cs="Times New Roman"/>
          <w:sz w:val="24"/>
          <w:szCs w:val="24"/>
        </w:rPr>
        <w:t xml:space="preserve"> biržā)</w:t>
      </w:r>
      <w:r w:rsidR="0079427B" w:rsidRPr="00A82582">
        <w:rPr>
          <w:rFonts w:ascii="Times New Roman" w:hAnsi="Times New Roman" w:cs="Times New Roman"/>
          <w:sz w:val="24"/>
          <w:szCs w:val="24"/>
        </w:rPr>
        <w:t xml:space="preserve"> ir ievērojami samazinājies obligātā iepirkuma sistēmas dalībnieku skaits. </w:t>
      </w:r>
      <w:r w:rsidR="0079427B" w:rsidRPr="0058124B">
        <w:rPr>
          <w:rFonts w:ascii="Times New Roman" w:hAnsi="Times New Roman" w:cs="Times New Roman"/>
          <w:sz w:val="24"/>
          <w:szCs w:val="24"/>
        </w:rPr>
        <w:t>Saska</w:t>
      </w:r>
      <w:r w:rsidR="0079427B" w:rsidRPr="0058124B">
        <w:rPr>
          <w:rFonts w:ascii="Times New Roman" w:hAnsi="Times New Roman" w:cs="Times New Roman" w:hint="eastAsia"/>
          <w:sz w:val="24"/>
          <w:szCs w:val="24"/>
        </w:rPr>
        <w:t>ņā</w:t>
      </w:r>
      <w:r w:rsidR="0079427B" w:rsidRPr="0058124B">
        <w:rPr>
          <w:rFonts w:ascii="Times New Roman" w:hAnsi="Times New Roman" w:cs="Times New Roman"/>
          <w:sz w:val="24"/>
          <w:szCs w:val="24"/>
        </w:rPr>
        <w:t xml:space="preserve"> ar B</w:t>
      </w:r>
      <w:r w:rsidR="0079427B" w:rsidRPr="0058124B">
        <w:rPr>
          <w:rFonts w:ascii="Times New Roman" w:hAnsi="Times New Roman" w:cs="Times New Roman" w:hint="eastAsia"/>
          <w:sz w:val="24"/>
          <w:szCs w:val="24"/>
        </w:rPr>
        <w:t>ū</w:t>
      </w:r>
      <w:r w:rsidR="0079427B" w:rsidRPr="0058124B">
        <w:rPr>
          <w:rFonts w:ascii="Times New Roman" w:hAnsi="Times New Roman" w:cs="Times New Roman"/>
          <w:sz w:val="24"/>
          <w:szCs w:val="24"/>
        </w:rPr>
        <w:t>vniec</w:t>
      </w:r>
      <w:r w:rsidR="0079427B" w:rsidRPr="0058124B">
        <w:rPr>
          <w:rFonts w:ascii="Times New Roman" w:hAnsi="Times New Roman" w:cs="Times New Roman" w:hint="eastAsia"/>
          <w:sz w:val="24"/>
          <w:szCs w:val="24"/>
        </w:rPr>
        <w:t>ī</w:t>
      </w:r>
      <w:r w:rsidR="0079427B" w:rsidRPr="0058124B">
        <w:rPr>
          <w:rFonts w:ascii="Times New Roman" w:hAnsi="Times New Roman" w:cs="Times New Roman"/>
          <w:sz w:val="24"/>
          <w:szCs w:val="24"/>
        </w:rPr>
        <w:t>bas valsts kontroles biroja datiem par oblig</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t</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 xml:space="preserve"> iepirkuma at</w:t>
      </w:r>
      <w:r w:rsidR="0079427B" w:rsidRPr="0058124B">
        <w:rPr>
          <w:rFonts w:ascii="Times New Roman" w:hAnsi="Times New Roman" w:cs="Times New Roman" w:hint="eastAsia"/>
          <w:sz w:val="24"/>
          <w:szCs w:val="24"/>
        </w:rPr>
        <w:t>ļ</w:t>
      </w:r>
      <w:r w:rsidR="0079427B" w:rsidRPr="0058124B">
        <w:rPr>
          <w:rFonts w:ascii="Times New Roman" w:hAnsi="Times New Roman" w:cs="Times New Roman"/>
          <w:sz w:val="24"/>
          <w:szCs w:val="24"/>
        </w:rPr>
        <w:t>auju der</w:t>
      </w:r>
      <w:r w:rsidR="0079427B" w:rsidRPr="0058124B">
        <w:rPr>
          <w:rFonts w:ascii="Times New Roman" w:hAnsi="Times New Roman" w:cs="Times New Roman" w:hint="eastAsia"/>
          <w:sz w:val="24"/>
          <w:szCs w:val="24"/>
        </w:rPr>
        <w:t>ī</w:t>
      </w:r>
      <w:r w:rsidR="0079427B" w:rsidRPr="0058124B">
        <w:rPr>
          <w:rFonts w:ascii="Times New Roman" w:hAnsi="Times New Roman" w:cs="Times New Roman"/>
          <w:sz w:val="24"/>
          <w:szCs w:val="24"/>
        </w:rPr>
        <w:t>guma termi</w:t>
      </w:r>
      <w:r w:rsidR="0079427B" w:rsidRPr="0058124B">
        <w:rPr>
          <w:rFonts w:ascii="Times New Roman" w:hAnsi="Times New Roman" w:cs="Times New Roman" w:hint="eastAsia"/>
          <w:sz w:val="24"/>
          <w:szCs w:val="24"/>
        </w:rPr>
        <w:t>ņ</w:t>
      </w:r>
      <w:r w:rsidR="0079427B" w:rsidRPr="0058124B">
        <w:rPr>
          <w:rFonts w:ascii="Times New Roman" w:hAnsi="Times New Roman" w:cs="Times New Roman"/>
          <w:sz w:val="24"/>
          <w:szCs w:val="24"/>
        </w:rPr>
        <w:t>iem, OIK atbalstu sa</w:t>
      </w:r>
      <w:r w:rsidR="0079427B" w:rsidRPr="0058124B">
        <w:rPr>
          <w:rFonts w:ascii="Times New Roman" w:hAnsi="Times New Roman" w:cs="Times New Roman" w:hint="eastAsia"/>
          <w:sz w:val="24"/>
          <w:szCs w:val="24"/>
        </w:rPr>
        <w:t>ņ</w:t>
      </w:r>
      <w:r w:rsidR="0079427B" w:rsidRPr="0058124B">
        <w:rPr>
          <w:rFonts w:ascii="Times New Roman" w:hAnsi="Times New Roman" w:cs="Times New Roman"/>
          <w:sz w:val="24"/>
          <w:szCs w:val="24"/>
        </w:rPr>
        <w:t>emo</w:t>
      </w:r>
      <w:r w:rsidR="0079427B" w:rsidRPr="0058124B">
        <w:rPr>
          <w:rFonts w:ascii="Times New Roman" w:hAnsi="Times New Roman" w:cs="Times New Roman" w:hint="eastAsia"/>
          <w:sz w:val="24"/>
          <w:szCs w:val="24"/>
        </w:rPr>
        <w:t>š</w:t>
      </w:r>
      <w:r w:rsidR="0079427B" w:rsidRPr="0058124B">
        <w:rPr>
          <w:rFonts w:ascii="Times New Roman" w:hAnsi="Times New Roman" w:cs="Times New Roman"/>
          <w:sz w:val="24"/>
          <w:szCs w:val="24"/>
        </w:rPr>
        <w:t>o ko</w:t>
      </w:r>
      <w:r w:rsidR="0079427B" w:rsidRPr="0058124B">
        <w:rPr>
          <w:rFonts w:ascii="Times New Roman" w:hAnsi="Times New Roman" w:cs="Times New Roman" w:hint="eastAsia"/>
          <w:sz w:val="24"/>
          <w:szCs w:val="24"/>
        </w:rPr>
        <w:t>ģ</w:t>
      </w:r>
      <w:r w:rsidR="0079427B" w:rsidRPr="0058124B">
        <w:rPr>
          <w:rFonts w:ascii="Times New Roman" w:hAnsi="Times New Roman" w:cs="Times New Roman"/>
          <w:sz w:val="24"/>
          <w:szCs w:val="24"/>
        </w:rPr>
        <w:t>ener</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cijas staciju skaits pak</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peniski samazin</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sies ar</w:t>
      </w:r>
      <w:r w:rsidR="0079427B" w:rsidRPr="0058124B">
        <w:rPr>
          <w:rFonts w:ascii="Times New Roman" w:hAnsi="Times New Roman" w:cs="Times New Roman" w:hint="eastAsia"/>
          <w:sz w:val="24"/>
          <w:szCs w:val="24"/>
        </w:rPr>
        <w:t>ī</w:t>
      </w:r>
      <w:r w:rsidR="0079427B" w:rsidRPr="0058124B">
        <w:rPr>
          <w:rFonts w:ascii="Times New Roman" w:hAnsi="Times New Roman" w:cs="Times New Roman"/>
          <w:sz w:val="24"/>
          <w:szCs w:val="24"/>
        </w:rPr>
        <w:t xml:space="preserve"> turpm</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k, t</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d</w:t>
      </w:r>
      <w:r w:rsidR="0079427B" w:rsidRPr="0058124B">
        <w:rPr>
          <w:rFonts w:ascii="Times New Roman" w:hAnsi="Times New Roman" w:cs="Times New Roman" w:hint="eastAsia"/>
          <w:sz w:val="24"/>
          <w:szCs w:val="24"/>
        </w:rPr>
        <w:t>ē</w:t>
      </w:r>
      <w:r w:rsidR="0079427B" w:rsidRPr="0058124B">
        <w:rPr>
          <w:rFonts w:ascii="Times New Roman" w:hAnsi="Times New Roman" w:cs="Times New Roman"/>
          <w:sz w:val="24"/>
          <w:szCs w:val="24"/>
        </w:rPr>
        <w:t>j</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 xml:space="preserve">di </w:t>
      </w:r>
      <w:r w:rsidR="00534E24">
        <w:rPr>
          <w:rFonts w:ascii="Times New Roman" w:hAnsi="Times New Roman" w:cs="Times New Roman"/>
          <w:sz w:val="24"/>
          <w:szCs w:val="24"/>
        </w:rPr>
        <w:t xml:space="preserve">ievērojami </w:t>
      </w:r>
      <w:r w:rsidR="0079427B" w:rsidRPr="0058124B">
        <w:rPr>
          <w:rFonts w:ascii="Times New Roman" w:hAnsi="Times New Roman" w:cs="Times New Roman"/>
          <w:sz w:val="24"/>
          <w:szCs w:val="24"/>
        </w:rPr>
        <w:t>mazinot oblig</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t</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 xml:space="preserve"> iepirkuma kop</w:t>
      </w:r>
      <w:r w:rsidR="0079427B" w:rsidRPr="0058124B">
        <w:rPr>
          <w:rFonts w:ascii="Times New Roman" w:hAnsi="Times New Roman" w:cs="Times New Roman" w:hint="eastAsia"/>
          <w:sz w:val="24"/>
          <w:szCs w:val="24"/>
        </w:rPr>
        <w:t>ē</w:t>
      </w:r>
      <w:r w:rsidR="0079427B" w:rsidRPr="0058124B">
        <w:rPr>
          <w:rFonts w:ascii="Times New Roman" w:hAnsi="Times New Roman" w:cs="Times New Roman"/>
          <w:sz w:val="24"/>
          <w:szCs w:val="24"/>
        </w:rPr>
        <w:t>j</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s izmaksas</w:t>
      </w:r>
      <w:r w:rsidR="00534E24">
        <w:rPr>
          <w:rFonts w:ascii="Times New Roman" w:hAnsi="Times New Roman" w:cs="Times New Roman"/>
          <w:sz w:val="24"/>
          <w:szCs w:val="24"/>
        </w:rPr>
        <w:t xml:space="preserve">, kā arī salīdzinoši ieņēmumus un šo abu rādītāju starpības svārstību absolūto amplitūdu. Šādu norišu kontekstā paredzama fiskālā riska potenciālās ietekmes </w:t>
      </w:r>
      <w:r w:rsidR="00BB002A">
        <w:rPr>
          <w:rFonts w:ascii="Times New Roman" w:hAnsi="Times New Roman" w:cs="Times New Roman"/>
          <w:sz w:val="24"/>
          <w:szCs w:val="24"/>
        </w:rPr>
        <w:t xml:space="preserve">būtiska </w:t>
      </w:r>
      <w:r w:rsidR="00534E24">
        <w:rPr>
          <w:rFonts w:ascii="Times New Roman" w:hAnsi="Times New Roman" w:cs="Times New Roman"/>
          <w:sz w:val="24"/>
          <w:szCs w:val="24"/>
        </w:rPr>
        <w:t xml:space="preserve">mazināšanās.  </w:t>
      </w:r>
      <w:r w:rsidR="0079427B" w:rsidRPr="0058124B">
        <w:rPr>
          <w:rFonts w:ascii="Times New Roman" w:hAnsi="Times New Roman" w:cs="Times New Roman"/>
          <w:sz w:val="24"/>
          <w:szCs w:val="24"/>
        </w:rPr>
        <w:t xml:space="preserve"> </w:t>
      </w:r>
    </w:p>
    <w:p w14:paraId="1114D932" w14:textId="4F91225F" w:rsidR="005962CD" w:rsidRPr="00B6282C" w:rsidRDefault="00A82582" w:rsidP="005F74D8">
      <w:pPr>
        <w:spacing w:after="0" w:line="240" w:lineRule="auto"/>
        <w:ind w:firstLine="709"/>
        <w:jc w:val="both"/>
        <w:rPr>
          <w:rFonts w:ascii="Times New Roman" w:hAnsi="Times New Roman"/>
          <w:sz w:val="24"/>
          <w:szCs w:val="24"/>
        </w:rPr>
      </w:pPr>
      <w:r>
        <w:rPr>
          <w:rFonts w:ascii="Times New Roman" w:hAnsi="Times New Roman"/>
          <w:sz w:val="24"/>
          <w:szCs w:val="24"/>
        </w:rPr>
        <w:t>O</w:t>
      </w:r>
      <w:r w:rsidR="00534E24">
        <w:rPr>
          <w:rFonts w:ascii="Times New Roman" w:hAnsi="Times New Roman"/>
          <w:sz w:val="24"/>
          <w:szCs w:val="24"/>
        </w:rPr>
        <w:t>bligātā iepirkuma</w:t>
      </w:r>
      <w:r w:rsidR="005962CD" w:rsidRPr="00B6282C">
        <w:rPr>
          <w:rFonts w:ascii="Times New Roman" w:hAnsi="Times New Roman"/>
          <w:sz w:val="24"/>
          <w:szCs w:val="24"/>
        </w:rPr>
        <w:t xml:space="preserve"> ieņēmumus un izmaksas var ietekmēt </w:t>
      </w:r>
      <w:r w:rsidR="005962CD">
        <w:rPr>
          <w:rFonts w:ascii="Times New Roman" w:hAnsi="Times New Roman"/>
          <w:sz w:val="24"/>
          <w:szCs w:val="24"/>
        </w:rPr>
        <w:t xml:space="preserve">gan elektroenerģijas cena </w:t>
      </w:r>
      <w:proofErr w:type="spellStart"/>
      <w:r w:rsidR="005962CD" w:rsidRPr="00B6282C">
        <w:rPr>
          <w:rFonts w:ascii="Times New Roman" w:hAnsi="Times New Roman"/>
          <w:i/>
          <w:sz w:val="24"/>
          <w:szCs w:val="24"/>
        </w:rPr>
        <w:t>Nordpool</w:t>
      </w:r>
      <w:proofErr w:type="spellEnd"/>
      <w:r w:rsidR="005962CD">
        <w:rPr>
          <w:rFonts w:ascii="Times New Roman" w:hAnsi="Times New Roman"/>
          <w:sz w:val="24"/>
          <w:szCs w:val="24"/>
        </w:rPr>
        <w:t xml:space="preserve"> biržā, elektroenerģijas gala patēriņa izmaiņas, gan </w:t>
      </w:r>
      <w:r w:rsidR="005962CD" w:rsidRPr="00B6282C">
        <w:rPr>
          <w:rFonts w:ascii="Times New Roman" w:hAnsi="Times New Roman"/>
          <w:sz w:val="24"/>
          <w:szCs w:val="24"/>
        </w:rPr>
        <w:t xml:space="preserve">arī citi riska faktori, t.sk., bet ne tikai </w:t>
      </w:r>
      <w:r w:rsidR="00101237">
        <w:rPr>
          <w:rFonts w:ascii="Times New Roman" w:hAnsi="Times New Roman"/>
          <w:sz w:val="24"/>
          <w:szCs w:val="24"/>
        </w:rPr>
        <w:t>obligātā iepirkuma</w:t>
      </w:r>
      <w:r w:rsidR="005962CD" w:rsidRPr="00B6282C">
        <w:rPr>
          <w:rFonts w:ascii="Times New Roman" w:hAnsi="Times New Roman"/>
          <w:sz w:val="24"/>
          <w:szCs w:val="24"/>
        </w:rPr>
        <w:t xml:space="preserve"> atļauju turpmāka anulēšana vai atjaunošana pārsūdzības tiesā rezultātā u.c.</w:t>
      </w:r>
    </w:p>
    <w:p w14:paraId="67DD1386" w14:textId="6A2525E4" w:rsidR="005962CD" w:rsidRPr="00B6282C" w:rsidRDefault="005962CD" w:rsidP="005F74D8">
      <w:pPr>
        <w:spacing w:after="0" w:line="240" w:lineRule="auto"/>
        <w:ind w:firstLine="709"/>
        <w:jc w:val="both"/>
        <w:rPr>
          <w:rFonts w:ascii="Times New Roman" w:hAnsi="Times New Roman"/>
          <w:sz w:val="24"/>
          <w:szCs w:val="24"/>
        </w:rPr>
      </w:pPr>
      <w:r w:rsidRPr="00B6282C">
        <w:rPr>
          <w:rFonts w:ascii="Times New Roman" w:hAnsi="Times New Roman"/>
          <w:sz w:val="24"/>
          <w:szCs w:val="24"/>
        </w:rPr>
        <w:t>Atbilstoši pašreizējam juridiskajam regulējumam risku nav iespējams ierobežot citādi kā veicot stingrāku atbalsta saņēmēju uzraudzību un cenšoties veikt pēc iespējas ticamāku prognozēšanu</w:t>
      </w:r>
      <w:r w:rsidR="003D0D2F">
        <w:rPr>
          <w:rFonts w:ascii="Times New Roman" w:hAnsi="Times New Roman"/>
          <w:sz w:val="24"/>
          <w:szCs w:val="24"/>
        </w:rPr>
        <w:t>.</w:t>
      </w:r>
    </w:p>
    <w:p w14:paraId="2742FD02" w14:textId="336F2B8C" w:rsidR="005962CD" w:rsidRDefault="005962CD" w:rsidP="005F74D8">
      <w:pPr>
        <w:spacing w:after="0" w:line="240" w:lineRule="auto"/>
        <w:ind w:firstLine="709"/>
        <w:jc w:val="both"/>
        <w:rPr>
          <w:rFonts w:ascii="Times New Roman" w:hAnsi="Times New Roman"/>
          <w:sz w:val="24"/>
          <w:szCs w:val="24"/>
        </w:rPr>
      </w:pPr>
      <w:r w:rsidRPr="00B6282C">
        <w:rPr>
          <w:rFonts w:ascii="Times New Roman" w:hAnsi="Times New Roman"/>
          <w:sz w:val="24"/>
          <w:szCs w:val="24"/>
        </w:rPr>
        <w:t xml:space="preserve">Lai veidotu pēc iespējas ticamākas prognozes par pārējo ar </w:t>
      </w:r>
      <w:r w:rsidR="003D0D2F">
        <w:rPr>
          <w:rFonts w:ascii="Times New Roman" w:hAnsi="Times New Roman"/>
          <w:sz w:val="24"/>
          <w:szCs w:val="24"/>
        </w:rPr>
        <w:t>obligātā iepirkuma</w:t>
      </w:r>
      <w:r w:rsidR="003D0D2F" w:rsidRPr="00B6282C">
        <w:rPr>
          <w:rFonts w:ascii="Times New Roman" w:hAnsi="Times New Roman"/>
          <w:sz w:val="24"/>
          <w:szCs w:val="24"/>
        </w:rPr>
        <w:t xml:space="preserve"> </w:t>
      </w:r>
      <w:r w:rsidRPr="00B6282C">
        <w:rPr>
          <w:rFonts w:ascii="Times New Roman" w:hAnsi="Times New Roman"/>
          <w:sz w:val="24"/>
          <w:szCs w:val="24"/>
        </w:rPr>
        <w:t xml:space="preserve">sistēmu saistīto fiskālo risku ietekmi un šos riskus vadītu, tiek </w:t>
      </w:r>
      <w:r w:rsidR="00212563">
        <w:rPr>
          <w:rFonts w:ascii="Times New Roman" w:hAnsi="Times New Roman"/>
          <w:sz w:val="24"/>
          <w:szCs w:val="24"/>
        </w:rPr>
        <w:t>uzraudzīti</w:t>
      </w:r>
      <w:r w:rsidRPr="00B6282C">
        <w:rPr>
          <w:rFonts w:ascii="Times New Roman" w:hAnsi="Times New Roman"/>
          <w:sz w:val="24"/>
          <w:szCs w:val="24"/>
        </w:rPr>
        <w:t xml:space="preserve"> un regulāri apzināti riskus ietekmējošie faktori, uzturēta komunikācija ar iesaistītajām pusēm un uzturēti dažādi aprēķinu modeļi, tomēr riska faktoru ietekmes ierobežošana lielā mērā ir </w:t>
      </w:r>
      <w:r w:rsidR="00811751">
        <w:rPr>
          <w:rFonts w:ascii="Times New Roman" w:hAnsi="Times New Roman"/>
          <w:sz w:val="24"/>
          <w:szCs w:val="24"/>
        </w:rPr>
        <w:t>ierobežota</w:t>
      </w:r>
      <w:r w:rsidRPr="00B6282C">
        <w:rPr>
          <w:rFonts w:ascii="Times New Roman" w:hAnsi="Times New Roman"/>
          <w:sz w:val="24"/>
          <w:szCs w:val="24"/>
        </w:rPr>
        <w:t>.</w:t>
      </w:r>
    </w:p>
    <w:p w14:paraId="4FF0FCD5" w14:textId="77777777" w:rsidR="005962CD" w:rsidRPr="00B6282C" w:rsidRDefault="005962CD" w:rsidP="005962CD">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6B205FAD" w14:textId="32F78850" w:rsidR="005962CD" w:rsidRPr="00B6282C" w:rsidRDefault="005962CD" w:rsidP="005962CD">
      <w:pPr>
        <w:autoSpaceDE w:val="0"/>
        <w:autoSpaceDN w:val="0"/>
        <w:adjustRightInd w:val="0"/>
        <w:spacing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w:t>
      </w:r>
      <w:r w:rsidR="0077673B">
        <w:rPr>
          <w:rFonts w:ascii="Times New Roman" w:eastAsiaTheme="minorHAnsi" w:hAnsi="Times New Roman" w:cs="Times New Roman"/>
          <w:b/>
          <w:color w:val="000000"/>
          <w:sz w:val="24"/>
          <w:szCs w:val="20"/>
        </w:rPr>
        <w:t>2.13.1</w:t>
      </w:r>
      <w:r w:rsidRPr="00FB6BFB">
        <w:rPr>
          <w:rFonts w:ascii="Times New Roman" w:eastAsiaTheme="minorHAnsi" w:hAnsi="Times New Roman" w:cs="Times New Roman"/>
          <w:b/>
          <w:color w:val="000000"/>
          <w:sz w:val="24"/>
          <w:szCs w:val="20"/>
        </w:rPr>
        <w:t xml:space="preserve"> EPT</w:t>
      </w:r>
      <w:r>
        <w:rPr>
          <w:rFonts w:ascii="Times New Roman" w:eastAsiaTheme="minorHAnsi" w:hAnsi="Times New Roman" w:cs="Times New Roman"/>
          <w:b/>
          <w:color w:val="000000"/>
          <w:sz w:val="24"/>
          <w:szCs w:val="20"/>
        </w:rPr>
        <w:t xml:space="preserve"> ietekme uz vispārējās valdības budžeta bilanci</w:t>
      </w:r>
      <w:r w:rsidR="00FD33F0">
        <w:rPr>
          <w:rFonts w:ascii="Times New Roman" w:eastAsiaTheme="minorHAnsi" w:hAnsi="Times New Roman" w:cs="Times New Roman"/>
          <w:b/>
          <w:color w:val="000000"/>
          <w:sz w:val="24"/>
          <w:szCs w:val="20"/>
        </w:rPr>
        <w:t>,</w:t>
      </w:r>
      <w:r w:rsidRPr="005B7BD2">
        <w:rPr>
          <w:rFonts w:ascii="Times New Roman" w:eastAsiaTheme="minorHAnsi" w:hAnsi="Times New Roman" w:cs="Times New Roman"/>
          <w:b/>
          <w:color w:val="000000"/>
          <w:sz w:val="24"/>
          <w:szCs w:val="20"/>
        </w:rPr>
        <w:t xml:space="preserve"> milj. </w:t>
      </w:r>
      <w:proofErr w:type="spellStart"/>
      <w:r w:rsidRPr="00FB6BFB">
        <w:rPr>
          <w:rFonts w:ascii="Times New Roman" w:eastAsiaTheme="minorHAnsi" w:hAnsi="Times New Roman" w:cs="Times New Roman"/>
          <w:b/>
          <w:i/>
          <w:color w:val="000000"/>
          <w:sz w:val="24"/>
          <w:szCs w:val="20"/>
        </w:rPr>
        <w:t>euro</w:t>
      </w:r>
      <w:proofErr w:type="spellEnd"/>
      <w:r w:rsidRPr="00FB6BFB">
        <w:rPr>
          <w:rFonts w:ascii="Times New Roman" w:eastAsiaTheme="minorHAnsi" w:hAnsi="Times New Roman" w:cs="Times New Roman"/>
          <w:b/>
          <w:color w:val="000000"/>
          <w:sz w:val="24"/>
          <w:szCs w:val="20"/>
        </w:rPr>
        <w:t xml:space="preserve"> </w:t>
      </w:r>
    </w:p>
    <w:tbl>
      <w:tblPr>
        <w:tblStyle w:val="GridTable6Colorful-Accent11"/>
        <w:tblW w:w="9922" w:type="dxa"/>
        <w:jc w:val="center"/>
        <w:tblLayout w:type="fixed"/>
        <w:tblLook w:val="04A0" w:firstRow="1" w:lastRow="0" w:firstColumn="1" w:lastColumn="0" w:noHBand="0" w:noVBand="1"/>
      </w:tblPr>
      <w:tblGrid>
        <w:gridCol w:w="2189"/>
        <w:gridCol w:w="774"/>
        <w:gridCol w:w="774"/>
        <w:gridCol w:w="774"/>
        <w:gridCol w:w="773"/>
        <w:gridCol w:w="807"/>
        <w:gridCol w:w="739"/>
        <w:gridCol w:w="773"/>
        <w:gridCol w:w="773"/>
        <w:gridCol w:w="773"/>
        <w:gridCol w:w="773"/>
      </w:tblGrid>
      <w:tr w:rsidR="00E13D0C" w:rsidRPr="00FB6BFB" w14:paraId="614FC2C9" w14:textId="12C34A7B" w:rsidTr="001E209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89" w:type="dxa"/>
            <w:shd w:val="clear" w:color="auto" w:fill="DEEAF6" w:themeFill="accent1" w:themeFillTint="33"/>
            <w:vAlign w:val="center"/>
          </w:tcPr>
          <w:p w14:paraId="54036A0E" w14:textId="77777777" w:rsidR="00874341" w:rsidRPr="00D1418E" w:rsidRDefault="00874341" w:rsidP="00C906CF">
            <w:pPr>
              <w:jc w:val="right"/>
              <w:rPr>
                <w:b w:val="0"/>
                <w:color w:val="000000" w:themeColor="text1"/>
                <w:sz w:val="22"/>
              </w:rPr>
            </w:pPr>
          </w:p>
        </w:tc>
        <w:tc>
          <w:tcPr>
            <w:tcW w:w="774" w:type="dxa"/>
            <w:shd w:val="clear" w:color="auto" w:fill="DEEAF6" w:themeFill="accent1" w:themeFillTint="33"/>
            <w:vAlign w:val="center"/>
          </w:tcPr>
          <w:p w14:paraId="22087ED1"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2013</w:t>
            </w:r>
          </w:p>
        </w:tc>
        <w:tc>
          <w:tcPr>
            <w:tcW w:w="774" w:type="dxa"/>
            <w:shd w:val="clear" w:color="auto" w:fill="DEEAF6" w:themeFill="accent1" w:themeFillTint="33"/>
            <w:vAlign w:val="center"/>
          </w:tcPr>
          <w:p w14:paraId="3AF5E8B3"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2014</w:t>
            </w:r>
          </w:p>
        </w:tc>
        <w:tc>
          <w:tcPr>
            <w:tcW w:w="774" w:type="dxa"/>
            <w:shd w:val="clear" w:color="auto" w:fill="DEEAF6" w:themeFill="accent1" w:themeFillTint="33"/>
            <w:vAlign w:val="center"/>
          </w:tcPr>
          <w:p w14:paraId="06ECED87"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2015</w:t>
            </w:r>
          </w:p>
        </w:tc>
        <w:tc>
          <w:tcPr>
            <w:tcW w:w="773" w:type="dxa"/>
            <w:shd w:val="clear" w:color="auto" w:fill="DEEAF6" w:themeFill="accent1" w:themeFillTint="33"/>
            <w:vAlign w:val="center"/>
          </w:tcPr>
          <w:p w14:paraId="4A6106FE"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2016</w:t>
            </w:r>
          </w:p>
        </w:tc>
        <w:tc>
          <w:tcPr>
            <w:tcW w:w="807" w:type="dxa"/>
            <w:shd w:val="clear" w:color="auto" w:fill="DEEAF6" w:themeFill="accent1" w:themeFillTint="33"/>
            <w:vAlign w:val="center"/>
          </w:tcPr>
          <w:p w14:paraId="07562BE6"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2017</w:t>
            </w:r>
          </w:p>
        </w:tc>
        <w:tc>
          <w:tcPr>
            <w:tcW w:w="739" w:type="dxa"/>
            <w:shd w:val="clear" w:color="auto" w:fill="DEEAF6" w:themeFill="accent1" w:themeFillTint="33"/>
            <w:vAlign w:val="center"/>
          </w:tcPr>
          <w:p w14:paraId="0FDEC011"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2018</w:t>
            </w:r>
          </w:p>
        </w:tc>
        <w:tc>
          <w:tcPr>
            <w:tcW w:w="773" w:type="dxa"/>
            <w:shd w:val="clear" w:color="auto" w:fill="DEEAF6" w:themeFill="accent1" w:themeFillTint="33"/>
            <w:vAlign w:val="center"/>
          </w:tcPr>
          <w:p w14:paraId="6F7B17C7" w14:textId="77777777" w:rsidR="00874341" w:rsidRPr="00D1418E" w:rsidRDefault="00874341"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2019</w:t>
            </w:r>
          </w:p>
        </w:tc>
        <w:tc>
          <w:tcPr>
            <w:tcW w:w="773" w:type="dxa"/>
            <w:shd w:val="clear" w:color="auto" w:fill="DEEAF6" w:themeFill="accent1" w:themeFillTint="33"/>
            <w:vAlign w:val="center"/>
          </w:tcPr>
          <w:p w14:paraId="604C11B2" w14:textId="454F3911" w:rsidR="00874341" w:rsidRPr="00D1418E" w:rsidRDefault="00874341"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2020</w:t>
            </w:r>
          </w:p>
        </w:tc>
        <w:tc>
          <w:tcPr>
            <w:tcW w:w="773" w:type="dxa"/>
            <w:shd w:val="clear" w:color="auto" w:fill="DEEAF6" w:themeFill="accent1" w:themeFillTint="33"/>
            <w:vAlign w:val="center"/>
          </w:tcPr>
          <w:p w14:paraId="4F4BA500" w14:textId="04EC4944" w:rsidR="00874341" w:rsidRPr="00D1418E" w:rsidRDefault="00874341"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2021</w:t>
            </w:r>
          </w:p>
        </w:tc>
        <w:tc>
          <w:tcPr>
            <w:tcW w:w="773" w:type="dxa"/>
            <w:shd w:val="clear" w:color="auto" w:fill="DEEAF6" w:themeFill="accent1" w:themeFillTint="33"/>
          </w:tcPr>
          <w:p w14:paraId="690D18B0" w14:textId="5ABA6C86" w:rsidR="00874341" w:rsidRPr="00D1418E" w:rsidRDefault="00AD45CC"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2022</w:t>
            </w:r>
            <w:r w:rsidRPr="00D1418E">
              <w:rPr>
                <w:rFonts w:eastAsia="Times New Roman" w:cs="Times New Roman"/>
                <w:color w:val="000000" w:themeColor="text1"/>
                <w:sz w:val="22"/>
                <w:lang w:eastAsia="lv-LV"/>
              </w:rPr>
              <w:t>*</w:t>
            </w:r>
          </w:p>
        </w:tc>
      </w:tr>
      <w:tr w:rsidR="003001A1" w:rsidRPr="00FB6BFB" w14:paraId="79869B33" w14:textId="36790722" w:rsidTr="0049771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89" w:type="dxa"/>
          </w:tcPr>
          <w:p w14:paraId="4BF09327" w14:textId="77777777" w:rsidR="00874341" w:rsidRPr="00D1418E" w:rsidRDefault="00874341" w:rsidP="00C906CF">
            <w:pPr>
              <w:jc w:val="right"/>
              <w:rPr>
                <w:rFonts w:eastAsia="Times New Roman" w:cs="Times New Roman"/>
                <w:b w:val="0"/>
                <w:bCs w:val="0"/>
                <w:color w:val="000000" w:themeColor="text1"/>
                <w:sz w:val="22"/>
                <w:lang w:eastAsia="lv-LV"/>
              </w:rPr>
            </w:pPr>
            <w:r w:rsidRPr="00F56613">
              <w:rPr>
                <w:rFonts w:eastAsia="Times New Roman" w:cs="Times New Roman"/>
                <w:color w:val="000000" w:themeColor="text1"/>
                <w:sz w:val="22"/>
                <w:lang w:eastAsia="lv-LV"/>
              </w:rPr>
              <w:t>Vispārējās valdības sektora klasificēto komercsabiedrību bilance (izpilde)</w:t>
            </w:r>
          </w:p>
        </w:tc>
        <w:tc>
          <w:tcPr>
            <w:tcW w:w="774" w:type="dxa"/>
            <w:vAlign w:val="center"/>
          </w:tcPr>
          <w:p w14:paraId="674A1BDA"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-91,9</w:t>
            </w:r>
          </w:p>
        </w:tc>
        <w:tc>
          <w:tcPr>
            <w:tcW w:w="774" w:type="dxa"/>
            <w:vAlign w:val="center"/>
          </w:tcPr>
          <w:p w14:paraId="211B6E7C" w14:textId="77777777" w:rsidR="00874341" w:rsidRPr="00D1418E" w:rsidRDefault="00874341" w:rsidP="00C906CF">
            <w:pPr>
              <w:ind w:right="-148" w:hanging="92"/>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-113,8</w:t>
            </w:r>
          </w:p>
        </w:tc>
        <w:tc>
          <w:tcPr>
            <w:tcW w:w="774" w:type="dxa"/>
            <w:vAlign w:val="center"/>
          </w:tcPr>
          <w:p w14:paraId="346A614A"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-56,8</w:t>
            </w:r>
          </w:p>
        </w:tc>
        <w:tc>
          <w:tcPr>
            <w:tcW w:w="773" w:type="dxa"/>
            <w:vAlign w:val="center"/>
          </w:tcPr>
          <w:p w14:paraId="70233057"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18,2</w:t>
            </w:r>
          </w:p>
        </w:tc>
        <w:tc>
          <w:tcPr>
            <w:tcW w:w="807" w:type="dxa"/>
            <w:vAlign w:val="center"/>
          </w:tcPr>
          <w:p w14:paraId="11027F5B"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w:t>
            </w:r>
            <w:r w:rsidRPr="00D1418E">
              <w:rPr>
                <w:rFonts w:eastAsia="Times New Roman" w:cs="Times New Roman"/>
                <w:color w:val="000000" w:themeColor="text1"/>
                <w:sz w:val="22"/>
                <w:lang w:eastAsia="lv-LV"/>
              </w:rPr>
              <w:t>203,1</w:t>
            </w:r>
          </w:p>
        </w:tc>
        <w:tc>
          <w:tcPr>
            <w:tcW w:w="739" w:type="dxa"/>
            <w:vAlign w:val="center"/>
          </w:tcPr>
          <w:p w14:paraId="27DC8261"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-56,6</w:t>
            </w:r>
          </w:p>
        </w:tc>
        <w:tc>
          <w:tcPr>
            <w:tcW w:w="773" w:type="dxa"/>
            <w:vAlign w:val="center"/>
          </w:tcPr>
          <w:p w14:paraId="51827F2E"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3,3</w:t>
            </w:r>
          </w:p>
        </w:tc>
        <w:tc>
          <w:tcPr>
            <w:tcW w:w="773" w:type="dxa"/>
            <w:vAlign w:val="center"/>
          </w:tcPr>
          <w:p w14:paraId="1655ED8B" w14:textId="0B4D07E9"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7,1</w:t>
            </w:r>
          </w:p>
        </w:tc>
        <w:tc>
          <w:tcPr>
            <w:tcW w:w="773" w:type="dxa"/>
            <w:vAlign w:val="center"/>
          </w:tcPr>
          <w:p w14:paraId="0E182236" w14:textId="5C460ADB" w:rsidR="00874341" w:rsidRPr="00D1418E" w:rsidRDefault="00874341" w:rsidP="00DC3E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4,2</w:t>
            </w:r>
          </w:p>
        </w:tc>
        <w:tc>
          <w:tcPr>
            <w:tcW w:w="773" w:type="dxa"/>
            <w:vAlign w:val="center"/>
          </w:tcPr>
          <w:p w14:paraId="5C136C1B" w14:textId="08B99652" w:rsidR="00874341" w:rsidRPr="00D1418E" w:rsidRDefault="009F7C86" w:rsidP="00656D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-11,1</w:t>
            </w:r>
          </w:p>
        </w:tc>
      </w:tr>
      <w:tr w:rsidR="003001A1" w:rsidRPr="00FB6BFB" w14:paraId="606DAC29" w14:textId="70272FF5" w:rsidTr="00497710">
        <w:trPr>
          <w:trHeight w:val="315"/>
          <w:jc w:val="center"/>
        </w:trPr>
        <w:tc>
          <w:tcPr>
            <w:cnfStyle w:val="001000000000" w:firstRow="0" w:lastRow="0" w:firstColumn="1" w:lastColumn="0" w:oddVBand="0" w:evenVBand="0" w:oddHBand="0" w:evenHBand="0" w:firstRowFirstColumn="0" w:firstRowLastColumn="0" w:lastRowFirstColumn="0" w:lastRowLastColumn="0"/>
            <w:tcW w:w="2189" w:type="dxa"/>
            <w:vAlign w:val="center"/>
          </w:tcPr>
          <w:p w14:paraId="3BFCEC16" w14:textId="77777777" w:rsidR="00874341" w:rsidRPr="00D1418E" w:rsidRDefault="00874341" w:rsidP="00C906CF">
            <w:pPr>
              <w:jc w:val="right"/>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lastRenderedPageBreak/>
              <w:t>t.sk. EPT bilance</w:t>
            </w:r>
          </w:p>
        </w:tc>
        <w:tc>
          <w:tcPr>
            <w:tcW w:w="774" w:type="dxa"/>
            <w:vAlign w:val="center"/>
          </w:tcPr>
          <w:p w14:paraId="70F9EBDE"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w:t>
            </w:r>
          </w:p>
        </w:tc>
        <w:tc>
          <w:tcPr>
            <w:tcW w:w="774" w:type="dxa"/>
            <w:vAlign w:val="center"/>
          </w:tcPr>
          <w:p w14:paraId="3EDAA8B9"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-63,3</w:t>
            </w:r>
          </w:p>
        </w:tc>
        <w:tc>
          <w:tcPr>
            <w:tcW w:w="774" w:type="dxa"/>
            <w:vAlign w:val="center"/>
          </w:tcPr>
          <w:p w14:paraId="65878B76"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-32,8</w:t>
            </w:r>
          </w:p>
        </w:tc>
        <w:tc>
          <w:tcPr>
            <w:tcW w:w="773" w:type="dxa"/>
            <w:vAlign w:val="center"/>
          </w:tcPr>
          <w:p w14:paraId="1BFE07EF"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-1,1</w:t>
            </w:r>
          </w:p>
        </w:tc>
        <w:tc>
          <w:tcPr>
            <w:tcW w:w="807" w:type="dxa"/>
            <w:vAlign w:val="center"/>
          </w:tcPr>
          <w:p w14:paraId="7B831C09" w14:textId="77777777" w:rsidR="00874341" w:rsidRPr="00D1418E" w:rsidRDefault="00874341" w:rsidP="00C906CF">
            <w:pPr>
              <w:ind w:right="-55" w:hanging="34"/>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-162,2</w:t>
            </w:r>
          </w:p>
        </w:tc>
        <w:tc>
          <w:tcPr>
            <w:tcW w:w="739" w:type="dxa"/>
            <w:vAlign w:val="center"/>
          </w:tcPr>
          <w:p w14:paraId="6FD778A8"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+8,9</w:t>
            </w:r>
          </w:p>
        </w:tc>
        <w:tc>
          <w:tcPr>
            <w:tcW w:w="773" w:type="dxa"/>
            <w:vAlign w:val="center"/>
          </w:tcPr>
          <w:p w14:paraId="383CBABF" w14:textId="25353B1B"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-24,4</w:t>
            </w:r>
          </w:p>
        </w:tc>
        <w:tc>
          <w:tcPr>
            <w:tcW w:w="773" w:type="dxa"/>
            <w:vAlign w:val="center"/>
          </w:tcPr>
          <w:p w14:paraId="0CD4F2A7"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-26,3</w:t>
            </w:r>
          </w:p>
        </w:tc>
        <w:tc>
          <w:tcPr>
            <w:tcW w:w="773" w:type="dxa"/>
            <w:vAlign w:val="center"/>
          </w:tcPr>
          <w:p w14:paraId="480658CE" w14:textId="7FDC60B6" w:rsidR="00874341" w:rsidRPr="00D1418E" w:rsidRDefault="00874341" w:rsidP="00DC3ED5">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+16,7</w:t>
            </w:r>
          </w:p>
        </w:tc>
        <w:tc>
          <w:tcPr>
            <w:tcW w:w="773" w:type="dxa"/>
            <w:vAlign w:val="center"/>
          </w:tcPr>
          <w:p w14:paraId="2A67B647" w14:textId="53E48E3E" w:rsidR="00874341" w:rsidRPr="00D1418E" w:rsidRDefault="009F7C86" w:rsidP="00656D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+12,7</w:t>
            </w:r>
          </w:p>
        </w:tc>
      </w:tr>
      <w:tr w:rsidR="003001A1" w:rsidRPr="00FB6BFB" w14:paraId="21E310D1" w14:textId="67C88766" w:rsidTr="0049771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89" w:type="dxa"/>
            <w:vAlign w:val="center"/>
          </w:tcPr>
          <w:p w14:paraId="5DE0A982" w14:textId="36826514" w:rsidR="00874341" w:rsidRPr="00D1418E" w:rsidRDefault="00874341" w:rsidP="00C906CF">
            <w:pPr>
              <w:jc w:val="right"/>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EPT prognoze</w:t>
            </w:r>
          </w:p>
        </w:tc>
        <w:tc>
          <w:tcPr>
            <w:tcW w:w="774" w:type="dxa"/>
            <w:vAlign w:val="center"/>
          </w:tcPr>
          <w:p w14:paraId="0ED3DBDD" w14:textId="07A64556"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70A65585" w14:textId="4B6DCADC"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382BBDE9" w14:textId="38C2AD81"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3" w:type="dxa"/>
            <w:vAlign w:val="center"/>
          </w:tcPr>
          <w:p w14:paraId="01217162" w14:textId="09DEA5A6"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807" w:type="dxa"/>
            <w:vAlign w:val="center"/>
          </w:tcPr>
          <w:p w14:paraId="7B0778FE" w14:textId="771AE5A5" w:rsidR="00874341" w:rsidRPr="00D1418E" w:rsidRDefault="00874341" w:rsidP="0058124B">
            <w:pPr>
              <w:ind w:right="-55" w:hanging="34"/>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39" w:type="dxa"/>
            <w:vAlign w:val="center"/>
          </w:tcPr>
          <w:p w14:paraId="68B9918C" w14:textId="6B23A49C"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3" w:type="dxa"/>
            <w:vAlign w:val="center"/>
          </w:tcPr>
          <w:p w14:paraId="3211952E" w14:textId="4C096625"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r w:rsidRPr="00D1418E">
              <w:rPr>
                <w:rFonts w:cs="Times New Roman"/>
                <w:color w:val="000000" w:themeColor="text1"/>
                <w:sz w:val="22"/>
              </w:rPr>
              <w:t>27,1</w:t>
            </w:r>
          </w:p>
        </w:tc>
        <w:tc>
          <w:tcPr>
            <w:tcW w:w="773" w:type="dxa"/>
            <w:vAlign w:val="center"/>
          </w:tcPr>
          <w:p w14:paraId="6794E013" w14:textId="1AA1A14B"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-14,1</w:t>
            </w:r>
          </w:p>
        </w:tc>
        <w:tc>
          <w:tcPr>
            <w:tcW w:w="773" w:type="dxa"/>
            <w:vAlign w:val="center"/>
          </w:tcPr>
          <w:p w14:paraId="556514FD" w14:textId="6628D3EE" w:rsidR="00874341" w:rsidRPr="00D1418E" w:rsidRDefault="00874341" w:rsidP="00DC3ED5">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r w:rsidRPr="00D1418E">
              <w:rPr>
                <w:rFonts w:cs="Times New Roman"/>
                <w:color w:val="000000" w:themeColor="text1"/>
                <w:sz w:val="22"/>
              </w:rPr>
              <w:t>24,5</w:t>
            </w:r>
          </w:p>
        </w:tc>
        <w:tc>
          <w:tcPr>
            <w:tcW w:w="773" w:type="dxa"/>
            <w:vAlign w:val="center"/>
          </w:tcPr>
          <w:p w14:paraId="12FF4A72" w14:textId="1828F97D" w:rsidR="009F7C86" w:rsidRPr="00D1418E" w:rsidRDefault="009F7C86" w:rsidP="00656D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+8,8</w:t>
            </w:r>
          </w:p>
        </w:tc>
      </w:tr>
      <w:tr w:rsidR="003001A1" w:rsidRPr="00FB6BFB" w14:paraId="4B5A21E3" w14:textId="66D7AA97" w:rsidTr="00497710">
        <w:trPr>
          <w:trHeight w:val="315"/>
          <w:jc w:val="center"/>
        </w:trPr>
        <w:tc>
          <w:tcPr>
            <w:cnfStyle w:val="001000000000" w:firstRow="0" w:lastRow="0" w:firstColumn="1" w:lastColumn="0" w:oddVBand="0" w:evenVBand="0" w:oddHBand="0" w:evenHBand="0" w:firstRowFirstColumn="0" w:firstRowLastColumn="0" w:lastRowFirstColumn="0" w:lastRowLastColumn="0"/>
            <w:tcW w:w="2189" w:type="dxa"/>
            <w:vAlign w:val="center"/>
          </w:tcPr>
          <w:p w14:paraId="3A9AF296" w14:textId="0CDD10BD" w:rsidR="00874341" w:rsidRPr="00D1418E" w:rsidRDefault="00874341" w:rsidP="00681C8B">
            <w:pPr>
              <w:jc w:val="right"/>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EPT novirzes no prognozēm</w:t>
            </w:r>
          </w:p>
        </w:tc>
        <w:tc>
          <w:tcPr>
            <w:tcW w:w="774" w:type="dxa"/>
            <w:vAlign w:val="center"/>
          </w:tcPr>
          <w:p w14:paraId="6559338A" w14:textId="4BE67DA0"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2A1B272D" w14:textId="15EF6BC9"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6EBAAE5B" w14:textId="686DDDBD"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3" w:type="dxa"/>
            <w:vAlign w:val="center"/>
          </w:tcPr>
          <w:p w14:paraId="0ABFBE11" w14:textId="2BD49D38"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807" w:type="dxa"/>
            <w:vAlign w:val="center"/>
          </w:tcPr>
          <w:p w14:paraId="78EB3FF4" w14:textId="2E0E0B35" w:rsidR="00874341" w:rsidRPr="00D1418E" w:rsidRDefault="00874341" w:rsidP="00681C8B">
            <w:pPr>
              <w:ind w:right="-55" w:hanging="34"/>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39" w:type="dxa"/>
            <w:vAlign w:val="center"/>
          </w:tcPr>
          <w:p w14:paraId="7401732A" w14:textId="61813D3A"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w:t>
            </w:r>
          </w:p>
        </w:tc>
        <w:tc>
          <w:tcPr>
            <w:tcW w:w="773" w:type="dxa"/>
            <w:vAlign w:val="center"/>
          </w:tcPr>
          <w:p w14:paraId="76AC1874" w14:textId="7454EAB8"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+2,7</w:t>
            </w:r>
          </w:p>
        </w:tc>
        <w:tc>
          <w:tcPr>
            <w:tcW w:w="773" w:type="dxa"/>
            <w:vAlign w:val="center"/>
          </w:tcPr>
          <w:p w14:paraId="43330045" w14:textId="6D85FA81"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asciiTheme="minorHAnsi" w:hAnsiTheme="minorHAnsi" w:cs="Times New Roman"/>
                <w:color w:val="000000" w:themeColor="text1"/>
                <w:sz w:val="22"/>
              </w:rPr>
              <w:t>-</w:t>
            </w:r>
            <w:r w:rsidRPr="00D1418E">
              <w:rPr>
                <w:rFonts w:cs="Times New Roman"/>
                <w:color w:val="000000" w:themeColor="text1"/>
                <w:sz w:val="22"/>
              </w:rPr>
              <w:t>12,2</w:t>
            </w:r>
          </w:p>
        </w:tc>
        <w:tc>
          <w:tcPr>
            <w:tcW w:w="773" w:type="dxa"/>
            <w:vAlign w:val="center"/>
          </w:tcPr>
          <w:p w14:paraId="169E20B9" w14:textId="1FB64917"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r w:rsidRPr="00D1418E">
              <w:rPr>
                <w:rFonts w:cs="Times New Roman"/>
                <w:color w:val="000000" w:themeColor="text1"/>
                <w:sz w:val="22"/>
              </w:rPr>
              <w:t>41,2</w:t>
            </w:r>
          </w:p>
        </w:tc>
        <w:tc>
          <w:tcPr>
            <w:tcW w:w="773" w:type="dxa"/>
            <w:vAlign w:val="center"/>
          </w:tcPr>
          <w:p w14:paraId="7AB83F04" w14:textId="77E4C69C" w:rsidR="00874341" w:rsidRPr="00D1418E" w:rsidRDefault="009F7C86" w:rsidP="00656D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+3,9</w:t>
            </w:r>
          </w:p>
        </w:tc>
      </w:tr>
    </w:tbl>
    <w:p w14:paraId="3D81573A" w14:textId="1FFA6E68" w:rsidR="005A07F4" w:rsidRDefault="005962CD" w:rsidP="002D428D">
      <w:pPr>
        <w:spacing w:after="0" w:line="240" w:lineRule="auto"/>
        <w:rPr>
          <w:rFonts w:ascii="Times New Roman" w:hAnsi="Times New Roman" w:cs="Times New Roman"/>
          <w:sz w:val="20"/>
          <w:szCs w:val="20"/>
        </w:rPr>
      </w:pPr>
      <w:bookmarkStart w:id="104" w:name="_Hlk140266235"/>
      <w:r w:rsidRPr="0037264A">
        <w:rPr>
          <w:rFonts w:ascii="Times New Roman" w:hAnsi="Times New Roman" w:cs="Times New Roman"/>
          <w:sz w:val="20"/>
          <w:szCs w:val="20"/>
        </w:rPr>
        <w:t>*</w:t>
      </w:r>
      <w:r w:rsidR="009F77D2" w:rsidRPr="00501181">
        <w:rPr>
          <w:rFonts w:ascii="Times New Roman" w:hAnsi="Times New Roman" w:cs="Times New Roman"/>
          <w:i/>
          <w:sz w:val="20"/>
          <w:szCs w:val="24"/>
        </w:rPr>
        <w:t xml:space="preserve"> </w:t>
      </w:r>
      <w:r w:rsidR="009F77D2" w:rsidRPr="00931EF1">
        <w:rPr>
          <w:rFonts w:ascii="Times New Roman" w:hAnsi="Times New Roman" w:cs="Times New Roman"/>
          <w:i/>
          <w:sz w:val="20"/>
          <w:szCs w:val="24"/>
        </w:rPr>
        <w:t xml:space="preserve">saskaņā ar </w:t>
      </w:r>
      <w:proofErr w:type="spellStart"/>
      <w:r w:rsidR="009F77D2">
        <w:rPr>
          <w:rFonts w:ascii="Times New Roman" w:hAnsi="Times New Roman" w:cs="Times New Roman"/>
          <w:i/>
          <w:sz w:val="20"/>
          <w:szCs w:val="24"/>
        </w:rPr>
        <w:t>Eurostat</w:t>
      </w:r>
      <w:proofErr w:type="spellEnd"/>
      <w:r w:rsidR="009F77D2">
        <w:rPr>
          <w:rFonts w:ascii="Times New Roman" w:hAnsi="Times New Roman" w:cs="Times New Roman"/>
          <w:i/>
          <w:sz w:val="20"/>
          <w:szCs w:val="24"/>
        </w:rPr>
        <w:t xml:space="preserve"> 2023.gada aprīļa vispārējās valdības budžeta notifikācijas datiem</w:t>
      </w:r>
      <w:r w:rsidR="009F77D2" w:rsidRPr="001054F7">
        <w:rPr>
          <w:rFonts w:ascii="Times New Roman" w:hAnsi="Times New Roman" w:cs="Times New Roman"/>
          <w:bCs/>
          <w:sz w:val="24"/>
          <w:szCs w:val="24"/>
          <w:highlight w:val="yellow"/>
        </w:rPr>
        <w:t xml:space="preserve"> </w:t>
      </w:r>
      <w:bookmarkEnd w:id="104"/>
    </w:p>
    <w:p w14:paraId="4623013A" w14:textId="77777777" w:rsidR="005962CD" w:rsidRPr="00B6282C" w:rsidRDefault="005962CD" w:rsidP="009F77D2">
      <w:pPr>
        <w:spacing w:after="0" w:line="240" w:lineRule="auto"/>
        <w:jc w:val="both"/>
        <w:rPr>
          <w:rFonts w:ascii="Times New Roman" w:hAnsi="Times New Roman" w:cs="Times New Roman"/>
          <w:sz w:val="24"/>
          <w:szCs w:val="24"/>
        </w:rPr>
      </w:pPr>
    </w:p>
    <w:p w14:paraId="2E605AC9" w14:textId="6CD6EC41" w:rsidR="003A3F2C" w:rsidRDefault="00E176D4" w:rsidP="005962CD">
      <w:pPr>
        <w:spacing w:after="0" w:line="240" w:lineRule="auto"/>
        <w:ind w:firstLine="720"/>
        <w:jc w:val="both"/>
        <w:rPr>
          <w:rFonts w:ascii="Times New Roman" w:eastAsiaTheme="minorHAnsi" w:hAnsi="Times New Roman"/>
          <w:sz w:val="24"/>
        </w:rPr>
      </w:pPr>
      <w:r>
        <w:rPr>
          <w:rFonts w:ascii="Times New Roman" w:eastAsiaTheme="minorHAnsi" w:hAnsi="Times New Roman"/>
          <w:sz w:val="24"/>
        </w:rPr>
        <w:t>T</w:t>
      </w:r>
      <w:r w:rsidR="005962CD" w:rsidRPr="00B6282C">
        <w:rPr>
          <w:rFonts w:ascii="Times New Roman" w:eastAsiaTheme="minorHAnsi" w:hAnsi="Times New Roman"/>
          <w:sz w:val="24"/>
        </w:rPr>
        <w:t xml:space="preserve">ikai no 2018.gada EPT ir iekļauts vispārējās valdības sektorā un tikai no šī brīža publisko finanšu aspektā nozīmi iegūst EPT prognozētās un faktiskās bilances atšķirības. </w:t>
      </w:r>
      <w:r>
        <w:rPr>
          <w:rFonts w:ascii="Times New Roman" w:eastAsiaTheme="minorHAnsi" w:hAnsi="Times New Roman"/>
          <w:sz w:val="24"/>
        </w:rPr>
        <w:t>Lai gan p</w:t>
      </w:r>
      <w:r w:rsidR="005962CD">
        <w:rPr>
          <w:rFonts w:ascii="Times New Roman" w:eastAsiaTheme="minorHAnsi" w:hAnsi="Times New Roman"/>
          <w:sz w:val="24"/>
        </w:rPr>
        <w:t xml:space="preserve">ašreizējā laika rinda ir </w:t>
      </w:r>
      <w:r>
        <w:rPr>
          <w:rFonts w:ascii="Times New Roman" w:eastAsiaTheme="minorHAnsi" w:hAnsi="Times New Roman"/>
          <w:sz w:val="24"/>
        </w:rPr>
        <w:t xml:space="preserve">salīdzinoši </w:t>
      </w:r>
      <w:r w:rsidR="005962CD">
        <w:rPr>
          <w:rFonts w:ascii="Times New Roman" w:eastAsiaTheme="minorHAnsi" w:hAnsi="Times New Roman"/>
          <w:sz w:val="24"/>
        </w:rPr>
        <w:t>īsa, lai varētu izdarīt pamatotus secinājum</w:t>
      </w:r>
      <w:r w:rsidR="001D138B">
        <w:rPr>
          <w:rFonts w:ascii="Times New Roman" w:eastAsiaTheme="minorHAnsi" w:hAnsi="Times New Roman"/>
          <w:sz w:val="24"/>
        </w:rPr>
        <w:t>u</w:t>
      </w:r>
      <w:r w:rsidR="005962CD">
        <w:rPr>
          <w:rFonts w:ascii="Times New Roman" w:eastAsiaTheme="minorHAnsi" w:hAnsi="Times New Roman"/>
          <w:sz w:val="24"/>
        </w:rPr>
        <w:t>s par minētā riska iestāšanos turpmākajos gados</w:t>
      </w:r>
      <w:r w:rsidR="007D6302">
        <w:rPr>
          <w:rFonts w:ascii="Times New Roman" w:eastAsiaTheme="minorHAnsi" w:hAnsi="Times New Roman"/>
          <w:sz w:val="24"/>
        </w:rPr>
        <w:t>,</w:t>
      </w:r>
      <w:r w:rsidR="00383B67">
        <w:rPr>
          <w:rFonts w:ascii="Times New Roman" w:eastAsiaTheme="minorHAnsi" w:hAnsi="Times New Roman"/>
          <w:sz w:val="24"/>
        </w:rPr>
        <w:t xml:space="preserve"> jo īpaši ņemot vērā OIK finansēšanas reformu,</w:t>
      </w:r>
      <w:r w:rsidR="007D6302">
        <w:rPr>
          <w:rFonts w:ascii="Times New Roman" w:eastAsiaTheme="minorHAnsi" w:hAnsi="Times New Roman"/>
          <w:sz w:val="24"/>
        </w:rPr>
        <w:t xml:space="preserve"> </w:t>
      </w:r>
      <w:r w:rsidR="000C5BDB">
        <w:rPr>
          <w:rFonts w:ascii="Times New Roman" w:eastAsiaTheme="minorHAnsi" w:hAnsi="Times New Roman"/>
          <w:sz w:val="24"/>
        </w:rPr>
        <w:t xml:space="preserve">pieejamie </w:t>
      </w:r>
      <w:r w:rsidR="00494742">
        <w:rPr>
          <w:rFonts w:ascii="Times New Roman" w:eastAsiaTheme="minorHAnsi" w:hAnsi="Times New Roman"/>
          <w:sz w:val="24"/>
        </w:rPr>
        <w:t>trīs</w:t>
      </w:r>
      <w:r w:rsidR="000C5BDB">
        <w:rPr>
          <w:rFonts w:ascii="Times New Roman" w:eastAsiaTheme="minorHAnsi" w:hAnsi="Times New Roman"/>
          <w:sz w:val="24"/>
        </w:rPr>
        <w:t xml:space="preserve"> gadu novērojumi par EPT novirzēm no prognozēm</w:t>
      </w:r>
      <w:r w:rsidR="005962CD">
        <w:rPr>
          <w:rFonts w:ascii="Times New Roman" w:eastAsiaTheme="minorHAnsi" w:hAnsi="Times New Roman"/>
          <w:sz w:val="24"/>
        </w:rPr>
        <w:t xml:space="preserve"> </w:t>
      </w:r>
      <w:r w:rsidR="000C5BDB">
        <w:rPr>
          <w:rFonts w:ascii="Times New Roman" w:eastAsiaTheme="minorHAnsi" w:hAnsi="Times New Roman"/>
          <w:sz w:val="24"/>
        </w:rPr>
        <w:t>ļauj izvirzīt hipotēzi, ka risks pēc savas būtības ir simetriska rakstura. Šāds secinājums sakrīt ar i</w:t>
      </w:r>
      <w:r w:rsidR="005962CD">
        <w:rPr>
          <w:rFonts w:ascii="Times New Roman" w:eastAsiaTheme="minorHAnsi" w:hAnsi="Times New Roman"/>
          <w:sz w:val="24"/>
        </w:rPr>
        <w:t>epriekšējās deklarācijās izvirzīt</w:t>
      </w:r>
      <w:r w:rsidR="000C5BDB">
        <w:rPr>
          <w:rFonts w:ascii="Times New Roman" w:eastAsiaTheme="minorHAnsi" w:hAnsi="Times New Roman"/>
          <w:sz w:val="24"/>
        </w:rPr>
        <w:t>o</w:t>
      </w:r>
      <w:r w:rsidR="005962CD">
        <w:rPr>
          <w:rFonts w:ascii="Times New Roman" w:eastAsiaTheme="minorHAnsi" w:hAnsi="Times New Roman"/>
          <w:sz w:val="24"/>
        </w:rPr>
        <w:t xml:space="preserve"> </w:t>
      </w:r>
      <w:r w:rsidR="000C5BDB">
        <w:rPr>
          <w:rFonts w:ascii="Times New Roman" w:eastAsiaTheme="minorHAnsi" w:hAnsi="Times New Roman"/>
          <w:sz w:val="24"/>
        </w:rPr>
        <w:t>apgalvojumu</w:t>
      </w:r>
      <w:r w:rsidR="005962CD">
        <w:rPr>
          <w:rFonts w:ascii="Times New Roman" w:eastAsiaTheme="minorHAnsi" w:hAnsi="Times New Roman"/>
          <w:sz w:val="24"/>
        </w:rPr>
        <w:t xml:space="preserve">, ka </w:t>
      </w:r>
      <w:r w:rsidR="005962CD" w:rsidRPr="00B6282C">
        <w:rPr>
          <w:rFonts w:ascii="Times New Roman" w:eastAsiaTheme="minorHAnsi" w:hAnsi="Times New Roman"/>
          <w:sz w:val="24"/>
        </w:rPr>
        <w:t xml:space="preserve">fiskālajam riskam būtu jābūt simetriskam, jo </w:t>
      </w:r>
      <w:r w:rsidR="005962CD">
        <w:rPr>
          <w:rFonts w:ascii="Times New Roman" w:eastAsiaTheme="minorHAnsi" w:hAnsi="Times New Roman"/>
          <w:sz w:val="24"/>
        </w:rPr>
        <w:t xml:space="preserve">ilgtermiņā </w:t>
      </w:r>
      <w:r w:rsidR="005962CD" w:rsidRPr="00B6282C">
        <w:rPr>
          <w:rFonts w:ascii="Times New Roman" w:eastAsiaTheme="minorHAnsi" w:hAnsi="Times New Roman"/>
          <w:sz w:val="24"/>
        </w:rPr>
        <w:t>cenu un elektroenerģijas lietotāju skaita prognozēm būtu jāģenerē simetrisk</w:t>
      </w:r>
      <w:r w:rsidR="005962CD">
        <w:rPr>
          <w:rFonts w:ascii="Times New Roman" w:eastAsiaTheme="minorHAnsi" w:hAnsi="Times New Roman"/>
          <w:sz w:val="24"/>
        </w:rPr>
        <w:t>a</w:t>
      </w:r>
      <w:r w:rsidR="005962CD" w:rsidRPr="00B6282C">
        <w:rPr>
          <w:rFonts w:ascii="Times New Roman" w:eastAsiaTheme="minorHAnsi" w:hAnsi="Times New Roman"/>
          <w:sz w:val="24"/>
        </w:rPr>
        <w:t xml:space="preserve">s </w:t>
      </w:r>
      <w:r w:rsidR="005962CD">
        <w:rPr>
          <w:rFonts w:ascii="Times New Roman" w:eastAsiaTheme="minorHAnsi" w:hAnsi="Times New Roman"/>
          <w:sz w:val="24"/>
        </w:rPr>
        <w:t>novirzes</w:t>
      </w:r>
      <w:r w:rsidR="005962CD" w:rsidRPr="00B6282C">
        <w:rPr>
          <w:rFonts w:ascii="Times New Roman" w:eastAsiaTheme="minorHAnsi" w:hAnsi="Times New Roman"/>
          <w:sz w:val="24"/>
        </w:rPr>
        <w:t>.</w:t>
      </w:r>
      <w:r w:rsidR="005962CD">
        <w:rPr>
          <w:rFonts w:ascii="Times New Roman" w:eastAsiaTheme="minorHAnsi" w:hAnsi="Times New Roman"/>
          <w:sz w:val="24"/>
        </w:rPr>
        <w:t xml:space="preserve"> </w:t>
      </w:r>
    </w:p>
    <w:p w14:paraId="1FBE1674" w14:textId="77777777" w:rsidR="007A58D6" w:rsidRDefault="007A58D6" w:rsidP="007A58D6">
      <w:pPr>
        <w:spacing w:after="0" w:line="240" w:lineRule="auto"/>
        <w:ind w:firstLine="720"/>
        <w:jc w:val="both"/>
        <w:rPr>
          <w:rFonts w:ascii="Times New Roman" w:eastAsiaTheme="minorHAnsi" w:hAnsi="Times New Roman"/>
          <w:sz w:val="24"/>
        </w:rPr>
      </w:pPr>
      <w:r>
        <w:rPr>
          <w:rFonts w:ascii="Times New Roman" w:hAnsi="Times New Roman"/>
          <w:sz w:val="24"/>
          <w:szCs w:val="24"/>
        </w:rPr>
        <w:t>Vienlaicīgi deklarācijas ietvaros ir jāaplūko izmaiņas, kas obligātā iepirkuma kontekstā varētu notikt saistībā ar atbalsta turpmāko uzskaiti AS “Latvenergo” TEC-1 un TEC-2.</w:t>
      </w:r>
    </w:p>
    <w:p w14:paraId="5A7032B6" w14:textId="0AB46A5F" w:rsidR="007A58D6" w:rsidRPr="002107F2" w:rsidRDefault="007A58D6" w:rsidP="00B63250">
      <w:pPr>
        <w:spacing w:after="0" w:line="240" w:lineRule="auto"/>
        <w:ind w:firstLine="720"/>
        <w:jc w:val="both"/>
        <w:rPr>
          <w:rFonts w:ascii="Times New Roman" w:hAnsi="Times New Roman"/>
          <w:sz w:val="24"/>
          <w:szCs w:val="24"/>
        </w:rPr>
      </w:pPr>
      <w:r w:rsidRPr="002107F2">
        <w:rPr>
          <w:rFonts w:ascii="Times New Roman" w:hAnsi="Times New Roman"/>
          <w:sz w:val="24"/>
          <w:szCs w:val="24"/>
        </w:rPr>
        <w:t xml:space="preserve">2017.gadā saskaņā ar </w:t>
      </w:r>
      <w:bookmarkStart w:id="105" w:name="_Hlk125246168"/>
      <w:r w:rsidR="00F0641B" w:rsidRPr="00F0641B">
        <w:rPr>
          <w:rFonts w:ascii="Times New Roman" w:hAnsi="Times New Roman"/>
          <w:sz w:val="24"/>
          <w:szCs w:val="24"/>
        </w:rPr>
        <w:t xml:space="preserve">2009.gada 10.marta </w:t>
      </w:r>
      <w:r w:rsidRPr="002107F2">
        <w:rPr>
          <w:rFonts w:ascii="Times New Roman" w:hAnsi="Times New Roman"/>
          <w:sz w:val="24"/>
          <w:szCs w:val="24"/>
        </w:rPr>
        <w:t>MK noteikumi</w:t>
      </w:r>
      <w:r w:rsidR="001C4E38">
        <w:rPr>
          <w:rFonts w:ascii="Times New Roman" w:hAnsi="Times New Roman"/>
          <w:sz w:val="24"/>
          <w:szCs w:val="24"/>
        </w:rPr>
        <w:t>em</w:t>
      </w:r>
      <w:r w:rsidRPr="002107F2">
        <w:rPr>
          <w:rFonts w:ascii="Times New Roman" w:hAnsi="Times New Roman"/>
          <w:sz w:val="24"/>
          <w:szCs w:val="24"/>
        </w:rPr>
        <w:t xml:space="preserve"> </w:t>
      </w:r>
      <w:r w:rsidR="00F0641B" w:rsidRPr="00F0641B">
        <w:rPr>
          <w:rFonts w:ascii="Times New Roman" w:hAnsi="Times New Roman"/>
          <w:sz w:val="24"/>
          <w:szCs w:val="24"/>
        </w:rPr>
        <w:t>Nr.221 “Noteikumi par elektroenerģijas ražošanu un cenu noteikšanu, ražojot elektroenerģiju koģenerācijā”</w:t>
      </w:r>
      <w:r w:rsidR="00FE7268">
        <w:rPr>
          <w:rFonts w:ascii="Times New Roman" w:hAnsi="Times New Roman"/>
          <w:sz w:val="24"/>
          <w:szCs w:val="24"/>
        </w:rPr>
        <w:t xml:space="preserve"> (turpmāk </w:t>
      </w:r>
      <w:r w:rsidR="00FE7268" w:rsidRPr="002107F2">
        <w:rPr>
          <w:rFonts w:ascii="Times New Roman" w:hAnsi="Times New Roman"/>
          <w:sz w:val="24"/>
          <w:szCs w:val="24"/>
        </w:rPr>
        <w:t>M</w:t>
      </w:r>
      <w:r w:rsidR="00FE7268">
        <w:rPr>
          <w:rFonts w:ascii="Times New Roman" w:hAnsi="Times New Roman"/>
          <w:sz w:val="24"/>
          <w:szCs w:val="24"/>
        </w:rPr>
        <w:t>K</w:t>
      </w:r>
      <w:r w:rsidR="00FE7268" w:rsidRPr="002107F2">
        <w:rPr>
          <w:rFonts w:ascii="Times New Roman" w:hAnsi="Times New Roman"/>
          <w:sz w:val="24"/>
          <w:szCs w:val="24"/>
        </w:rPr>
        <w:t xml:space="preserve"> noteikumi Nr.221</w:t>
      </w:r>
      <w:r w:rsidR="00FE7268">
        <w:rPr>
          <w:rFonts w:ascii="Times New Roman" w:hAnsi="Times New Roman"/>
          <w:sz w:val="24"/>
          <w:szCs w:val="24"/>
        </w:rPr>
        <w:t xml:space="preserve">) </w:t>
      </w:r>
      <w:bookmarkEnd w:id="105"/>
      <w:r w:rsidRPr="002107F2">
        <w:rPr>
          <w:rFonts w:ascii="Times New Roman" w:hAnsi="Times New Roman"/>
          <w:sz w:val="24"/>
          <w:szCs w:val="24"/>
        </w:rPr>
        <w:t xml:space="preserve">AS </w:t>
      </w:r>
      <w:r w:rsidR="00B63250">
        <w:rPr>
          <w:rFonts w:ascii="Times New Roman" w:hAnsi="Times New Roman"/>
          <w:sz w:val="24"/>
          <w:szCs w:val="24"/>
        </w:rPr>
        <w:t>“</w:t>
      </w:r>
      <w:r w:rsidRPr="002107F2">
        <w:rPr>
          <w:rFonts w:ascii="Times New Roman" w:hAnsi="Times New Roman"/>
          <w:sz w:val="24"/>
          <w:szCs w:val="24"/>
        </w:rPr>
        <w:t>Latvenergo</w:t>
      </w:r>
      <w:r w:rsidR="00B63250">
        <w:rPr>
          <w:rFonts w:ascii="Times New Roman" w:hAnsi="Times New Roman"/>
          <w:sz w:val="24"/>
          <w:szCs w:val="24"/>
        </w:rPr>
        <w:t>”</w:t>
      </w:r>
      <w:r w:rsidRPr="002107F2">
        <w:rPr>
          <w:rFonts w:ascii="Times New Roman" w:hAnsi="Times New Roman"/>
          <w:sz w:val="24"/>
          <w:szCs w:val="24"/>
        </w:rPr>
        <w:t xml:space="preserve"> pieteicās uz vienreizēju maksājumu, kas sastāv no diskontētām trim ceturtdaļām no atlikušajā atbalsta periodā saņemamās garantētās maksas par koģenerācijas elektrostacijā uzstādīto elektrisko jaudu (</w:t>
      </w:r>
      <w:r w:rsidR="001C4E38">
        <w:rPr>
          <w:rFonts w:ascii="Times New Roman" w:hAnsi="Times New Roman"/>
          <w:sz w:val="24"/>
          <w:szCs w:val="24"/>
        </w:rPr>
        <w:t xml:space="preserve">šīs deklarācijas </w:t>
      </w:r>
      <w:proofErr w:type="spellStart"/>
      <w:r w:rsidR="001C4E38">
        <w:rPr>
          <w:rFonts w:ascii="Times New Roman" w:hAnsi="Times New Roman"/>
          <w:sz w:val="24"/>
          <w:szCs w:val="24"/>
        </w:rPr>
        <w:t>apakšsadaļas</w:t>
      </w:r>
      <w:proofErr w:type="spellEnd"/>
      <w:r w:rsidR="001C4E38">
        <w:rPr>
          <w:rFonts w:ascii="Times New Roman" w:hAnsi="Times New Roman"/>
          <w:sz w:val="24"/>
          <w:szCs w:val="24"/>
        </w:rPr>
        <w:t xml:space="preserve"> ietvaros </w:t>
      </w:r>
      <w:r w:rsidRPr="002107F2">
        <w:rPr>
          <w:rFonts w:ascii="Times New Roman" w:hAnsi="Times New Roman"/>
          <w:sz w:val="24"/>
          <w:szCs w:val="24"/>
        </w:rPr>
        <w:t>turpmāk – vienreizējs maksājums). Saskaņā ar MK noteikumiem Nr.221 vienreizējo maksājumu veido divas daļas, par kur</w:t>
      </w:r>
      <w:r>
        <w:rPr>
          <w:rFonts w:ascii="Times New Roman" w:hAnsi="Times New Roman"/>
          <w:sz w:val="24"/>
          <w:szCs w:val="24"/>
        </w:rPr>
        <w:t>u</w:t>
      </w:r>
      <w:r w:rsidRPr="002107F2">
        <w:rPr>
          <w:rFonts w:ascii="Times New Roman" w:hAnsi="Times New Roman"/>
          <w:sz w:val="24"/>
          <w:szCs w:val="24"/>
        </w:rPr>
        <w:t xml:space="preserve"> apmēru lemj </w:t>
      </w:r>
      <w:r w:rsidR="00261D5B">
        <w:rPr>
          <w:rFonts w:ascii="Times New Roman" w:hAnsi="Times New Roman"/>
          <w:sz w:val="24"/>
          <w:szCs w:val="24"/>
        </w:rPr>
        <w:t>MK</w:t>
      </w:r>
      <w:r w:rsidRPr="002107F2">
        <w:rPr>
          <w:rFonts w:ascii="Times New Roman" w:hAnsi="Times New Roman"/>
          <w:sz w:val="24"/>
          <w:szCs w:val="24"/>
        </w:rPr>
        <w:t>. Pirmā daļa, kas nepārsniedz vienu trešdaļu no kopējā apmēra, tiek izmaksāta komersantam kā kompensācija izmaksas gadā</w:t>
      </w:r>
      <w:r>
        <w:rPr>
          <w:rFonts w:ascii="Times New Roman" w:hAnsi="Times New Roman"/>
          <w:sz w:val="24"/>
          <w:szCs w:val="24"/>
        </w:rPr>
        <w:t xml:space="preserve"> (t.i. “beznosacījuma daļa”)</w:t>
      </w:r>
      <w:r w:rsidRPr="002107F2">
        <w:rPr>
          <w:rFonts w:ascii="Times New Roman" w:hAnsi="Times New Roman"/>
          <w:sz w:val="24"/>
          <w:szCs w:val="24"/>
        </w:rPr>
        <w:t xml:space="preserve"> un komersanta grāmatvedības dokumentos ir grāmatojama kā attiecīgā gada ieņēmumi. Atlikusī daļa tiek izmaksāta kā avansa maksājums un komersanta grāmatvedībā ir atzīstama kā ieņēmumi proporcionāli saistību izpildei līdz atbalsta perioda beigām. Avansa maksājum</w:t>
      </w:r>
      <w:r>
        <w:rPr>
          <w:rFonts w:ascii="Times New Roman" w:hAnsi="Times New Roman"/>
          <w:sz w:val="24"/>
          <w:szCs w:val="24"/>
        </w:rPr>
        <w:t>a amortizācija</w:t>
      </w:r>
      <w:r w:rsidRPr="002107F2">
        <w:rPr>
          <w:rFonts w:ascii="Times New Roman" w:hAnsi="Times New Roman"/>
          <w:sz w:val="24"/>
          <w:szCs w:val="24"/>
        </w:rPr>
        <w:t xml:space="preserve"> veido ikgadēju ietekmi uz </w:t>
      </w:r>
      <w:r>
        <w:rPr>
          <w:rFonts w:ascii="Times New Roman" w:hAnsi="Times New Roman"/>
          <w:sz w:val="24"/>
          <w:szCs w:val="24"/>
        </w:rPr>
        <w:t xml:space="preserve">vispārējās valdības budžeta izdevumiem 24 milj. </w:t>
      </w:r>
      <w:proofErr w:type="spellStart"/>
      <w:r w:rsidRPr="002107F2">
        <w:rPr>
          <w:rFonts w:ascii="Times New Roman" w:hAnsi="Times New Roman"/>
          <w:i/>
          <w:iCs/>
          <w:sz w:val="24"/>
          <w:szCs w:val="24"/>
        </w:rPr>
        <w:t>euro</w:t>
      </w:r>
      <w:proofErr w:type="spellEnd"/>
      <w:r>
        <w:rPr>
          <w:rFonts w:ascii="Times New Roman" w:hAnsi="Times New Roman"/>
          <w:sz w:val="24"/>
          <w:szCs w:val="24"/>
        </w:rPr>
        <w:t xml:space="preserve"> apmērā (pirms 2018.gada avansa samazinājuma darījuma – 28,6 milj. </w:t>
      </w:r>
      <w:proofErr w:type="spellStart"/>
      <w:r w:rsidRPr="002107F2">
        <w:rPr>
          <w:rFonts w:ascii="Times New Roman" w:hAnsi="Times New Roman"/>
          <w:i/>
          <w:iCs/>
          <w:sz w:val="24"/>
          <w:szCs w:val="24"/>
        </w:rPr>
        <w:t>euro</w:t>
      </w:r>
      <w:proofErr w:type="spellEnd"/>
      <w:r>
        <w:rPr>
          <w:rFonts w:ascii="Times New Roman" w:hAnsi="Times New Roman"/>
          <w:sz w:val="24"/>
          <w:szCs w:val="24"/>
        </w:rPr>
        <w:t>), bet AS “Latvenergo” savā grāmatvedības uzskaitē tos atzīst par ikgadējiem ieņēmumiem.</w:t>
      </w:r>
    </w:p>
    <w:p w14:paraId="1D565067" w14:textId="73140ED6" w:rsidR="007A58D6" w:rsidRDefault="007A58D6" w:rsidP="007A58D6">
      <w:pPr>
        <w:spacing w:after="0" w:line="240" w:lineRule="auto"/>
        <w:ind w:firstLine="720"/>
        <w:jc w:val="both"/>
        <w:rPr>
          <w:rFonts w:ascii="Times New Roman" w:hAnsi="Times New Roman"/>
          <w:sz w:val="24"/>
          <w:szCs w:val="24"/>
        </w:rPr>
      </w:pPr>
      <w:r>
        <w:rPr>
          <w:rFonts w:ascii="Times New Roman" w:hAnsi="Times New Roman"/>
          <w:sz w:val="24"/>
          <w:szCs w:val="24"/>
        </w:rPr>
        <w:t xml:space="preserve">Savukārt nākamajā gadā pēc vienreizējā maksājuma darījuma īstenošanas, </w:t>
      </w:r>
      <w:r w:rsidR="00261D5B">
        <w:rPr>
          <w:rFonts w:ascii="Times New Roman" w:hAnsi="Times New Roman"/>
          <w:sz w:val="24"/>
          <w:szCs w:val="24"/>
        </w:rPr>
        <w:t>MK</w:t>
      </w:r>
      <w:r>
        <w:rPr>
          <w:rFonts w:ascii="Times New Roman" w:hAnsi="Times New Roman"/>
          <w:sz w:val="24"/>
          <w:szCs w:val="24"/>
        </w:rPr>
        <w:t xml:space="preserve"> pieņēma lēmumu</w:t>
      </w:r>
      <w:r w:rsidRPr="002107F2">
        <w:rPr>
          <w:rFonts w:ascii="Times New Roman" w:hAnsi="Times New Roman"/>
          <w:sz w:val="24"/>
          <w:szCs w:val="24"/>
        </w:rPr>
        <w:t>, ka 2018.gadā izdevumos jāattiecina papildu avanss 51</w:t>
      </w:r>
      <w:r>
        <w:rPr>
          <w:rFonts w:ascii="Times New Roman" w:hAnsi="Times New Roman"/>
          <w:sz w:val="24"/>
          <w:szCs w:val="24"/>
        </w:rPr>
        <w:t>,</w:t>
      </w:r>
      <w:r w:rsidRPr="002107F2">
        <w:rPr>
          <w:rFonts w:ascii="Times New Roman" w:hAnsi="Times New Roman"/>
          <w:sz w:val="24"/>
          <w:szCs w:val="24"/>
        </w:rPr>
        <w:t>7</w:t>
      </w:r>
      <w:r w:rsidR="00261D5B">
        <w:rPr>
          <w:rFonts w:ascii="Times New Roman" w:hAnsi="Times New Roman"/>
          <w:sz w:val="24"/>
          <w:szCs w:val="24"/>
        </w:rPr>
        <w:t xml:space="preserve"> milj. </w:t>
      </w:r>
      <w:proofErr w:type="spellStart"/>
      <w:r w:rsidR="00261D5B" w:rsidRPr="0058124B">
        <w:rPr>
          <w:rFonts w:ascii="Times New Roman" w:hAnsi="Times New Roman"/>
          <w:i/>
          <w:iCs/>
          <w:sz w:val="24"/>
          <w:szCs w:val="24"/>
        </w:rPr>
        <w:t>euro</w:t>
      </w:r>
      <w:proofErr w:type="spellEnd"/>
      <w:r w:rsidRPr="0058124B">
        <w:rPr>
          <w:rFonts w:ascii="Times New Roman" w:hAnsi="Times New Roman"/>
          <w:i/>
          <w:iCs/>
          <w:sz w:val="24"/>
          <w:szCs w:val="24"/>
        </w:rPr>
        <w:t xml:space="preserve"> </w:t>
      </w:r>
      <w:r w:rsidRPr="002107F2">
        <w:rPr>
          <w:rFonts w:ascii="Times New Roman" w:hAnsi="Times New Roman"/>
          <w:sz w:val="24"/>
          <w:szCs w:val="24"/>
        </w:rPr>
        <w:t xml:space="preserve">apmērā, proporcionāli šādā apmērā samazinot atlikušā avansa daļu līdz atbalsta perioda beigām (t.i. izmaksātā avansa, kuram ir noteikta nākotnes nosacījumu izpilde, daļas pārvēršana par beznosacījuma kompensāciju AS “Latvenergo” (proporcionāli samazinot avansu par laika posmu no 2019.gada 1.janvāra līdz 2028.gada 23.septembrim)). </w:t>
      </w:r>
    </w:p>
    <w:p w14:paraId="1357428F" w14:textId="745BEC93" w:rsidR="007A58D6" w:rsidRPr="00051102" w:rsidRDefault="007A58D6" w:rsidP="007A58D6">
      <w:pPr>
        <w:spacing w:after="0" w:line="240" w:lineRule="auto"/>
        <w:ind w:firstLine="720"/>
        <w:jc w:val="both"/>
        <w:rPr>
          <w:rFonts w:ascii="Times New Roman" w:hAnsi="Times New Roman"/>
          <w:sz w:val="24"/>
          <w:szCs w:val="24"/>
        </w:rPr>
      </w:pPr>
      <w:r w:rsidRPr="00F56613">
        <w:rPr>
          <w:rFonts w:ascii="Times New Roman" w:eastAsiaTheme="minorHAnsi" w:hAnsi="Times New Roman"/>
          <w:sz w:val="24"/>
        </w:rPr>
        <w:t xml:space="preserve">Kopš 2018.gada darījuma starp CSP un </w:t>
      </w:r>
      <w:proofErr w:type="spellStart"/>
      <w:r w:rsidRPr="00F56613">
        <w:rPr>
          <w:rFonts w:ascii="Times New Roman" w:eastAsiaTheme="minorHAnsi" w:hAnsi="Times New Roman"/>
          <w:i/>
          <w:iCs/>
          <w:sz w:val="24"/>
        </w:rPr>
        <w:t>Eurostat</w:t>
      </w:r>
      <w:proofErr w:type="spellEnd"/>
      <w:r w:rsidRPr="00F56613">
        <w:rPr>
          <w:rFonts w:ascii="Times New Roman" w:eastAsiaTheme="minorHAnsi" w:hAnsi="Times New Roman"/>
          <w:sz w:val="24"/>
        </w:rPr>
        <w:t xml:space="preserve"> notik</w:t>
      </w:r>
      <w:r w:rsidR="00051102">
        <w:rPr>
          <w:rFonts w:ascii="Times New Roman" w:eastAsiaTheme="minorHAnsi" w:hAnsi="Times New Roman"/>
          <w:sz w:val="24"/>
        </w:rPr>
        <w:t>a</w:t>
      </w:r>
      <w:r w:rsidRPr="00F56613">
        <w:rPr>
          <w:rFonts w:ascii="Times New Roman" w:eastAsiaTheme="minorHAnsi" w:hAnsi="Times New Roman"/>
          <w:sz w:val="24"/>
        </w:rPr>
        <w:t xml:space="preserve"> diskusijas par obligātā iepirkuma ietvaros īstenoto darījumu uzskaiti</w:t>
      </w:r>
      <w:r w:rsidR="00051102">
        <w:rPr>
          <w:rFonts w:ascii="Times New Roman" w:eastAsiaTheme="minorHAnsi" w:hAnsi="Times New Roman"/>
          <w:sz w:val="24"/>
        </w:rPr>
        <w:t xml:space="preserve">. </w:t>
      </w:r>
      <w:r w:rsidR="00051102" w:rsidRPr="00E61CE7">
        <w:rPr>
          <w:rFonts w:ascii="Times New Roman" w:eastAsiaTheme="minorHAnsi" w:hAnsi="Times New Roman"/>
          <w:sz w:val="24"/>
        </w:rPr>
        <w:t xml:space="preserve">2023.gada martā ES statistikas birojs </w:t>
      </w:r>
      <w:proofErr w:type="spellStart"/>
      <w:r w:rsidR="00051102" w:rsidRPr="00E61CE7">
        <w:rPr>
          <w:rFonts w:ascii="Times New Roman" w:eastAsiaTheme="minorHAnsi" w:hAnsi="Times New Roman"/>
          <w:sz w:val="24"/>
        </w:rPr>
        <w:t>Eurostat</w:t>
      </w:r>
      <w:proofErr w:type="spellEnd"/>
      <w:r w:rsidR="00051102" w:rsidRPr="00E61CE7">
        <w:rPr>
          <w:rFonts w:ascii="Times New Roman" w:eastAsiaTheme="minorHAnsi" w:hAnsi="Times New Roman"/>
          <w:sz w:val="24"/>
        </w:rPr>
        <w:t xml:space="preserve"> publicēja </w:t>
      </w:r>
      <w:proofErr w:type="spellStart"/>
      <w:r w:rsidR="00051102" w:rsidRPr="00E61CE7">
        <w:rPr>
          <w:rFonts w:ascii="Times New Roman" w:eastAsiaTheme="minorHAnsi" w:hAnsi="Times New Roman"/>
          <w:sz w:val="24"/>
        </w:rPr>
        <w:t>ex</w:t>
      </w:r>
      <w:proofErr w:type="spellEnd"/>
      <w:r w:rsidR="00051102" w:rsidRPr="00E61CE7">
        <w:rPr>
          <w:rFonts w:ascii="Times New Roman" w:eastAsiaTheme="minorHAnsi" w:hAnsi="Times New Roman"/>
          <w:sz w:val="24"/>
        </w:rPr>
        <w:t>-post konsultācijas materiālu attiecībā uz obligātā iepirkuma shēmas statistisko uzskaiti un tā ietvaros CSP tika ieteikts pārrēķināt AS “Latvenergo”</w:t>
      </w:r>
      <w:r w:rsidR="00051102">
        <w:rPr>
          <w:rFonts w:ascii="Times New Roman" w:eastAsiaTheme="minorHAnsi" w:hAnsi="Times New Roman"/>
          <w:sz w:val="24"/>
        </w:rPr>
        <w:t xml:space="preserve"> </w:t>
      </w:r>
      <w:r w:rsidR="00051102" w:rsidRPr="00E61CE7">
        <w:rPr>
          <w:rFonts w:ascii="Times New Roman" w:eastAsiaTheme="minorHAnsi" w:hAnsi="Times New Roman"/>
          <w:sz w:val="24"/>
        </w:rPr>
        <w:t>ikgadējā vienreizējā maksājuma amortizējamā avansa daļ</w:t>
      </w:r>
      <w:r w:rsidR="00051102">
        <w:rPr>
          <w:rFonts w:ascii="Times New Roman" w:eastAsiaTheme="minorHAnsi" w:hAnsi="Times New Roman"/>
          <w:sz w:val="24"/>
        </w:rPr>
        <w:t>u,</w:t>
      </w:r>
      <w:r w:rsidR="00051102" w:rsidRPr="00E61CE7">
        <w:rPr>
          <w:rFonts w:ascii="Times New Roman" w:hAnsi="Times New Roman"/>
          <w:sz w:val="24"/>
          <w:szCs w:val="24"/>
        </w:rPr>
        <w:t xml:space="preserve"> </w:t>
      </w:r>
      <w:r w:rsidR="00E04BBA" w:rsidRPr="00676237">
        <w:rPr>
          <w:rFonts w:ascii="Times New Roman" w:hAnsi="Times New Roman"/>
          <w:sz w:val="24"/>
          <w:szCs w:val="24"/>
        </w:rPr>
        <w:t xml:space="preserve">kā rezultātā tā </w:t>
      </w:r>
      <w:r w:rsidR="00051102" w:rsidRPr="00C01DD8">
        <w:rPr>
          <w:rFonts w:ascii="Times New Roman" w:hAnsi="Times New Roman"/>
          <w:sz w:val="24"/>
          <w:szCs w:val="24"/>
        </w:rPr>
        <w:t xml:space="preserve">varētu pieaugt par 18,3 milj. </w:t>
      </w:r>
      <w:proofErr w:type="spellStart"/>
      <w:r w:rsidR="00051102" w:rsidRPr="00C01DD8">
        <w:rPr>
          <w:rFonts w:ascii="Times New Roman" w:hAnsi="Times New Roman"/>
          <w:i/>
          <w:iCs/>
          <w:sz w:val="24"/>
          <w:szCs w:val="24"/>
        </w:rPr>
        <w:t>euro</w:t>
      </w:r>
      <w:proofErr w:type="spellEnd"/>
      <w:r w:rsidR="00051102" w:rsidRPr="00C01DD8">
        <w:rPr>
          <w:rFonts w:ascii="Times New Roman" w:hAnsi="Times New Roman"/>
          <w:sz w:val="24"/>
          <w:szCs w:val="24"/>
        </w:rPr>
        <w:t xml:space="preserve"> līdz atbalsta perioda beigām</w:t>
      </w:r>
      <w:r w:rsidR="00051102" w:rsidRPr="00676237">
        <w:rPr>
          <w:rFonts w:ascii="Times New Roman" w:hAnsi="Times New Roman"/>
          <w:sz w:val="24"/>
          <w:szCs w:val="24"/>
        </w:rPr>
        <w:t>.</w:t>
      </w:r>
      <w:r w:rsidR="00051102" w:rsidRPr="00E61CE7">
        <w:rPr>
          <w:rFonts w:ascii="Times New Roman" w:eastAsiaTheme="minorHAnsi" w:hAnsi="Times New Roman"/>
          <w:sz w:val="24"/>
        </w:rPr>
        <w:t xml:space="preserve"> </w:t>
      </w:r>
      <w:r w:rsidR="00051102" w:rsidRPr="00705BC0">
        <w:rPr>
          <w:rFonts w:ascii="Times New Roman" w:hAnsi="Times New Roman"/>
          <w:sz w:val="24"/>
          <w:szCs w:val="24"/>
        </w:rPr>
        <w:t>Vienlaicīgi izmaiņas skar</w:t>
      </w:r>
      <w:r w:rsidR="00051102">
        <w:rPr>
          <w:rFonts w:ascii="Times New Roman" w:hAnsi="Times New Roman"/>
          <w:sz w:val="24"/>
          <w:szCs w:val="24"/>
        </w:rPr>
        <w:t>s arī</w:t>
      </w:r>
      <w:r w:rsidR="00051102" w:rsidRPr="00705BC0">
        <w:rPr>
          <w:rFonts w:ascii="Times New Roman" w:hAnsi="Times New Roman"/>
          <w:sz w:val="24"/>
          <w:szCs w:val="24"/>
        </w:rPr>
        <w:t xml:space="preserve"> AS “Latvenergo” </w:t>
      </w:r>
      <w:proofErr w:type="spellStart"/>
      <w:r w:rsidR="00051102" w:rsidRPr="00705BC0">
        <w:rPr>
          <w:rFonts w:ascii="Times New Roman" w:hAnsi="Times New Roman"/>
          <w:sz w:val="24"/>
          <w:szCs w:val="24"/>
        </w:rPr>
        <w:t>superdividenžu</w:t>
      </w:r>
      <w:proofErr w:type="spellEnd"/>
      <w:r w:rsidR="00051102" w:rsidRPr="00705BC0">
        <w:rPr>
          <w:rFonts w:ascii="Times New Roman" w:hAnsi="Times New Roman"/>
          <w:sz w:val="24"/>
          <w:szCs w:val="24"/>
        </w:rPr>
        <w:t xml:space="preserve"> aprēķina algoritmu.</w:t>
      </w:r>
      <w:r w:rsidR="00051102">
        <w:rPr>
          <w:rFonts w:ascii="Times New Roman" w:hAnsi="Times New Roman"/>
          <w:sz w:val="24"/>
          <w:szCs w:val="24"/>
        </w:rPr>
        <w:t xml:space="preserve"> </w:t>
      </w:r>
      <w:r w:rsidR="00051102" w:rsidRPr="00E61CE7">
        <w:rPr>
          <w:rFonts w:ascii="Times New Roman" w:eastAsiaTheme="minorHAnsi" w:hAnsi="Times New Roman"/>
          <w:sz w:val="24"/>
        </w:rPr>
        <w:t xml:space="preserve">2023.gada aprīļa vispārējās valdības budžeta deficīta un parāda notifikācijas laikā CSP veica </w:t>
      </w:r>
      <w:proofErr w:type="spellStart"/>
      <w:r w:rsidR="00051102" w:rsidRPr="0020713B">
        <w:rPr>
          <w:rFonts w:ascii="Times New Roman" w:eastAsiaTheme="minorHAnsi" w:hAnsi="Times New Roman"/>
          <w:i/>
          <w:iCs/>
          <w:sz w:val="24"/>
        </w:rPr>
        <w:t>ad</w:t>
      </w:r>
      <w:proofErr w:type="spellEnd"/>
      <w:r w:rsidR="00051102" w:rsidRPr="0020713B">
        <w:rPr>
          <w:rFonts w:ascii="Times New Roman" w:eastAsiaTheme="minorHAnsi" w:hAnsi="Times New Roman"/>
          <w:i/>
          <w:iCs/>
          <w:sz w:val="24"/>
        </w:rPr>
        <w:t xml:space="preserve"> </w:t>
      </w:r>
      <w:proofErr w:type="spellStart"/>
      <w:r w:rsidR="00051102" w:rsidRPr="0020713B">
        <w:rPr>
          <w:rFonts w:ascii="Times New Roman" w:eastAsiaTheme="minorHAnsi" w:hAnsi="Times New Roman"/>
          <w:i/>
          <w:iCs/>
          <w:sz w:val="24"/>
        </w:rPr>
        <w:t>hoc</w:t>
      </w:r>
      <w:proofErr w:type="spellEnd"/>
      <w:r w:rsidR="00051102" w:rsidRPr="00E61CE7">
        <w:rPr>
          <w:rFonts w:ascii="Times New Roman" w:eastAsiaTheme="minorHAnsi" w:hAnsi="Times New Roman"/>
          <w:sz w:val="24"/>
        </w:rPr>
        <w:t xml:space="preserve"> korekciju, kas apvieno gan izmaiņas </w:t>
      </w:r>
      <w:bookmarkStart w:id="106" w:name="_Hlk141859288"/>
      <w:r w:rsidR="00051102" w:rsidRPr="00E61CE7">
        <w:rPr>
          <w:rFonts w:ascii="Times New Roman" w:eastAsiaTheme="minorHAnsi" w:hAnsi="Times New Roman"/>
          <w:sz w:val="24"/>
        </w:rPr>
        <w:t>obligātā iepirkuma shēmas uzskaitē</w:t>
      </w:r>
      <w:bookmarkEnd w:id="106"/>
      <w:r w:rsidR="00051102" w:rsidRPr="00E61CE7">
        <w:rPr>
          <w:rFonts w:ascii="Times New Roman" w:eastAsiaTheme="minorHAnsi" w:hAnsi="Times New Roman"/>
          <w:sz w:val="24"/>
        </w:rPr>
        <w:t xml:space="preserve">, gan izmaiņas </w:t>
      </w:r>
      <w:proofErr w:type="spellStart"/>
      <w:r w:rsidR="00051102" w:rsidRPr="00E61CE7">
        <w:rPr>
          <w:rFonts w:ascii="Times New Roman" w:eastAsiaTheme="minorHAnsi" w:hAnsi="Times New Roman"/>
          <w:sz w:val="24"/>
        </w:rPr>
        <w:t>superdividenžu</w:t>
      </w:r>
      <w:proofErr w:type="spellEnd"/>
      <w:r w:rsidR="00051102" w:rsidRPr="00E61CE7">
        <w:rPr>
          <w:rFonts w:ascii="Times New Roman" w:eastAsiaTheme="minorHAnsi" w:hAnsi="Times New Roman"/>
          <w:sz w:val="24"/>
        </w:rPr>
        <w:t xml:space="preserve"> apmēra uzskaitē. Paredzams, ka 2023.gada oktobra notifikācijas laikā </w:t>
      </w:r>
      <w:proofErr w:type="spellStart"/>
      <w:r w:rsidR="00051102" w:rsidRPr="0020713B">
        <w:rPr>
          <w:rFonts w:ascii="Times New Roman" w:eastAsiaTheme="minorHAnsi" w:hAnsi="Times New Roman"/>
          <w:i/>
          <w:iCs/>
          <w:sz w:val="24"/>
        </w:rPr>
        <w:t>ad</w:t>
      </w:r>
      <w:proofErr w:type="spellEnd"/>
      <w:r w:rsidR="00051102" w:rsidRPr="0020713B">
        <w:rPr>
          <w:rFonts w:ascii="Times New Roman" w:eastAsiaTheme="minorHAnsi" w:hAnsi="Times New Roman"/>
          <w:i/>
          <w:iCs/>
          <w:sz w:val="24"/>
        </w:rPr>
        <w:t xml:space="preserve"> </w:t>
      </w:r>
      <w:proofErr w:type="spellStart"/>
      <w:r w:rsidR="00051102" w:rsidRPr="0020713B">
        <w:rPr>
          <w:rFonts w:ascii="Times New Roman" w:eastAsiaTheme="minorHAnsi" w:hAnsi="Times New Roman"/>
          <w:i/>
          <w:iCs/>
          <w:sz w:val="24"/>
        </w:rPr>
        <w:t>hoc</w:t>
      </w:r>
      <w:proofErr w:type="spellEnd"/>
      <w:r w:rsidR="00051102" w:rsidRPr="00E61CE7">
        <w:rPr>
          <w:rFonts w:ascii="Times New Roman" w:eastAsiaTheme="minorHAnsi" w:hAnsi="Times New Roman"/>
          <w:sz w:val="24"/>
        </w:rPr>
        <w:t xml:space="preserve"> korekcijas vietā tiks precizētas patstāvīgas korekcijas, t.sk. tiks mainīta </w:t>
      </w:r>
      <w:r w:rsidR="00051102" w:rsidRPr="00B219F2">
        <w:rPr>
          <w:rFonts w:ascii="Times New Roman" w:eastAsiaTheme="minorHAnsi" w:hAnsi="Times New Roman"/>
          <w:sz w:val="24"/>
        </w:rPr>
        <w:t>obligātā iepirkuma shēmas uzskait</w:t>
      </w:r>
      <w:r w:rsidR="00051102">
        <w:rPr>
          <w:rFonts w:ascii="Times New Roman" w:eastAsiaTheme="minorHAnsi" w:hAnsi="Times New Roman"/>
          <w:sz w:val="24"/>
        </w:rPr>
        <w:t>e</w:t>
      </w:r>
      <w:r w:rsidR="00051102" w:rsidRPr="00B219F2">
        <w:rPr>
          <w:rFonts w:ascii="Times New Roman" w:eastAsiaTheme="minorHAnsi" w:hAnsi="Times New Roman"/>
          <w:sz w:val="24"/>
        </w:rPr>
        <w:t xml:space="preserve"> </w:t>
      </w:r>
      <w:r w:rsidR="00051102">
        <w:rPr>
          <w:rFonts w:ascii="Times New Roman" w:eastAsiaTheme="minorHAnsi" w:hAnsi="Times New Roman"/>
          <w:sz w:val="24"/>
        </w:rPr>
        <w:t xml:space="preserve">un valsts budžeta izdevumi samazināsies </w:t>
      </w:r>
      <w:r w:rsidR="00051102" w:rsidRPr="00E61CE7">
        <w:rPr>
          <w:rFonts w:ascii="Times New Roman" w:eastAsiaTheme="minorHAnsi" w:hAnsi="Times New Roman"/>
          <w:sz w:val="24"/>
        </w:rPr>
        <w:t xml:space="preserve">par </w:t>
      </w:r>
      <w:r w:rsidR="00051102">
        <w:rPr>
          <w:rFonts w:ascii="Times New Roman" w:eastAsiaTheme="minorHAnsi" w:hAnsi="Times New Roman"/>
          <w:sz w:val="24"/>
        </w:rPr>
        <w:t>98,7</w:t>
      </w:r>
      <w:r w:rsidR="00051102" w:rsidRPr="00E61CE7">
        <w:rPr>
          <w:rFonts w:ascii="Times New Roman" w:eastAsiaTheme="minorHAnsi" w:hAnsi="Times New Roman"/>
          <w:sz w:val="24"/>
        </w:rPr>
        <w:t xml:space="preserve"> milj. </w:t>
      </w:r>
      <w:proofErr w:type="spellStart"/>
      <w:r w:rsidR="00051102" w:rsidRPr="00C01DD8">
        <w:rPr>
          <w:rFonts w:ascii="Times New Roman" w:eastAsiaTheme="minorHAnsi" w:hAnsi="Times New Roman"/>
          <w:i/>
          <w:iCs/>
          <w:sz w:val="24"/>
        </w:rPr>
        <w:t>euro</w:t>
      </w:r>
      <w:proofErr w:type="spellEnd"/>
      <w:r w:rsidR="00051102" w:rsidRPr="00E61CE7">
        <w:rPr>
          <w:rFonts w:ascii="Times New Roman" w:eastAsiaTheme="minorHAnsi" w:hAnsi="Times New Roman"/>
          <w:sz w:val="24"/>
        </w:rPr>
        <w:t xml:space="preserve"> 201</w:t>
      </w:r>
      <w:r w:rsidR="00051102">
        <w:rPr>
          <w:rFonts w:ascii="Times New Roman" w:eastAsiaTheme="minorHAnsi" w:hAnsi="Times New Roman"/>
          <w:sz w:val="24"/>
        </w:rPr>
        <w:t>7</w:t>
      </w:r>
      <w:r w:rsidR="00051102" w:rsidRPr="00E61CE7">
        <w:rPr>
          <w:rFonts w:ascii="Times New Roman" w:eastAsiaTheme="minorHAnsi" w:hAnsi="Times New Roman"/>
          <w:sz w:val="24"/>
        </w:rPr>
        <w:t>.gadā</w:t>
      </w:r>
      <w:r w:rsidR="00051102">
        <w:rPr>
          <w:rFonts w:ascii="Times New Roman" w:eastAsiaTheme="minorHAnsi" w:hAnsi="Times New Roman"/>
          <w:sz w:val="24"/>
        </w:rPr>
        <w:t xml:space="preserve"> un</w:t>
      </w:r>
      <w:r w:rsidR="00051102" w:rsidRPr="00E61CE7">
        <w:rPr>
          <w:rFonts w:ascii="Times New Roman" w:eastAsiaTheme="minorHAnsi" w:hAnsi="Times New Roman"/>
          <w:sz w:val="24"/>
        </w:rPr>
        <w:t xml:space="preserve"> </w:t>
      </w:r>
      <w:r w:rsidR="00051102">
        <w:rPr>
          <w:rFonts w:ascii="Times New Roman" w:eastAsiaTheme="minorHAnsi" w:hAnsi="Times New Roman"/>
          <w:sz w:val="24"/>
        </w:rPr>
        <w:t>39,7</w:t>
      </w:r>
      <w:r w:rsidR="00051102" w:rsidRPr="00E61CE7">
        <w:rPr>
          <w:rFonts w:ascii="Times New Roman" w:eastAsiaTheme="minorHAnsi" w:hAnsi="Times New Roman"/>
          <w:sz w:val="24"/>
        </w:rPr>
        <w:t xml:space="preserve"> milj. </w:t>
      </w:r>
      <w:proofErr w:type="spellStart"/>
      <w:r w:rsidR="00051102" w:rsidRPr="00C01DD8">
        <w:rPr>
          <w:rFonts w:ascii="Times New Roman" w:eastAsiaTheme="minorHAnsi" w:hAnsi="Times New Roman"/>
          <w:i/>
          <w:iCs/>
          <w:sz w:val="24"/>
        </w:rPr>
        <w:t>euro</w:t>
      </w:r>
      <w:proofErr w:type="spellEnd"/>
      <w:r w:rsidR="00051102">
        <w:rPr>
          <w:rFonts w:ascii="Times New Roman" w:eastAsiaTheme="minorHAnsi" w:hAnsi="Times New Roman"/>
          <w:sz w:val="24"/>
        </w:rPr>
        <w:t xml:space="preserve"> 2018. gadā, bet palielināsies par 17,3 milj. </w:t>
      </w:r>
      <w:proofErr w:type="spellStart"/>
      <w:r w:rsidR="00051102" w:rsidRPr="00C01DD8">
        <w:rPr>
          <w:rFonts w:ascii="Times New Roman" w:eastAsiaTheme="minorHAnsi" w:hAnsi="Times New Roman"/>
          <w:i/>
          <w:iCs/>
          <w:sz w:val="24"/>
        </w:rPr>
        <w:t>euro</w:t>
      </w:r>
      <w:proofErr w:type="spellEnd"/>
      <w:r w:rsidR="00051102">
        <w:rPr>
          <w:rFonts w:ascii="Times New Roman" w:eastAsiaTheme="minorHAnsi" w:hAnsi="Times New Roman"/>
          <w:sz w:val="24"/>
        </w:rPr>
        <w:t xml:space="preserve"> </w:t>
      </w:r>
      <w:r w:rsidR="00051102" w:rsidRPr="00E61CE7">
        <w:rPr>
          <w:rFonts w:ascii="Times New Roman" w:eastAsiaTheme="minorHAnsi" w:hAnsi="Times New Roman"/>
          <w:sz w:val="24"/>
        </w:rPr>
        <w:t>ik gadu no 20</w:t>
      </w:r>
      <w:r w:rsidR="00051102">
        <w:rPr>
          <w:rFonts w:ascii="Times New Roman" w:eastAsiaTheme="minorHAnsi" w:hAnsi="Times New Roman"/>
          <w:sz w:val="24"/>
        </w:rPr>
        <w:t>19</w:t>
      </w:r>
      <w:r w:rsidR="00051102" w:rsidRPr="00E61CE7">
        <w:rPr>
          <w:rFonts w:ascii="Times New Roman" w:eastAsiaTheme="minorHAnsi" w:hAnsi="Times New Roman"/>
          <w:sz w:val="24"/>
        </w:rPr>
        <w:t>. līdz 2022.gadam.</w:t>
      </w:r>
      <w:r w:rsidRPr="00F56613">
        <w:rPr>
          <w:rFonts w:ascii="Times New Roman" w:eastAsiaTheme="minorHAnsi" w:hAnsi="Times New Roman"/>
          <w:sz w:val="24"/>
        </w:rPr>
        <w:t xml:space="preserve"> </w:t>
      </w:r>
    </w:p>
    <w:p w14:paraId="0A595D1B" w14:textId="656A4446" w:rsidR="00316EA5" w:rsidRPr="0020713B" w:rsidRDefault="00E67CF7" w:rsidP="00350733">
      <w:pPr>
        <w:spacing w:after="100" w:afterAutospacing="1" w:line="240" w:lineRule="auto"/>
        <w:ind w:firstLine="720"/>
        <w:jc w:val="both"/>
        <w:rPr>
          <w:rFonts w:ascii="Times New Roman" w:eastAsiaTheme="minorHAnsi" w:hAnsi="Times New Roman"/>
          <w:b/>
          <w:bCs/>
          <w:sz w:val="24"/>
        </w:rPr>
      </w:pPr>
      <w:r w:rsidRPr="00F56613">
        <w:rPr>
          <w:rFonts w:ascii="Times New Roman" w:hAnsi="Times New Roman"/>
          <w:sz w:val="24"/>
          <w:szCs w:val="24"/>
        </w:rPr>
        <w:t>Ņemot vērā</w:t>
      </w:r>
      <w:r w:rsidR="00171494" w:rsidRPr="00F56613">
        <w:rPr>
          <w:rFonts w:ascii="Times New Roman" w:hAnsi="Times New Roman"/>
          <w:sz w:val="24"/>
          <w:szCs w:val="24"/>
        </w:rPr>
        <w:t xml:space="preserve"> </w:t>
      </w:r>
      <w:proofErr w:type="spellStart"/>
      <w:r w:rsidR="00171494" w:rsidRPr="00F56613">
        <w:rPr>
          <w:rFonts w:ascii="Times New Roman" w:hAnsi="Times New Roman"/>
          <w:i/>
          <w:iCs/>
          <w:sz w:val="24"/>
          <w:szCs w:val="24"/>
        </w:rPr>
        <w:t>Eurostat</w:t>
      </w:r>
      <w:proofErr w:type="spellEnd"/>
      <w:r w:rsidR="00171494" w:rsidRPr="00F56613">
        <w:rPr>
          <w:rFonts w:ascii="Times New Roman" w:hAnsi="Times New Roman"/>
          <w:sz w:val="24"/>
          <w:szCs w:val="24"/>
        </w:rPr>
        <w:t xml:space="preserve"> oficiāl</w:t>
      </w:r>
      <w:r w:rsidR="00B92D00" w:rsidRPr="00F56613">
        <w:rPr>
          <w:rFonts w:ascii="Times New Roman" w:hAnsi="Times New Roman"/>
          <w:sz w:val="24"/>
          <w:szCs w:val="24"/>
        </w:rPr>
        <w:t>o</w:t>
      </w:r>
      <w:r w:rsidR="00171494" w:rsidRPr="00F56613">
        <w:rPr>
          <w:rFonts w:ascii="Times New Roman" w:hAnsi="Times New Roman"/>
          <w:sz w:val="24"/>
          <w:szCs w:val="24"/>
        </w:rPr>
        <w:t xml:space="preserve"> viedok</w:t>
      </w:r>
      <w:r w:rsidR="00B92D00" w:rsidRPr="00F56613">
        <w:rPr>
          <w:rFonts w:ascii="Times New Roman" w:hAnsi="Times New Roman"/>
          <w:sz w:val="24"/>
          <w:szCs w:val="24"/>
        </w:rPr>
        <w:t>li</w:t>
      </w:r>
      <w:r w:rsidRPr="00F56613">
        <w:rPr>
          <w:rFonts w:ascii="Times New Roman" w:hAnsi="Times New Roman"/>
          <w:sz w:val="24"/>
          <w:szCs w:val="24"/>
        </w:rPr>
        <w:t xml:space="preserve"> </w:t>
      </w:r>
      <w:r w:rsidR="00171494" w:rsidRPr="00F56613">
        <w:rPr>
          <w:rFonts w:ascii="Times New Roman" w:hAnsi="Times New Roman"/>
          <w:sz w:val="24"/>
          <w:szCs w:val="24"/>
        </w:rPr>
        <w:t>un tā ietekmi uz shēmas uzskaiti</w:t>
      </w:r>
      <w:r w:rsidR="00B92D00" w:rsidRPr="00F56613">
        <w:rPr>
          <w:rFonts w:ascii="Times New Roman" w:hAnsi="Times New Roman"/>
          <w:sz w:val="24"/>
          <w:szCs w:val="24"/>
        </w:rPr>
        <w:t xml:space="preserve"> </w:t>
      </w:r>
      <w:r w:rsidR="00E04BBA">
        <w:rPr>
          <w:rFonts w:ascii="Times New Roman" w:hAnsi="Times New Roman"/>
          <w:sz w:val="24"/>
          <w:szCs w:val="24"/>
        </w:rPr>
        <w:t>(</w:t>
      </w:r>
      <w:r w:rsidR="00E04BBA" w:rsidRPr="007F2F7E">
        <w:rPr>
          <w:rFonts w:ascii="Times New Roman" w:hAnsi="Times New Roman"/>
          <w:sz w:val="24"/>
          <w:szCs w:val="24"/>
        </w:rPr>
        <w:t>fiskālā ietekme ir iestrādāta budžeta ietvara fiskālajās prognozēs</w:t>
      </w:r>
      <w:r w:rsidR="00E04BBA">
        <w:rPr>
          <w:rFonts w:ascii="Times New Roman" w:hAnsi="Times New Roman"/>
          <w:sz w:val="24"/>
          <w:szCs w:val="24"/>
        </w:rPr>
        <w:t xml:space="preserve">) </w:t>
      </w:r>
      <w:r w:rsidR="00B92D00" w:rsidRPr="00F56613">
        <w:rPr>
          <w:rFonts w:ascii="Times New Roman" w:hAnsi="Times New Roman"/>
          <w:sz w:val="24"/>
          <w:szCs w:val="24"/>
        </w:rPr>
        <w:t xml:space="preserve">un </w:t>
      </w:r>
      <w:r w:rsidR="00316EA5" w:rsidRPr="00F56613">
        <w:rPr>
          <w:rFonts w:ascii="Times New Roman" w:hAnsi="Times New Roman"/>
          <w:sz w:val="24"/>
          <w:szCs w:val="24"/>
        </w:rPr>
        <w:t xml:space="preserve">ka obligātā iepirkuma ietvaros notiek pozitīvas norises, kas 2021.gadā nodrošināja būtiski labāku darbības izpildi, kā arī ievērojot AS “Latvenergo” </w:t>
      </w:r>
      <w:r w:rsidR="00316EA5" w:rsidRPr="00F56613">
        <w:rPr>
          <w:rFonts w:ascii="Times New Roman" w:hAnsi="Times New Roman"/>
          <w:sz w:val="24"/>
          <w:szCs w:val="24"/>
        </w:rPr>
        <w:lastRenderedPageBreak/>
        <w:t>darbības rezultātus par 2022.gad</w:t>
      </w:r>
      <w:r w:rsidR="00E04BBA">
        <w:rPr>
          <w:rFonts w:ascii="Times New Roman" w:hAnsi="Times New Roman"/>
          <w:sz w:val="24"/>
          <w:szCs w:val="24"/>
        </w:rPr>
        <w:t>u</w:t>
      </w:r>
      <w:r w:rsidR="00316EA5" w:rsidRPr="00F56613">
        <w:rPr>
          <w:rFonts w:ascii="Times New Roman" w:hAnsi="Times New Roman"/>
          <w:sz w:val="24"/>
          <w:szCs w:val="24"/>
        </w:rPr>
        <w:t xml:space="preserve"> (kas samazina </w:t>
      </w:r>
      <w:proofErr w:type="spellStart"/>
      <w:r w:rsidR="00316EA5" w:rsidRPr="00F56613">
        <w:rPr>
          <w:rFonts w:ascii="Times New Roman" w:hAnsi="Times New Roman"/>
          <w:sz w:val="24"/>
          <w:szCs w:val="24"/>
        </w:rPr>
        <w:t>superdividendes</w:t>
      </w:r>
      <w:proofErr w:type="spellEnd"/>
      <w:r w:rsidR="00316EA5" w:rsidRPr="00F56613">
        <w:rPr>
          <w:rFonts w:ascii="Times New Roman" w:hAnsi="Times New Roman"/>
          <w:sz w:val="24"/>
          <w:szCs w:val="24"/>
        </w:rPr>
        <w:t xml:space="preserve"> iestāšanās risku) un kopējo secinājumu par riska simetriskumu</w:t>
      </w:r>
      <w:r w:rsidR="00316EA5" w:rsidRPr="00F56613">
        <w:rPr>
          <w:rFonts w:ascii="Times New Roman" w:eastAsiaTheme="minorHAnsi" w:hAnsi="Times New Roman"/>
          <w:sz w:val="24"/>
        </w:rPr>
        <w:t xml:space="preserve">, dotajam riskam </w:t>
      </w:r>
      <w:r w:rsidR="00316EA5" w:rsidRPr="0020713B">
        <w:rPr>
          <w:rFonts w:ascii="Times New Roman" w:eastAsiaTheme="minorHAnsi" w:hAnsi="Times New Roman"/>
          <w:b/>
          <w:bCs/>
          <w:sz w:val="24"/>
        </w:rPr>
        <w:t>fiskālās nodrošinājumu rezerve netiek veidota.</w:t>
      </w:r>
    </w:p>
    <w:p w14:paraId="45D4C228" w14:textId="77777777" w:rsidR="001C210B" w:rsidRPr="0058124B" w:rsidRDefault="001C210B"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107" w:name="_Toc142388040"/>
      <w:r w:rsidRPr="0058124B">
        <w:rPr>
          <w:rFonts w:ascii="Times New Roman" w:hAnsi="Times New Roman" w:cs="Times New Roman"/>
          <w:bCs w:val="0"/>
          <w:sz w:val="24"/>
          <w:szCs w:val="24"/>
        </w:rPr>
        <w:t>Finanšu sektors</w:t>
      </w:r>
      <w:bookmarkEnd w:id="107"/>
    </w:p>
    <w:p w14:paraId="0E295C90"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Globālā finanšu krīze būtiski ietekmēja ES finanšu sistēmas stabilitāti un uzticēšanos tai, kā arī parādīja šādu notikumu negatīvos </w:t>
      </w:r>
      <w:proofErr w:type="spellStart"/>
      <w:r w:rsidRPr="00413C62">
        <w:rPr>
          <w:rFonts w:ascii="Times New Roman" w:hAnsi="Times New Roman"/>
          <w:sz w:val="24"/>
          <w:szCs w:val="24"/>
        </w:rPr>
        <w:t>pārneses</w:t>
      </w:r>
      <w:proofErr w:type="spellEnd"/>
      <w:r w:rsidRPr="00413C62">
        <w:rPr>
          <w:rFonts w:ascii="Times New Roman" w:hAnsi="Times New Roman"/>
          <w:sz w:val="24"/>
          <w:szCs w:val="24"/>
        </w:rPr>
        <w:t xml:space="preserve"> efektus uz publiskajām finansēm, kā rezultātā vairākām ES dalībvalstīm, tai skaitā Latvijai nācās lūgt finansiālo palīdzību starptautiskajiem partneriem. </w:t>
      </w:r>
    </w:p>
    <w:p w14:paraId="63D0C698"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Lai mazinātu iespējamu līdzīgu notikumu atkārtošanos nākotnē, bija nepieciešams veikt būtiskus ES līmeņa uzlabojumus banku darbības regulējumā un uzraudzībā, kā arī mazināt banku sektora un publiskā sektora savstarpējo atkarību. </w:t>
      </w:r>
    </w:p>
    <w:p w14:paraId="5B5F9D98"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Tādejādi ES līmenī ir izveidota Banku savienība – uzraudzības un noregulējuma sistēma ar mērķi nodrošināt, ka banku sektors ir drošs un ka kredītiestādes tiek noregulētas, neizmantojot nodokļu maksātāju naudu un radot pēc iespējas mazāku negatīvo ietekmi uz ekonomiku. </w:t>
      </w:r>
    </w:p>
    <w:p w14:paraId="7E2DAB07"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Viens no Banku savienības veidojošajiem elementiem ir </w:t>
      </w:r>
      <w:r w:rsidRPr="00413C62">
        <w:rPr>
          <w:rFonts w:ascii="Times New Roman" w:hAnsi="Times New Roman"/>
          <w:b/>
          <w:sz w:val="24"/>
          <w:szCs w:val="24"/>
        </w:rPr>
        <w:t>Vienotais noregulējuma mehānisms</w:t>
      </w:r>
      <w:r w:rsidRPr="00413C62">
        <w:rPr>
          <w:rFonts w:ascii="Times New Roman" w:hAnsi="Times New Roman"/>
          <w:sz w:val="24"/>
          <w:szCs w:val="24"/>
        </w:rPr>
        <w:t xml:space="preserve">, kas sastāv no Vienotā noregulējuma valdes un Vienotā noregulējuma fonda. Vienotā noregulējuma fonda mērķis ir nodrošināt papildu atbalstu finansiālās problēmās nonākušu banku reorganizācijai un plānveida noregulējumam, kad banku akcionāru un kreditoru dzēsto prasījumu apmērs nav pietiekams, lai novērstu tās maksātnespēju. Vienotais noregulējuma fonds ir izveidots un tā darbība pilnā apmērā notiks pēc pārejas perioda beigām. Pārejas perioda beigās tam ir jāsasniedz vismaz 1% no visu kredītiestāžu segto noguldījumu summas, t.i. </w:t>
      </w:r>
      <w:r>
        <w:rPr>
          <w:rFonts w:ascii="Times New Roman" w:hAnsi="Times New Roman"/>
          <w:sz w:val="24"/>
          <w:szCs w:val="24"/>
        </w:rPr>
        <w:t>vairāk kā</w:t>
      </w:r>
      <w:r w:rsidRPr="00413C62">
        <w:rPr>
          <w:rFonts w:ascii="Times New Roman" w:hAnsi="Times New Roman"/>
          <w:sz w:val="24"/>
          <w:szCs w:val="24"/>
        </w:rPr>
        <w:t xml:space="preserve"> 60 mljrd. </w:t>
      </w:r>
      <w:proofErr w:type="spellStart"/>
      <w:r w:rsidRPr="00413C62">
        <w:rPr>
          <w:rFonts w:ascii="Times New Roman" w:hAnsi="Times New Roman"/>
          <w:i/>
          <w:sz w:val="24"/>
          <w:szCs w:val="24"/>
        </w:rPr>
        <w:t>euro</w:t>
      </w:r>
      <w:proofErr w:type="spellEnd"/>
      <w:r w:rsidRPr="00413C62">
        <w:rPr>
          <w:rFonts w:ascii="Times New Roman" w:hAnsi="Times New Roman"/>
          <w:sz w:val="24"/>
          <w:szCs w:val="24"/>
        </w:rPr>
        <w:t>. Lai izvairītos no situācijas, kad kredītiestādes noregulējumam ir nepieciešami līdzekļi no Vienotā noregulējuma fonda, bet iemaksātie līdzekļi nav pietiekami, ir izveidots pagaidu mehānisms – aizdevums Vienotā noregulējuma valdei no valsts budžeta līdzekļiem. Līdz ar to, gadījumā, ja kāda no Latvijas būtiskajām kredītiestādēm nonāks finansiālās grūtībās un Vienotā noregulējuma valde lems, ka šai kredītiestādei ir jāpiemēro noregulējums, bet Vienotajā noregulējuma fondā nebūs pietiekami līdzekļi, tad iztrūkstošo finansējumu Vienotajai noregulējuma valdei aizdos Latvijas Republika. Vienotais noregulējuma fonds tam aizdotos līdzekļus atmaksās, līdz ar to šis aizdevums būs fiskāli neitrāls.</w:t>
      </w:r>
    </w:p>
    <w:p w14:paraId="39073171" w14:textId="4B742FE8" w:rsidR="001C210B" w:rsidRPr="0037264A" w:rsidRDefault="001C210B" w:rsidP="001C210B">
      <w:pPr>
        <w:pStyle w:val="ListParagraph"/>
        <w:shd w:val="clear" w:color="auto" w:fill="FFFFFF" w:themeFill="background1"/>
        <w:ind w:left="0" w:firstLine="720"/>
        <w:rPr>
          <w:rFonts w:ascii="Times New Roman" w:hAnsi="Times New Roman"/>
          <w:sz w:val="24"/>
          <w:szCs w:val="24"/>
        </w:rPr>
      </w:pPr>
      <w:r w:rsidRPr="0037264A">
        <w:rPr>
          <w:rFonts w:ascii="Times New Roman" w:hAnsi="Times New Roman"/>
          <w:sz w:val="24"/>
          <w:szCs w:val="24"/>
        </w:rPr>
        <w:t xml:space="preserve">Papildus tiek izveidots pastāvīgs mehānisms situācijai, kad Fondā iemaksātie līdzekļi nav pietiekami viena vai vairāku noregulējumu veikšanai – publiskā atbalsta instruments. 2018.gadā </w:t>
      </w:r>
      <w:proofErr w:type="spellStart"/>
      <w:r w:rsidRPr="0037264A">
        <w:rPr>
          <w:rFonts w:ascii="Times New Roman" w:hAnsi="Times New Roman"/>
          <w:i/>
          <w:sz w:val="24"/>
          <w:szCs w:val="24"/>
        </w:rPr>
        <w:t>Euro</w:t>
      </w:r>
      <w:proofErr w:type="spellEnd"/>
      <w:r w:rsidRPr="0037264A">
        <w:rPr>
          <w:rFonts w:ascii="Times New Roman" w:hAnsi="Times New Roman"/>
          <w:sz w:val="24"/>
          <w:szCs w:val="24"/>
        </w:rPr>
        <w:t xml:space="preserve"> samita sanāksmēs tika panākta vienošanās, ka publiskā atbalsta sniedzējs ir E</w:t>
      </w:r>
      <w:r w:rsidR="00302A5F">
        <w:rPr>
          <w:rFonts w:ascii="Times New Roman" w:hAnsi="Times New Roman"/>
          <w:sz w:val="24"/>
          <w:szCs w:val="24"/>
        </w:rPr>
        <w:t>iropas Stabilitātes mehānisms</w:t>
      </w:r>
      <w:r w:rsidRPr="0037264A">
        <w:rPr>
          <w:rFonts w:ascii="Times New Roman" w:hAnsi="Times New Roman"/>
          <w:sz w:val="24"/>
          <w:szCs w:val="24"/>
        </w:rPr>
        <w:t xml:space="preserve">, sniedzot </w:t>
      </w:r>
      <w:proofErr w:type="spellStart"/>
      <w:r w:rsidRPr="0037264A">
        <w:rPr>
          <w:rFonts w:ascii="Times New Roman" w:hAnsi="Times New Roman"/>
          <w:sz w:val="24"/>
          <w:szCs w:val="24"/>
        </w:rPr>
        <w:t>rekurentu</w:t>
      </w:r>
      <w:proofErr w:type="spellEnd"/>
      <w:r w:rsidRPr="0037264A">
        <w:rPr>
          <w:rStyle w:val="FootnoteReference"/>
          <w:rFonts w:ascii="Times New Roman" w:hAnsi="Times New Roman"/>
          <w:sz w:val="24"/>
          <w:szCs w:val="24"/>
        </w:rPr>
        <w:footnoteReference w:id="20"/>
      </w:r>
      <w:r w:rsidRPr="0037264A">
        <w:rPr>
          <w:rFonts w:ascii="Times New Roman" w:hAnsi="Times New Roman"/>
          <w:sz w:val="24"/>
          <w:szCs w:val="24"/>
        </w:rPr>
        <w:t xml:space="preserve"> kredītlīniju</w:t>
      </w:r>
      <w:r w:rsidRPr="0037264A">
        <w:t xml:space="preserve"> </w:t>
      </w:r>
      <w:r w:rsidRPr="0037264A">
        <w:rPr>
          <w:rFonts w:ascii="Times New Roman" w:hAnsi="Times New Roman"/>
          <w:sz w:val="24"/>
          <w:szCs w:val="24"/>
        </w:rPr>
        <w:t xml:space="preserve">Vienotajam noregulējuma fondam. </w:t>
      </w:r>
      <w:r>
        <w:rPr>
          <w:rFonts w:ascii="Times New Roman" w:hAnsi="Times New Roman"/>
          <w:sz w:val="24"/>
          <w:szCs w:val="24"/>
        </w:rPr>
        <w:t xml:space="preserve">Savukārt </w:t>
      </w:r>
      <w:proofErr w:type="spellStart"/>
      <w:r w:rsidRPr="00DD0BF5">
        <w:rPr>
          <w:rFonts w:ascii="Times New Roman" w:eastAsia="Times New Roman" w:hAnsi="Times New Roman"/>
          <w:i/>
          <w:color w:val="000000" w:themeColor="text1"/>
          <w:sz w:val="24"/>
          <w:szCs w:val="24"/>
          <w:lang w:eastAsia="lv-LV"/>
        </w:rPr>
        <w:t>Euro</w:t>
      </w:r>
      <w:proofErr w:type="spellEnd"/>
      <w:r w:rsidRPr="00DD0BF5">
        <w:rPr>
          <w:rFonts w:ascii="Times New Roman" w:eastAsia="Times New Roman" w:hAnsi="Times New Roman"/>
          <w:color w:val="000000" w:themeColor="text1"/>
          <w:sz w:val="24"/>
          <w:szCs w:val="24"/>
          <w:lang w:eastAsia="lv-LV"/>
        </w:rPr>
        <w:t xml:space="preserve"> grupas iekļaujošā formātā 2020.gada 30.novembra </w:t>
      </w:r>
      <w:r>
        <w:rPr>
          <w:rFonts w:ascii="Times New Roman" w:eastAsia="Times New Roman" w:hAnsi="Times New Roman"/>
          <w:color w:val="000000" w:themeColor="text1"/>
          <w:sz w:val="24"/>
          <w:szCs w:val="24"/>
          <w:lang w:eastAsia="lv-LV"/>
        </w:rPr>
        <w:t xml:space="preserve">sanāksmes laikā </w:t>
      </w:r>
      <w:r w:rsidRPr="00DD0BF5">
        <w:rPr>
          <w:rFonts w:ascii="Times New Roman" w:eastAsia="Times New Roman" w:hAnsi="Times New Roman"/>
          <w:color w:val="000000" w:themeColor="text1"/>
          <w:sz w:val="24"/>
          <w:szCs w:val="24"/>
          <w:lang w:eastAsia="lv-LV"/>
        </w:rPr>
        <w:t xml:space="preserve">finanšu ministri </w:t>
      </w:r>
      <w:r>
        <w:rPr>
          <w:rFonts w:ascii="Times New Roman" w:eastAsia="Times New Roman" w:hAnsi="Times New Roman"/>
          <w:color w:val="000000" w:themeColor="text1"/>
          <w:sz w:val="24"/>
          <w:szCs w:val="24"/>
          <w:lang w:eastAsia="lv-LV"/>
        </w:rPr>
        <w:t>vienojās</w:t>
      </w:r>
      <w:r w:rsidRPr="00DD0BF5">
        <w:rPr>
          <w:rFonts w:ascii="Times New Roman" w:eastAsia="Times New Roman" w:hAnsi="Times New Roman"/>
          <w:color w:val="000000" w:themeColor="text1"/>
          <w:sz w:val="24"/>
          <w:szCs w:val="24"/>
          <w:lang w:eastAsia="lv-LV"/>
        </w:rPr>
        <w:t xml:space="preserve"> par kopīgā atbalsta mehānisma agrīno ieviešanu ne vēlāk kā līdz 2022.gada sākumam.</w:t>
      </w:r>
      <w:r>
        <w:rPr>
          <w:rFonts w:ascii="Times New Roman" w:eastAsia="Times New Roman" w:hAnsi="Times New Roman"/>
          <w:color w:val="000000" w:themeColor="text1"/>
          <w:sz w:val="24"/>
          <w:szCs w:val="24"/>
          <w:lang w:eastAsia="lv-LV"/>
        </w:rPr>
        <w:t xml:space="preserve"> </w:t>
      </w:r>
      <w:r w:rsidR="00BB3173">
        <w:rPr>
          <w:rFonts w:ascii="Times New Roman" w:eastAsia="Times New Roman" w:hAnsi="Times New Roman"/>
          <w:color w:val="000000" w:themeColor="text1"/>
          <w:sz w:val="24"/>
          <w:szCs w:val="24"/>
          <w:lang w:eastAsia="lv-LV"/>
        </w:rPr>
        <w:t xml:space="preserve">Tomēr deklarācijas </w:t>
      </w:r>
      <w:r w:rsidR="002C6392">
        <w:rPr>
          <w:rFonts w:ascii="Times New Roman" w:eastAsia="Times New Roman" w:hAnsi="Times New Roman"/>
          <w:color w:val="000000" w:themeColor="text1"/>
          <w:sz w:val="24"/>
          <w:szCs w:val="24"/>
          <w:lang w:eastAsia="lv-LV"/>
        </w:rPr>
        <w:t>izstrādes</w:t>
      </w:r>
      <w:r w:rsidR="00BB3173">
        <w:rPr>
          <w:rFonts w:ascii="Times New Roman" w:eastAsia="Times New Roman" w:hAnsi="Times New Roman"/>
          <w:color w:val="000000" w:themeColor="text1"/>
          <w:sz w:val="24"/>
          <w:szCs w:val="24"/>
          <w:lang w:eastAsia="lv-LV"/>
        </w:rPr>
        <w:t xml:space="preserve"> laikā </w:t>
      </w:r>
      <w:r w:rsidR="00FF7D5A">
        <w:rPr>
          <w:rFonts w:ascii="Times New Roman" w:eastAsia="Times New Roman" w:hAnsi="Times New Roman"/>
          <w:color w:val="000000" w:themeColor="text1"/>
          <w:sz w:val="24"/>
          <w:szCs w:val="24"/>
          <w:lang w:eastAsia="lv-LV"/>
        </w:rPr>
        <w:t xml:space="preserve">tas </w:t>
      </w:r>
      <w:r w:rsidR="00212563">
        <w:rPr>
          <w:rFonts w:ascii="Times New Roman" w:eastAsia="Times New Roman" w:hAnsi="Times New Roman"/>
          <w:color w:val="000000" w:themeColor="text1"/>
          <w:sz w:val="24"/>
          <w:szCs w:val="24"/>
          <w:lang w:eastAsia="lv-LV"/>
        </w:rPr>
        <w:t xml:space="preserve">joprojām </w:t>
      </w:r>
      <w:r w:rsidR="00FF7D5A">
        <w:rPr>
          <w:rFonts w:ascii="Times New Roman" w:eastAsia="Times New Roman" w:hAnsi="Times New Roman"/>
          <w:color w:val="000000" w:themeColor="text1"/>
          <w:sz w:val="24"/>
          <w:szCs w:val="24"/>
          <w:lang w:eastAsia="lv-LV"/>
        </w:rPr>
        <w:t xml:space="preserve">nebija noticis, jo </w:t>
      </w:r>
      <w:r w:rsidR="00DD4445">
        <w:rPr>
          <w:rFonts w:ascii="Times New Roman" w:eastAsia="Times New Roman" w:hAnsi="Times New Roman"/>
          <w:color w:val="000000" w:themeColor="text1"/>
          <w:sz w:val="24"/>
          <w:szCs w:val="24"/>
          <w:lang w:eastAsia="lv-LV"/>
        </w:rPr>
        <w:t>viena</w:t>
      </w:r>
      <w:r w:rsidR="00BB3173">
        <w:rPr>
          <w:rFonts w:ascii="Times New Roman" w:eastAsia="Times New Roman" w:hAnsi="Times New Roman"/>
          <w:color w:val="000000" w:themeColor="text1"/>
          <w:sz w:val="24"/>
          <w:szCs w:val="24"/>
          <w:lang w:eastAsia="lv-LV"/>
        </w:rPr>
        <w:t xml:space="preserve"> valst</w:t>
      </w:r>
      <w:r w:rsidR="00DD4445">
        <w:rPr>
          <w:rFonts w:ascii="Times New Roman" w:eastAsia="Times New Roman" w:hAnsi="Times New Roman"/>
          <w:color w:val="000000" w:themeColor="text1"/>
          <w:sz w:val="24"/>
          <w:szCs w:val="24"/>
          <w:lang w:eastAsia="lv-LV"/>
        </w:rPr>
        <w:t>s</w:t>
      </w:r>
      <w:r w:rsidR="00BB3173">
        <w:rPr>
          <w:rFonts w:ascii="Times New Roman" w:eastAsia="Times New Roman" w:hAnsi="Times New Roman"/>
          <w:color w:val="000000" w:themeColor="text1"/>
          <w:sz w:val="24"/>
          <w:szCs w:val="24"/>
          <w:lang w:eastAsia="lv-LV"/>
        </w:rPr>
        <w:t xml:space="preserve"> nebija noslēgu</w:t>
      </w:r>
      <w:r w:rsidR="00DD4445">
        <w:rPr>
          <w:rFonts w:ascii="Times New Roman" w:eastAsia="Times New Roman" w:hAnsi="Times New Roman"/>
          <w:color w:val="000000" w:themeColor="text1"/>
          <w:sz w:val="24"/>
          <w:szCs w:val="24"/>
          <w:lang w:eastAsia="lv-LV"/>
        </w:rPr>
        <w:t>si</w:t>
      </w:r>
      <w:r w:rsidR="00BB3173">
        <w:rPr>
          <w:rFonts w:ascii="Times New Roman" w:eastAsia="Times New Roman" w:hAnsi="Times New Roman"/>
          <w:color w:val="000000" w:themeColor="text1"/>
          <w:sz w:val="24"/>
          <w:szCs w:val="24"/>
          <w:lang w:eastAsia="lv-LV"/>
        </w:rPr>
        <w:t xml:space="preserve"> līgumu ratifikācijas procesu</w:t>
      </w:r>
      <w:r w:rsidR="00DD4445">
        <w:rPr>
          <w:rFonts w:ascii="Times New Roman" w:eastAsia="Times New Roman" w:hAnsi="Times New Roman"/>
          <w:color w:val="000000" w:themeColor="text1"/>
          <w:sz w:val="24"/>
          <w:szCs w:val="24"/>
          <w:lang w:eastAsia="lv-LV"/>
        </w:rPr>
        <w:t>.</w:t>
      </w:r>
    </w:p>
    <w:p w14:paraId="6629E72A" w14:textId="1DE0991F" w:rsidR="00E04BBA" w:rsidRPr="00E04BBA" w:rsidRDefault="00E04BBA" w:rsidP="00E04BBA">
      <w:pPr>
        <w:spacing w:after="0" w:line="240" w:lineRule="auto"/>
        <w:ind w:firstLine="720"/>
        <w:jc w:val="both"/>
        <w:rPr>
          <w:rFonts w:ascii="Times New Roman" w:hAnsi="Times New Roman"/>
          <w:sz w:val="24"/>
          <w:szCs w:val="24"/>
        </w:rPr>
      </w:pPr>
      <w:r>
        <w:rPr>
          <w:rFonts w:ascii="Times New Roman" w:hAnsi="Times New Roman"/>
          <w:sz w:val="24"/>
          <w:szCs w:val="24"/>
        </w:rPr>
        <w:t>Sākot ar iepriekšējo deklarāciju finanšu sektora fiskālais risks tiek pārklasificēts uz kvantificējamo risku kategoriju. Tomēr, ņ</w:t>
      </w:r>
      <w:r w:rsidRPr="00F737C0">
        <w:rPr>
          <w:rFonts w:ascii="Times New Roman" w:hAnsi="Times New Roman"/>
          <w:sz w:val="24"/>
          <w:szCs w:val="24"/>
        </w:rPr>
        <w:t>emot vērā, ka Banku savienība ir izveidota ar mērķi mazināt risku, ka banku noregulēšan</w:t>
      </w:r>
      <w:r>
        <w:rPr>
          <w:rFonts w:ascii="Times New Roman" w:hAnsi="Times New Roman"/>
          <w:sz w:val="24"/>
          <w:szCs w:val="24"/>
        </w:rPr>
        <w:t>ai</w:t>
      </w:r>
      <w:r w:rsidRPr="00F737C0">
        <w:rPr>
          <w:rFonts w:ascii="Times New Roman" w:hAnsi="Times New Roman"/>
          <w:sz w:val="24"/>
          <w:szCs w:val="24"/>
        </w:rPr>
        <w:t xml:space="preserve"> būs jāizmanto publiskais finansējums, ar finanšu sektoru saistītie fiskālie riski ir vērtējami kā zemi un līdz ar to pašlaik nav pamata </w:t>
      </w:r>
      <w:r>
        <w:rPr>
          <w:rFonts w:ascii="Times New Roman" w:hAnsi="Times New Roman"/>
          <w:sz w:val="24"/>
          <w:szCs w:val="24"/>
        </w:rPr>
        <w:t>tiem veidot fiskālo nodrošinājuma rezervi</w:t>
      </w:r>
      <w:r w:rsidRPr="00F737C0">
        <w:rPr>
          <w:rFonts w:ascii="Times New Roman" w:hAnsi="Times New Roman"/>
          <w:sz w:val="24"/>
          <w:szCs w:val="24"/>
        </w:rPr>
        <w:t>.</w:t>
      </w:r>
    </w:p>
    <w:p w14:paraId="032D3867" w14:textId="7DB4091D" w:rsidR="001C210B" w:rsidRPr="00F737C0" w:rsidRDefault="00EB423F" w:rsidP="00EB423F">
      <w:pPr>
        <w:spacing w:after="0" w:line="240" w:lineRule="auto"/>
        <w:ind w:firstLine="720"/>
        <w:jc w:val="both"/>
        <w:rPr>
          <w:rFonts w:ascii="Times New Roman" w:hAnsi="Times New Roman"/>
          <w:sz w:val="24"/>
          <w:szCs w:val="24"/>
        </w:rPr>
      </w:pPr>
      <w:r w:rsidRPr="005F74D8">
        <w:rPr>
          <w:rFonts w:ascii="Times New Roman" w:hAnsi="Times New Roman" w:cs="Times New Roman"/>
          <w:bCs/>
          <w:sz w:val="24"/>
          <w:szCs w:val="24"/>
        </w:rPr>
        <w:t>Kā atsevišķs finanšu sektora elements, kas var veidot fiskālo riskus, ir nodalāms</w:t>
      </w:r>
      <w:r w:rsidR="00FE7268" w:rsidRPr="005F74D8">
        <w:rPr>
          <w:rFonts w:ascii="Times New Roman" w:hAnsi="Times New Roman" w:cs="Times New Roman"/>
          <w:bCs/>
          <w:sz w:val="24"/>
          <w:szCs w:val="24"/>
        </w:rPr>
        <w:t xml:space="preserve"> </w:t>
      </w:r>
      <w:r w:rsidR="00FE7268">
        <w:rPr>
          <w:rFonts w:ascii="Times New Roman" w:hAnsi="Times New Roman"/>
          <w:sz w:val="24"/>
          <w:szCs w:val="24"/>
        </w:rPr>
        <w:t xml:space="preserve">Noguldījumu </w:t>
      </w:r>
      <w:r w:rsidR="00FE7268" w:rsidRPr="00C01A04">
        <w:rPr>
          <w:rFonts w:ascii="Times New Roman" w:hAnsi="Times New Roman"/>
          <w:sz w:val="24"/>
          <w:szCs w:val="24"/>
        </w:rPr>
        <w:t>garantiju fonds (turpmāk</w:t>
      </w:r>
      <w:r w:rsidRPr="005F74D8">
        <w:rPr>
          <w:rFonts w:ascii="Times New Roman" w:hAnsi="Times New Roman" w:cs="Times New Roman"/>
          <w:bCs/>
          <w:sz w:val="24"/>
          <w:szCs w:val="24"/>
        </w:rPr>
        <w:t xml:space="preserve"> NGF</w:t>
      </w:r>
      <w:r w:rsidR="00FE7268" w:rsidRPr="005F74D8">
        <w:rPr>
          <w:rFonts w:ascii="Times New Roman" w:hAnsi="Times New Roman" w:cs="Times New Roman"/>
          <w:bCs/>
          <w:sz w:val="24"/>
          <w:szCs w:val="24"/>
        </w:rPr>
        <w:t>)</w:t>
      </w:r>
      <w:r w:rsidRPr="005F74D8">
        <w:rPr>
          <w:rFonts w:ascii="Times New Roman" w:hAnsi="Times New Roman" w:cs="Times New Roman"/>
          <w:bCs/>
          <w:sz w:val="24"/>
          <w:szCs w:val="24"/>
        </w:rPr>
        <w:t>.</w:t>
      </w:r>
      <w:r w:rsidRPr="0058124B">
        <w:rPr>
          <w:rFonts w:ascii="Times New Roman" w:hAnsi="Times New Roman" w:cs="Times New Roman"/>
          <w:bCs/>
          <w:sz w:val="24"/>
          <w:szCs w:val="24"/>
        </w:rPr>
        <w:t xml:space="preserve"> </w:t>
      </w:r>
      <w:r w:rsidR="00AD1BBB" w:rsidRPr="0058124B">
        <w:rPr>
          <w:rFonts w:ascii="Times New Roman" w:hAnsi="Times New Roman" w:cs="Times New Roman"/>
          <w:bCs/>
          <w:sz w:val="24"/>
          <w:szCs w:val="24"/>
        </w:rPr>
        <w:t>NGF</w:t>
      </w:r>
      <w:r w:rsidR="001C210B" w:rsidRPr="00F737C0">
        <w:rPr>
          <w:rFonts w:ascii="Times New Roman" w:hAnsi="Times New Roman"/>
          <w:sz w:val="24"/>
          <w:szCs w:val="24"/>
        </w:rPr>
        <w:t xml:space="preserve"> ir izveidots un darbojas, pamatojoties uz </w:t>
      </w:r>
      <w:r w:rsidR="00FE7268">
        <w:rPr>
          <w:rFonts w:ascii="Times New Roman" w:hAnsi="Times New Roman" w:cs="Times New Roman"/>
          <w:color w:val="000000"/>
          <w:sz w:val="24"/>
          <w:szCs w:val="24"/>
        </w:rPr>
        <w:t>Noguldījumu garantiju likum</w:t>
      </w:r>
      <w:r w:rsidR="00F64903">
        <w:rPr>
          <w:rFonts w:ascii="Times New Roman" w:hAnsi="Times New Roman" w:cs="Times New Roman"/>
          <w:color w:val="000000"/>
          <w:sz w:val="24"/>
          <w:szCs w:val="24"/>
        </w:rPr>
        <w:t>u (turpmāk</w:t>
      </w:r>
      <w:r w:rsidR="00FE7268" w:rsidRPr="00396F3A">
        <w:rPr>
          <w:rFonts w:ascii="Times New Roman" w:hAnsi="Times New Roman"/>
          <w:sz w:val="24"/>
          <w:szCs w:val="24"/>
        </w:rPr>
        <w:t xml:space="preserve"> </w:t>
      </w:r>
      <w:r w:rsidR="001C210B" w:rsidRPr="00396F3A">
        <w:rPr>
          <w:rFonts w:ascii="Times New Roman" w:hAnsi="Times New Roman"/>
          <w:sz w:val="24"/>
          <w:szCs w:val="24"/>
        </w:rPr>
        <w:t>NGL</w:t>
      </w:r>
      <w:r w:rsidR="00F64903">
        <w:rPr>
          <w:rFonts w:ascii="Times New Roman" w:hAnsi="Times New Roman"/>
          <w:sz w:val="24"/>
          <w:szCs w:val="24"/>
        </w:rPr>
        <w:t>)</w:t>
      </w:r>
      <w:r w:rsidR="001C210B" w:rsidRPr="00F737C0">
        <w:rPr>
          <w:rFonts w:ascii="Times New Roman" w:hAnsi="Times New Roman"/>
          <w:sz w:val="24"/>
          <w:szCs w:val="24"/>
        </w:rPr>
        <w:t xml:space="preserve">. NGL stājās spēkā 1998.gada 1.oktobrī un atbilstoši tam jebkuram Latvijas banku un krājaizdevumu sabiedrību klientam tiek </w:t>
      </w:r>
      <w:r w:rsidR="005F336D">
        <w:rPr>
          <w:rFonts w:ascii="Times New Roman" w:hAnsi="Times New Roman"/>
          <w:sz w:val="24"/>
          <w:szCs w:val="24"/>
        </w:rPr>
        <w:t>n</w:t>
      </w:r>
      <w:r w:rsidR="001C210B" w:rsidRPr="00F737C0">
        <w:rPr>
          <w:rFonts w:ascii="Times New Roman" w:hAnsi="Times New Roman"/>
          <w:sz w:val="24"/>
          <w:szCs w:val="24"/>
        </w:rPr>
        <w:t xml:space="preserve">odrošināta atlīdzības izmaksa par visu veidu noguldījumiem visās valūtās līdz 100 000 </w:t>
      </w:r>
      <w:proofErr w:type="spellStart"/>
      <w:r w:rsidR="001C210B" w:rsidRPr="00F737C0">
        <w:rPr>
          <w:rFonts w:ascii="Times New Roman" w:hAnsi="Times New Roman"/>
          <w:i/>
          <w:sz w:val="24"/>
          <w:szCs w:val="24"/>
        </w:rPr>
        <w:t>euro</w:t>
      </w:r>
      <w:proofErr w:type="spellEnd"/>
      <w:r w:rsidR="001C210B" w:rsidRPr="00F737C0">
        <w:rPr>
          <w:rFonts w:ascii="Times New Roman" w:hAnsi="Times New Roman"/>
          <w:sz w:val="24"/>
          <w:szCs w:val="24"/>
        </w:rPr>
        <w:t xml:space="preserve"> katrā bankā vai krājaizdevumu sabiedrībā, ja ir iestājusies šo līdzekļu nepieejamība. Līdzekļu nepieejamība iestājas gadījumos, kad noguldījumu garantiju sistēmas dalībnieks nespēj klientam izmaksāt viņa noguldījumu </w:t>
      </w:r>
      <w:r w:rsidR="001C210B" w:rsidRPr="00DB04E1">
        <w:rPr>
          <w:rFonts w:ascii="Times New Roman" w:hAnsi="Times New Roman"/>
          <w:sz w:val="24"/>
          <w:szCs w:val="24"/>
        </w:rPr>
        <w:t xml:space="preserve">un </w:t>
      </w:r>
      <w:r w:rsidR="00F0641B" w:rsidRPr="00F0641B">
        <w:rPr>
          <w:rFonts w:ascii="Times New Roman" w:hAnsi="Times New Roman"/>
          <w:sz w:val="24"/>
          <w:szCs w:val="24"/>
        </w:rPr>
        <w:t>Finanšu un kapitāla tirgus komisija</w:t>
      </w:r>
      <w:r w:rsidR="00F0641B">
        <w:rPr>
          <w:rFonts w:ascii="Times New Roman" w:hAnsi="Times New Roman"/>
          <w:sz w:val="24"/>
          <w:szCs w:val="24"/>
        </w:rPr>
        <w:t xml:space="preserve"> (turpmāk </w:t>
      </w:r>
      <w:r w:rsidR="001C210B" w:rsidRPr="00DB04E1">
        <w:rPr>
          <w:rFonts w:ascii="Times New Roman" w:hAnsi="Times New Roman"/>
          <w:sz w:val="24"/>
          <w:szCs w:val="24"/>
        </w:rPr>
        <w:t>FKTK</w:t>
      </w:r>
      <w:r w:rsidR="00F0641B">
        <w:rPr>
          <w:rFonts w:ascii="Times New Roman" w:hAnsi="Times New Roman"/>
          <w:sz w:val="24"/>
          <w:szCs w:val="24"/>
        </w:rPr>
        <w:t>)</w:t>
      </w:r>
      <w:r w:rsidR="004C40B7" w:rsidRPr="00DB04E1">
        <w:rPr>
          <w:rStyle w:val="FootnoteReference"/>
          <w:rFonts w:ascii="Times New Roman" w:hAnsi="Times New Roman"/>
          <w:sz w:val="24"/>
          <w:szCs w:val="24"/>
        </w:rPr>
        <w:footnoteReference w:id="21"/>
      </w:r>
      <w:r w:rsidR="001C210B" w:rsidRPr="00F737C0">
        <w:rPr>
          <w:rFonts w:ascii="Times New Roman" w:hAnsi="Times New Roman"/>
          <w:sz w:val="24"/>
          <w:szCs w:val="24"/>
        </w:rPr>
        <w:t xml:space="preserve"> noguldījumu piesaistītājam anulējusi licenci vai tiesa pasludinājusi to par </w:t>
      </w:r>
      <w:r w:rsidR="001C210B" w:rsidRPr="00F737C0">
        <w:rPr>
          <w:rFonts w:ascii="Times New Roman" w:hAnsi="Times New Roman"/>
          <w:sz w:val="24"/>
          <w:szCs w:val="24"/>
        </w:rPr>
        <w:lastRenderedPageBreak/>
        <w:t xml:space="preserve">maksātnespējīgu, vai citā </w:t>
      </w:r>
      <w:r w:rsidR="001C210B" w:rsidRPr="00DB04E1">
        <w:rPr>
          <w:rFonts w:ascii="Times New Roman" w:hAnsi="Times New Roman"/>
          <w:sz w:val="24"/>
          <w:szCs w:val="24"/>
        </w:rPr>
        <w:t>gadījumā, kad FKTK ir</w:t>
      </w:r>
      <w:r w:rsidR="001C210B" w:rsidRPr="00F737C0">
        <w:rPr>
          <w:rFonts w:ascii="Times New Roman" w:hAnsi="Times New Roman"/>
          <w:sz w:val="24"/>
          <w:szCs w:val="24"/>
        </w:rPr>
        <w:t xml:space="preserve"> konstatējusi, ka noguldījumu piesaistītājs nespēj izmaksāt noguldītājam noguldījumu, un pieņēmusi lēmumu par noguldījumu nepieejamības iestāšanos.</w:t>
      </w:r>
    </w:p>
    <w:p w14:paraId="0FC46479" w14:textId="5063FC8D" w:rsidR="005F336D" w:rsidRDefault="001C210B" w:rsidP="00D3581E">
      <w:pPr>
        <w:spacing w:after="0" w:line="240" w:lineRule="auto"/>
        <w:ind w:firstLine="720"/>
        <w:jc w:val="both"/>
        <w:rPr>
          <w:rFonts w:ascii="Times New Roman" w:hAnsi="Times New Roman"/>
          <w:sz w:val="24"/>
          <w:szCs w:val="24"/>
        </w:rPr>
      </w:pPr>
      <w:r w:rsidRPr="0037264A">
        <w:rPr>
          <w:rFonts w:ascii="Times New Roman" w:hAnsi="Times New Roman"/>
          <w:sz w:val="24"/>
          <w:szCs w:val="24"/>
        </w:rPr>
        <w:t xml:space="preserve">2017.gadā saistībā ar metodoloģiskajām izmaiņām CSP, pamatojoties uz ES statistikas biroja </w:t>
      </w:r>
      <w:proofErr w:type="spellStart"/>
      <w:r w:rsidRPr="0037264A">
        <w:rPr>
          <w:rFonts w:ascii="Times New Roman" w:hAnsi="Times New Roman"/>
          <w:i/>
          <w:sz w:val="24"/>
          <w:szCs w:val="24"/>
        </w:rPr>
        <w:t>Eurostat</w:t>
      </w:r>
      <w:proofErr w:type="spellEnd"/>
      <w:r w:rsidRPr="0037264A">
        <w:rPr>
          <w:rFonts w:ascii="Times New Roman" w:hAnsi="Times New Roman"/>
          <w:sz w:val="24"/>
          <w:szCs w:val="24"/>
        </w:rPr>
        <w:t xml:space="preserve"> ieteikumu, attiecināja </w:t>
      </w:r>
      <w:r>
        <w:rPr>
          <w:rFonts w:ascii="Times New Roman" w:hAnsi="Times New Roman"/>
          <w:sz w:val="24"/>
          <w:szCs w:val="24"/>
        </w:rPr>
        <w:t>NGF</w:t>
      </w:r>
      <w:r w:rsidRPr="0037264A">
        <w:rPr>
          <w:rFonts w:ascii="Times New Roman" w:hAnsi="Times New Roman"/>
          <w:sz w:val="24"/>
          <w:szCs w:val="24"/>
        </w:rPr>
        <w:t xml:space="preserve"> darbības plūsmas uz vispārējās valdības sektoru. Izmaiņu rezultātā </w:t>
      </w:r>
      <w:r>
        <w:rPr>
          <w:rFonts w:ascii="Times New Roman" w:hAnsi="Times New Roman"/>
          <w:sz w:val="24"/>
          <w:szCs w:val="24"/>
        </w:rPr>
        <w:t>NGF</w:t>
      </w:r>
      <w:r w:rsidRPr="0037264A">
        <w:rPr>
          <w:rFonts w:ascii="Times New Roman" w:hAnsi="Times New Roman"/>
          <w:sz w:val="24"/>
          <w:szCs w:val="24"/>
        </w:rPr>
        <w:t xml:space="preserve"> saņemtie ikgadējie maksājumi no noguldītāju piesaistītāju (t.i. banku un krājaizdevumu sabiedrību) maksājumiem un līdzekļu pārvaldīšanā gūtajiem ienākumiem tiek uzskaitīti kā vispārējās valdības ieņēmumi. Savukārt gadījumos, kuros </w:t>
      </w:r>
      <w:r w:rsidR="005F336D">
        <w:rPr>
          <w:rFonts w:ascii="Times New Roman" w:hAnsi="Times New Roman"/>
          <w:sz w:val="24"/>
          <w:szCs w:val="24"/>
        </w:rPr>
        <w:t>NGF</w:t>
      </w:r>
      <w:r w:rsidRPr="0037264A">
        <w:rPr>
          <w:rFonts w:ascii="Times New Roman" w:hAnsi="Times New Roman"/>
          <w:sz w:val="24"/>
          <w:szCs w:val="24"/>
        </w:rPr>
        <w:t xml:space="preserve"> atzīst neatgūstamās prasības, par attiecīgo summu tiek uzskaitīti vispārējās valdības izdevumi. Tā</w:t>
      </w:r>
      <w:r>
        <w:rPr>
          <w:rFonts w:ascii="Times New Roman" w:hAnsi="Times New Roman"/>
          <w:sz w:val="24"/>
          <w:szCs w:val="24"/>
        </w:rPr>
        <w:t>,</w:t>
      </w:r>
      <w:r w:rsidRPr="0037264A">
        <w:rPr>
          <w:rFonts w:ascii="Times New Roman" w:hAnsi="Times New Roman"/>
          <w:sz w:val="24"/>
          <w:szCs w:val="24"/>
        </w:rPr>
        <w:t xml:space="preserve"> piemēram, 2011.gadā saistībā ar Latvijas Krājbankas maksātnespēju un sekojošo likvidāciju ir atzīti neatgūstamie līdzekļi, kas </w:t>
      </w:r>
      <w:r>
        <w:rPr>
          <w:rFonts w:ascii="Times New Roman" w:hAnsi="Times New Roman"/>
          <w:sz w:val="24"/>
          <w:szCs w:val="24"/>
        </w:rPr>
        <w:t xml:space="preserve">būtiski </w:t>
      </w:r>
      <w:r w:rsidRPr="0037264A">
        <w:rPr>
          <w:rFonts w:ascii="Times New Roman" w:hAnsi="Times New Roman"/>
          <w:sz w:val="24"/>
          <w:szCs w:val="24"/>
        </w:rPr>
        <w:t>pasliktin</w:t>
      </w:r>
      <w:r w:rsidR="00361D52">
        <w:rPr>
          <w:rFonts w:ascii="Times New Roman" w:hAnsi="Times New Roman"/>
          <w:sz w:val="24"/>
          <w:szCs w:val="24"/>
        </w:rPr>
        <w:t>āja</w:t>
      </w:r>
      <w:r w:rsidRPr="0037264A">
        <w:rPr>
          <w:rFonts w:ascii="Times New Roman" w:hAnsi="Times New Roman"/>
          <w:sz w:val="24"/>
          <w:szCs w:val="24"/>
        </w:rPr>
        <w:t xml:space="preserve"> attiecīgā gada vispārējās valdības budžeta bilanci</w:t>
      </w:r>
      <w:r>
        <w:rPr>
          <w:rFonts w:ascii="Times New Roman" w:hAnsi="Times New Roman"/>
          <w:sz w:val="24"/>
          <w:szCs w:val="24"/>
        </w:rPr>
        <w:t xml:space="preserve"> (sk. tabulu Nr.</w:t>
      </w:r>
      <w:r w:rsidR="00645C0A">
        <w:rPr>
          <w:rFonts w:ascii="Times New Roman" w:hAnsi="Times New Roman"/>
          <w:sz w:val="24"/>
          <w:szCs w:val="24"/>
        </w:rPr>
        <w:t>2.14.1</w:t>
      </w:r>
      <w:r>
        <w:rPr>
          <w:rFonts w:ascii="Times New Roman" w:hAnsi="Times New Roman"/>
          <w:sz w:val="24"/>
          <w:szCs w:val="24"/>
        </w:rPr>
        <w:t>)</w:t>
      </w:r>
      <w:r w:rsidRPr="0037264A">
        <w:rPr>
          <w:rFonts w:ascii="Times New Roman" w:hAnsi="Times New Roman"/>
          <w:sz w:val="24"/>
          <w:szCs w:val="24"/>
        </w:rPr>
        <w:t>.</w:t>
      </w:r>
      <w:r>
        <w:rPr>
          <w:rFonts w:ascii="Times New Roman" w:hAnsi="Times New Roman"/>
          <w:sz w:val="24"/>
          <w:szCs w:val="24"/>
        </w:rPr>
        <w:t xml:space="preserve"> </w:t>
      </w:r>
      <w:r w:rsidR="005F336D" w:rsidRPr="00BB48DF">
        <w:rPr>
          <w:rFonts w:ascii="Times New Roman" w:hAnsi="Times New Roman"/>
          <w:sz w:val="24"/>
          <w:szCs w:val="24"/>
        </w:rPr>
        <w:t>Savukārt pēdējais šāds gadījums, kad tika atzīti neatgūstami līdzekļi, notika saistībā ar AS “PNB Banka”.</w:t>
      </w:r>
      <w:r w:rsidR="005F336D">
        <w:rPr>
          <w:rFonts w:ascii="Times New Roman" w:hAnsi="Times New Roman"/>
          <w:sz w:val="24"/>
          <w:szCs w:val="24"/>
        </w:rPr>
        <w:t xml:space="preserve"> </w:t>
      </w:r>
    </w:p>
    <w:p w14:paraId="3087229E" w14:textId="77777777" w:rsidR="00435B13" w:rsidRDefault="005F336D" w:rsidP="005F336D">
      <w:pPr>
        <w:spacing w:after="0" w:line="240" w:lineRule="auto"/>
        <w:ind w:firstLine="720"/>
        <w:jc w:val="both"/>
        <w:rPr>
          <w:rFonts w:ascii="Times New Roman" w:hAnsi="Times New Roman"/>
          <w:sz w:val="24"/>
          <w:szCs w:val="24"/>
        </w:rPr>
      </w:pPr>
      <w:r w:rsidRPr="0058124B">
        <w:rPr>
          <w:rFonts w:ascii="Times New Roman" w:hAnsi="Times New Roman"/>
          <w:sz w:val="24"/>
          <w:szCs w:val="24"/>
        </w:rPr>
        <w:t>2019</w:t>
      </w:r>
      <w:r>
        <w:rPr>
          <w:rFonts w:ascii="Times New Roman" w:hAnsi="Times New Roman"/>
          <w:sz w:val="24"/>
          <w:szCs w:val="24"/>
        </w:rPr>
        <w:t>.</w:t>
      </w:r>
      <w:r w:rsidRPr="0058124B">
        <w:rPr>
          <w:rFonts w:ascii="Times New Roman" w:hAnsi="Times New Roman"/>
          <w:sz w:val="24"/>
          <w:szCs w:val="24"/>
        </w:rPr>
        <w:t xml:space="preserve">gada 16.augustā </w:t>
      </w:r>
      <w:r>
        <w:rPr>
          <w:rFonts w:ascii="Times New Roman" w:hAnsi="Times New Roman"/>
          <w:sz w:val="24"/>
          <w:szCs w:val="24"/>
        </w:rPr>
        <w:t xml:space="preserve">FKTK </w:t>
      </w:r>
      <w:r w:rsidRPr="0058124B">
        <w:rPr>
          <w:rFonts w:ascii="Times New Roman" w:hAnsi="Times New Roman"/>
          <w:sz w:val="24"/>
          <w:szCs w:val="24"/>
        </w:rPr>
        <w:t xml:space="preserve">padome ar lēmumu Nr.134 konstatēja AS "PNB Banka" noguldījumu nepieejamības iestāšanos. 2021.gada beigās NGF kreditora prasījums pret likvidējamo AS "PNB Banka" bija 262 164 934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w:t>
      </w:r>
      <w:r>
        <w:rPr>
          <w:rFonts w:ascii="Times New Roman" w:hAnsi="Times New Roman"/>
          <w:sz w:val="24"/>
          <w:szCs w:val="24"/>
        </w:rPr>
        <w:t xml:space="preserve"> saistībā ar </w:t>
      </w:r>
      <w:r w:rsidR="00E3328D">
        <w:rPr>
          <w:rFonts w:ascii="Times New Roman" w:hAnsi="Times New Roman"/>
          <w:sz w:val="24"/>
          <w:szCs w:val="24"/>
        </w:rPr>
        <w:t>garantētās atlīdzības izmaksu atbilstoši NGL</w:t>
      </w:r>
      <w:r w:rsidRPr="0058124B">
        <w:rPr>
          <w:rFonts w:ascii="Times New Roman" w:hAnsi="Times New Roman"/>
          <w:sz w:val="24"/>
          <w:szCs w:val="24"/>
        </w:rPr>
        <w:t xml:space="preserve">. Līdz 2021. gada beigām likvidējamās AS "PNB Banka" administrators NGF šo prasījumu bija dzēsis 120 000 000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 veidojot nedzēstu prasību 142 164 934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w:t>
      </w:r>
      <w:r w:rsidR="00E3328D">
        <w:rPr>
          <w:rFonts w:ascii="Times New Roman" w:hAnsi="Times New Roman"/>
          <w:sz w:val="24"/>
          <w:szCs w:val="24"/>
        </w:rPr>
        <w:t>. FKTK</w:t>
      </w:r>
      <w:r w:rsidRPr="0058124B">
        <w:rPr>
          <w:rFonts w:ascii="Times New Roman" w:hAnsi="Times New Roman"/>
          <w:sz w:val="24"/>
          <w:szCs w:val="24"/>
        </w:rPr>
        <w:t xml:space="preserve"> kā NGF pārvaldītāja </w:t>
      </w:r>
      <w:r w:rsidR="00E3328D">
        <w:rPr>
          <w:rFonts w:ascii="Times New Roman" w:hAnsi="Times New Roman"/>
          <w:sz w:val="24"/>
          <w:szCs w:val="24"/>
        </w:rPr>
        <w:t>2021.gadā</w:t>
      </w:r>
      <w:r w:rsidRPr="0058124B">
        <w:rPr>
          <w:rFonts w:ascii="Times New Roman" w:hAnsi="Times New Roman"/>
          <w:sz w:val="24"/>
          <w:szCs w:val="24"/>
        </w:rPr>
        <w:t xml:space="preserve"> pieņēm</w:t>
      </w:r>
      <w:r w:rsidR="00E3328D">
        <w:rPr>
          <w:rFonts w:ascii="Times New Roman" w:hAnsi="Times New Roman"/>
          <w:sz w:val="24"/>
          <w:szCs w:val="24"/>
        </w:rPr>
        <w:t>a</w:t>
      </w:r>
      <w:r w:rsidRPr="0058124B">
        <w:rPr>
          <w:rFonts w:ascii="Times New Roman" w:hAnsi="Times New Roman"/>
          <w:sz w:val="24"/>
          <w:szCs w:val="24"/>
        </w:rPr>
        <w:t xml:space="preserve"> lēmumu veidot uzkrājumus par neatgūstamo prasības daļu par izmaksātajām garantētajām atlīdzībām AS "PNB Banka" noguldītājiem. </w:t>
      </w:r>
      <w:r w:rsidR="00E3328D">
        <w:rPr>
          <w:rFonts w:ascii="Times New Roman" w:hAnsi="Times New Roman"/>
          <w:sz w:val="24"/>
          <w:szCs w:val="24"/>
        </w:rPr>
        <w:t xml:space="preserve">FKTK atbilstoši tās rīcībā esošajai informācija </w:t>
      </w:r>
      <w:r w:rsidRPr="0058124B">
        <w:rPr>
          <w:rFonts w:ascii="Times New Roman" w:hAnsi="Times New Roman"/>
          <w:sz w:val="24"/>
          <w:szCs w:val="24"/>
        </w:rPr>
        <w:t>novērtē</w:t>
      </w:r>
      <w:r w:rsidR="00E3328D">
        <w:rPr>
          <w:rFonts w:ascii="Times New Roman" w:hAnsi="Times New Roman"/>
          <w:sz w:val="24"/>
          <w:szCs w:val="24"/>
        </w:rPr>
        <w:t>ja</w:t>
      </w:r>
      <w:r w:rsidRPr="0058124B">
        <w:rPr>
          <w:rFonts w:ascii="Times New Roman" w:hAnsi="Times New Roman"/>
          <w:sz w:val="24"/>
          <w:szCs w:val="24"/>
        </w:rPr>
        <w:t xml:space="preserve"> prasību pret AS "PNB Banka" par izmaksātajām garantētajām atlīdzībām atgūstamo vērtību</w:t>
      </w:r>
      <w:r w:rsidR="00E3328D">
        <w:rPr>
          <w:rFonts w:ascii="Times New Roman" w:hAnsi="Times New Roman"/>
          <w:sz w:val="24"/>
          <w:szCs w:val="24"/>
        </w:rPr>
        <w:t xml:space="preserve"> un noteica uzkrājumu </w:t>
      </w:r>
      <w:r w:rsidRPr="0058124B">
        <w:rPr>
          <w:rFonts w:ascii="Times New Roman" w:hAnsi="Times New Roman"/>
          <w:sz w:val="24"/>
          <w:szCs w:val="24"/>
        </w:rPr>
        <w:t>66</w:t>
      </w:r>
      <w:r w:rsidR="00E3328D">
        <w:rPr>
          <w:rFonts w:ascii="Times New Roman" w:hAnsi="Times New Roman"/>
          <w:sz w:val="24"/>
          <w:szCs w:val="24"/>
        </w:rPr>
        <w:t>,</w:t>
      </w:r>
      <w:r w:rsidRPr="0058124B">
        <w:rPr>
          <w:rFonts w:ascii="Times New Roman" w:hAnsi="Times New Roman"/>
          <w:sz w:val="24"/>
          <w:szCs w:val="24"/>
        </w:rPr>
        <w:t xml:space="preserve">5 milj.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w:t>
      </w:r>
      <w:r w:rsidR="00E3328D">
        <w:rPr>
          <w:rFonts w:ascii="Times New Roman" w:hAnsi="Times New Roman"/>
          <w:sz w:val="24"/>
          <w:szCs w:val="24"/>
        </w:rPr>
        <w:t>, kas attiecīgi pasliktināja 2021.gada vispārējās valdības budžeta bilanci.</w:t>
      </w:r>
    </w:p>
    <w:p w14:paraId="147797EB" w14:textId="7BCE7CEE" w:rsidR="005F336D" w:rsidRDefault="00435B13" w:rsidP="005F336D">
      <w:pPr>
        <w:spacing w:after="0" w:line="240" w:lineRule="auto"/>
        <w:ind w:firstLine="720"/>
        <w:jc w:val="both"/>
        <w:rPr>
          <w:rFonts w:ascii="Times New Roman" w:hAnsi="Times New Roman"/>
          <w:sz w:val="24"/>
          <w:szCs w:val="24"/>
        </w:rPr>
      </w:pPr>
      <w:r>
        <w:rPr>
          <w:rFonts w:ascii="Times New Roman" w:hAnsi="Times New Roman"/>
          <w:sz w:val="24"/>
          <w:szCs w:val="24"/>
        </w:rPr>
        <w:t>2022.gada 12.decembrī</w:t>
      </w:r>
      <w:r w:rsidRPr="0058124B">
        <w:rPr>
          <w:rFonts w:ascii="Times New Roman" w:hAnsi="Times New Roman"/>
          <w:sz w:val="24"/>
          <w:szCs w:val="24"/>
        </w:rPr>
        <w:t xml:space="preserve"> FKTK padome ārkārtas sēdē </w:t>
      </w:r>
      <w:hyperlink r:id="rId8" w:tgtFrame="_blank" w:history="1">
        <w:r w:rsidRPr="0058124B">
          <w:rPr>
            <w:rFonts w:ascii="Times New Roman" w:hAnsi="Times New Roman"/>
            <w:sz w:val="24"/>
            <w:szCs w:val="24"/>
          </w:rPr>
          <w:t>pieņēma lēmumu apturēt finanšu pakalpojumu sniegšanu</w:t>
        </w:r>
      </w:hyperlink>
      <w:r w:rsidRPr="0058124B">
        <w:rPr>
          <w:rFonts w:ascii="Times New Roman" w:hAnsi="Times New Roman"/>
          <w:sz w:val="24"/>
          <w:szCs w:val="24"/>
        </w:rPr>
        <w:t>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International</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Bank</w:t>
      </w:r>
      <w:proofErr w:type="spellEnd"/>
      <w:r w:rsidRPr="002D428D">
        <w:rPr>
          <w:rFonts w:ascii="Times New Roman" w:hAnsi="Times New Roman"/>
          <w:sz w:val="24"/>
          <w:szCs w:val="24"/>
        </w:rPr>
        <w:t xml:space="preserve"> SE</w:t>
      </w:r>
      <w:r w:rsidRPr="0058124B">
        <w:rPr>
          <w:rFonts w:ascii="Times New Roman" w:hAnsi="Times New Roman"/>
          <w:sz w:val="24"/>
          <w:szCs w:val="24"/>
        </w:rPr>
        <w:t xml:space="preserve">. FKTK atzina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International</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Bank</w:t>
      </w:r>
      <w:proofErr w:type="spellEnd"/>
      <w:r w:rsidRPr="002D428D">
        <w:rPr>
          <w:rFonts w:ascii="Times New Roman" w:hAnsi="Times New Roman"/>
          <w:sz w:val="24"/>
          <w:szCs w:val="24"/>
        </w:rPr>
        <w:t xml:space="preserve"> SE</w:t>
      </w:r>
      <w:r w:rsidRPr="0058124B">
        <w:rPr>
          <w:rFonts w:ascii="Times New Roman" w:hAnsi="Times New Roman"/>
          <w:sz w:val="24"/>
          <w:szCs w:val="24"/>
        </w:rPr>
        <w:t xml:space="preserve"> par tādu finanšu iestādi, kas ir nonākusi vai nonāks finanšu grūtībās (angļu valodā – </w:t>
      </w:r>
      <w:proofErr w:type="spellStart"/>
      <w:r w:rsidRPr="0058124B">
        <w:rPr>
          <w:rFonts w:ascii="Times New Roman" w:hAnsi="Times New Roman"/>
          <w:sz w:val="24"/>
          <w:szCs w:val="24"/>
        </w:rPr>
        <w:t>failing</w:t>
      </w:r>
      <w:proofErr w:type="spellEnd"/>
      <w:r w:rsidRPr="0058124B">
        <w:rPr>
          <w:rFonts w:ascii="Times New Roman" w:hAnsi="Times New Roman"/>
          <w:sz w:val="24"/>
          <w:szCs w:val="24"/>
        </w:rPr>
        <w:t xml:space="preserve"> </w:t>
      </w:r>
      <w:proofErr w:type="spellStart"/>
      <w:r w:rsidRPr="0058124B">
        <w:rPr>
          <w:rFonts w:ascii="Times New Roman" w:hAnsi="Times New Roman"/>
          <w:sz w:val="24"/>
          <w:szCs w:val="24"/>
        </w:rPr>
        <w:t>or</w:t>
      </w:r>
      <w:proofErr w:type="spellEnd"/>
      <w:r w:rsidRPr="0058124B">
        <w:rPr>
          <w:rFonts w:ascii="Times New Roman" w:hAnsi="Times New Roman"/>
          <w:sz w:val="24"/>
          <w:szCs w:val="24"/>
        </w:rPr>
        <w:t xml:space="preserve"> </w:t>
      </w:r>
      <w:proofErr w:type="spellStart"/>
      <w:r w:rsidRPr="0058124B">
        <w:rPr>
          <w:rFonts w:ascii="Times New Roman" w:hAnsi="Times New Roman"/>
          <w:sz w:val="24"/>
          <w:szCs w:val="24"/>
        </w:rPr>
        <w:t>likely</w:t>
      </w:r>
      <w:proofErr w:type="spellEnd"/>
      <w:r w:rsidRPr="0058124B">
        <w:rPr>
          <w:rFonts w:ascii="Times New Roman" w:hAnsi="Times New Roman"/>
          <w:sz w:val="24"/>
          <w:szCs w:val="24"/>
        </w:rPr>
        <w:t xml:space="preserve"> to fail) un nolēma neveikt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International</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Bank</w:t>
      </w:r>
      <w:proofErr w:type="spellEnd"/>
      <w:r w:rsidRPr="002D428D">
        <w:rPr>
          <w:rFonts w:ascii="Times New Roman" w:hAnsi="Times New Roman"/>
          <w:sz w:val="24"/>
          <w:szCs w:val="24"/>
        </w:rPr>
        <w:t xml:space="preserve"> SE</w:t>
      </w:r>
      <w:r w:rsidRPr="0058124B">
        <w:rPr>
          <w:rFonts w:ascii="Times New Roman" w:hAnsi="Times New Roman"/>
          <w:sz w:val="24"/>
          <w:szCs w:val="24"/>
        </w:rPr>
        <w:t xml:space="preserve"> noregulējumu, proti, neīstenot pasākumus bankas darbības stabilizēšanai.</w:t>
      </w:r>
      <w:r w:rsidR="00E3328D">
        <w:rPr>
          <w:rFonts w:ascii="Times New Roman" w:hAnsi="Times New Roman"/>
          <w:sz w:val="24"/>
          <w:szCs w:val="24"/>
        </w:rPr>
        <w:t xml:space="preserve"> </w:t>
      </w:r>
      <w:r>
        <w:rPr>
          <w:rFonts w:ascii="Times New Roman" w:hAnsi="Times New Roman"/>
          <w:sz w:val="24"/>
          <w:szCs w:val="24"/>
        </w:rPr>
        <w:t>Līdz ar to no 2022.gada 22.decembra garantēt</w:t>
      </w:r>
      <w:r w:rsidR="00B15D4F">
        <w:rPr>
          <w:rFonts w:ascii="Times New Roman" w:hAnsi="Times New Roman"/>
          <w:sz w:val="24"/>
          <w:szCs w:val="24"/>
        </w:rPr>
        <w:t>ā</w:t>
      </w:r>
      <w:r>
        <w:rPr>
          <w:rFonts w:ascii="Times New Roman" w:hAnsi="Times New Roman"/>
          <w:sz w:val="24"/>
          <w:szCs w:val="24"/>
        </w:rPr>
        <w:t xml:space="preserve"> atlīdzīb</w:t>
      </w:r>
      <w:r w:rsidR="00B15D4F">
        <w:rPr>
          <w:rFonts w:ascii="Times New Roman" w:hAnsi="Times New Roman"/>
          <w:sz w:val="24"/>
          <w:szCs w:val="24"/>
        </w:rPr>
        <w:t>a</w:t>
      </w:r>
      <w:r>
        <w:rPr>
          <w:rFonts w:ascii="Times New Roman" w:hAnsi="Times New Roman"/>
          <w:sz w:val="24"/>
          <w:szCs w:val="24"/>
        </w:rPr>
        <w:t xml:space="preserve"> noguldītājiem </w:t>
      </w:r>
      <w:r w:rsidR="00B15D4F">
        <w:rPr>
          <w:rFonts w:ascii="Times New Roman" w:hAnsi="Times New Roman"/>
          <w:sz w:val="24"/>
          <w:szCs w:val="24"/>
        </w:rPr>
        <w:t>tiek</w:t>
      </w:r>
      <w:r>
        <w:rPr>
          <w:rFonts w:ascii="Times New Roman" w:hAnsi="Times New Roman"/>
          <w:sz w:val="24"/>
          <w:szCs w:val="24"/>
        </w:rPr>
        <w:t xml:space="preserve"> izmaksāta no NGF līdzekļiem</w:t>
      </w:r>
      <w:r w:rsidR="00B15D4F">
        <w:rPr>
          <w:rFonts w:ascii="Times New Roman" w:hAnsi="Times New Roman"/>
          <w:sz w:val="24"/>
          <w:szCs w:val="24"/>
        </w:rPr>
        <w:t xml:space="preserve">, </w:t>
      </w:r>
      <w:r>
        <w:rPr>
          <w:rFonts w:ascii="Times New Roman" w:hAnsi="Times New Roman"/>
          <w:sz w:val="24"/>
          <w:szCs w:val="24"/>
        </w:rPr>
        <w:t xml:space="preserve">un plānotais atlīdzību kopapjoms </w:t>
      </w:r>
      <w:r w:rsidR="00845DF0">
        <w:rPr>
          <w:rFonts w:ascii="Times New Roman" w:hAnsi="Times New Roman"/>
          <w:sz w:val="24"/>
          <w:szCs w:val="24"/>
        </w:rPr>
        <w:t>veido</w:t>
      </w:r>
      <w:r>
        <w:rPr>
          <w:rFonts w:ascii="Times New Roman" w:hAnsi="Times New Roman"/>
          <w:sz w:val="24"/>
          <w:szCs w:val="24"/>
        </w:rPr>
        <w:t xml:space="preserve"> 43,7 milj. </w:t>
      </w:r>
      <w:proofErr w:type="spellStart"/>
      <w:r w:rsidRPr="0058124B">
        <w:rPr>
          <w:rFonts w:ascii="Times New Roman" w:hAnsi="Times New Roman"/>
          <w:i/>
          <w:iCs/>
          <w:sz w:val="24"/>
          <w:szCs w:val="24"/>
        </w:rPr>
        <w:t>euro</w:t>
      </w:r>
      <w:proofErr w:type="spellEnd"/>
      <w:r>
        <w:rPr>
          <w:rFonts w:ascii="Times New Roman" w:hAnsi="Times New Roman"/>
          <w:sz w:val="24"/>
          <w:szCs w:val="24"/>
        </w:rPr>
        <w:t xml:space="preserve">. </w:t>
      </w:r>
      <w:r w:rsidRPr="00BB48DF">
        <w:rPr>
          <w:rFonts w:ascii="Times New Roman" w:hAnsi="Times New Roman"/>
          <w:sz w:val="24"/>
          <w:szCs w:val="24"/>
        </w:rPr>
        <w:t xml:space="preserve">Deklarācijas izstrādes laikā nav saņemta informācija par iespējamu līdzekļu </w:t>
      </w:r>
      <w:proofErr w:type="spellStart"/>
      <w:r w:rsidRPr="00BB48DF">
        <w:rPr>
          <w:rFonts w:ascii="Times New Roman" w:hAnsi="Times New Roman"/>
          <w:sz w:val="24"/>
          <w:szCs w:val="24"/>
        </w:rPr>
        <w:t>neatgūstamību</w:t>
      </w:r>
      <w:proofErr w:type="spellEnd"/>
      <w:r w:rsidR="00B15D4F" w:rsidRPr="00BB48DF">
        <w:rPr>
          <w:rFonts w:ascii="Times New Roman" w:hAnsi="Times New Roman"/>
          <w:sz w:val="24"/>
          <w:szCs w:val="24"/>
        </w:rPr>
        <w:t xml:space="preserve">, </w:t>
      </w:r>
      <w:r w:rsidRPr="00BB48DF">
        <w:rPr>
          <w:rFonts w:ascii="Times New Roman" w:hAnsi="Times New Roman"/>
          <w:sz w:val="24"/>
          <w:szCs w:val="24"/>
        </w:rPr>
        <w:t xml:space="preserve">un šāda gadījuma iestāšanās varbūtība tiek vērtētā tuvu nullei. </w:t>
      </w:r>
    </w:p>
    <w:p w14:paraId="62760C56" w14:textId="4FFC0E91" w:rsidR="007E6F42" w:rsidRDefault="0086442E" w:rsidP="005F336D">
      <w:pPr>
        <w:spacing w:after="0" w:line="240" w:lineRule="auto"/>
        <w:ind w:firstLine="720"/>
        <w:jc w:val="both"/>
        <w:rPr>
          <w:rFonts w:ascii="Times New Roman" w:hAnsi="Times New Roman"/>
          <w:sz w:val="24"/>
          <w:szCs w:val="24"/>
        </w:rPr>
      </w:pPr>
      <w:r>
        <w:rPr>
          <w:rFonts w:ascii="Times New Roman" w:hAnsi="Times New Roman"/>
          <w:sz w:val="24"/>
          <w:szCs w:val="24"/>
        </w:rPr>
        <w:t xml:space="preserve">Nepieciešamību veikt garantētās izmaksas no NGF, kā arī prasību par izmaksām </w:t>
      </w:r>
      <w:proofErr w:type="spellStart"/>
      <w:r>
        <w:rPr>
          <w:rFonts w:ascii="Times New Roman" w:hAnsi="Times New Roman"/>
          <w:sz w:val="24"/>
          <w:szCs w:val="24"/>
        </w:rPr>
        <w:t>neatgūstamību</w:t>
      </w:r>
      <w:proofErr w:type="spellEnd"/>
      <w:r>
        <w:rPr>
          <w:rFonts w:ascii="Times New Roman" w:hAnsi="Times New Roman"/>
          <w:sz w:val="24"/>
          <w:szCs w:val="24"/>
        </w:rPr>
        <w:t>,</w:t>
      </w:r>
      <w:r w:rsidR="0011094C">
        <w:rPr>
          <w:rFonts w:ascii="Times New Roman" w:hAnsi="Times New Roman"/>
          <w:sz w:val="24"/>
          <w:szCs w:val="24"/>
        </w:rPr>
        <w:t xml:space="preserve"> nav iespējams savlaicīgi prognozēt – ne to iestāšanās varbūtību, ne fiskālo ietekmi –</w:t>
      </w:r>
      <w:r w:rsidR="002B0C78">
        <w:rPr>
          <w:rFonts w:ascii="Times New Roman" w:hAnsi="Times New Roman"/>
          <w:sz w:val="24"/>
          <w:szCs w:val="24"/>
        </w:rPr>
        <w:t xml:space="preserve"> </w:t>
      </w:r>
      <w:r>
        <w:rPr>
          <w:rFonts w:ascii="Times New Roman" w:hAnsi="Times New Roman"/>
          <w:sz w:val="24"/>
          <w:szCs w:val="24"/>
        </w:rPr>
        <w:t>šādi gadījumi</w:t>
      </w:r>
      <w:r w:rsidR="0011094C">
        <w:rPr>
          <w:rFonts w:ascii="Times New Roman" w:hAnsi="Times New Roman"/>
          <w:sz w:val="24"/>
          <w:szCs w:val="24"/>
        </w:rPr>
        <w:t xml:space="preserve"> notiek </w:t>
      </w:r>
      <w:r w:rsidR="00845DF0">
        <w:rPr>
          <w:rFonts w:ascii="Times New Roman" w:hAnsi="Times New Roman"/>
          <w:sz w:val="24"/>
          <w:szCs w:val="24"/>
        </w:rPr>
        <w:t>reti</w:t>
      </w:r>
      <w:r w:rsidR="0011094C">
        <w:rPr>
          <w:rFonts w:ascii="Times New Roman" w:hAnsi="Times New Roman"/>
          <w:sz w:val="24"/>
          <w:szCs w:val="24"/>
        </w:rPr>
        <w:t xml:space="preserve"> un pēc savas dabas tie ir vienreizēji neparedzami notikumi, kuru iestāšanās varbūtība un ietekmes apmērs Latvijā saistībā ar finanšu sektora sakārtošanos un </w:t>
      </w:r>
      <w:proofErr w:type="spellStart"/>
      <w:r w:rsidR="0011094C">
        <w:rPr>
          <w:rFonts w:ascii="Times New Roman" w:hAnsi="Times New Roman"/>
          <w:sz w:val="24"/>
          <w:szCs w:val="24"/>
        </w:rPr>
        <w:t>makroprudenciālā</w:t>
      </w:r>
      <w:proofErr w:type="spellEnd"/>
      <w:r w:rsidR="0011094C">
        <w:rPr>
          <w:rFonts w:ascii="Times New Roman" w:hAnsi="Times New Roman"/>
          <w:sz w:val="24"/>
          <w:szCs w:val="24"/>
        </w:rPr>
        <w:t xml:space="preserve"> ietvara uzlabojumiem ir būtiski samazināts. </w:t>
      </w:r>
      <w:r w:rsidR="00CF1B3A">
        <w:rPr>
          <w:rFonts w:ascii="Times New Roman" w:hAnsi="Times New Roman"/>
          <w:sz w:val="24"/>
          <w:szCs w:val="24"/>
        </w:rPr>
        <w:t xml:space="preserve">Tādējādi </w:t>
      </w:r>
      <w:r w:rsidR="00CF1B3A" w:rsidRPr="0020713B">
        <w:rPr>
          <w:rFonts w:ascii="Times New Roman" w:hAnsi="Times New Roman"/>
          <w:b/>
          <w:bCs/>
          <w:sz w:val="24"/>
          <w:szCs w:val="24"/>
        </w:rPr>
        <w:t>nav pamatoti šādam riskam</w:t>
      </w:r>
      <w:r w:rsidR="002B0C78" w:rsidRPr="0020713B">
        <w:rPr>
          <w:rFonts w:ascii="Times New Roman" w:hAnsi="Times New Roman"/>
          <w:b/>
          <w:bCs/>
          <w:sz w:val="24"/>
          <w:szCs w:val="24"/>
        </w:rPr>
        <w:t xml:space="preserve"> </w:t>
      </w:r>
      <w:r w:rsidR="00CF1B3A" w:rsidRPr="0020713B">
        <w:rPr>
          <w:rFonts w:ascii="Times New Roman" w:hAnsi="Times New Roman"/>
          <w:b/>
          <w:bCs/>
          <w:sz w:val="24"/>
          <w:szCs w:val="24"/>
        </w:rPr>
        <w:t>veidot fiskālā nodrošinājuma rezervi</w:t>
      </w:r>
      <w:r w:rsidR="00CF1B3A">
        <w:rPr>
          <w:rFonts w:ascii="Times New Roman" w:hAnsi="Times New Roman"/>
          <w:sz w:val="24"/>
          <w:szCs w:val="24"/>
        </w:rPr>
        <w:t xml:space="preserve">. Vienlaicīgi gadījumos, kad </w:t>
      </w:r>
      <w:r w:rsidR="002B0C78">
        <w:rPr>
          <w:rFonts w:ascii="Times New Roman" w:hAnsi="Times New Roman"/>
          <w:sz w:val="24"/>
          <w:szCs w:val="24"/>
        </w:rPr>
        <w:t>iestājas</w:t>
      </w:r>
      <w:r w:rsidR="00CF1B3A">
        <w:rPr>
          <w:rFonts w:ascii="Times New Roman" w:hAnsi="Times New Roman"/>
          <w:sz w:val="24"/>
          <w:szCs w:val="24"/>
        </w:rPr>
        <w:t xml:space="preserve"> noguldījumu nepieejamība un tiek izmaksāti līdzekļi no NGF, fiskālo risku vadības ietvaros būtu jāveic padziļināta analīze par potenciālajiem riskiem</w:t>
      </w:r>
      <w:r w:rsidR="002B0C78">
        <w:rPr>
          <w:rFonts w:ascii="Times New Roman" w:hAnsi="Times New Roman"/>
          <w:sz w:val="24"/>
          <w:szCs w:val="24"/>
        </w:rPr>
        <w:t xml:space="preserve"> un to mazināšanas pasākumiem</w:t>
      </w:r>
      <w:r w:rsidR="00CF1B3A">
        <w:rPr>
          <w:rFonts w:ascii="Times New Roman" w:hAnsi="Times New Roman"/>
          <w:sz w:val="24"/>
          <w:szCs w:val="24"/>
        </w:rPr>
        <w:t>, ņemot vērā pieredzi, kas gūta no iepriekšējiem garantēto atlīdzību izmaksu gadījumiem.</w:t>
      </w:r>
    </w:p>
    <w:p w14:paraId="35FBAA30" w14:textId="17BF3B2B" w:rsidR="0011094C" w:rsidRPr="0058124B" w:rsidRDefault="007E6F42" w:rsidP="005F336D">
      <w:pPr>
        <w:spacing w:after="0" w:line="240" w:lineRule="auto"/>
        <w:ind w:firstLine="720"/>
        <w:jc w:val="both"/>
        <w:rPr>
          <w:rFonts w:ascii="Times New Roman" w:hAnsi="Times New Roman"/>
          <w:sz w:val="24"/>
          <w:szCs w:val="24"/>
        </w:rPr>
      </w:pPr>
      <w:r>
        <w:rPr>
          <w:rFonts w:ascii="Times New Roman" w:hAnsi="Times New Roman"/>
          <w:sz w:val="24"/>
          <w:szCs w:val="24"/>
        </w:rPr>
        <w:t xml:space="preserve">Vienlaicīgi jāatzīmē, ka līdzekļu nepietiekamības gadījumā </w:t>
      </w:r>
      <w:r w:rsidRPr="0058124B">
        <w:rPr>
          <w:rFonts w:ascii="Times New Roman" w:hAnsi="Times New Roman"/>
          <w:sz w:val="24"/>
          <w:szCs w:val="24"/>
        </w:rPr>
        <w:t xml:space="preserve">NGF garantēto atlīdzību izmaksām saskaņā ar NGL Latvijas Banka var aizņemties Latvijas, </w:t>
      </w:r>
      <w:r>
        <w:rPr>
          <w:rFonts w:ascii="Times New Roman" w:hAnsi="Times New Roman"/>
          <w:sz w:val="24"/>
          <w:szCs w:val="24"/>
        </w:rPr>
        <w:t>ES</w:t>
      </w:r>
      <w:r w:rsidRPr="0058124B">
        <w:rPr>
          <w:rFonts w:ascii="Times New Roman" w:hAnsi="Times New Roman"/>
          <w:sz w:val="24"/>
          <w:szCs w:val="24"/>
        </w:rPr>
        <w:t xml:space="preserve"> vai ārvalstu finanšu tirg</w:t>
      </w:r>
      <w:r w:rsidR="006F0755">
        <w:rPr>
          <w:rFonts w:ascii="Times New Roman" w:hAnsi="Times New Roman"/>
          <w:sz w:val="24"/>
          <w:szCs w:val="24"/>
        </w:rPr>
        <w:t>os</w:t>
      </w:r>
      <w:r w:rsidRPr="0058124B">
        <w:rPr>
          <w:rFonts w:ascii="Times New Roman" w:hAnsi="Times New Roman"/>
          <w:sz w:val="24"/>
          <w:szCs w:val="24"/>
        </w:rPr>
        <w:t xml:space="preserve"> vai no citas dalībvalsts NGF. Ja līdzekļu</w:t>
      </w:r>
      <w:r>
        <w:rPr>
          <w:rFonts w:ascii="Times New Roman" w:hAnsi="Times New Roman"/>
          <w:sz w:val="24"/>
          <w:szCs w:val="24"/>
        </w:rPr>
        <w:t>s</w:t>
      </w:r>
      <w:r w:rsidRPr="0058124B">
        <w:rPr>
          <w:rFonts w:ascii="Times New Roman" w:hAnsi="Times New Roman"/>
          <w:sz w:val="24"/>
          <w:szCs w:val="24"/>
        </w:rPr>
        <w:t xml:space="preserve"> nav iespējams piesaistīt, tad aizdevumu pēc Latvijas Bankas pieprasījuma nodrošina kredītiestādes, kas ir NGF dalībnieces. Savukārt, ja, veicot minētās darbības, līdzekļu</w:t>
      </w:r>
      <w:r>
        <w:rPr>
          <w:rFonts w:ascii="Times New Roman" w:hAnsi="Times New Roman"/>
          <w:sz w:val="24"/>
          <w:szCs w:val="24"/>
        </w:rPr>
        <w:t>s</w:t>
      </w:r>
      <w:r w:rsidRPr="0058124B">
        <w:rPr>
          <w:rFonts w:ascii="Times New Roman" w:hAnsi="Times New Roman"/>
          <w:sz w:val="24"/>
          <w:szCs w:val="24"/>
        </w:rPr>
        <w:t xml:space="preserve"> nav izdevies piesaistīt, tad nepieciešamo </w:t>
      </w:r>
      <w:r w:rsidR="005E7953">
        <w:rPr>
          <w:rFonts w:ascii="Times New Roman" w:hAnsi="Times New Roman"/>
          <w:sz w:val="24"/>
          <w:szCs w:val="24"/>
        </w:rPr>
        <w:t>finansējumu</w:t>
      </w:r>
      <w:r w:rsidRPr="0058124B">
        <w:rPr>
          <w:rFonts w:ascii="Times New Roman" w:hAnsi="Times New Roman"/>
          <w:sz w:val="24"/>
          <w:szCs w:val="24"/>
        </w:rPr>
        <w:t xml:space="preserve"> </w:t>
      </w:r>
      <w:r w:rsidR="005E7953">
        <w:rPr>
          <w:rFonts w:ascii="Times New Roman" w:hAnsi="Times New Roman"/>
          <w:sz w:val="24"/>
          <w:szCs w:val="24"/>
        </w:rPr>
        <w:t>piešķir</w:t>
      </w:r>
      <w:r w:rsidRPr="0058124B">
        <w:rPr>
          <w:rFonts w:ascii="Times New Roman" w:hAnsi="Times New Roman"/>
          <w:sz w:val="24"/>
          <w:szCs w:val="24"/>
        </w:rPr>
        <w:t xml:space="preserve"> apropriācijas kārtībā vai aizdevuma veidā no valsts budžeta līdzekļiem.  </w:t>
      </w:r>
      <w:r w:rsidR="00380973">
        <w:rPr>
          <w:rFonts w:ascii="Times New Roman" w:hAnsi="Times New Roman"/>
          <w:sz w:val="24"/>
          <w:szCs w:val="24"/>
        </w:rPr>
        <w:t xml:space="preserve">Deklarācijas izstrādes brīdi NGF bija pieejami līdzekļi visu aktuālo </w:t>
      </w:r>
      <w:r w:rsidR="00775590">
        <w:rPr>
          <w:rFonts w:ascii="Times New Roman" w:hAnsi="Times New Roman"/>
          <w:sz w:val="24"/>
          <w:szCs w:val="24"/>
        </w:rPr>
        <w:t>izmaksu gadījumiem, kā arī pastāvēja nozīmīga finanšu rezerve</w:t>
      </w:r>
      <w:r w:rsidR="00775590">
        <w:rPr>
          <w:rStyle w:val="FootnoteReference"/>
          <w:rFonts w:ascii="Times New Roman" w:hAnsi="Times New Roman"/>
          <w:sz w:val="24"/>
          <w:szCs w:val="24"/>
        </w:rPr>
        <w:footnoteReference w:id="22"/>
      </w:r>
      <w:r w:rsidR="00775590">
        <w:rPr>
          <w:rFonts w:ascii="Times New Roman" w:hAnsi="Times New Roman"/>
          <w:sz w:val="24"/>
          <w:szCs w:val="24"/>
        </w:rPr>
        <w:t xml:space="preserve">. </w:t>
      </w:r>
    </w:p>
    <w:p w14:paraId="128AA11A" w14:textId="06F104E1" w:rsidR="005F336D" w:rsidRPr="002D428D" w:rsidRDefault="007414EC" w:rsidP="001C210B">
      <w:pPr>
        <w:spacing w:after="0" w:line="240" w:lineRule="auto"/>
        <w:ind w:firstLine="720"/>
        <w:jc w:val="both"/>
        <w:rPr>
          <w:rFonts w:ascii="Times New Roman" w:hAnsi="Times New Roman"/>
          <w:b/>
          <w:bCs/>
          <w:sz w:val="24"/>
          <w:szCs w:val="24"/>
        </w:rPr>
      </w:pPr>
      <w:r>
        <w:rPr>
          <w:rFonts w:ascii="Times New Roman" w:hAnsi="Times New Roman"/>
          <w:sz w:val="24"/>
          <w:szCs w:val="24"/>
        </w:rPr>
        <w:t>Papildus</w:t>
      </w:r>
      <w:r w:rsidR="007869F2">
        <w:rPr>
          <w:rFonts w:ascii="Times New Roman" w:hAnsi="Times New Roman"/>
          <w:sz w:val="24"/>
          <w:szCs w:val="24"/>
        </w:rPr>
        <w:t xml:space="preserve"> iepriekš minētājam riskam</w:t>
      </w:r>
      <w:r w:rsidR="00AB1FD7">
        <w:rPr>
          <w:rFonts w:ascii="Times New Roman" w:hAnsi="Times New Roman"/>
          <w:sz w:val="24"/>
          <w:szCs w:val="24"/>
        </w:rPr>
        <w:t>, fiskālais risks var rasties no faktisko NGF ieņēmumu novirz</w:t>
      </w:r>
      <w:r w:rsidR="007869F2">
        <w:rPr>
          <w:rFonts w:ascii="Times New Roman" w:hAnsi="Times New Roman"/>
          <w:sz w:val="24"/>
          <w:szCs w:val="24"/>
        </w:rPr>
        <w:t>ēm</w:t>
      </w:r>
      <w:r w:rsidR="00AB1FD7">
        <w:rPr>
          <w:rFonts w:ascii="Times New Roman" w:hAnsi="Times New Roman"/>
          <w:sz w:val="24"/>
          <w:szCs w:val="24"/>
        </w:rPr>
        <w:t xml:space="preserve"> no </w:t>
      </w:r>
      <w:r w:rsidR="007869F2">
        <w:rPr>
          <w:rFonts w:ascii="Times New Roman" w:hAnsi="Times New Roman"/>
          <w:sz w:val="24"/>
          <w:szCs w:val="24"/>
        </w:rPr>
        <w:t xml:space="preserve">to </w:t>
      </w:r>
      <w:r w:rsidR="00AB1FD7">
        <w:rPr>
          <w:rFonts w:ascii="Times New Roman" w:hAnsi="Times New Roman"/>
          <w:sz w:val="24"/>
          <w:szCs w:val="24"/>
        </w:rPr>
        <w:t>plānotajām vērtībām.</w:t>
      </w:r>
      <w:r w:rsidR="007869F2">
        <w:rPr>
          <w:rFonts w:ascii="Times New Roman" w:hAnsi="Times New Roman"/>
          <w:sz w:val="24"/>
          <w:szCs w:val="24"/>
        </w:rPr>
        <w:t xml:space="preserve"> Tā kā fiskālajās prognozēs NGF plūsmas </w:t>
      </w:r>
      <w:r w:rsidR="00380194">
        <w:rPr>
          <w:rFonts w:ascii="Times New Roman" w:hAnsi="Times New Roman"/>
          <w:sz w:val="24"/>
          <w:szCs w:val="24"/>
        </w:rPr>
        <w:t xml:space="preserve">tiek integrētas tikai no 2018.gada datu laika rinda nav pietiekami reprezentatīva, lai varētu izdarīt pārliecinošus secinājumus </w:t>
      </w:r>
      <w:r w:rsidR="00380194">
        <w:rPr>
          <w:rFonts w:ascii="Times New Roman" w:hAnsi="Times New Roman"/>
          <w:sz w:val="24"/>
          <w:szCs w:val="24"/>
        </w:rPr>
        <w:lastRenderedPageBreak/>
        <w:t xml:space="preserve">par to. </w:t>
      </w:r>
      <w:r>
        <w:rPr>
          <w:rFonts w:ascii="Times New Roman" w:hAnsi="Times New Roman"/>
          <w:sz w:val="24"/>
          <w:szCs w:val="24"/>
        </w:rPr>
        <w:t xml:space="preserve">Vienlaicīgi faktisko ieņēmumu novirzēm no to prognozētajām vērtībām vajadzētu uzrādīt simetriskuma principu līdzvērtīgi kā tas ir citu fiskālo risku gadījumā. </w:t>
      </w:r>
    </w:p>
    <w:p w14:paraId="7B06A070" w14:textId="77777777" w:rsidR="00DA1F74" w:rsidRDefault="00DA1F74" w:rsidP="00497710">
      <w:pPr>
        <w:spacing w:after="0" w:line="240" w:lineRule="auto"/>
        <w:jc w:val="right"/>
        <w:rPr>
          <w:rFonts w:ascii="Times New Roman" w:hAnsi="Times New Roman" w:cs="Times New Roman"/>
          <w:b/>
          <w:sz w:val="24"/>
          <w:szCs w:val="24"/>
        </w:rPr>
      </w:pPr>
    </w:p>
    <w:p w14:paraId="372DD085" w14:textId="02563FE7" w:rsidR="001C210B" w:rsidRPr="0021152B" w:rsidRDefault="001C210B" w:rsidP="00497710">
      <w:pPr>
        <w:spacing w:after="120"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Tabula Nr.</w:t>
      </w:r>
      <w:r w:rsidR="0077673B">
        <w:rPr>
          <w:rFonts w:ascii="Times New Roman" w:hAnsi="Times New Roman" w:cs="Times New Roman"/>
          <w:b/>
          <w:sz w:val="24"/>
          <w:szCs w:val="24"/>
        </w:rPr>
        <w:t>2.14.1</w:t>
      </w:r>
      <w:r w:rsidRPr="0021152B">
        <w:rPr>
          <w:rFonts w:ascii="Times New Roman" w:hAnsi="Times New Roman" w:cs="Times New Roman"/>
          <w:b/>
          <w:sz w:val="24"/>
          <w:szCs w:val="24"/>
        </w:rPr>
        <w:t xml:space="preserve"> </w:t>
      </w:r>
      <w:r w:rsidR="0073302B">
        <w:rPr>
          <w:rFonts w:ascii="Times New Roman" w:hAnsi="Times New Roman" w:cs="Times New Roman"/>
          <w:b/>
          <w:sz w:val="24"/>
          <w:szCs w:val="24"/>
        </w:rPr>
        <w:t xml:space="preserve"> NGF</w:t>
      </w:r>
      <w:r>
        <w:rPr>
          <w:rFonts w:ascii="Times New Roman" w:hAnsi="Times New Roman" w:cs="Times New Roman"/>
          <w:b/>
          <w:sz w:val="24"/>
          <w:szCs w:val="24"/>
        </w:rPr>
        <w:t xml:space="preserve"> ietekme uz vispārējās valdības budžeta bilanci</w:t>
      </w:r>
      <w:r w:rsidRPr="0021152B">
        <w:rPr>
          <w:rFonts w:ascii="Times New Roman" w:hAnsi="Times New Roman" w:cs="Times New Roman"/>
          <w:b/>
          <w:sz w:val="24"/>
          <w:szCs w:val="24"/>
        </w:rPr>
        <w:t>,</w:t>
      </w:r>
      <w:r>
        <w:rPr>
          <w:rFonts w:ascii="Times New Roman" w:hAnsi="Times New Roman" w:cs="Times New Roman"/>
          <w:b/>
          <w:sz w:val="24"/>
          <w:szCs w:val="24"/>
        </w:rPr>
        <w:t xml:space="preserve"> milj.</w:t>
      </w:r>
      <w:r w:rsidRPr="0021152B">
        <w:rPr>
          <w:rFonts w:ascii="Times New Roman" w:hAnsi="Times New Roman" w:cs="Times New Roman"/>
          <w:b/>
          <w:sz w:val="24"/>
          <w:szCs w:val="24"/>
        </w:rPr>
        <w:t xml:space="preserve"> </w:t>
      </w:r>
      <w:proofErr w:type="spellStart"/>
      <w:r w:rsidRPr="0021152B">
        <w:rPr>
          <w:rFonts w:ascii="Times New Roman" w:hAnsi="Times New Roman" w:cs="Times New Roman"/>
          <w:b/>
          <w:i/>
          <w:sz w:val="24"/>
          <w:szCs w:val="24"/>
        </w:rPr>
        <w:t>euro</w:t>
      </w:r>
      <w:proofErr w:type="spellEnd"/>
    </w:p>
    <w:tbl>
      <w:tblPr>
        <w:tblStyle w:val="GridTable6Colorful-Accent1"/>
        <w:tblW w:w="9733" w:type="dxa"/>
        <w:tblInd w:w="-5" w:type="dxa"/>
        <w:tblLayout w:type="fixed"/>
        <w:tblLook w:val="04A0" w:firstRow="1" w:lastRow="0" w:firstColumn="1" w:lastColumn="0" w:noHBand="0" w:noVBand="1"/>
      </w:tblPr>
      <w:tblGrid>
        <w:gridCol w:w="2093"/>
        <w:gridCol w:w="955"/>
        <w:gridCol w:w="955"/>
        <w:gridCol w:w="955"/>
        <w:gridCol w:w="955"/>
        <w:gridCol w:w="955"/>
        <w:gridCol w:w="955"/>
        <w:gridCol w:w="955"/>
        <w:gridCol w:w="955"/>
      </w:tblGrid>
      <w:tr w:rsidR="00656DCF" w:rsidRPr="0021152B" w14:paraId="7A44C12D" w14:textId="355AD379" w:rsidTr="00497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73A5414D" w14:textId="77777777" w:rsidR="0069481F" w:rsidRPr="0021152B" w:rsidRDefault="0069481F" w:rsidP="00C906CF">
            <w:pPr>
              <w:ind w:hanging="90"/>
              <w:jc w:val="center"/>
              <w:rPr>
                <w:rFonts w:ascii="Times New Roman" w:hAnsi="Times New Roman" w:cs="Times New Roman"/>
                <w:color w:val="000000" w:themeColor="text1"/>
              </w:rPr>
            </w:pPr>
          </w:p>
        </w:tc>
        <w:tc>
          <w:tcPr>
            <w:tcW w:w="567" w:type="dxa"/>
          </w:tcPr>
          <w:p w14:paraId="25C70FA6"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2007</w:t>
            </w:r>
          </w:p>
        </w:tc>
        <w:tc>
          <w:tcPr>
            <w:tcW w:w="567" w:type="dxa"/>
          </w:tcPr>
          <w:p w14:paraId="60B023B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2008</w:t>
            </w:r>
          </w:p>
        </w:tc>
        <w:tc>
          <w:tcPr>
            <w:tcW w:w="567" w:type="dxa"/>
          </w:tcPr>
          <w:p w14:paraId="60568668"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2009</w:t>
            </w:r>
          </w:p>
        </w:tc>
        <w:tc>
          <w:tcPr>
            <w:tcW w:w="567" w:type="dxa"/>
          </w:tcPr>
          <w:p w14:paraId="726F31B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2010</w:t>
            </w:r>
          </w:p>
        </w:tc>
        <w:tc>
          <w:tcPr>
            <w:tcW w:w="567" w:type="dxa"/>
          </w:tcPr>
          <w:p w14:paraId="2ED28BC7"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2011</w:t>
            </w:r>
          </w:p>
        </w:tc>
        <w:tc>
          <w:tcPr>
            <w:tcW w:w="567" w:type="dxa"/>
          </w:tcPr>
          <w:p w14:paraId="5E490C8F"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2012</w:t>
            </w:r>
          </w:p>
        </w:tc>
        <w:tc>
          <w:tcPr>
            <w:tcW w:w="567" w:type="dxa"/>
          </w:tcPr>
          <w:p w14:paraId="3373BDCA"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2013</w:t>
            </w:r>
          </w:p>
        </w:tc>
        <w:tc>
          <w:tcPr>
            <w:tcW w:w="567" w:type="dxa"/>
          </w:tcPr>
          <w:p w14:paraId="786F91DC" w14:textId="6CE133CB" w:rsidR="0069481F"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2014</w:t>
            </w:r>
          </w:p>
        </w:tc>
      </w:tr>
      <w:tr w:rsidR="00656DCF" w:rsidRPr="0021152B" w14:paraId="0FCF7168" w14:textId="6B3B9B02" w:rsidTr="00497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3AB3D089" w14:textId="77777777" w:rsidR="0069481F" w:rsidRPr="0021152B" w:rsidRDefault="0069481F" w:rsidP="00C906CF">
            <w:pPr>
              <w:ind w:hanging="90"/>
              <w:jc w:val="center"/>
              <w:rPr>
                <w:rFonts w:ascii="Times New Roman" w:hAnsi="Times New Roman" w:cs="Times New Roman"/>
                <w:color w:val="000000" w:themeColor="text1"/>
              </w:rPr>
            </w:pPr>
            <w:r>
              <w:rPr>
                <w:rFonts w:ascii="Times New Roman" w:hAnsi="Times New Roman" w:cs="Times New Roman"/>
                <w:color w:val="000000" w:themeColor="text1"/>
              </w:rPr>
              <w:t>Ietekme</w:t>
            </w:r>
          </w:p>
        </w:tc>
        <w:tc>
          <w:tcPr>
            <w:tcW w:w="567" w:type="dxa"/>
            <w:vAlign w:val="center"/>
          </w:tcPr>
          <w:p w14:paraId="1F53F4E8"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25,6</w:t>
            </w:r>
          </w:p>
        </w:tc>
        <w:tc>
          <w:tcPr>
            <w:tcW w:w="567" w:type="dxa"/>
            <w:vAlign w:val="center"/>
          </w:tcPr>
          <w:p w14:paraId="72E739A7"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29,9</w:t>
            </w:r>
          </w:p>
        </w:tc>
        <w:tc>
          <w:tcPr>
            <w:tcW w:w="567" w:type="dxa"/>
            <w:vAlign w:val="center"/>
          </w:tcPr>
          <w:p w14:paraId="2B9B9F8D"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29,5</w:t>
            </w:r>
          </w:p>
        </w:tc>
        <w:tc>
          <w:tcPr>
            <w:tcW w:w="567" w:type="dxa"/>
            <w:vAlign w:val="center"/>
          </w:tcPr>
          <w:p w14:paraId="0C449CA6"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35,2</w:t>
            </w:r>
          </w:p>
        </w:tc>
        <w:tc>
          <w:tcPr>
            <w:tcW w:w="567" w:type="dxa"/>
            <w:vAlign w:val="center"/>
          </w:tcPr>
          <w:p w14:paraId="3F3A372A" w14:textId="17DB11E1" w:rsidR="0069481F" w:rsidRPr="001D0BDB" w:rsidRDefault="0069481F" w:rsidP="00B71617">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w:t>
            </w:r>
            <w:r w:rsidR="008C46EC" w:rsidRPr="00BB69DC">
              <w:rPr>
                <w:rFonts w:ascii="Times New Roman" w:hAnsi="Times New Roman" w:cs="Times New Roman"/>
                <w:color w:val="000000"/>
              </w:rPr>
              <w:t>13</w:t>
            </w:r>
            <w:r w:rsidR="008C46EC">
              <w:rPr>
                <w:rFonts w:ascii="Times New Roman" w:hAnsi="Times New Roman" w:cs="Times New Roman"/>
                <w:color w:val="000000"/>
              </w:rPr>
              <w:t>3</w:t>
            </w:r>
            <w:r w:rsidRPr="00BB69DC">
              <w:rPr>
                <w:rFonts w:ascii="Times New Roman" w:hAnsi="Times New Roman" w:cs="Times New Roman"/>
                <w:color w:val="000000"/>
              </w:rPr>
              <w:t>,</w:t>
            </w:r>
            <w:r w:rsidR="008C46EC">
              <w:rPr>
                <w:rFonts w:ascii="Times New Roman" w:hAnsi="Times New Roman" w:cs="Times New Roman"/>
                <w:color w:val="000000"/>
              </w:rPr>
              <w:t>0</w:t>
            </w:r>
          </w:p>
        </w:tc>
        <w:tc>
          <w:tcPr>
            <w:tcW w:w="567" w:type="dxa"/>
            <w:vAlign w:val="center"/>
          </w:tcPr>
          <w:p w14:paraId="37631C34"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40,5</w:t>
            </w:r>
          </w:p>
        </w:tc>
        <w:tc>
          <w:tcPr>
            <w:tcW w:w="567" w:type="dxa"/>
            <w:vAlign w:val="center"/>
          </w:tcPr>
          <w:p w14:paraId="703DB77A"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31,7</w:t>
            </w:r>
          </w:p>
        </w:tc>
        <w:tc>
          <w:tcPr>
            <w:tcW w:w="567" w:type="dxa"/>
            <w:vAlign w:val="center"/>
          </w:tcPr>
          <w:p w14:paraId="68B67FC1" w14:textId="762D9A7C" w:rsidR="0069481F" w:rsidRPr="00BB69DC"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34,5</w:t>
            </w:r>
          </w:p>
        </w:tc>
      </w:tr>
    </w:tbl>
    <w:p w14:paraId="514B199E" w14:textId="77777777" w:rsidR="001C210B" w:rsidRDefault="001C210B" w:rsidP="001C210B">
      <w:pPr>
        <w:spacing w:after="0" w:line="240" w:lineRule="auto"/>
        <w:ind w:hanging="90"/>
        <w:jc w:val="center"/>
        <w:rPr>
          <w:rFonts w:ascii="Times New Roman" w:hAnsi="Times New Roman"/>
          <w:sz w:val="24"/>
          <w:szCs w:val="24"/>
        </w:rPr>
      </w:pPr>
    </w:p>
    <w:tbl>
      <w:tblPr>
        <w:tblStyle w:val="GridTable6Colorful-Accent1"/>
        <w:tblW w:w="9639" w:type="dxa"/>
        <w:tblInd w:w="-5" w:type="dxa"/>
        <w:tblLayout w:type="fixed"/>
        <w:tblLook w:val="04A0" w:firstRow="1" w:lastRow="0" w:firstColumn="1" w:lastColumn="0" w:noHBand="0" w:noVBand="1"/>
      </w:tblPr>
      <w:tblGrid>
        <w:gridCol w:w="2466"/>
        <w:gridCol w:w="896"/>
        <w:gridCol w:w="896"/>
        <w:gridCol w:w="896"/>
        <w:gridCol w:w="897"/>
        <w:gridCol w:w="897"/>
        <w:gridCol w:w="897"/>
        <w:gridCol w:w="897"/>
        <w:gridCol w:w="897"/>
      </w:tblGrid>
      <w:tr w:rsidR="000B6512" w:rsidRPr="0021152B" w14:paraId="16E95182" w14:textId="2A0EC9A2" w:rsidTr="00497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922B2CA" w14:textId="77777777" w:rsidR="0069481F" w:rsidRPr="0021152B" w:rsidRDefault="0069481F" w:rsidP="00C906CF">
            <w:pPr>
              <w:ind w:hanging="90"/>
              <w:jc w:val="center"/>
              <w:rPr>
                <w:rFonts w:ascii="Times New Roman" w:hAnsi="Times New Roman" w:cs="Times New Roman"/>
                <w:color w:val="000000" w:themeColor="text1"/>
              </w:rPr>
            </w:pPr>
          </w:p>
        </w:tc>
        <w:tc>
          <w:tcPr>
            <w:tcW w:w="567" w:type="dxa"/>
          </w:tcPr>
          <w:p w14:paraId="3AA7C2DC"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2015</w:t>
            </w:r>
          </w:p>
        </w:tc>
        <w:tc>
          <w:tcPr>
            <w:tcW w:w="567" w:type="dxa"/>
          </w:tcPr>
          <w:p w14:paraId="50EB3DD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2016</w:t>
            </w:r>
          </w:p>
        </w:tc>
        <w:tc>
          <w:tcPr>
            <w:tcW w:w="567" w:type="dxa"/>
          </w:tcPr>
          <w:p w14:paraId="6BAFA190"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2017</w:t>
            </w:r>
          </w:p>
        </w:tc>
        <w:tc>
          <w:tcPr>
            <w:tcW w:w="567" w:type="dxa"/>
          </w:tcPr>
          <w:p w14:paraId="4BD61051"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2018</w:t>
            </w:r>
          </w:p>
        </w:tc>
        <w:tc>
          <w:tcPr>
            <w:tcW w:w="567" w:type="dxa"/>
          </w:tcPr>
          <w:p w14:paraId="6E3CC8C4"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2019</w:t>
            </w:r>
          </w:p>
        </w:tc>
        <w:tc>
          <w:tcPr>
            <w:tcW w:w="567" w:type="dxa"/>
          </w:tcPr>
          <w:p w14:paraId="2CEF032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2020</w:t>
            </w:r>
          </w:p>
        </w:tc>
        <w:tc>
          <w:tcPr>
            <w:tcW w:w="567" w:type="dxa"/>
          </w:tcPr>
          <w:p w14:paraId="685819F9" w14:textId="77777777" w:rsidR="0069481F" w:rsidRPr="00C01DD8"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DD8">
              <w:rPr>
                <w:rFonts w:ascii="Times New Roman" w:hAnsi="Times New Roman" w:cs="Times New Roman"/>
                <w:color w:val="000000" w:themeColor="text1"/>
              </w:rPr>
              <w:t>2021</w:t>
            </w:r>
          </w:p>
        </w:tc>
        <w:tc>
          <w:tcPr>
            <w:tcW w:w="567" w:type="dxa"/>
          </w:tcPr>
          <w:p w14:paraId="145A1DC0" w14:textId="345B11D3" w:rsidR="0069481F"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2022</w:t>
            </w:r>
            <w:r w:rsidR="007B62DA" w:rsidRPr="002B2666">
              <w:rPr>
                <w:rFonts w:eastAsia="Times New Roman" w:cs="Times New Roman"/>
                <w:color w:val="000000" w:themeColor="text1"/>
                <w:lang w:eastAsia="lv-LV"/>
              </w:rPr>
              <w:t>*</w:t>
            </w:r>
          </w:p>
        </w:tc>
      </w:tr>
      <w:tr w:rsidR="000B6512" w:rsidRPr="0021152B" w14:paraId="4840E193" w14:textId="603416AE" w:rsidTr="00497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FE898DC" w14:textId="77777777" w:rsidR="0069481F" w:rsidRPr="0021152B" w:rsidRDefault="0069481F" w:rsidP="00C906CF">
            <w:pPr>
              <w:ind w:hanging="90"/>
              <w:jc w:val="center"/>
              <w:rPr>
                <w:rFonts w:ascii="Times New Roman" w:hAnsi="Times New Roman" w:cs="Times New Roman"/>
                <w:color w:val="000000" w:themeColor="text1"/>
              </w:rPr>
            </w:pPr>
            <w:r>
              <w:rPr>
                <w:rFonts w:ascii="Times New Roman" w:hAnsi="Times New Roman" w:cs="Times New Roman"/>
                <w:color w:val="000000" w:themeColor="text1"/>
              </w:rPr>
              <w:t>Ietekme</w:t>
            </w:r>
          </w:p>
        </w:tc>
        <w:tc>
          <w:tcPr>
            <w:tcW w:w="567" w:type="dxa"/>
            <w:vAlign w:val="center"/>
          </w:tcPr>
          <w:p w14:paraId="5F42F95B"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27,5</w:t>
            </w:r>
          </w:p>
        </w:tc>
        <w:tc>
          <w:tcPr>
            <w:tcW w:w="567" w:type="dxa"/>
            <w:vAlign w:val="center"/>
          </w:tcPr>
          <w:p w14:paraId="2764FE6A"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15,6</w:t>
            </w:r>
          </w:p>
        </w:tc>
        <w:tc>
          <w:tcPr>
            <w:tcW w:w="567" w:type="dxa"/>
            <w:vAlign w:val="center"/>
          </w:tcPr>
          <w:p w14:paraId="6880E0A1"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16,7</w:t>
            </w:r>
          </w:p>
        </w:tc>
        <w:tc>
          <w:tcPr>
            <w:tcW w:w="567" w:type="dxa"/>
            <w:vAlign w:val="center"/>
          </w:tcPr>
          <w:p w14:paraId="33365C34" w14:textId="77777777" w:rsidR="0069481F" w:rsidRPr="001D0BDB" w:rsidRDefault="0069481F" w:rsidP="00B71617">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14,1</w:t>
            </w:r>
          </w:p>
        </w:tc>
        <w:tc>
          <w:tcPr>
            <w:tcW w:w="567" w:type="dxa"/>
            <w:vAlign w:val="center"/>
          </w:tcPr>
          <w:p w14:paraId="477BF6F4"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13,5</w:t>
            </w:r>
          </w:p>
        </w:tc>
        <w:tc>
          <w:tcPr>
            <w:tcW w:w="567" w:type="dxa"/>
            <w:vAlign w:val="center"/>
          </w:tcPr>
          <w:p w14:paraId="79BDD417" w14:textId="482813B9"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18,</w:t>
            </w:r>
            <w:r>
              <w:rPr>
                <w:rFonts w:ascii="Times New Roman" w:hAnsi="Times New Roman" w:cs="Times New Roman"/>
                <w:color w:val="000000"/>
              </w:rPr>
              <w:t>3</w:t>
            </w:r>
          </w:p>
        </w:tc>
        <w:tc>
          <w:tcPr>
            <w:tcW w:w="567" w:type="dxa"/>
            <w:vAlign w:val="center"/>
          </w:tcPr>
          <w:p w14:paraId="027E7450" w14:textId="77777777" w:rsidR="0069481F" w:rsidRPr="00C01DD8"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01DD8">
              <w:rPr>
                <w:rFonts w:ascii="Times New Roman" w:hAnsi="Times New Roman" w:cs="Times New Roman"/>
                <w:color w:val="000000"/>
              </w:rPr>
              <w:t>-47,3</w:t>
            </w:r>
          </w:p>
        </w:tc>
        <w:tc>
          <w:tcPr>
            <w:tcW w:w="567" w:type="dxa"/>
            <w:vAlign w:val="center"/>
          </w:tcPr>
          <w:p w14:paraId="4956F970" w14:textId="6DFB843A" w:rsidR="0069481F" w:rsidRDefault="007B62DA"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21,8</w:t>
            </w:r>
          </w:p>
        </w:tc>
      </w:tr>
      <w:tr w:rsidR="000B6512" w:rsidRPr="0021152B" w14:paraId="01DF9C51" w14:textId="28AC0A91" w:rsidTr="00497710">
        <w:tc>
          <w:tcPr>
            <w:cnfStyle w:val="001000000000" w:firstRow="0" w:lastRow="0" w:firstColumn="1" w:lastColumn="0" w:oddVBand="0" w:evenVBand="0" w:oddHBand="0" w:evenHBand="0" w:firstRowFirstColumn="0" w:firstRowLastColumn="0" w:lastRowFirstColumn="0" w:lastRowLastColumn="0"/>
            <w:tcW w:w="1560" w:type="dxa"/>
          </w:tcPr>
          <w:p w14:paraId="5968BE20" w14:textId="37BF4C4E" w:rsidR="0069481F" w:rsidRDefault="0069481F" w:rsidP="00FC2B11">
            <w:pPr>
              <w:ind w:hanging="90"/>
              <w:jc w:val="center"/>
              <w:rPr>
                <w:rFonts w:ascii="Times New Roman" w:hAnsi="Times New Roman" w:cs="Times New Roman"/>
                <w:color w:val="000000" w:themeColor="text1"/>
              </w:rPr>
            </w:pPr>
            <w:r>
              <w:rPr>
                <w:rFonts w:ascii="Times New Roman" w:hAnsi="Times New Roman" w:cs="Times New Roman"/>
                <w:color w:val="000000" w:themeColor="text1"/>
              </w:rPr>
              <w:t>Prognoze</w:t>
            </w:r>
          </w:p>
        </w:tc>
        <w:tc>
          <w:tcPr>
            <w:tcW w:w="567" w:type="dxa"/>
            <w:vAlign w:val="center"/>
          </w:tcPr>
          <w:p w14:paraId="5BBEE0EA" w14:textId="34568947"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center"/>
          </w:tcPr>
          <w:p w14:paraId="44C7550A" w14:textId="3B07BED8"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center"/>
          </w:tcPr>
          <w:p w14:paraId="2E1626EB" w14:textId="782DDB79"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center"/>
          </w:tcPr>
          <w:p w14:paraId="22DFC763" w14:textId="3EA6F9A0" w:rsidR="0069481F" w:rsidRPr="00BB69DC" w:rsidRDefault="0069481F" w:rsidP="00B71617">
            <w:pPr>
              <w:ind w:right="-77"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16,0</w:t>
            </w:r>
          </w:p>
        </w:tc>
        <w:tc>
          <w:tcPr>
            <w:tcW w:w="567" w:type="dxa"/>
            <w:vAlign w:val="center"/>
          </w:tcPr>
          <w:p w14:paraId="7DF0D569" w14:textId="66BF5941"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15,5</w:t>
            </w:r>
          </w:p>
        </w:tc>
        <w:tc>
          <w:tcPr>
            <w:tcW w:w="567" w:type="dxa"/>
            <w:vAlign w:val="center"/>
          </w:tcPr>
          <w:p w14:paraId="1B38230B" w14:textId="2EE6F949"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18,9</w:t>
            </w:r>
          </w:p>
        </w:tc>
        <w:tc>
          <w:tcPr>
            <w:tcW w:w="567" w:type="dxa"/>
            <w:vAlign w:val="center"/>
          </w:tcPr>
          <w:p w14:paraId="53A52740" w14:textId="1E8F97D0" w:rsidR="0069481F" w:rsidRPr="00C01DD8"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C01DD8">
              <w:rPr>
                <w:rFonts w:ascii="Times New Roman" w:hAnsi="Times New Roman" w:cs="Times New Roman"/>
                <w:color w:val="000000"/>
              </w:rPr>
              <w:t>16,9</w:t>
            </w:r>
          </w:p>
        </w:tc>
        <w:tc>
          <w:tcPr>
            <w:tcW w:w="567" w:type="dxa"/>
            <w:vAlign w:val="center"/>
          </w:tcPr>
          <w:p w14:paraId="6B1E1E16" w14:textId="08B6D5BC" w:rsidR="0069481F" w:rsidRPr="007B62DA" w:rsidRDefault="00273A38"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97710">
              <w:rPr>
                <w:rFonts w:ascii="Times New Roman" w:hAnsi="Times New Roman" w:cs="Times New Roman"/>
                <w:color w:val="000000"/>
              </w:rPr>
              <w:t>19,9</w:t>
            </w:r>
          </w:p>
        </w:tc>
      </w:tr>
      <w:tr w:rsidR="000B6512" w:rsidRPr="0021152B" w14:paraId="3B3A5B23" w14:textId="7D7521C8" w:rsidTr="00497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A50645F" w14:textId="16B38E2E" w:rsidR="0069481F" w:rsidRDefault="0069481F" w:rsidP="00C906CF">
            <w:pPr>
              <w:ind w:hanging="90"/>
              <w:jc w:val="center"/>
              <w:rPr>
                <w:rFonts w:ascii="Times New Roman" w:hAnsi="Times New Roman" w:cs="Times New Roman"/>
                <w:color w:val="000000" w:themeColor="text1"/>
              </w:rPr>
            </w:pPr>
            <w:r>
              <w:rPr>
                <w:rFonts w:ascii="Times New Roman" w:hAnsi="Times New Roman" w:cs="Times New Roman"/>
                <w:color w:val="000000" w:themeColor="text1"/>
              </w:rPr>
              <w:t>Novirze</w:t>
            </w:r>
          </w:p>
        </w:tc>
        <w:tc>
          <w:tcPr>
            <w:tcW w:w="567" w:type="dxa"/>
            <w:vAlign w:val="bottom"/>
          </w:tcPr>
          <w:p w14:paraId="5AB45302" w14:textId="31F4F9B6" w:rsidR="0069481F" w:rsidRPr="00BB69DC"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bottom"/>
          </w:tcPr>
          <w:p w14:paraId="52E164B8" w14:textId="5BDA1B38" w:rsidR="0069481F" w:rsidRPr="00BB69DC"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bottom"/>
          </w:tcPr>
          <w:p w14:paraId="2BE1BD63" w14:textId="53DE8701" w:rsidR="0069481F" w:rsidRPr="00BB69DC"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tcPr>
          <w:p w14:paraId="0E2B50F1" w14:textId="04EA0BAA" w:rsidR="0069481F" w:rsidRPr="0058124B" w:rsidRDefault="0069481F" w:rsidP="00C906CF">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58124B">
              <w:rPr>
                <w:rFonts w:ascii="Times New Roman" w:hAnsi="Times New Roman" w:cs="Times New Roman"/>
                <w:b/>
                <w:bCs/>
                <w:color w:val="000000"/>
              </w:rPr>
              <w:t>-1,9</w:t>
            </w:r>
          </w:p>
        </w:tc>
        <w:tc>
          <w:tcPr>
            <w:tcW w:w="567" w:type="dxa"/>
          </w:tcPr>
          <w:p w14:paraId="2ECCD617" w14:textId="08E32E5E" w:rsidR="0069481F" w:rsidRPr="0058124B"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58124B">
              <w:rPr>
                <w:rFonts w:ascii="Times New Roman" w:hAnsi="Times New Roman" w:cs="Times New Roman"/>
                <w:b/>
                <w:bCs/>
                <w:color w:val="000000"/>
              </w:rPr>
              <w:t>-2,0</w:t>
            </w:r>
          </w:p>
        </w:tc>
        <w:tc>
          <w:tcPr>
            <w:tcW w:w="567" w:type="dxa"/>
          </w:tcPr>
          <w:p w14:paraId="033DEE1A" w14:textId="06AEEDE3" w:rsidR="0069481F" w:rsidRPr="0058124B"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58124B">
              <w:rPr>
                <w:rFonts w:ascii="Times New Roman" w:hAnsi="Times New Roman" w:cs="Times New Roman"/>
                <w:b/>
                <w:bCs/>
                <w:color w:val="000000"/>
              </w:rPr>
              <w:t>-0,6</w:t>
            </w:r>
          </w:p>
        </w:tc>
        <w:tc>
          <w:tcPr>
            <w:tcW w:w="567" w:type="dxa"/>
          </w:tcPr>
          <w:p w14:paraId="79E40254" w14:textId="5F16EC6D" w:rsidR="0069481F" w:rsidRPr="002D428D" w:rsidRDefault="00C01DD8"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highlight w:val="yellow"/>
              </w:rPr>
            </w:pPr>
            <w:r w:rsidRPr="002D428D">
              <w:rPr>
                <w:rFonts w:ascii="Times New Roman" w:hAnsi="Times New Roman" w:cs="Times New Roman"/>
                <w:b/>
                <w:bCs/>
                <w:color w:val="000000"/>
              </w:rPr>
              <w:t>-64,2</w:t>
            </w:r>
          </w:p>
        </w:tc>
        <w:tc>
          <w:tcPr>
            <w:tcW w:w="567" w:type="dxa"/>
          </w:tcPr>
          <w:p w14:paraId="119DF629" w14:textId="693254DA" w:rsidR="0069481F" w:rsidRPr="00497710" w:rsidRDefault="00273A38"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highlight w:val="yellow"/>
              </w:rPr>
            </w:pPr>
            <w:r w:rsidRPr="00497710">
              <w:rPr>
                <w:rFonts w:ascii="Times New Roman" w:hAnsi="Times New Roman" w:cs="Times New Roman"/>
                <w:b/>
                <w:bCs/>
                <w:color w:val="000000"/>
              </w:rPr>
              <w:t>+1,9</w:t>
            </w:r>
          </w:p>
        </w:tc>
      </w:tr>
    </w:tbl>
    <w:p w14:paraId="7C1AAD4D" w14:textId="2D04BA94" w:rsidR="001C210B" w:rsidRPr="00497710" w:rsidRDefault="009F77D2" w:rsidP="00497710">
      <w:pPr>
        <w:spacing w:after="0" w:line="240" w:lineRule="auto"/>
        <w:ind w:hanging="90"/>
        <w:rPr>
          <w:rFonts w:ascii="Times New Roman" w:hAnsi="Times New Roman"/>
          <w:sz w:val="20"/>
          <w:szCs w:val="20"/>
        </w:rPr>
      </w:pPr>
      <w:r>
        <w:rPr>
          <w:rFonts w:ascii="Times New Roman" w:hAnsi="Times New Roman"/>
          <w:sz w:val="20"/>
          <w:szCs w:val="20"/>
        </w:rPr>
        <w:t xml:space="preserve"> </w:t>
      </w:r>
      <w:r w:rsidR="007B62DA" w:rsidRPr="00497710">
        <w:rPr>
          <w:rFonts w:ascii="Times New Roman" w:hAnsi="Times New Roman"/>
          <w:sz w:val="20"/>
          <w:szCs w:val="20"/>
        </w:rPr>
        <w:t>*</w:t>
      </w:r>
      <w:r w:rsidRPr="00931EF1">
        <w:rPr>
          <w:rFonts w:ascii="Times New Roman" w:hAnsi="Times New Roman" w:cs="Times New Roman"/>
          <w:i/>
          <w:sz w:val="20"/>
          <w:szCs w:val="24"/>
        </w:rPr>
        <w:t xml:space="preserve">saskaņā ar </w:t>
      </w:r>
      <w:proofErr w:type="spellStart"/>
      <w:r>
        <w:rPr>
          <w:rFonts w:ascii="Times New Roman" w:hAnsi="Times New Roman" w:cs="Times New Roman"/>
          <w:i/>
          <w:sz w:val="20"/>
          <w:szCs w:val="24"/>
        </w:rPr>
        <w:t>Eurostat</w:t>
      </w:r>
      <w:proofErr w:type="spellEnd"/>
      <w:r>
        <w:rPr>
          <w:rFonts w:ascii="Times New Roman" w:hAnsi="Times New Roman" w:cs="Times New Roman"/>
          <w:i/>
          <w:sz w:val="20"/>
          <w:szCs w:val="24"/>
        </w:rPr>
        <w:t xml:space="preserve"> 2023.gada aprīļa vispārējās valdības budžeta notifikācijas datie</w:t>
      </w:r>
      <w:r w:rsidRPr="009F77D2">
        <w:rPr>
          <w:rFonts w:ascii="Times New Roman" w:hAnsi="Times New Roman" w:cs="Times New Roman"/>
          <w:i/>
          <w:sz w:val="20"/>
          <w:szCs w:val="24"/>
        </w:rPr>
        <w:t>m</w:t>
      </w:r>
    </w:p>
    <w:p w14:paraId="550F50F6" w14:textId="77777777" w:rsidR="00CE7A9A" w:rsidRDefault="00CE7A9A" w:rsidP="002D428D">
      <w:pPr>
        <w:spacing w:after="0" w:line="240" w:lineRule="auto"/>
        <w:rPr>
          <w:rFonts w:ascii="Times New Roman" w:hAnsi="Times New Roman"/>
          <w:sz w:val="24"/>
          <w:szCs w:val="24"/>
        </w:rPr>
      </w:pPr>
    </w:p>
    <w:p w14:paraId="0C718E9F" w14:textId="77777777" w:rsidR="00D15612" w:rsidRPr="00D15612" w:rsidRDefault="00CE7A9A" w:rsidP="002D428D">
      <w:pPr>
        <w:spacing w:after="0"/>
        <w:ind w:firstLine="720"/>
        <w:jc w:val="both"/>
        <w:rPr>
          <w:rFonts w:ascii="Times New Roman" w:hAnsi="Times New Roman" w:cs="Times New Roman"/>
          <w:sz w:val="24"/>
          <w:szCs w:val="24"/>
          <w:highlight w:val="yellow"/>
        </w:rPr>
      </w:pPr>
      <w:r w:rsidRPr="00D15612">
        <w:rPr>
          <w:rFonts w:ascii="Times New Roman" w:hAnsi="Times New Roman" w:cs="Times New Roman"/>
          <w:sz w:val="24"/>
          <w:szCs w:val="24"/>
        </w:rPr>
        <w:t>2021. gada faktisk</w:t>
      </w:r>
      <w:r w:rsidR="00D235A8" w:rsidRPr="00D15612">
        <w:rPr>
          <w:rFonts w:ascii="Times New Roman" w:hAnsi="Times New Roman" w:cs="Times New Roman"/>
          <w:sz w:val="24"/>
          <w:szCs w:val="24"/>
        </w:rPr>
        <w:t>o</w:t>
      </w:r>
      <w:r w:rsidRPr="00D15612">
        <w:rPr>
          <w:rFonts w:ascii="Times New Roman" w:hAnsi="Times New Roman" w:cs="Times New Roman"/>
          <w:sz w:val="24"/>
          <w:szCs w:val="24"/>
        </w:rPr>
        <w:t xml:space="preserve"> ieņēmumu novirze no to prognozēt</w:t>
      </w:r>
      <w:r w:rsidR="00D235A8" w:rsidRPr="00D15612">
        <w:rPr>
          <w:rFonts w:ascii="Times New Roman" w:hAnsi="Times New Roman" w:cs="Times New Roman"/>
          <w:sz w:val="24"/>
          <w:szCs w:val="24"/>
        </w:rPr>
        <w:t>ās</w:t>
      </w:r>
      <w:r w:rsidRPr="00D15612">
        <w:rPr>
          <w:rFonts w:ascii="Times New Roman" w:hAnsi="Times New Roman" w:cs="Times New Roman"/>
          <w:sz w:val="24"/>
          <w:szCs w:val="24"/>
        </w:rPr>
        <w:t xml:space="preserve"> vērtīb</w:t>
      </w:r>
      <w:r w:rsidR="00D235A8" w:rsidRPr="00D15612">
        <w:rPr>
          <w:rFonts w:ascii="Times New Roman" w:hAnsi="Times New Roman" w:cs="Times New Roman"/>
          <w:sz w:val="24"/>
          <w:szCs w:val="24"/>
        </w:rPr>
        <w:t>as</w:t>
      </w:r>
      <w:r w:rsidRPr="00D15612">
        <w:rPr>
          <w:rFonts w:ascii="Times New Roman" w:hAnsi="Times New Roman" w:cs="Times New Roman"/>
          <w:sz w:val="24"/>
          <w:szCs w:val="24"/>
        </w:rPr>
        <w:t xml:space="preserve"> skaidrojama ar NGF pieņemto lēmumu veidot uzkrājumus 66,5 milj. </w:t>
      </w:r>
      <w:proofErr w:type="spellStart"/>
      <w:r w:rsidRPr="002D428D">
        <w:rPr>
          <w:rFonts w:ascii="Times New Roman" w:hAnsi="Times New Roman" w:cs="Times New Roman"/>
          <w:i/>
          <w:iCs/>
          <w:sz w:val="24"/>
          <w:szCs w:val="24"/>
        </w:rPr>
        <w:t>euro</w:t>
      </w:r>
      <w:proofErr w:type="spellEnd"/>
      <w:r w:rsidRPr="00D15612">
        <w:rPr>
          <w:rFonts w:ascii="Times New Roman" w:hAnsi="Times New Roman" w:cs="Times New Roman"/>
          <w:sz w:val="24"/>
          <w:szCs w:val="24"/>
        </w:rPr>
        <w:t xml:space="preserve"> apmērā par neatgūstamo prasības daļu par izmaksātajām garantētajām atlīdzībām AS "PNB Banka" noguldītājiem</w:t>
      </w:r>
      <w:r w:rsidR="00D235A8" w:rsidRPr="00D15612">
        <w:rPr>
          <w:rFonts w:ascii="Times New Roman" w:hAnsi="Times New Roman" w:cs="Times New Roman"/>
          <w:sz w:val="24"/>
          <w:szCs w:val="24"/>
        </w:rPr>
        <w:t>.</w:t>
      </w:r>
      <w:r w:rsidR="00D15612" w:rsidRPr="00D15612">
        <w:rPr>
          <w:rFonts w:ascii="Times New Roman" w:hAnsi="Times New Roman" w:cs="Times New Roman"/>
          <w:sz w:val="24"/>
          <w:szCs w:val="24"/>
          <w:highlight w:val="yellow"/>
        </w:rPr>
        <w:t xml:space="preserve"> </w:t>
      </w:r>
    </w:p>
    <w:p w14:paraId="511A5433" w14:textId="0196ACD8" w:rsidR="001C210B" w:rsidRDefault="00D15612" w:rsidP="002D428D">
      <w:pPr>
        <w:spacing w:after="0"/>
        <w:ind w:firstLine="720"/>
        <w:jc w:val="both"/>
        <w:rPr>
          <w:rFonts w:ascii="Times New Roman" w:hAnsi="Times New Roman"/>
          <w:sz w:val="24"/>
          <w:szCs w:val="24"/>
        </w:rPr>
      </w:pPr>
      <w:r w:rsidRPr="002D428D">
        <w:rPr>
          <w:rFonts w:ascii="Times New Roman" w:hAnsi="Times New Roman" w:cs="Times New Roman"/>
          <w:sz w:val="24"/>
          <w:szCs w:val="24"/>
        </w:rPr>
        <w:t xml:space="preserve">Ievērojot minēto, riskus, kas saistīti ar NGF ir jāturpina padziļināti analizēt, bet tam pašreiz </w:t>
      </w:r>
      <w:r w:rsidRPr="002D428D">
        <w:rPr>
          <w:rFonts w:ascii="Times New Roman" w:hAnsi="Times New Roman" w:cs="Times New Roman"/>
          <w:b/>
          <w:bCs/>
          <w:sz w:val="24"/>
          <w:szCs w:val="24"/>
        </w:rPr>
        <w:t>netiek veidota fiskālā nodrošinājuma rezerve.</w:t>
      </w:r>
      <w:r w:rsidR="00C25CF6">
        <w:rPr>
          <w:rFonts w:ascii="Times New Roman" w:hAnsi="Times New Roman"/>
          <w:sz w:val="24"/>
          <w:szCs w:val="24"/>
        </w:rPr>
        <w:br w:type="page"/>
      </w:r>
    </w:p>
    <w:p w14:paraId="6D5D0C47" w14:textId="77777777" w:rsidR="008F58C9" w:rsidRPr="00B118DB" w:rsidRDefault="008F58C9" w:rsidP="0058124B">
      <w:pPr>
        <w:pStyle w:val="Heading1"/>
        <w:numPr>
          <w:ilvl w:val="0"/>
          <w:numId w:val="4"/>
        </w:numPr>
        <w:jc w:val="center"/>
        <w:rPr>
          <w:rFonts w:ascii="Times New Roman" w:hAnsi="Times New Roman" w:cs="Times New Roman"/>
          <w:sz w:val="32"/>
        </w:rPr>
      </w:pPr>
      <w:bookmarkStart w:id="108" w:name="_Toc80106059"/>
      <w:bookmarkStart w:id="109" w:name="_Toc536779069"/>
      <w:bookmarkStart w:id="110" w:name="_Toc142388041"/>
      <w:bookmarkEnd w:id="108"/>
      <w:r w:rsidRPr="00B118DB">
        <w:rPr>
          <w:rFonts w:ascii="Times New Roman" w:hAnsi="Times New Roman" w:cs="Times New Roman"/>
          <w:sz w:val="32"/>
        </w:rPr>
        <w:lastRenderedPageBreak/>
        <w:t>Nekvantificējamie fiskālie riski</w:t>
      </w:r>
      <w:bookmarkEnd w:id="109"/>
      <w:bookmarkEnd w:id="110"/>
    </w:p>
    <w:p w14:paraId="5219C101" w14:textId="77777777" w:rsidR="00822D84" w:rsidRPr="0021152B" w:rsidRDefault="00822D84" w:rsidP="0058124B">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111" w:name="_Toc79678124"/>
      <w:bookmarkStart w:id="112" w:name="_Toc80036173"/>
      <w:bookmarkStart w:id="113" w:name="_Toc80036240"/>
      <w:bookmarkStart w:id="114" w:name="_Toc80106061"/>
      <w:bookmarkStart w:id="115" w:name="_Toc79678125"/>
      <w:bookmarkStart w:id="116" w:name="_Toc80036174"/>
      <w:bookmarkStart w:id="117" w:name="_Toc80036241"/>
      <w:bookmarkStart w:id="118" w:name="_Toc80106062"/>
      <w:bookmarkStart w:id="119" w:name="_Toc79678126"/>
      <w:bookmarkStart w:id="120" w:name="_Toc80036175"/>
      <w:bookmarkStart w:id="121" w:name="_Toc80036242"/>
      <w:bookmarkStart w:id="122" w:name="_Toc80106063"/>
      <w:bookmarkStart w:id="123" w:name="_Toc79678127"/>
      <w:bookmarkStart w:id="124" w:name="_Toc80036176"/>
      <w:bookmarkStart w:id="125" w:name="_Toc80036243"/>
      <w:bookmarkStart w:id="126" w:name="_Toc80106064"/>
      <w:bookmarkStart w:id="127" w:name="_Toc79678128"/>
      <w:bookmarkStart w:id="128" w:name="_Toc80036177"/>
      <w:bookmarkStart w:id="129" w:name="_Toc80036244"/>
      <w:bookmarkStart w:id="130" w:name="_Toc80106065"/>
      <w:bookmarkStart w:id="131" w:name="_Toc79678129"/>
      <w:bookmarkStart w:id="132" w:name="_Toc80036178"/>
      <w:bookmarkStart w:id="133" w:name="_Toc80036245"/>
      <w:bookmarkStart w:id="134" w:name="_Toc80106066"/>
      <w:bookmarkStart w:id="135" w:name="_Toc79678130"/>
      <w:bookmarkStart w:id="136" w:name="_Toc80036179"/>
      <w:bookmarkStart w:id="137" w:name="_Toc80036246"/>
      <w:bookmarkStart w:id="138" w:name="_Toc80106067"/>
      <w:bookmarkStart w:id="139" w:name="_Toc79678131"/>
      <w:bookmarkStart w:id="140" w:name="_Toc80036180"/>
      <w:bookmarkStart w:id="141" w:name="_Toc80036247"/>
      <w:bookmarkStart w:id="142" w:name="_Toc80106068"/>
      <w:bookmarkStart w:id="143" w:name="_Toc79678132"/>
      <w:bookmarkStart w:id="144" w:name="_Toc80036181"/>
      <w:bookmarkStart w:id="145" w:name="_Toc80036248"/>
      <w:bookmarkStart w:id="146" w:name="_Toc80106069"/>
      <w:bookmarkStart w:id="147" w:name="_Toc79678133"/>
      <w:bookmarkStart w:id="148" w:name="_Toc80036182"/>
      <w:bookmarkStart w:id="149" w:name="_Toc80036249"/>
      <w:bookmarkStart w:id="150" w:name="_Toc80106070"/>
      <w:bookmarkStart w:id="151" w:name="_Toc79678134"/>
      <w:bookmarkStart w:id="152" w:name="_Toc80036183"/>
      <w:bookmarkStart w:id="153" w:name="_Toc80036250"/>
      <w:bookmarkStart w:id="154" w:name="_Toc80106071"/>
      <w:bookmarkStart w:id="155" w:name="_Toc79678135"/>
      <w:bookmarkStart w:id="156" w:name="_Toc80036184"/>
      <w:bookmarkStart w:id="157" w:name="_Toc80036251"/>
      <w:bookmarkStart w:id="158" w:name="_Toc80106072"/>
      <w:bookmarkStart w:id="159" w:name="_Toc79678139"/>
      <w:bookmarkStart w:id="160" w:name="_Toc80036188"/>
      <w:bookmarkStart w:id="161" w:name="_Toc80036255"/>
      <w:bookmarkStart w:id="162" w:name="_Toc80106076"/>
      <w:bookmarkStart w:id="163" w:name="_Toc79678159"/>
      <w:bookmarkStart w:id="164" w:name="_Toc80036208"/>
      <w:bookmarkStart w:id="165" w:name="_Toc80036275"/>
      <w:bookmarkStart w:id="166" w:name="_Toc80106096"/>
      <w:bookmarkStart w:id="167" w:name="_Toc79678160"/>
      <w:bookmarkStart w:id="168" w:name="_Toc80036209"/>
      <w:bookmarkStart w:id="169" w:name="_Toc80036276"/>
      <w:bookmarkStart w:id="170" w:name="_Toc80106097"/>
      <w:bookmarkStart w:id="171" w:name="_Toc79678161"/>
      <w:bookmarkStart w:id="172" w:name="_Toc80036210"/>
      <w:bookmarkStart w:id="173" w:name="_Toc80036277"/>
      <w:bookmarkStart w:id="174" w:name="_Toc80106098"/>
      <w:bookmarkStart w:id="175" w:name="_Toc79678162"/>
      <w:bookmarkStart w:id="176" w:name="_Toc80036211"/>
      <w:bookmarkStart w:id="177" w:name="_Toc80036278"/>
      <w:bookmarkStart w:id="178" w:name="_Toc80106099"/>
      <w:bookmarkStart w:id="179" w:name="_Toc79678163"/>
      <w:bookmarkStart w:id="180" w:name="_Toc80036212"/>
      <w:bookmarkStart w:id="181" w:name="_Toc80036279"/>
      <w:bookmarkStart w:id="182" w:name="_Toc80106100"/>
      <w:bookmarkStart w:id="183" w:name="_Toc79678164"/>
      <w:bookmarkStart w:id="184" w:name="_Toc80036213"/>
      <w:bookmarkStart w:id="185" w:name="_Toc80036280"/>
      <w:bookmarkStart w:id="186" w:name="_Toc80106101"/>
      <w:bookmarkStart w:id="187" w:name="_Toc405371087"/>
      <w:bookmarkStart w:id="188" w:name="_Toc536779071"/>
      <w:bookmarkStart w:id="189" w:name="_Toc142388042"/>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21152B">
        <w:rPr>
          <w:rFonts w:ascii="Times New Roman" w:hAnsi="Times New Roman" w:cs="Times New Roman"/>
          <w:bCs w:val="0"/>
          <w:color w:val="auto"/>
          <w:sz w:val="24"/>
          <w:szCs w:val="24"/>
        </w:rPr>
        <w:t>Starptautisko tiesu un Satversmes tiesas spriedumu izpilde</w:t>
      </w:r>
      <w:bookmarkEnd w:id="187"/>
      <w:bookmarkEnd w:id="188"/>
      <w:bookmarkEnd w:id="189"/>
    </w:p>
    <w:p w14:paraId="410E1D81" w14:textId="0340CD9D"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Fiskālā riska avots šajā gadījumā ir tiesas procesa rezultāts, kas ir saistīts ar valsts budžeta izdevumu pieaugumu un līdz ar to pasliktina vispārējās valdības budžeta bilanci. Tomēr vēsturiskā pieredze liecina, ka atsevišķos gadījumos </w:t>
      </w:r>
      <w:r w:rsidR="00CA7612">
        <w:rPr>
          <w:rFonts w:ascii="Times New Roman" w:eastAsiaTheme="minorHAnsi" w:hAnsi="Times New Roman" w:cs="Times New Roman"/>
          <w:sz w:val="24"/>
          <w:szCs w:val="24"/>
        </w:rPr>
        <w:t>EK</w:t>
      </w:r>
      <w:r w:rsidR="00CA7612"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šos izdevumus uzskata par vienreizējiem pasākumiem, kas līdz ar to ietekmē vispārējās valdības nominālo budžeta bilanci, bet neietekmē vispārējās valdības strukturālo budžeta bilanci. Tiesvedības procesi skar atšķirīgus jautājumus, tāpēc to vienota uzskaite ir grūti īstenojama. Vienlaikus šim specifisko risku kopumam nevar novērtēt iestāšanās varbūtību un fiskālo ietekmi, to var mēģināt novērtēt tikai atsevišķiem tiesvedības procesiem.</w:t>
      </w:r>
    </w:p>
    <w:p w14:paraId="0D63DDB9" w14:textId="36CF91C4"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Saistībā ar tiesvedībām </w:t>
      </w:r>
      <w:r w:rsidRPr="00BB69DC">
        <w:rPr>
          <w:rFonts w:ascii="Times New Roman" w:eastAsiaTheme="minorHAnsi" w:hAnsi="Times New Roman" w:cs="Times New Roman"/>
          <w:b/>
          <w:sz w:val="24"/>
          <w:szCs w:val="24"/>
        </w:rPr>
        <w:t>ES Tiesā</w:t>
      </w:r>
      <w:r w:rsidRPr="0021152B">
        <w:rPr>
          <w:rFonts w:ascii="Times New Roman" w:eastAsiaTheme="minorHAnsi" w:hAnsi="Times New Roman" w:cs="Times New Roman"/>
          <w:sz w:val="24"/>
          <w:szCs w:val="24"/>
        </w:rPr>
        <w:t xml:space="preserve"> norādāms, ka ES Tiesa var pieņemt divu veidu spriedumus, t.i., vienā gadījumā ES Tiesa ar pirmo spriedumu paredz finansiālas sankcijas. Tas tā ir gadījumā, ja laicīgi nav pārņemta </w:t>
      </w:r>
      <w:r w:rsidR="00504BA6">
        <w:rPr>
          <w:rFonts w:ascii="Times New Roman" w:eastAsiaTheme="minorHAnsi" w:hAnsi="Times New Roman" w:cs="Times New Roman"/>
          <w:sz w:val="24"/>
          <w:szCs w:val="24"/>
        </w:rPr>
        <w:t xml:space="preserve">ES </w:t>
      </w:r>
      <w:r w:rsidRPr="0021152B">
        <w:rPr>
          <w:rFonts w:ascii="Times New Roman" w:eastAsiaTheme="minorHAnsi" w:hAnsi="Times New Roman" w:cs="Times New Roman"/>
          <w:sz w:val="24"/>
          <w:szCs w:val="24"/>
        </w:rPr>
        <w:t xml:space="preserve">direktīva. Savukārt otrajā gadījumā ES Tiesa pieņem spriedumu, ar kuru tiek konstatēts pārkāpums (strīds pēc būtības </w:t>
      </w:r>
      <w:r w:rsidR="00594149" w:rsidRPr="00835CFD">
        <w:rPr>
          <w:rFonts w:ascii="Times New Roman" w:hAnsi="Times New Roman" w:cs="Times New Roman"/>
          <w:color w:val="000000"/>
          <w:sz w:val="24"/>
          <w:szCs w:val="24"/>
        </w:rPr>
        <w:t>–</w:t>
      </w:r>
      <w:r w:rsidRPr="0021152B">
        <w:rPr>
          <w:rFonts w:ascii="Times New Roman" w:eastAsiaTheme="minorHAnsi" w:hAnsi="Times New Roman" w:cs="Times New Roman"/>
          <w:sz w:val="24"/>
          <w:szCs w:val="24"/>
        </w:rPr>
        <w:t xml:space="preserve"> LV nacionālā normatīvā regulējuma atbilstību ES tiesībām) un tikai tad, ja šis spriedums, ar kuru konstatēts pārkāpums, netiek novērsts, ES Tiesa pieņem otru spriedumu, ar kuru nosaka finansiālas sankcijas. </w:t>
      </w:r>
    </w:p>
    <w:p w14:paraId="4B3DB8D4" w14:textId="3B822314"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Tieslietu ministrija par visām pārkāpuma procedūrām, iespējamām tiesvedībām un to sekām informē MK – atbilstoši MK 2011.gada 12.jūlija noteikumu Nr.550 „Noteikumi par institūciju sadarbību Līguma par ES darbību pārkāpuma procedūras ietvaros un pirms pārkāpuma procedūras ierosināšanas” 6.2.apakšpunktā noteiktajam šādu informāciju Tieslietu ministrija iesniedz MK divas reizes gadā. 20</w:t>
      </w:r>
      <w:r w:rsidR="00DE6F89">
        <w:rPr>
          <w:rFonts w:ascii="Times New Roman" w:eastAsiaTheme="minorHAnsi" w:hAnsi="Times New Roman" w:cs="Times New Roman"/>
          <w:sz w:val="24"/>
          <w:szCs w:val="24"/>
        </w:rPr>
        <w:t>21</w:t>
      </w:r>
      <w:r w:rsidRPr="0021152B">
        <w:rPr>
          <w:rFonts w:ascii="Times New Roman" w:eastAsiaTheme="minorHAnsi" w:hAnsi="Times New Roman" w:cs="Times New Roman"/>
          <w:sz w:val="24"/>
          <w:szCs w:val="24"/>
        </w:rPr>
        <w:t xml:space="preserve">.gada </w:t>
      </w:r>
      <w:r w:rsidR="00DE6F89">
        <w:rPr>
          <w:rFonts w:ascii="Times New Roman" w:eastAsiaTheme="minorHAnsi" w:hAnsi="Times New Roman" w:cs="Times New Roman"/>
          <w:sz w:val="24"/>
          <w:szCs w:val="24"/>
        </w:rPr>
        <w:t>25</w:t>
      </w:r>
      <w:r w:rsidRPr="0021152B">
        <w:rPr>
          <w:rFonts w:ascii="Times New Roman" w:eastAsiaTheme="minorHAnsi" w:hAnsi="Times New Roman" w:cs="Times New Roman"/>
          <w:sz w:val="24"/>
          <w:szCs w:val="24"/>
        </w:rPr>
        <w:t>.</w:t>
      </w:r>
      <w:r w:rsidR="00DE6F89">
        <w:rPr>
          <w:rFonts w:ascii="Times New Roman" w:eastAsiaTheme="minorHAnsi" w:hAnsi="Times New Roman" w:cs="Times New Roman"/>
          <w:sz w:val="24"/>
          <w:szCs w:val="24"/>
        </w:rPr>
        <w:t>februārī</w:t>
      </w:r>
      <w:r w:rsidR="00DE6F89"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 xml:space="preserve">MK tika izskatīts informatīvais ziņojums "Par Latvijas kā </w:t>
      </w:r>
      <w:r w:rsidR="003B26CC">
        <w:rPr>
          <w:rFonts w:ascii="Times New Roman" w:eastAsiaTheme="minorHAnsi" w:hAnsi="Times New Roman" w:cs="Times New Roman"/>
          <w:sz w:val="24"/>
          <w:szCs w:val="24"/>
        </w:rPr>
        <w:t>Eiropas Savienības</w:t>
      </w:r>
      <w:r w:rsidR="003B26CC"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dalībvalsts saistību izpildi līdz 20</w:t>
      </w:r>
      <w:r w:rsidR="00DE6F89">
        <w:rPr>
          <w:rFonts w:ascii="Times New Roman" w:eastAsiaTheme="minorHAnsi" w:hAnsi="Times New Roman" w:cs="Times New Roman"/>
          <w:sz w:val="24"/>
          <w:szCs w:val="24"/>
        </w:rPr>
        <w:t>2</w:t>
      </w:r>
      <w:r w:rsidR="003B26CC">
        <w:rPr>
          <w:rFonts w:ascii="Times New Roman" w:eastAsiaTheme="minorHAnsi" w:hAnsi="Times New Roman" w:cs="Times New Roman"/>
          <w:sz w:val="24"/>
          <w:szCs w:val="24"/>
        </w:rPr>
        <w:t>2</w:t>
      </w:r>
      <w:r w:rsidRPr="0021152B">
        <w:rPr>
          <w:rFonts w:ascii="Times New Roman" w:eastAsiaTheme="minorHAnsi" w:hAnsi="Times New Roman" w:cs="Times New Roman"/>
          <w:sz w:val="24"/>
          <w:szCs w:val="24"/>
        </w:rPr>
        <w:t>.gada 31.</w:t>
      </w:r>
      <w:r w:rsidR="003B26CC">
        <w:rPr>
          <w:rFonts w:ascii="Times New Roman" w:eastAsiaTheme="minorHAnsi" w:hAnsi="Times New Roman" w:cs="Times New Roman"/>
          <w:sz w:val="24"/>
          <w:szCs w:val="24"/>
        </w:rPr>
        <w:t>oktobrim</w:t>
      </w:r>
      <w:r w:rsidR="003B26CC"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un par ierosinātajām (turpinātajām) pārkāpuma procedūru lietām pret Latviju laika periodā līdz 20</w:t>
      </w:r>
      <w:r w:rsidR="00DE6F89">
        <w:rPr>
          <w:rFonts w:ascii="Times New Roman" w:eastAsiaTheme="minorHAnsi" w:hAnsi="Times New Roman" w:cs="Times New Roman"/>
          <w:sz w:val="24"/>
          <w:szCs w:val="24"/>
        </w:rPr>
        <w:t>2</w:t>
      </w:r>
      <w:r w:rsidR="003B26CC">
        <w:rPr>
          <w:rFonts w:ascii="Times New Roman" w:eastAsiaTheme="minorHAnsi" w:hAnsi="Times New Roman" w:cs="Times New Roman"/>
          <w:sz w:val="24"/>
          <w:szCs w:val="24"/>
        </w:rPr>
        <w:t>2</w:t>
      </w:r>
      <w:r w:rsidRPr="0021152B">
        <w:rPr>
          <w:rFonts w:ascii="Times New Roman" w:eastAsiaTheme="minorHAnsi" w:hAnsi="Times New Roman" w:cs="Times New Roman"/>
          <w:sz w:val="24"/>
          <w:szCs w:val="24"/>
        </w:rPr>
        <w:t>.gada 3</w:t>
      </w:r>
      <w:r w:rsidR="003B26CC">
        <w:rPr>
          <w:rFonts w:ascii="Times New Roman" w:eastAsiaTheme="minorHAnsi" w:hAnsi="Times New Roman" w:cs="Times New Roman"/>
          <w:sz w:val="24"/>
          <w:szCs w:val="24"/>
        </w:rPr>
        <w:t>0</w:t>
      </w:r>
      <w:r w:rsidRPr="0021152B">
        <w:rPr>
          <w:rFonts w:ascii="Times New Roman" w:eastAsiaTheme="minorHAnsi" w:hAnsi="Times New Roman" w:cs="Times New Roman"/>
          <w:sz w:val="24"/>
          <w:szCs w:val="24"/>
        </w:rPr>
        <w:t>.</w:t>
      </w:r>
      <w:r w:rsidR="003B26CC">
        <w:rPr>
          <w:rFonts w:ascii="Times New Roman" w:eastAsiaTheme="minorHAnsi" w:hAnsi="Times New Roman" w:cs="Times New Roman"/>
          <w:sz w:val="24"/>
          <w:szCs w:val="24"/>
        </w:rPr>
        <w:t>aprīlim</w:t>
      </w:r>
      <w:r w:rsidRPr="0021152B">
        <w:rPr>
          <w:rFonts w:ascii="Times New Roman" w:eastAsiaTheme="minorHAnsi" w:hAnsi="Times New Roman" w:cs="Times New Roman"/>
          <w:sz w:val="24"/>
          <w:szCs w:val="24"/>
        </w:rPr>
        <w:t>", kurā ir izvērsta analīze par pārkāpuma procedūrām, kas ierosinātas pret Latviju un norādīti riski iespējamībai atsevišķām pārkāpuma procedūrām turpināties tiesvedības stadijā ES Tiesā.</w:t>
      </w:r>
    </w:p>
    <w:p w14:paraId="4363B2D4" w14:textId="33B5DE11" w:rsidR="00FD0C96" w:rsidRDefault="00FD0C96" w:rsidP="00BE416D">
      <w:pPr>
        <w:spacing w:line="240" w:lineRule="auto"/>
        <w:ind w:firstLine="709"/>
        <w:jc w:val="both"/>
        <w:rPr>
          <w:rFonts w:ascii="Times New Roman" w:eastAsiaTheme="minorHAnsi" w:hAnsi="Times New Roman" w:cs="Times New Roman"/>
          <w:b/>
          <w:sz w:val="24"/>
          <w:szCs w:val="24"/>
        </w:rPr>
      </w:pPr>
      <w:r w:rsidRPr="0021152B">
        <w:rPr>
          <w:rFonts w:ascii="Times New Roman" w:hAnsi="Times New Roman"/>
          <w:b/>
          <w:sz w:val="24"/>
        </w:rPr>
        <w:t>Eiropas</w:t>
      </w:r>
      <w:r w:rsidRPr="00191E2E">
        <w:rPr>
          <w:rFonts w:ascii="Times New Roman" w:hAnsi="Times New Roman"/>
          <w:b/>
          <w:sz w:val="24"/>
        </w:rPr>
        <w:t xml:space="preserve"> Cilvēktiesību tiesa</w:t>
      </w:r>
      <w:r w:rsidRPr="00626E14">
        <w:rPr>
          <w:rFonts w:ascii="Times New Roman" w:eastAsiaTheme="minorHAnsi" w:hAnsi="Times New Roman" w:cs="Times New Roman"/>
          <w:sz w:val="24"/>
          <w:szCs w:val="24"/>
        </w:rPr>
        <w:t xml:space="preserve"> ir starptautiska tiesa, kas skata fizisku vai juridisku personu vai, atsevišķos gadījumos, valstu iesniegumus, ja valsts ir pārkāpusi Eiropas Cilvēktiesību un pamatbrīvību konvencijā noteiktās tiesības. Latvijā Eiropas Cilvēktiesību un pamatbrīvību konvencija ir spēkā kopš 1997.gada 27.jūnija. </w:t>
      </w:r>
      <w:r w:rsidR="00645C0A">
        <w:rPr>
          <w:rFonts w:ascii="Times New Roman" w:eastAsiaTheme="minorHAnsi" w:hAnsi="Times New Roman" w:cs="Times New Roman"/>
          <w:sz w:val="24"/>
          <w:szCs w:val="24"/>
        </w:rPr>
        <w:t>T</w:t>
      </w:r>
      <w:r w:rsidRPr="00626E14">
        <w:rPr>
          <w:rFonts w:ascii="Times New Roman" w:eastAsiaTheme="minorHAnsi" w:hAnsi="Times New Roman" w:cs="Times New Roman"/>
          <w:sz w:val="24"/>
          <w:szCs w:val="24"/>
        </w:rPr>
        <w:t>abulā</w:t>
      </w:r>
      <w:r w:rsidR="00645C0A">
        <w:rPr>
          <w:rFonts w:ascii="Times New Roman" w:eastAsiaTheme="minorHAnsi" w:hAnsi="Times New Roman" w:cs="Times New Roman"/>
          <w:sz w:val="24"/>
          <w:szCs w:val="24"/>
        </w:rPr>
        <w:t xml:space="preserve"> Nr.3.1.1</w:t>
      </w:r>
      <w:r w:rsidRPr="00626E14">
        <w:rPr>
          <w:rFonts w:ascii="Times New Roman" w:eastAsiaTheme="minorHAnsi" w:hAnsi="Times New Roman" w:cs="Times New Roman"/>
          <w:sz w:val="24"/>
          <w:szCs w:val="24"/>
        </w:rPr>
        <w:t xml:space="preserve"> ir apkopots piešķirtais finansējums Eiropas Cilvēktiesību tiesas spriedumu izpildei laika periodā no 2006. līdz 20</w:t>
      </w:r>
      <w:r w:rsidR="00690E31">
        <w:rPr>
          <w:rFonts w:ascii="Times New Roman" w:eastAsiaTheme="minorHAnsi" w:hAnsi="Times New Roman" w:cs="Times New Roman"/>
          <w:sz w:val="24"/>
          <w:szCs w:val="24"/>
        </w:rPr>
        <w:t>2</w:t>
      </w:r>
      <w:r w:rsidR="006E7898">
        <w:rPr>
          <w:rFonts w:ascii="Times New Roman" w:eastAsiaTheme="minorHAnsi" w:hAnsi="Times New Roman" w:cs="Times New Roman"/>
          <w:sz w:val="24"/>
          <w:szCs w:val="24"/>
        </w:rPr>
        <w:t>2</w:t>
      </w:r>
      <w:r w:rsidRPr="00626E14">
        <w:rPr>
          <w:rFonts w:ascii="Times New Roman" w:eastAsiaTheme="minorHAnsi" w:hAnsi="Times New Roman" w:cs="Times New Roman"/>
          <w:sz w:val="24"/>
          <w:szCs w:val="24"/>
        </w:rPr>
        <w:t xml:space="preserve">.gadam, kas norāda, ka piešķirtā finansējuma apjoms tiesas spriedumu izpildei </w:t>
      </w:r>
      <w:r>
        <w:rPr>
          <w:rFonts w:ascii="Times New Roman" w:eastAsiaTheme="minorHAnsi" w:hAnsi="Times New Roman" w:cs="Times New Roman"/>
          <w:sz w:val="24"/>
          <w:szCs w:val="24"/>
        </w:rPr>
        <w:t>pa gadiem ir atšķirīgs</w:t>
      </w:r>
      <w:r w:rsidRPr="00626E14">
        <w:rPr>
          <w:rFonts w:ascii="Times New Roman" w:eastAsiaTheme="minorHAnsi" w:hAnsi="Times New Roman" w:cs="Times New Roman"/>
          <w:sz w:val="24"/>
          <w:szCs w:val="24"/>
        </w:rPr>
        <w:t xml:space="preserve">. Finansējums tiesu spriedumu izpildei tiek piešķirts no ieplānotā finansējuma budžeta programmā "Līdzekļi neparedzētiem gadījumiem", </w:t>
      </w:r>
      <w:r w:rsidRPr="00626E14">
        <w:rPr>
          <w:rFonts w:ascii="Times New Roman" w:hAnsi="Times New Roman" w:cs="Times New Roman"/>
          <w:sz w:val="24"/>
          <w:szCs w:val="24"/>
        </w:rPr>
        <w:t>kas nepasliktina vispārējās valdības budžeta bilanci</w:t>
      </w:r>
      <w:r w:rsidRPr="00626E14">
        <w:rPr>
          <w:rFonts w:ascii="Times New Roman" w:eastAsiaTheme="minorHAnsi" w:hAnsi="Times New Roman" w:cs="Times New Roman"/>
          <w:sz w:val="24"/>
          <w:szCs w:val="24"/>
        </w:rPr>
        <w:t>.</w:t>
      </w:r>
    </w:p>
    <w:p w14:paraId="23D039C6" w14:textId="357B752A" w:rsidR="00626E14" w:rsidRPr="00FD0C96" w:rsidRDefault="00626E14" w:rsidP="00497710">
      <w:pPr>
        <w:spacing w:after="120" w:line="240" w:lineRule="auto"/>
        <w:jc w:val="right"/>
        <w:rPr>
          <w:rFonts w:ascii="Times New Roman" w:eastAsiaTheme="minorHAnsi" w:hAnsi="Times New Roman" w:cs="Times New Roman"/>
          <w:b/>
          <w:sz w:val="24"/>
          <w:szCs w:val="24"/>
        </w:rPr>
      </w:pPr>
      <w:r w:rsidRPr="00FD0C96">
        <w:rPr>
          <w:rFonts w:ascii="Times New Roman" w:eastAsiaTheme="minorHAnsi" w:hAnsi="Times New Roman" w:cs="Times New Roman"/>
          <w:b/>
          <w:sz w:val="24"/>
          <w:szCs w:val="24"/>
        </w:rPr>
        <w:t>Tabula Nr.</w:t>
      </w:r>
      <w:r w:rsidR="0077673B">
        <w:rPr>
          <w:rFonts w:ascii="Times New Roman" w:eastAsiaTheme="minorHAnsi" w:hAnsi="Times New Roman" w:cs="Times New Roman"/>
          <w:b/>
          <w:sz w:val="24"/>
          <w:szCs w:val="24"/>
        </w:rPr>
        <w:t>3.1.1</w:t>
      </w:r>
      <w:r w:rsidRPr="00FD0C96">
        <w:rPr>
          <w:rFonts w:ascii="Times New Roman" w:eastAsiaTheme="minorHAnsi" w:hAnsi="Times New Roman" w:cs="Times New Roman"/>
          <w:b/>
          <w:sz w:val="24"/>
          <w:szCs w:val="24"/>
        </w:rPr>
        <w:t xml:space="preserve"> Piešķirtais finansējums Eiropas Cilvēktiesību tiesas spriedumu izpildei </w:t>
      </w:r>
      <w:r w:rsidR="00A01529" w:rsidRPr="00FD0C96">
        <w:rPr>
          <w:rFonts w:ascii="Times New Roman" w:eastAsiaTheme="minorHAnsi" w:hAnsi="Times New Roman" w:cs="Times New Roman"/>
          <w:b/>
          <w:sz w:val="24"/>
          <w:szCs w:val="24"/>
        </w:rPr>
        <w:br/>
      </w:r>
      <w:r w:rsidRPr="00FD0C96">
        <w:rPr>
          <w:rFonts w:ascii="Times New Roman" w:eastAsiaTheme="minorHAnsi" w:hAnsi="Times New Roman" w:cs="Times New Roman"/>
          <w:b/>
          <w:sz w:val="24"/>
          <w:szCs w:val="24"/>
        </w:rPr>
        <w:t>2006.</w:t>
      </w:r>
      <w:r w:rsidR="00771E46" w:rsidRPr="00FD0C96">
        <w:rPr>
          <w:rFonts w:ascii="Times New Roman" w:hAnsi="Times New Roman" w:cs="Times New Roman"/>
          <w:color w:val="000000"/>
          <w:sz w:val="24"/>
          <w:szCs w:val="24"/>
        </w:rPr>
        <w:t xml:space="preserve"> –</w:t>
      </w:r>
      <w:r w:rsidR="001D1BDB" w:rsidRPr="00FD0C96">
        <w:rPr>
          <w:rFonts w:ascii="Times New Roman" w:hAnsi="Times New Roman" w:cs="Times New Roman"/>
          <w:color w:val="000000"/>
          <w:sz w:val="24"/>
          <w:szCs w:val="24"/>
        </w:rPr>
        <w:t xml:space="preserve"> </w:t>
      </w:r>
      <w:r w:rsidRPr="00FD0C96">
        <w:rPr>
          <w:rFonts w:ascii="Times New Roman" w:eastAsiaTheme="minorHAnsi" w:hAnsi="Times New Roman" w:cs="Times New Roman"/>
          <w:b/>
          <w:sz w:val="24"/>
          <w:szCs w:val="24"/>
        </w:rPr>
        <w:t>20</w:t>
      </w:r>
      <w:r w:rsidR="00690E31">
        <w:rPr>
          <w:rFonts w:ascii="Times New Roman" w:eastAsiaTheme="minorHAnsi" w:hAnsi="Times New Roman" w:cs="Times New Roman"/>
          <w:b/>
          <w:sz w:val="24"/>
          <w:szCs w:val="24"/>
        </w:rPr>
        <w:t>2</w:t>
      </w:r>
      <w:r w:rsidR="006E7898">
        <w:rPr>
          <w:rFonts w:ascii="Times New Roman" w:eastAsiaTheme="minorHAnsi" w:hAnsi="Times New Roman" w:cs="Times New Roman"/>
          <w:b/>
          <w:sz w:val="24"/>
          <w:szCs w:val="24"/>
        </w:rPr>
        <w:t>2</w:t>
      </w:r>
      <w:r w:rsidRPr="00FD0C96">
        <w:rPr>
          <w:rFonts w:ascii="Times New Roman" w:eastAsiaTheme="minorHAnsi" w:hAnsi="Times New Roman" w:cs="Times New Roman"/>
          <w:b/>
          <w:sz w:val="24"/>
          <w:szCs w:val="24"/>
        </w:rPr>
        <w:t xml:space="preserve">.gadā, </w:t>
      </w:r>
      <w:proofErr w:type="spellStart"/>
      <w:r w:rsidRPr="00FD0C96">
        <w:rPr>
          <w:rFonts w:ascii="Times New Roman" w:eastAsiaTheme="minorHAnsi" w:hAnsi="Times New Roman" w:cs="Times New Roman"/>
          <w:b/>
          <w:i/>
          <w:sz w:val="24"/>
          <w:szCs w:val="24"/>
        </w:rPr>
        <w:t>euro</w:t>
      </w:r>
      <w:proofErr w:type="spellEnd"/>
    </w:p>
    <w:tbl>
      <w:tblPr>
        <w:tblStyle w:val="GridTable6Colorful-Accent1"/>
        <w:tblW w:w="5000" w:type="pct"/>
        <w:jc w:val="center"/>
        <w:tblLook w:val="04A0" w:firstRow="1" w:lastRow="0" w:firstColumn="1" w:lastColumn="0" w:noHBand="0" w:noVBand="1"/>
      </w:tblPr>
      <w:tblGrid>
        <w:gridCol w:w="1726"/>
        <w:gridCol w:w="4038"/>
        <w:gridCol w:w="4036"/>
      </w:tblGrid>
      <w:tr w:rsidR="00626E14" w:rsidRPr="001054F7" w14:paraId="1F04A8F8" w14:textId="77777777" w:rsidTr="00ED43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vAlign w:val="center"/>
          </w:tcPr>
          <w:p w14:paraId="064522F2" w14:textId="77777777" w:rsidR="00626E14" w:rsidRPr="00FD0C96" w:rsidRDefault="00626E14" w:rsidP="00120DF9">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Gads</w:t>
            </w:r>
          </w:p>
        </w:tc>
        <w:tc>
          <w:tcPr>
            <w:tcW w:w="2060" w:type="pct"/>
            <w:vAlign w:val="center"/>
          </w:tcPr>
          <w:p w14:paraId="255A525E"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Piešķirtais finansējums</w:t>
            </w:r>
          </w:p>
        </w:tc>
        <w:tc>
          <w:tcPr>
            <w:tcW w:w="2060" w:type="pct"/>
            <w:vAlign w:val="center"/>
          </w:tcPr>
          <w:p w14:paraId="15169952"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Tiesas spriedumu skaits</w:t>
            </w:r>
            <w:r w:rsidR="00015F91" w:rsidRPr="00FD0C96">
              <w:rPr>
                <w:rFonts w:ascii="Times New Roman" w:hAnsi="Times New Roman" w:cs="Times New Roman"/>
                <w:color w:val="000000" w:themeColor="text1"/>
              </w:rPr>
              <w:t>*</w:t>
            </w:r>
          </w:p>
        </w:tc>
      </w:tr>
      <w:tr w:rsidR="00B82F22" w:rsidRPr="001054F7" w14:paraId="6CC7FD04"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10D3053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2006</w:t>
            </w:r>
          </w:p>
        </w:tc>
        <w:tc>
          <w:tcPr>
            <w:tcW w:w="2060" w:type="pct"/>
          </w:tcPr>
          <w:p w14:paraId="0A7AED2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25 418</w:t>
            </w:r>
          </w:p>
        </w:tc>
        <w:tc>
          <w:tcPr>
            <w:tcW w:w="2060" w:type="pct"/>
          </w:tcPr>
          <w:p w14:paraId="28E8245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w:t>
            </w:r>
          </w:p>
        </w:tc>
      </w:tr>
      <w:tr w:rsidR="00B82F22" w:rsidRPr="001054F7" w14:paraId="253287D3"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4F427E9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2007</w:t>
            </w:r>
          </w:p>
        </w:tc>
        <w:tc>
          <w:tcPr>
            <w:tcW w:w="2060" w:type="pct"/>
          </w:tcPr>
          <w:p w14:paraId="44FFFFC3"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45 991</w:t>
            </w:r>
          </w:p>
        </w:tc>
        <w:tc>
          <w:tcPr>
            <w:tcW w:w="2060" w:type="pct"/>
          </w:tcPr>
          <w:p w14:paraId="2C03B48E" w14:textId="2D5A34C4"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7</w:t>
            </w:r>
          </w:p>
        </w:tc>
      </w:tr>
      <w:tr w:rsidR="00B82F22" w:rsidRPr="001054F7" w14:paraId="427D037E"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1E917422"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2008</w:t>
            </w:r>
          </w:p>
        </w:tc>
        <w:tc>
          <w:tcPr>
            <w:tcW w:w="2060" w:type="pct"/>
          </w:tcPr>
          <w:p w14:paraId="4D2104F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42 798</w:t>
            </w:r>
          </w:p>
        </w:tc>
        <w:tc>
          <w:tcPr>
            <w:tcW w:w="2060" w:type="pct"/>
          </w:tcPr>
          <w:p w14:paraId="06C80539" w14:textId="78A6FCE5"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16</w:t>
            </w:r>
          </w:p>
        </w:tc>
      </w:tr>
      <w:tr w:rsidR="00B82F22" w:rsidRPr="001054F7" w14:paraId="14E65F82"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50FBE3E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2009</w:t>
            </w:r>
          </w:p>
        </w:tc>
        <w:tc>
          <w:tcPr>
            <w:tcW w:w="2060" w:type="pct"/>
          </w:tcPr>
          <w:p w14:paraId="6A63A4D5"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91 512</w:t>
            </w:r>
          </w:p>
        </w:tc>
        <w:tc>
          <w:tcPr>
            <w:tcW w:w="2060" w:type="pct"/>
          </w:tcPr>
          <w:p w14:paraId="0BB75FE4"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33BF085"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64EAC21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2010</w:t>
            </w:r>
          </w:p>
        </w:tc>
        <w:tc>
          <w:tcPr>
            <w:tcW w:w="2060" w:type="pct"/>
          </w:tcPr>
          <w:p w14:paraId="1D259BB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56 961</w:t>
            </w:r>
          </w:p>
        </w:tc>
        <w:tc>
          <w:tcPr>
            <w:tcW w:w="2060" w:type="pct"/>
          </w:tcPr>
          <w:p w14:paraId="46D48D42"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72703B54"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0D870C77"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2011</w:t>
            </w:r>
          </w:p>
        </w:tc>
        <w:tc>
          <w:tcPr>
            <w:tcW w:w="2060" w:type="pct"/>
          </w:tcPr>
          <w:p w14:paraId="10F5E529"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102 181</w:t>
            </w:r>
          </w:p>
        </w:tc>
        <w:tc>
          <w:tcPr>
            <w:tcW w:w="2060" w:type="pct"/>
          </w:tcPr>
          <w:p w14:paraId="446504A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6ABBC2C7"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56A0FC5A"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2012</w:t>
            </w:r>
          </w:p>
        </w:tc>
        <w:tc>
          <w:tcPr>
            <w:tcW w:w="2060" w:type="pct"/>
          </w:tcPr>
          <w:p w14:paraId="78FDE5D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48 006</w:t>
            </w:r>
          </w:p>
        </w:tc>
        <w:tc>
          <w:tcPr>
            <w:tcW w:w="2060" w:type="pct"/>
          </w:tcPr>
          <w:p w14:paraId="3F66EDC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6</w:t>
            </w:r>
          </w:p>
        </w:tc>
      </w:tr>
      <w:tr w:rsidR="00B82F22" w:rsidRPr="001054F7" w14:paraId="56AD2D28"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402C38F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2013</w:t>
            </w:r>
          </w:p>
        </w:tc>
        <w:tc>
          <w:tcPr>
            <w:tcW w:w="2060" w:type="pct"/>
          </w:tcPr>
          <w:p w14:paraId="7B91378F"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112 513</w:t>
            </w:r>
          </w:p>
        </w:tc>
        <w:tc>
          <w:tcPr>
            <w:tcW w:w="2060" w:type="pct"/>
          </w:tcPr>
          <w:p w14:paraId="0D0D6A21"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w:t>
            </w:r>
          </w:p>
        </w:tc>
      </w:tr>
      <w:tr w:rsidR="00B82F22" w:rsidRPr="001054F7" w14:paraId="58B257E5"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4CAA4813"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2014</w:t>
            </w:r>
          </w:p>
        </w:tc>
        <w:tc>
          <w:tcPr>
            <w:tcW w:w="2060" w:type="pct"/>
          </w:tcPr>
          <w:p w14:paraId="3B9BD40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1 306 073</w:t>
            </w:r>
          </w:p>
        </w:tc>
        <w:tc>
          <w:tcPr>
            <w:tcW w:w="2060" w:type="pct"/>
          </w:tcPr>
          <w:p w14:paraId="6420C85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73036E6"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4CE2BF1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2015</w:t>
            </w:r>
          </w:p>
        </w:tc>
        <w:tc>
          <w:tcPr>
            <w:tcW w:w="2060" w:type="pct"/>
          </w:tcPr>
          <w:p w14:paraId="31C89E9B"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93 597</w:t>
            </w:r>
          </w:p>
        </w:tc>
        <w:tc>
          <w:tcPr>
            <w:tcW w:w="2060" w:type="pct"/>
          </w:tcPr>
          <w:p w14:paraId="78797952" w14:textId="3940D826"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w:t>
            </w:r>
          </w:p>
        </w:tc>
      </w:tr>
      <w:tr w:rsidR="00B82F22" w:rsidRPr="001054F7" w14:paraId="2E41626B"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3FB6F5FD"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2016</w:t>
            </w:r>
          </w:p>
        </w:tc>
        <w:tc>
          <w:tcPr>
            <w:tcW w:w="2060" w:type="pct"/>
          </w:tcPr>
          <w:p w14:paraId="6907BBFB"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34 246</w:t>
            </w:r>
          </w:p>
        </w:tc>
        <w:tc>
          <w:tcPr>
            <w:tcW w:w="2060" w:type="pct"/>
          </w:tcPr>
          <w:p w14:paraId="68C37A8D"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w:t>
            </w:r>
          </w:p>
        </w:tc>
      </w:tr>
      <w:tr w:rsidR="00B82F22" w:rsidRPr="001054F7" w14:paraId="34B56D00"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1D696BA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2017</w:t>
            </w:r>
          </w:p>
        </w:tc>
        <w:tc>
          <w:tcPr>
            <w:tcW w:w="2060" w:type="pct"/>
          </w:tcPr>
          <w:p w14:paraId="7052C14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147 184</w:t>
            </w:r>
          </w:p>
        </w:tc>
        <w:tc>
          <w:tcPr>
            <w:tcW w:w="2060" w:type="pct"/>
          </w:tcPr>
          <w:p w14:paraId="31CD86B4" w14:textId="07B1067F"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7EBE6762"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2F236906"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2018</w:t>
            </w:r>
          </w:p>
        </w:tc>
        <w:tc>
          <w:tcPr>
            <w:tcW w:w="2060" w:type="pct"/>
          </w:tcPr>
          <w:p w14:paraId="7C80E4B7" w14:textId="2D52DDB3"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15 910</w:t>
            </w:r>
          </w:p>
        </w:tc>
        <w:tc>
          <w:tcPr>
            <w:tcW w:w="2060" w:type="pct"/>
          </w:tcPr>
          <w:p w14:paraId="77D34301"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w:t>
            </w:r>
          </w:p>
        </w:tc>
      </w:tr>
      <w:tr w:rsidR="00FD0C96" w:rsidRPr="001054F7" w14:paraId="4F03FA2B"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0DE048E5" w14:textId="733551FF" w:rsidR="00FD0C96" w:rsidRPr="001054F7" w:rsidRDefault="00FD0C96" w:rsidP="00FD0C96">
            <w:pPr>
              <w:jc w:val="center"/>
              <w:rPr>
                <w:rFonts w:ascii="Times New Roman" w:hAnsi="Times New Roman" w:cs="Times New Roman"/>
                <w:color w:val="000000" w:themeColor="text1"/>
                <w:highlight w:val="yellow"/>
              </w:rPr>
            </w:pPr>
            <w:r>
              <w:rPr>
                <w:rFonts w:ascii="Times New Roman" w:hAnsi="Times New Roman" w:cs="Times New Roman"/>
                <w:color w:val="000000" w:themeColor="text1"/>
              </w:rPr>
              <w:t>2019</w:t>
            </w:r>
          </w:p>
        </w:tc>
        <w:tc>
          <w:tcPr>
            <w:tcW w:w="2060" w:type="pct"/>
          </w:tcPr>
          <w:p w14:paraId="70593A74" w14:textId="5F979EE4"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9 763</w:t>
            </w:r>
          </w:p>
        </w:tc>
        <w:tc>
          <w:tcPr>
            <w:tcW w:w="2060" w:type="pct"/>
          </w:tcPr>
          <w:p w14:paraId="2A245600" w14:textId="56B78963"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3</w:t>
            </w:r>
          </w:p>
        </w:tc>
      </w:tr>
      <w:tr w:rsidR="00690E31" w:rsidRPr="001054F7" w14:paraId="05CF4C04"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0893DF7A" w14:textId="29E08904" w:rsidR="00690E31" w:rsidRDefault="00690E31" w:rsidP="00FD0C96">
            <w:pPr>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2020</w:t>
            </w:r>
          </w:p>
        </w:tc>
        <w:tc>
          <w:tcPr>
            <w:tcW w:w="2060" w:type="pct"/>
          </w:tcPr>
          <w:p w14:paraId="2BF0F8A7" w14:textId="4309A1D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20 504</w:t>
            </w:r>
          </w:p>
        </w:tc>
        <w:tc>
          <w:tcPr>
            <w:tcW w:w="2060" w:type="pct"/>
          </w:tcPr>
          <w:p w14:paraId="567FF463" w14:textId="713D027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6</w:t>
            </w:r>
          </w:p>
        </w:tc>
      </w:tr>
      <w:tr w:rsidR="00002D94" w:rsidRPr="001054F7" w14:paraId="6800EB3E"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24647368" w14:textId="74DF7F61" w:rsidR="00002D94" w:rsidRDefault="00002D94" w:rsidP="00002D94">
            <w:pPr>
              <w:jc w:val="center"/>
              <w:rPr>
                <w:rFonts w:ascii="Times New Roman" w:hAnsi="Times New Roman" w:cs="Times New Roman"/>
                <w:color w:val="000000" w:themeColor="text1"/>
              </w:rPr>
            </w:pPr>
            <w:r>
              <w:rPr>
                <w:rFonts w:ascii="Times New Roman" w:hAnsi="Times New Roman" w:cs="Times New Roman"/>
                <w:color w:val="000000" w:themeColor="text1"/>
              </w:rPr>
              <w:t>2021</w:t>
            </w:r>
          </w:p>
        </w:tc>
        <w:tc>
          <w:tcPr>
            <w:tcW w:w="2060" w:type="pct"/>
          </w:tcPr>
          <w:p w14:paraId="3CAC1979" w14:textId="1742CDEF" w:rsidR="00002D94" w:rsidRDefault="00002D94" w:rsidP="00002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17 532</w:t>
            </w:r>
          </w:p>
        </w:tc>
        <w:tc>
          <w:tcPr>
            <w:tcW w:w="2060" w:type="pct"/>
          </w:tcPr>
          <w:p w14:paraId="315A15BE" w14:textId="650A6F28" w:rsidR="00002D94" w:rsidRDefault="00002D94" w:rsidP="00002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4</w:t>
            </w:r>
          </w:p>
        </w:tc>
      </w:tr>
      <w:tr w:rsidR="006E7898" w:rsidRPr="006E7898" w14:paraId="05C38103"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66BB1430" w14:textId="77777777" w:rsidR="006E7898" w:rsidRDefault="006E7898" w:rsidP="00D80387">
            <w:pPr>
              <w:jc w:val="center"/>
              <w:rPr>
                <w:rFonts w:ascii="Times New Roman" w:hAnsi="Times New Roman" w:cs="Times New Roman"/>
                <w:color w:val="000000" w:themeColor="text1"/>
              </w:rPr>
            </w:pPr>
            <w:r>
              <w:rPr>
                <w:rFonts w:ascii="Times New Roman" w:hAnsi="Times New Roman" w:cs="Times New Roman"/>
                <w:color w:val="000000" w:themeColor="text1"/>
              </w:rPr>
              <w:t>2022</w:t>
            </w:r>
          </w:p>
        </w:tc>
        <w:tc>
          <w:tcPr>
            <w:tcW w:w="2060" w:type="pct"/>
          </w:tcPr>
          <w:p w14:paraId="3202690E" w14:textId="77777777" w:rsidR="006E7898" w:rsidRDefault="006E7898" w:rsidP="00D80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44 563</w:t>
            </w:r>
          </w:p>
        </w:tc>
        <w:tc>
          <w:tcPr>
            <w:tcW w:w="2060" w:type="pct"/>
          </w:tcPr>
          <w:p w14:paraId="2184FBFB" w14:textId="77777777" w:rsidR="006E7898" w:rsidRDefault="006E7898" w:rsidP="00D80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3</w:t>
            </w:r>
          </w:p>
        </w:tc>
      </w:tr>
    </w:tbl>
    <w:p w14:paraId="69911BB3" w14:textId="48C0415F" w:rsidR="00626E14" w:rsidRPr="00FD0C96" w:rsidRDefault="00015F91" w:rsidP="002D428D">
      <w:pPr>
        <w:spacing w:after="0" w:line="240" w:lineRule="auto"/>
        <w:rPr>
          <w:rFonts w:ascii="Times New Roman" w:hAnsi="Times New Roman" w:cs="Times New Roman"/>
          <w:sz w:val="20"/>
          <w:szCs w:val="20"/>
        </w:rPr>
      </w:pPr>
      <w:r w:rsidRPr="00FD0C96">
        <w:rPr>
          <w:rFonts w:ascii="Times New Roman" w:hAnsi="Times New Roman" w:cs="Times New Roman"/>
          <w:sz w:val="20"/>
          <w:szCs w:val="20"/>
        </w:rPr>
        <w:t>* Tiesas spriedumu skaits var atšķirties no rīkojumu skaita, jo dažos rīkojumiem iekļauti vairāki pieprasījumi</w:t>
      </w:r>
    </w:p>
    <w:p w14:paraId="7EE0A107" w14:textId="77777777" w:rsidR="00015F91" w:rsidRPr="00FD0C96" w:rsidRDefault="00626E14" w:rsidP="00626E14">
      <w:pPr>
        <w:spacing w:after="0" w:line="240" w:lineRule="auto"/>
        <w:jc w:val="both"/>
        <w:rPr>
          <w:rFonts w:ascii="Times New Roman" w:hAnsi="Times New Roman" w:cs="Times New Roman"/>
          <w:sz w:val="24"/>
          <w:szCs w:val="24"/>
        </w:rPr>
      </w:pPr>
      <w:r w:rsidRPr="00FD0C96">
        <w:rPr>
          <w:rFonts w:ascii="Times New Roman" w:hAnsi="Times New Roman" w:cs="Times New Roman"/>
          <w:sz w:val="24"/>
          <w:szCs w:val="24"/>
        </w:rPr>
        <w:tab/>
      </w:r>
    </w:p>
    <w:p w14:paraId="0A8E852E" w14:textId="2F8997EB" w:rsidR="00626E14" w:rsidRPr="0021152B" w:rsidRDefault="00626E14" w:rsidP="00191E2E">
      <w:pPr>
        <w:spacing w:after="0" w:line="240" w:lineRule="auto"/>
        <w:ind w:firstLine="720"/>
        <w:jc w:val="both"/>
        <w:rPr>
          <w:rFonts w:ascii="Times New Roman" w:hAnsi="Times New Roman" w:cs="Times New Roman"/>
          <w:sz w:val="24"/>
          <w:szCs w:val="24"/>
        </w:rPr>
      </w:pPr>
      <w:r w:rsidRPr="0021152B">
        <w:rPr>
          <w:rFonts w:ascii="Times New Roman" w:hAnsi="Times New Roman"/>
          <w:b/>
          <w:sz w:val="24"/>
        </w:rPr>
        <w:t>Satversmes tiesa</w:t>
      </w:r>
      <w:r w:rsidRPr="0021152B">
        <w:rPr>
          <w:rFonts w:ascii="Times New Roman" w:hAnsi="Times New Roman" w:cs="Times New Roman"/>
          <w:sz w:val="24"/>
          <w:szCs w:val="24"/>
        </w:rPr>
        <w:t xml:space="preserve"> ir neatkarīga tiesu varas institūcija, kas izskata lietas par likumu un citu normatīvo aktu atbilstību Satversmei, kā arī citas ar likumu tās kompetencē nodotās lietas. Satversmes tiesas spriedumam, ar kuru tiek atzīta par spēkā neesošu tiesību norma vai tiesību akts, var būt ietekme uz budžetu, ja grozījumi tiesību aktos ietekmē kādas grupas tiesību apjomu, ko tās var saņemt no valsts. Satversmes tiesas praksē daudzkārt bija princips, ka attiecībā uz pieteicēju prettiesiskā tiesību norma tiek atzīta par spēkā neesošu ar atpakaļejošu datumu (tātad uz pieteicēju prettiesiskā norma nav piemērojama), tajā pašā laikā attiecībā uz citām personām tiesību norma var tikt atzīta par spēkā neesošu gan no sprieduma spēkā stāšanās, gan ar atpakaļejošu datumu vai no kāda cita tiesas noteikta datuma nākotnē, vadoties no lietas materiāliem. Piemēram, Satversmes tiesa 2010.gadā atzina </w:t>
      </w:r>
      <w:hyperlink r:id="rId9" w:tgtFrame="_blank" w:history="1">
        <w:r w:rsidRPr="0021152B">
          <w:rPr>
            <w:rFonts w:ascii="Times New Roman" w:hAnsi="Times New Roman" w:cs="Times New Roman"/>
            <w:sz w:val="24"/>
            <w:szCs w:val="24"/>
          </w:rPr>
          <w:t>Prokuroru izdienas pensiju likuma</w:t>
        </w:r>
      </w:hyperlink>
      <w:r w:rsidRPr="0021152B">
        <w:rPr>
          <w:rFonts w:ascii="Times New Roman" w:hAnsi="Times New Roman" w:cs="Times New Roman"/>
          <w:sz w:val="24"/>
          <w:szCs w:val="24"/>
        </w:rPr>
        <w:t xml:space="preserve"> pārejas noteikumu </w:t>
      </w:r>
      <w:hyperlink r:id="rId10" w:anchor="p8" w:tgtFrame="_blank" w:history="1">
        <w:r w:rsidRPr="0021152B">
          <w:rPr>
            <w:rFonts w:ascii="Times New Roman" w:hAnsi="Times New Roman" w:cs="Times New Roman"/>
            <w:sz w:val="24"/>
            <w:szCs w:val="24"/>
          </w:rPr>
          <w:t>8.punktu</w:t>
        </w:r>
      </w:hyperlink>
      <w:r w:rsidRPr="0021152B">
        <w:rPr>
          <w:rStyle w:val="FootnoteReference"/>
          <w:rFonts w:ascii="Times New Roman" w:hAnsi="Times New Roman" w:cs="Times New Roman"/>
          <w:sz w:val="24"/>
          <w:szCs w:val="24"/>
        </w:rPr>
        <w:footnoteReference w:id="23"/>
      </w:r>
      <w:r w:rsidRPr="0021152B">
        <w:rPr>
          <w:rFonts w:ascii="Times New Roman" w:hAnsi="Times New Roman" w:cs="Times New Roman"/>
          <w:sz w:val="24"/>
          <w:szCs w:val="24"/>
        </w:rPr>
        <w:t xml:space="preserve"> par neatbilstošu Satversmei un spēkā neesošu no pieņemšanas brīža. Vienlaikus Satversmes tiesa nolēma, ka jāizstrādā kārtība, kādā atlīdzināmi ieturējumi, kas veikti, pamatojoties </w:t>
      </w:r>
      <w:r w:rsidR="00C15724">
        <w:rPr>
          <w:rFonts w:ascii="Times New Roman" w:hAnsi="Times New Roman" w:cs="Times New Roman"/>
          <w:sz w:val="24"/>
          <w:szCs w:val="24"/>
        </w:rPr>
        <w:t xml:space="preserve">uz </w:t>
      </w:r>
      <w:r w:rsidRPr="0021152B">
        <w:rPr>
          <w:rFonts w:ascii="Times New Roman" w:hAnsi="Times New Roman" w:cs="Times New Roman"/>
          <w:sz w:val="24"/>
          <w:szCs w:val="24"/>
        </w:rPr>
        <w:t xml:space="preserve">normatīvā akta </w:t>
      </w:r>
      <w:r w:rsidR="00F1200E">
        <w:rPr>
          <w:rFonts w:ascii="Times New Roman" w:hAnsi="Times New Roman" w:cs="Times New Roman"/>
          <w:sz w:val="24"/>
          <w:szCs w:val="24"/>
        </w:rPr>
        <w:t>8.</w:t>
      </w:r>
      <w:r w:rsidRPr="0021152B">
        <w:rPr>
          <w:rFonts w:ascii="Times New Roman" w:hAnsi="Times New Roman" w:cs="Times New Roman"/>
          <w:sz w:val="24"/>
          <w:szCs w:val="24"/>
        </w:rPr>
        <w:t xml:space="preserve">punktu, jo tūlītēja sprieduma izpilde varētu radīt nelabvēlīgas sekas visai sabiedrībai. Ja Satversmes tiesa neizlemtu ar šā sprieduma izpildi saistītos jautājumus, proti, nenoteiktu brīdi, kad apstrīdētā norma zaudē savu spēku, tad veidotos tāda situācija, kas varētu apdraudēt valsts budžeta stabilitāti, turklāt rastos neskaidrība par to, kad tieši uzsākama, cik ilgi un kādā kārtībā veicama uz apstrīdētās normas pamata ieturētās pensijas daļas izmaksāšana. </w:t>
      </w:r>
    </w:p>
    <w:p w14:paraId="1897DE1A" w14:textId="38260F7F" w:rsidR="00626E14" w:rsidRPr="0021152B" w:rsidRDefault="00626E14" w:rsidP="00626E14">
      <w:pPr>
        <w:spacing w:line="240" w:lineRule="auto"/>
        <w:ind w:firstLine="720"/>
        <w:jc w:val="both"/>
        <w:rPr>
          <w:rFonts w:ascii="Times New Roman" w:eastAsiaTheme="minorHAnsi" w:hAnsi="Times New Roman" w:cs="Times New Roman"/>
          <w:sz w:val="24"/>
          <w:szCs w:val="24"/>
        </w:rPr>
      </w:pPr>
      <w:r w:rsidRPr="0021152B">
        <w:rPr>
          <w:rFonts w:ascii="Times New Roman" w:hAnsi="Times New Roman" w:cs="Times New Roman"/>
          <w:sz w:val="24"/>
          <w:szCs w:val="24"/>
        </w:rPr>
        <w:t xml:space="preserve">Līdz ar to Satversmes tiesa, pieņemot spriedumu, apzinās un vērtē, ka tiesību normas atzīšana par spēkā neesošu rada ietekmi uz budžetu, sabiedrību un administratīvajām procedūrām, tāpēc spriedumā arī norāda „pāreju” uz jauno regulējumu. </w:t>
      </w:r>
      <w:r w:rsidR="00645C0A">
        <w:rPr>
          <w:rFonts w:ascii="Times New Roman" w:hAnsi="Times New Roman" w:cs="Times New Roman"/>
          <w:sz w:val="24"/>
          <w:szCs w:val="24"/>
        </w:rPr>
        <w:t>T</w:t>
      </w:r>
      <w:r w:rsidRPr="0021152B">
        <w:rPr>
          <w:rFonts w:ascii="Times New Roman" w:hAnsi="Times New Roman" w:cs="Times New Roman"/>
          <w:sz w:val="24"/>
          <w:szCs w:val="24"/>
        </w:rPr>
        <w:t>abulā</w:t>
      </w:r>
      <w:r w:rsidR="00645C0A">
        <w:rPr>
          <w:rFonts w:ascii="Times New Roman" w:hAnsi="Times New Roman" w:cs="Times New Roman"/>
          <w:sz w:val="24"/>
          <w:szCs w:val="24"/>
        </w:rPr>
        <w:t xml:space="preserve"> Nr.3.1.2</w:t>
      </w:r>
      <w:r w:rsidRPr="0021152B">
        <w:rPr>
          <w:rFonts w:ascii="Times New Roman" w:hAnsi="Times New Roman" w:cs="Times New Roman"/>
          <w:sz w:val="24"/>
          <w:szCs w:val="24"/>
        </w:rPr>
        <w:t xml:space="preserve"> </w:t>
      </w:r>
      <w:r w:rsidRPr="0021152B">
        <w:rPr>
          <w:rFonts w:ascii="Times New Roman" w:eastAsiaTheme="minorHAnsi" w:hAnsi="Times New Roman" w:cs="Times New Roman"/>
          <w:sz w:val="24"/>
          <w:szCs w:val="24"/>
        </w:rPr>
        <w:t xml:space="preserve">ir apkopots piešķirtais finansējums </w:t>
      </w:r>
      <w:r w:rsidR="00690E31">
        <w:rPr>
          <w:rFonts w:ascii="Times New Roman" w:eastAsiaTheme="minorHAnsi" w:hAnsi="Times New Roman" w:cs="Times New Roman"/>
          <w:sz w:val="24"/>
          <w:szCs w:val="24"/>
        </w:rPr>
        <w:t xml:space="preserve">no budžeta programmas “Līdzekļi neparedzētiem gadījumiem” </w:t>
      </w:r>
      <w:r w:rsidRPr="0021152B">
        <w:rPr>
          <w:rFonts w:ascii="Times New Roman" w:eastAsiaTheme="minorHAnsi" w:hAnsi="Times New Roman" w:cs="Times New Roman"/>
          <w:sz w:val="24"/>
          <w:szCs w:val="24"/>
        </w:rPr>
        <w:t xml:space="preserve">Satversmes tiesas spriedumu izpildei, kas norāda, ka 10 gadu laikā </w:t>
      </w:r>
      <w:r w:rsidR="00EE7F1D">
        <w:rPr>
          <w:rFonts w:ascii="Times New Roman" w:eastAsiaTheme="minorHAnsi" w:hAnsi="Times New Roman" w:cs="Times New Roman"/>
          <w:sz w:val="24"/>
          <w:szCs w:val="24"/>
        </w:rPr>
        <w:t xml:space="preserve">tikai </w:t>
      </w:r>
      <w:r w:rsidRPr="0021152B">
        <w:rPr>
          <w:rFonts w:ascii="Times New Roman" w:eastAsiaTheme="minorHAnsi" w:hAnsi="Times New Roman" w:cs="Times New Roman"/>
          <w:sz w:val="24"/>
          <w:szCs w:val="24"/>
        </w:rPr>
        <w:t xml:space="preserve">atsevišķos gados ir bijuši tiesas spriedumu izpildes gadījumi. Ja fiskālā ietekme ir neliela, finansējums tiesu spriedumu izpildei tiek piešķirts no budžeta programmas "Līdzekļi neparedzētiem gadījumiem", </w:t>
      </w:r>
      <w:r w:rsidRPr="0021152B">
        <w:rPr>
          <w:rFonts w:ascii="Times New Roman" w:hAnsi="Times New Roman" w:cs="Times New Roman"/>
          <w:sz w:val="24"/>
          <w:szCs w:val="24"/>
        </w:rPr>
        <w:t>kas nepasliktina vispārējās valdības budžeta bilanci</w:t>
      </w:r>
      <w:r w:rsidRPr="0021152B">
        <w:rPr>
          <w:rFonts w:ascii="Times New Roman" w:eastAsiaTheme="minorHAnsi" w:hAnsi="Times New Roman" w:cs="Times New Roman"/>
          <w:sz w:val="24"/>
          <w:szCs w:val="24"/>
        </w:rPr>
        <w:t>. Pēdējo reizi šāda ne</w:t>
      </w:r>
      <w:r w:rsidR="00771E46" w:rsidRPr="0021152B">
        <w:rPr>
          <w:rFonts w:ascii="Times New Roman" w:eastAsiaTheme="minorHAnsi" w:hAnsi="Times New Roman" w:cs="Times New Roman"/>
          <w:sz w:val="24"/>
          <w:szCs w:val="24"/>
        </w:rPr>
        <w:t>pieciešamība bija 2012.</w:t>
      </w:r>
      <w:r w:rsidRPr="0021152B">
        <w:rPr>
          <w:rFonts w:ascii="Times New Roman" w:eastAsiaTheme="minorHAnsi" w:hAnsi="Times New Roman" w:cs="Times New Roman"/>
          <w:sz w:val="24"/>
          <w:szCs w:val="24"/>
        </w:rPr>
        <w:t>gadā. Šajā gadījumā tas nav uzskatāms par fiskālo risku šīs deklarācijas izpratnē.</w:t>
      </w:r>
    </w:p>
    <w:p w14:paraId="09C3EB88" w14:textId="0D2DFA05" w:rsidR="00626E14" w:rsidRPr="0021152B" w:rsidRDefault="00626E14" w:rsidP="00497710">
      <w:pPr>
        <w:spacing w:after="120"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Tabula Nr.</w:t>
      </w:r>
      <w:r w:rsidR="0077673B">
        <w:rPr>
          <w:rFonts w:ascii="Times New Roman" w:hAnsi="Times New Roman" w:cs="Times New Roman"/>
          <w:b/>
          <w:sz w:val="24"/>
          <w:szCs w:val="24"/>
        </w:rPr>
        <w:t>3.1.2</w:t>
      </w:r>
      <w:r w:rsidRPr="0021152B">
        <w:rPr>
          <w:rFonts w:ascii="Times New Roman" w:hAnsi="Times New Roman" w:cs="Times New Roman"/>
          <w:b/>
          <w:sz w:val="24"/>
          <w:szCs w:val="24"/>
        </w:rPr>
        <w:t xml:space="preserve"> Piešķirtais finansējums Satversmes tiesu spriedumu izpildei, </w:t>
      </w:r>
      <w:proofErr w:type="spellStart"/>
      <w:r w:rsidRPr="0021152B">
        <w:rPr>
          <w:rFonts w:ascii="Times New Roman" w:hAnsi="Times New Roman" w:cs="Times New Roman"/>
          <w:b/>
          <w:i/>
          <w:sz w:val="24"/>
          <w:szCs w:val="24"/>
        </w:rPr>
        <w:t>euro</w:t>
      </w:r>
      <w:proofErr w:type="spellEnd"/>
    </w:p>
    <w:tbl>
      <w:tblPr>
        <w:tblStyle w:val="GridTable6Colorful-Accent1"/>
        <w:tblW w:w="5000" w:type="pct"/>
        <w:jc w:val="center"/>
        <w:tblLook w:val="04A0" w:firstRow="1" w:lastRow="0" w:firstColumn="1" w:lastColumn="0" w:noHBand="0" w:noVBand="1"/>
      </w:tblPr>
      <w:tblGrid>
        <w:gridCol w:w="2206"/>
        <w:gridCol w:w="3797"/>
        <w:gridCol w:w="3797"/>
      </w:tblGrid>
      <w:tr w:rsidR="00626E14" w:rsidRPr="0021152B" w14:paraId="224C25BA" w14:textId="77777777" w:rsidTr="00ED43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6" w:type="pct"/>
          </w:tcPr>
          <w:p w14:paraId="3C2F7C46"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Gads</w:t>
            </w:r>
          </w:p>
        </w:tc>
        <w:tc>
          <w:tcPr>
            <w:tcW w:w="1937" w:type="pct"/>
          </w:tcPr>
          <w:p w14:paraId="04BF684B" w14:textId="77777777" w:rsidR="00626E14" w:rsidRPr="0021152B" w:rsidRDefault="00626E14" w:rsidP="004977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Piešķirtais finansējums</w:t>
            </w:r>
          </w:p>
        </w:tc>
        <w:tc>
          <w:tcPr>
            <w:tcW w:w="1937" w:type="pct"/>
          </w:tcPr>
          <w:p w14:paraId="3E10B713" w14:textId="77777777" w:rsidR="00626E14" w:rsidRPr="0021152B" w:rsidRDefault="00626E14" w:rsidP="004977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Tiesas spriedumu skaits</w:t>
            </w:r>
          </w:p>
        </w:tc>
      </w:tr>
      <w:tr w:rsidR="00626E14" w:rsidRPr="0021152B" w14:paraId="68731455"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6" w:type="pct"/>
          </w:tcPr>
          <w:p w14:paraId="5E50118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2006</w:t>
            </w:r>
          </w:p>
        </w:tc>
        <w:tc>
          <w:tcPr>
            <w:tcW w:w="1937" w:type="pct"/>
          </w:tcPr>
          <w:p w14:paraId="40BD7AC1"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227 372</w:t>
            </w:r>
          </w:p>
        </w:tc>
        <w:tc>
          <w:tcPr>
            <w:tcW w:w="1937" w:type="pct"/>
          </w:tcPr>
          <w:p w14:paraId="401B0A9E"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r w:rsidR="00626E14" w:rsidRPr="0021152B" w14:paraId="00C5CC8E"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1126" w:type="pct"/>
          </w:tcPr>
          <w:p w14:paraId="21DFDEEB"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2009</w:t>
            </w:r>
          </w:p>
        </w:tc>
        <w:tc>
          <w:tcPr>
            <w:tcW w:w="1937" w:type="pct"/>
          </w:tcPr>
          <w:p w14:paraId="24778F46"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3 780 529</w:t>
            </w:r>
          </w:p>
        </w:tc>
        <w:tc>
          <w:tcPr>
            <w:tcW w:w="1937" w:type="pct"/>
          </w:tcPr>
          <w:p w14:paraId="19C04939"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w:t>
            </w:r>
          </w:p>
        </w:tc>
      </w:tr>
      <w:tr w:rsidR="00626E14" w:rsidRPr="0021152B" w14:paraId="76F18667"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6" w:type="pct"/>
          </w:tcPr>
          <w:p w14:paraId="3F450395"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2010</w:t>
            </w:r>
          </w:p>
        </w:tc>
        <w:tc>
          <w:tcPr>
            <w:tcW w:w="1937" w:type="pct"/>
          </w:tcPr>
          <w:p w14:paraId="55A7341C"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565 954</w:t>
            </w:r>
          </w:p>
        </w:tc>
        <w:tc>
          <w:tcPr>
            <w:tcW w:w="1937" w:type="pct"/>
          </w:tcPr>
          <w:p w14:paraId="0A86F855"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w:t>
            </w:r>
          </w:p>
        </w:tc>
      </w:tr>
      <w:tr w:rsidR="00626E14" w:rsidRPr="0021152B" w14:paraId="7DEB5E65"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1126" w:type="pct"/>
          </w:tcPr>
          <w:p w14:paraId="2ABE201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2012</w:t>
            </w:r>
          </w:p>
        </w:tc>
        <w:tc>
          <w:tcPr>
            <w:tcW w:w="1937" w:type="pct"/>
          </w:tcPr>
          <w:p w14:paraId="5AE20A2A"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44 618</w:t>
            </w:r>
          </w:p>
        </w:tc>
        <w:tc>
          <w:tcPr>
            <w:tcW w:w="1937" w:type="pct"/>
          </w:tcPr>
          <w:p w14:paraId="2CACD81B"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bl>
    <w:p w14:paraId="0D2CB471" w14:textId="77777777" w:rsidR="00FC0011" w:rsidRDefault="00FC0011" w:rsidP="00626E14">
      <w:pPr>
        <w:spacing w:after="0" w:line="240" w:lineRule="auto"/>
        <w:ind w:firstLine="720"/>
        <w:jc w:val="both"/>
        <w:rPr>
          <w:rFonts w:ascii="Times New Roman" w:eastAsiaTheme="minorHAnsi" w:hAnsi="Times New Roman" w:cs="Times New Roman"/>
          <w:sz w:val="24"/>
          <w:szCs w:val="24"/>
        </w:rPr>
      </w:pPr>
    </w:p>
    <w:p w14:paraId="635EC51D" w14:textId="7B31BF4B"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Fiskālais risks ir saistīts ar tādiem Satversmes tiesas spriedumiem, kam ir būtiska fiskālā ietekme</w:t>
      </w:r>
      <w:r w:rsidR="008F7AFE" w:rsidRPr="0021152B">
        <w:rPr>
          <w:rFonts w:ascii="Times New Roman" w:eastAsiaTheme="minorHAnsi" w:hAnsi="Times New Roman" w:cs="Times New Roman"/>
          <w:sz w:val="24"/>
          <w:szCs w:val="24"/>
        </w:rPr>
        <w:t xml:space="preserve"> un to</w:t>
      </w:r>
      <w:r w:rsidRPr="0021152B">
        <w:rPr>
          <w:rFonts w:ascii="Times New Roman" w:eastAsiaTheme="minorHAnsi" w:hAnsi="Times New Roman" w:cs="Times New Roman"/>
          <w:sz w:val="24"/>
          <w:szCs w:val="24"/>
        </w:rPr>
        <w:t xml:space="preserve"> nevar segt no budžeta programmas "Līdzekļi neparedzētiem gadījumiem". Tomēr, kā tika atzīmēts iepriekš, parasti Satversmes tiesa dod iespēju valstij sagatavoties papildu izdevumu nodrošināšanai. Tādā gadījumā tos iespējams plānot nākamajā </w:t>
      </w:r>
      <w:r w:rsidR="00771E8C">
        <w:rPr>
          <w:rFonts w:ascii="Times New Roman" w:eastAsiaTheme="minorHAnsi" w:hAnsi="Times New Roman" w:cs="Times New Roman"/>
          <w:sz w:val="24"/>
          <w:szCs w:val="24"/>
        </w:rPr>
        <w:t>budžeta ietvarā</w:t>
      </w:r>
      <w:r w:rsidRPr="0021152B">
        <w:rPr>
          <w:rFonts w:ascii="Times New Roman" w:eastAsiaTheme="minorHAnsi" w:hAnsi="Times New Roman" w:cs="Times New Roman"/>
          <w:sz w:val="24"/>
          <w:szCs w:val="24"/>
        </w:rPr>
        <w:t xml:space="preserve">. </w:t>
      </w:r>
      <w:r w:rsidR="00690E31">
        <w:rPr>
          <w:rFonts w:ascii="Times New Roman" w:eastAsiaTheme="minorHAnsi" w:hAnsi="Times New Roman" w:cs="Times New Roman"/>
          <w:sz w:val="24"/>
          <w:szCs w:val="24"/>
        </w:rPr>
        <w:t xml:space="preserve">Piemēram, 2021., 2022. un 2023.gadam tika ieplānots finansējums </w:t>
      </w:r>
      <w:r w:rsidR="00690E31" w:rsidRPr="00DE7A4F">
        <w:rPr>
          <w:rFonts w:ascii="Times New Roman" w:hAnsi="Times New Roman" w:cs="Times New Roman"/>
          <w:sz w:val="24"/>
          <w:szCs w:val="24"/>
        </w:rPr>
        <w:t>Satversmes tiesas spriedumu izpildei labklājības jomā</w:t>
      </w:r>
      <w:r w:rsidR="00690E31">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 xml:space="preserve">Arī šajā gadījumā tas nav fiskālais risks. Fiskālais risks būtu vienīgi tajā gadījumā, ja Satversmes tiesas spriedums izraisītu nekavējošu nepieciešamību segt fiskāli nozīmīgus izdevumus. Pašlaik nav </w:t>
      </w:r>
      <w:r w:rsidR="0066417D" w:rsidRPr="0021152B">
        <w:rPr>
          <w:rFonts w:ascii="Times New Roman" w:eastAsiaTheme="minorHAnsi" w:hAnsi="Times New Roman" w:cs="Times New Roman"/>
          <w:sz w:val="24"/>
          <w:szCs w:val="24"/>
        </w:rPr>
        <w:t xml:space="preserve">identificēti </w:t>
      </w:r>
      <w:r w:rsidRPr="0021152B">
        <w:rPr>
          <w:rFonts w:ascii="Times New Roman" w:eastAsiaTheme="minorHAnsi" w:hAnsi="Times New Roman" w:cs="Times New Roman"/>
          <w:sz w:val="24"/>
          <w:szCs w:val="24"/>
        </w:rPr>
        <w:t xml:space="preserve">gadījumi, kur šāds fiskālais risks būtu materializējies. </w:t>
      </w:r>
    </w:p>
    <w:p w14:paraId="7F9A83FD" w14:textId="6D9E589E" w:rsidR="005C1176" w:rsidRDefault="00626E14" w:rsidP="00350733">
      <w:pPr>
        <w:spacing w:after="100" w:afterAutospacing="1"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lastRenderedPageBreak/>
        <w:t xml:space="preserve">Kopumā fiskālajam riskam par starptautisko tiesu un Satversmes tiesas spriedumu izpildi papildu nepieciešamo pasākumu ietvaros fiskālā riska seku mazināšanai ir svarīgi veikt savlaicīgu analīzi par tiesvedībām, vērtējot valstij nelabvēlīga lēmuma iespējamību un fiskālo ietekmi. </w:t>
      </w:r>
    </w:p>
    <w:p w14:paraId="658E281C" w14:textId="6E7556FB" w:rsidR="00433142" w:rsidRPr="00CF0060" w:rsidRDefault="00433142" w:rsidP="0058124B">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190" w:name="_Toc121870868"/>
      <w:bookmarkStart w:id="191" w:name="_Toc125316312"/>
      <w:bookmarkStart w:id="192" w:name="_Toc125316673"/>
      <w:bookmarkStart w:id="193" w:name="_Toc125362734"/>
      <w:bookmarkStart w:id="194" w:name="_Toc79678166"/>
      <w:bookmarkStart w:id="195" w:name="_Toc80036215"/>
      <w:bookmarkStart w:id="196" w:name="_Toc80036282"/>
      <w:bookmarkStart w:id="197" w:name="_Toc80106103"/>
      <w:bookmarkStart w:id="198" w:name="_Toc121870869"/>
      <w:bookmarkStart w:id="199" w:name="_Toc125316313"/>
      <w:bookmarkStart w:id="200" w:name="_Toc125316674"/>
      <w:bookmarkStart w:id="201" w:name="_Toc125362735"/>
      <w:bookmarkStart w:id="202" w:name="_Toc121870870"/>
      <w:bookmarkStart w:id="203" w:name="_Toc125316314"/>
      <w:bookmarkStart w:id="204" w:name="_Toc125316675"/>
      <w:bookmarkStart w:id="205" w:name="_Toc125362736"/>
      <w:bookmarkStart w:id="206" w:name="_Toc121870871"/>
      <w:bookmarkStart w:id="207" w:name="_Toc125316315"/>
      <w:bookmarkStart w:id="208" w:name="_Toc125316676"/>
      <w:bookmarkStart w:id="209" w:name="_Toc125362737"/>
      <w:bookmarkStart w:id="210" w:name="_Toc121870872"/>
      <w:bookmarkStart w:id="211" w:name="_Toc125316316"/>
      <w:bookmarkStart w:id="212" w:name="_Toc125316677"/>
      <w:bookmarkStart w:id="213" w:name="_Toc125362738"/>
      <w:bookmarkStart w:id="214" w:name="_Toc121870873"/>
      <w:bookmarkStart w:id="215" w:name="_Toc125316317"/>
      <w:bookmarkStart w:id="216" w:name="_Toc125316678"/>
      <w:bookmarkStart w:id="217" w:name="_Toc125362739"/>
      <w:bookmarkStart w:id="218" w:name="_Toc121870874"/>
      <w:bookmarkStart w:id="219" w:name="_Toc125316318"/>
      <w:bookmarkStart w:id="220" w:name="_Toc125316679"/>
      <w:bookmarkStart w:id="221" w:name="_Toc125362740"/>
      <w:bookmarkStart w:id="222" w:name="_Toc121870875"/>
      <w:bookmarkStart w:id="223" w:name="_Toc125316319"/>
      <w:bookmarkStart w:id="224" w:name="_Toc125316680"/>
      <w:bookmarkStart w:id="225" w:name="_Toc125362741"/>
      <w:bookmarkStart w:id="226" w:name="_Toc121870876"/>
      <w:bookmarkStart w:id="227" w:name="_Toc125316320"/>
      <w:bookmarkStart w:id="228" w:name="_Toc125316681"/>
      <w:bookmarkStart w:id="229" w:name="_Toc125362742"/>
      <w:bookmarkStart w:id="230" w:name="_Toc121870877"/>
      <w:bookmarkStart w:id="231" w:name="_Toc125316321"/>
      <w:bookmarkStart w:id="232" w:name="_Toc125316682"/>
      <w:bookmarkStart w:id="233" w:name="_Toc125362743"/>
      <w:bookmarkStart w:id="234" w:name="_Toc121870878"/>
      <w:bookmarkStart w:id="235" w:name="_Toc125316322"/>
      <w:bookmarkStart w:id="236" w:name="_Toc125316683"/>
      <w:bookmarkStart w:id="237" w:name="_Toc125362744"/>
      <w:bookmarkStart w:id="238" w:name="_Toc121870879"/>
      <w:bookmarkStart w:id="239" w:name="_Toc125316323"/>
      <w:bookmarkStart w:id="240" w:name="_Toc125316684"/>
      <w:bookmarkStart w:id="241" w:name="_Toc125362745"/>
      <w:bookmarkStart w:id="242" w:name="_Toc121870880"/>
      <w:bookmarkStart w:id="243" w:name="_Toc125316324"/>
      <w:bookmarkStart w:id="244" w:name="_Toc125316685"/>
      <w:bookmarkStart w:id="245" w:name="_Toc125362746"/>
      <w:bookmarkStart w:id="246" w:name="_Toc121870898"/>
      <w:bookmarkStart w:id="247" w:name="_Toc125316342"/>
      <w:bookmarkStart w:id="248" w:name="_Toc125316703"/>
      <w:bookmarkStart w:id="249" w:name="_Toc125362764"/>
      <w:bookmarkStart w:id="250" w:name="_Toc79678168"/>
      <w:bookmarkStart w:id="251" w:name="_Toc80036217"/>
      <w:bookmarkStart w:id="252" w:name="_Toc80036284"/>
      <w:bookmarkStart w:id="253" w:name="_Toc80106105"/>
      <w:bookmarkStart w:id="254" w:name="_Toc79678169"/>
      <w:bookmarkStart w:id="255" w:name="_Toc80036218"/>
      <w:bookmarkStart w:id="256" w:name="_Toc80036285"/>
      <w:bookmarkStart w:id="257" w:name="_Toc80106106"/>
      <w:bookmarkStart w:id="258" w:name="_Toc80106107"/>
      <w:bookmarkStart w:id="259" w:name="_Toc80106108"/>
      <w:bookmarkStart w:id="260" w:name="_Toc80106109"/>
      <w:bookmarkStart w:id="261" w:name="_Toc80106110"/>
      <w:bookmarkStart w:id="262" w:name="_Toc80106111"/>
      <w:bookmarkStart w:id="263" w:name="_Toc80106112"/>
      <w:bookmarkStart w:id="264" w:name="_Toc80106113"/>
      <w:bookmarkStart w:id="265" w:name="_Toc80106114"/>
      <w:bookmarkStart w:id="266" w:name="_Toc80106115"/>
      <w:bookmarkStart w:id="267" w:name="_Toc80106145"/>
      <w:bookmarkStart w:id="268" w:name="_Toc80106146"/>
      <w:bookmarkStart w:id="269" w:name="_Toc80106147"/>
      <w:bookmarkStart w:id="270" w:name="_Toc80106148"/>
      <w:bookmarkStart w:id="271" w:name="_Toc80106149"/>
      <w:bookmarkStart w:id="272" w:name="_Toc80106150"/>
      <w:bookmarkStart w:id="273" w:name="_Toc80106151"/>
      <w:bookmarkStart w:id="274" w:name="_Toc80106152"/>
      <w:bookmarkStart w:id="275" w:name="_Toc80106153"/>
      <w:bookmarkStart w:id="276" w:name="_Toc80106154"/>
      <w:bookmarkStart w:id="277" w:name="_Toc80106155"/>
      <w:bookmarkStart w:id="278" w:name="_Toc80106156"/>
      <w:bookmarkStart w:id="279" w:name="_Toc80106157"/>
      <w:bookmarkStart w:id="280" w:name="_Toc80106158"/>
      <w:bookmarkStart w:id="281" w:name="_Toc80106159"/>
      <w:bookmarkStart w:id="282" w:name="_Toc80106160"/>
      <w:bookmarkStart w:id="283" w:name="_Toc80106161"/>
      <w:bookmarkStart w:id="284" w:name="_Toc142388043"/>
      <w:bookmarkStart w:id="285" w:name="_Toc457318329"/>
      <w:bookmarkStart w:id="286" w:name="_Toc536779073"/>
      <w:bookmarkStart w:id="287" w:name="_Toc405371088"/>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CF0060">
        <w:rPr>
          <w:rFonts w:ascii="Times New Roman" w:hAnsi="Times New Roman" w:cs="Times New Roman"/>
          <w:bCs w:val="0"/>
          <w:color w:val="auto"/>
          <w:sz w:val="24"/>
          <w:szCs w:val="24"/>
        </w:rPr>
        <w:t xml:space="preserve">Fiskālie riski saistībā ar valsts līdzdalību </w:t>
      </w:r>
      <w:proofErr w:type="spellStart"/>
      <w:r w:rsidRPr="00CF0060">
        <w:rPr>
          <w:rFonts w:ascii="Times New Roman" w:hAnsi="Times New Roman" w:cs="Times New Roman"/>
          <w:bCs w:val="0"/>
          <w:color w:val="auto"/>
          <w:sz w:val="24"/>
          <w:szCs w:val="24"/>
        </w:rPr>
        <w:t>air</w:t>
      </w:r>
      <w:r w:rsidR="00443137" w:rsidRPr="00CF0060">
        <w:rPr>
          <w:rFonts w:ascii="Times New Roman" w:hAnsi="Times New Roman" w:cs="Times New Roman"/>
          <w:bCs w:val="0"/>
          <w:color w:val="auto"/>
          <w:sz w:val="24"/>
          <w:szCs w:val="24"/>
        </w:rPr>
        <w:t>B</w:t>
      </w:r>
      <w:r w:rsidRPr="00CF0060">
        <w:rPr>
          <w:rFonts w:ascii="Times New Roman" w:hAnsi="Times New Roman" w:cs="Times New Roman"/>
          <w:bCs w:val="0"/>
          <w:color w:val="auto"/>
          <w:sz w:val="24"/>
          <w:szCs w:val="24"/>
        </w:rPr>
        <w:t>altic</w:t>
      </w:r>
      <w:bookmarkEnd w:id="284"/>
      <w:proofErr w:type="spellEnd"/>
    </w:p>
    <w:p w14:paraId="7067790E" w14:textId="45001CB1" w:rsidR="00CF031F" w:rsidRDefault="009F3E79" w:rsidP="006E7AE0">
      <w:pPr>
        <w:spacing w:after="0" w:line="240" w:lineRule="auto"/>
        <w:ind w:firstLine="720"/>
        <w:jc w:val="both"/>
        <w:rPr>
          <w:rFonts w:ascii="Times New Roman" w:hAnsi="Times New Roman"/>
          <w:sz w:val="24"/>
          <w:szCs w:val="24"/>
        </w:rPr>
      </w:pPr>
      <w:r w:rsidRPr="009F3E79">
        <w:rPr>
          <w:rFonts w:ascii="Times New Roman" w:hAnsi="Times New Roman"/>
          <w:sz w:val="24"/>
          <w:szCs w:val="24"/>
        </w:rPr>
        <w:t xml:space="preserve">Akciju sabiedrība </w:t>
      </w:r>
      <w:r w:rsidR="00D3581E" w:rsidRPr="002F357F">
        <w:rPr>
          <w:rFonts w:ascii="Times New Roman" w:hAnsi="Times New Roman" w:cs="Times New Roman"/>
          <w:color w:val="000000"/>
          <w:sz w:val="24"/>
          <w:szCs w:val="24"/>
        </w:rPr>
        <w:t>“</w:t>
      </w:r>
      <w:proofErr w:type="spellStart"/>
      <w:r w:rsidR="00D3581E" w:rsidRPr="002F357F">
        <w:rPr>
          <w:rFonts w:ascii="Times New Roman" w:hAnsi="Times New Roman" w:cs="Times New Roman"/>
          <w:color w:val="000000"/>
          <w:sz w:val="24"/>
          <w:szCs w:val="24"/>
        </w:rPr>
        <w:t>Air</w:t>
      </w:r>
      <w:proofErr w:type="spellEnd"/>
      <w:r w:rsidR="00D3581E" w:rsidRPr="002F357F">
        <w:rPr>
          <w:rFonts w:ascii="Times New Roman" w:hAnsi="Times New Roman" w:cs="Times New Roman"/>
          <w:color w:val="000000"/>
          <w:sz w:val="24"/>
          <w:szCs w:val="24"/>
        </w:rPr>
        <w:t xml:space="preserve"> </w:t>
      </w:r>
      <w:proofErr w:type="spellStart"/>
      <w:r w:rsidR="00D3581E" w:rsidRPr="002F357F">
        <w:rPr>
          <w:rFonts w:ascii="Times New Roman" w:hAnsi="Times New Roman" w:cs="Times New Roman"/>
          <w:color w:val="000000"/>
          <w:sz w:val="24"/>
          <w:szCs w:val="24"/>
        </w:rPr>
        <w:t>Baltic</w:t>
      </w:r>
      <w:proofErr w:type="spellEnd"/>
      <w:r w:rsidR="00D3581E" w:rsidRPr="002F357F">
        <w:rPr>
          <w:rFonts w:ascii="Times New Roman" w:hAnsi="Times New Roman" w:cs="Times New Roman"/>
          <w:color w:val="000000"/>
          <w:sz w:val="24"/>
          <w:szCs w:val="24"/>
        </w:rPr>
        <w:t xml:space="preserve"> </w:t>
      </w:r>
      <w:proofErr w:type="spellStart"/>
      <w:r w:rsidR="00D3581E" w:rsidRPr="002F357F">
        <w:rPr>
          <w:rFonts w:ascii="Times New Roman" w:hAnsi="Times New Roman" w:cs="Times New Roman"/>
          <w:color w:val="000000"/>
          <w:sz w:val="24"/>
          <w:szCs w:val="24"/>
        </w:rPr>
        <w:t>Corporation</w:t>
      </w:r>
      <w:proofErr w:type="spellEnd"/>
      <w:r w:rsidR="00D3581E" w:rsidRPr="002F357F">
        <w:rPr>
          <w:rFonts w:ascii="Times New Roman" w:hAnsi="Times New Roman" w:cs="Times New Roman"/>
          <w:color w:val="000000"/>
          <w:sz w:val="24"/>
          <w:szCs w:val="24"/>
        </w:rPr>
        <w:t>”</w:t>
      </w:r>
      <w:r w:rsidR="00D3581E">
        <w:rPr>
          <w:rFonts w:ascii="Times New Roman" w:hAnsi="Times New Roman" w:cs="Times New Roman"/>
          <w:color w:val="000000"/>
          <w:sz w:val="24"/>
          <w:szCs w:val="24"/>
        </w:rPr>
        <w:t xml:space="preserve"> (turpmāk </w:t>
      </w:r>
      <w:proofErr w:type="spellStart"/>
      <w:r w:rsidR="00CF031F" w:rsidRPr="0058124B">
        <w:rPr>
          <w:rFonts w:ascii="Times New Roman" w:hAnsi="Times New Roman"/>
          <w:sz w:val="24"/>
          <w:szCs w:val="24"/>
        </w:rPr>
        <w:t>airBaltic</w:t>
      </w:r>
      <w:proofErr w:type="spellEnd"/>
      <w:r w:rsidR="00D3581E">
        <w:rPr>
          <w:rFonts w:ascii="Times New Roman" w:hAnsi="Times New Roman"/>
          <w:sz w:val="24"/>
          <w:szCs w:val="24"/>
        </w:rPr>
        <w:t>)</w:t>
      </w:r>
      <w:r w:rsidR="00CF031F" w:rsidRPr="0058124B">
        <w:rPr>
          <w:rFonts w:ascii="Times New Roman" w:hAnsi="Times New Roman"/>
          <w:sz w:val="24"/>
          <w:szCs w:val="24"/>
        </w:rPr>
        <w:t xml:space="preserve"> galvenā akcionāre ir Latvijas valsts ar 97,97% akciju, bet citiem akcionāriem pieder 2,03%. 2020.gada sākumā līdz lēmumu par pamatkapitāla palielināšanu pieņemšanai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Latvijas valstij piederēja 80,05% akciju. Valsts turpina būt galvenais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akcionārs, lai nodrošinātu tautsaimniecībai nozīmīgās aviokompānijas turpmāku attīstību, kura tiek īstenota saskaņā ar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biznesa plānu.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ir iesaistīts aviācijas nozares politikas īstenošanā, nodrošina savienojamību starp Baltijas valstīm un pasauli, kā arī sniedz </w:t>
      </w:r>
      <w:r w:rsidR="006E7AE0" w:rsidRPr="0058124B">
        <w:rPr>
          <w:rFonts w:ascii="Times New Roman" w:hAnsi="Times New Roman"/>
          <w:sz w:val="24"/>
          <w:szCs w:val="24"/>
        </w:rPr>
        <w:t xml:space="preserve">pozitīvu </w:t>
      </w:r>
      <w:r w:rsidR="00CF031F" w:rsidRPr="0058124B">
        <w:rPr>
          <w:rFonts w:ascii="Times New Roman" w:hAnsi="Times New Roman"/>
          <w:sz w:val="24"/>
          <w:szCs w:val="24"/>
        </w:rPr>
        <w:t xml:space="preserve">ieguldījumu ekonomikā. </w:t>
      </w:r>
    </w:p>
    <w:p w14:paraId="5DDD13C0" w14:textId="1F3F76F9" w:rsidR="006E7AE0" w:rsidRDefault="00FE6E15" w:rsidP="006E7AE0">
      <w:pPr>
        <w:spacing w:after="0" w:line="240" w:lineRule="auto"/>
        <w:ind w:firstLine="720"/>
        <w:jc w:val="both"/>
        <w:rPr>
          <w:rFonts w:ascii="Times New Roman" w:hAnsi="Times New Roman"/>
          <w:sz w:val="24"/>
          <w:szCs w:val="24"/>
        </w:rPr>
      </w:pPr>
      <w:r>
        <w:rPr>
          <w:rFonts w:ascii="Times New Roman" w:hAnsi="Times New Roman"/>
          <w:sz w:val="24"/>
          <w:szCs w:val="24"/>
        </w:rPr>
        <w:t xml:space="preserve">Aviosabiedrības darbības turpināšanai vēsturiski valsts ir sniegusi </w:t>
      </w:r>
      <w:r w:rsidR="006F11E5">
        <w:rPr>
          <w:rFonts w:ascii="Times New Roman" w:hAnsi="Times New Roman"/>
          <w:sz w:val="24"/>
          <w:szCs w:val="24"/>
        </w:rPr>
        <w:t>būtisku</w:t>
      </w:r>
      <w:r>
        <w:rPr>
          <w:rFonts w:ascii="Times New Roman" w:hAnsi="Times New Roman"/>
          <w:sz w:val="24"/>
          <w:szCs w:val="24"/>
        </w:rPr>
        <w:t xml:space="preserve"> finansiālu atbalstu ieguldījumu pamatkapitālā un aizdevumu formā. Ņemot vērā, ka aviosabiedrība ir nozīmīgs uzņēmums Latvijas ekonomikai, </w:t>
      </w:r>
      <w:r w:rsidR="006F11E5">
        <w:rPr>
          <w:rFonts w:ascii="Times New Roman" w:hAnsi="Times New Roman"/>
          <w:sz w:val="24"/>
          <w:szCs w:val="24"/>
        </w:rPr>
        <w:t>apstiprinātie</w:t>
      </w:r>
      <w:r>
        <w:rPr>
          <w:rFonts w:ascii="Times New Roman" w:hAnsi="Times New Roman"/>
          <w:sz w:val="24"/>
          <w:szCs w:val="24"/>
        </w:rPr>
        <w:t xml:space="preserve"> lēmumi par finanšu atbalstu </w:t>
      </w:r>
      <w:r w:rsidR="00C00CEE">
        <w:rPr>
          <w:rFonts w:ascii="Times New Roman" w:hAnsi="Times New Roman"/>
          <w:sz w:val="24"/>
          <w:szCs w:val="24"/>
        </w:rPr>
        <w:t xml:space="preserve">ir bijuši pieņemti, lai risinātu noteikta perioda izaicinājumus, </w:t>
      </w:r>
      <w:r w:rsidR="00845DF0">
        <w:rPr>
          <w:rFonts w:ascii="Times New Roman" w:hAnsi="Times New Roman"/>
          <w:sz w:val="24"/>
          <w:szCs w:val="24"/>
        </w:rPr>
        <w:t>kad</w:t>
      </w:r>
      <w:r w:rsidR="00C00CEE">
        <w:rPr>
          <w:rFonts w:ascii="Times New Roman" w:hAnsi="Times New Roman"/>
          <w:sz w:val="24"/>
          <w:szCs w:val="24"/>
        </w:rPr>
        <w:t xml:space="preserve"> privātie investori </w:t>
      </w:r>
      <w:r w:rsidR="00845DF0">
        <w:rPr>
          <w:rFonts w:ascii="Times New Roman" w:hAnsi="Times New Roman"/>
          <w:sz w:val="24"/>
          <w:szCs w:val="24"/>
        </w:rPr>
        <w:t xml:space="preserve">visticamāk </w:t>
      </w:r>
      <w:r w:rsidR="00C00CEE">
        <w:rPr>
          <w:rFonts w:ascii="Times New Roman" w:hAnsi="Times New Roman"/>
          <w:sz w:val="24"/>
          <w:szCs w:val="24"/>
        </w:rPr>
        <w:t xml:space="preserve">būtu spiesti pieņemt atšķirīgus lēmumus. </w:t>
      </w:r>
    </w:p>
    <w:p w14:paraId="5C345AD0" w14:textId="62576639" w:rsidR="00C00CEE" w:rsidRDefault="00C00CEE" w:rsidP="006E7AE0">
      <w:pPr>
        <w:spacing w:after="0" w:line="240" w:lineRule="auto"/>
        <w:ind w:firstLine="720"/>
        <w:jc w:val="both"/>
        <w:rPr>
          <w:rFonts w:ascii="Times New Roman" w:hAnsi="Times New Roman"/>
          <w:sz w:val="24"/>
          <w:szCs w:val="24"/>
        </w:rPr>
      </w:pPr>
      <w:r>
        <w:rPr>
          <w:rFonts w:ascii="Times New Roman" w:hAnsi="Times New Roman"/>
          <w:sz w:val="24"/>
          <w:szCs w:val="24"/>
        </w:rPr>
        <w:t xml:space="preserve">Ņemot vērā iepriekš minēto, pastāv divas </w:t>
      </w:r>
      <w:r w:rsidR="00845DF0">
        <w:rPr>
          <w:rFonts w:ascii="Times New Roman" w:hAnsi="Times New Roman"/>
          <w:sz w:val="24"/>
          <w:szCs w:val="24"/>
        </w:rPr>
        <w:t>iespējas</w:t>
      </w:r>
      <w:r>
        <w:rPr>
          <w:rFonts w:ascii="Times New Roman" w:hAnsi="Times New Roman"/>
          <w:sz w:val="24"/>
          <w:szCs w:val="24"/>
        </w:rPr>
        <w:t xml:space="preserve">, kā uzskaitīt </w:t>
      </w:r>
      <w:r w:rsidR="00D40060">
        <w:rPr>
          <w:rFonts w:ascii="Times New Roman" w:hAnsi="Times New Roman"/>
          <w:sz w:val="24"/>
          <w:szCs w:val="24"/>
        </w:rPr>
        <w:t xml:space="preserve">vispārējās valdības sektora institūciju </w:t>
      </w:r>
      <w:r>
        <w:rPr>
          <w:rFonts w:ascii="Times New Roman" w:hAnsi="Times New Roman"/>
          <w:sz w:val="24"/>
          <w:szCs w:val="24"/>
        </w:rPr>
        <w:t>ieguldījumu</w:t>
      </w:r>
      <w:r w:rsidR="003F61C6">
        <w:rPr>
          <w:rFonts w:ascii="Times New Roman" w:hAnsi="Times New Roman"/>
          <w:sz w:val="24"/>
          <w:szCs w:val="24"/>
        </w:rPr>
        <w:t>s</w:t>
      </w:r>
      <w:r>
        <w:rPr>
          <w:rFonts w:ascii="Times New Roman" w:hAnsi="Times New Roman"/>
          <w:sz w:val="24"/>
          <w:szCs w:val="24"/>
        </w:rPr>
        <w:t xml:space="preserve"> </w:t>
      </w:r>
      <w:r w:rsidR="003F61C6">
        <w:rPr>
          <w:rFonts w:ascii="Times New Roman" w:hAnsi="Times New Roman"/>
          <w:sz w:val="24"/>
          <w:szCs w:val="24"/>
        </w:rPr>
        <w:t xml:space="preserve">publisko kapitālsabiedrību </w:t>
      </w:r>
      <w:r>
        <w:rPr>
          <w:rFonts w:ascii="Times New Roman" w:hAnsi="Times New Roman"/>
          <w:sz w:val="24"/>
          <w:szCs w:val="24"/>
        </w:rPr>
        <w:t>pamatkapitālā atbilstoši EKS</w:t>
      </w:r>
      <w:r w:rsidR="00A60A73">
        <w:rPr>
          <w:rFonts w:ascii="Times New Roman" w:hAnsi="Times New Roman"/>
          <w:sz w:val="24"/>
          <w:szCs w:val="24"/>
        </w:rPr>
        <w:t xml:space="preserve"> metodoloģijai</w:t>
      </w:r>
      <w:r>
        <w:rPr>
          <w:rFonts w:ascii="Times New Roman" w:hAnsi="Times New Roman"/>
          <w:sz w:val="24"/>
          <w:szCs w:val="24"/>
        </w:rPr>
        <w:t xml:space="preserve">, kas savukārt </w:t>
      </w:r>
      <w:r w:rsidR="00D40060">
        <w:rPr>
          <w:rFonts w:ascii="Times New Roman" w:hAnsi="Times New Roman"/>
          <w:sz w:val="24"/>
          <w:szCs w:val="24"/>
        </w:rPr>
        <w:t>izšķir</w:t>
      </w:r>
      <w:r>
        <w:rPr>
          <w:rFonts w:ascii="Times New Roman" w:hAnsi="Times New Roman"/>
          <w:sz w:val="24"/>
          <w:szCs w:val="24"/>
        </w:rPr>
        <w:t xml:space="preserve"> šī ieguldījuma ietekmi uz vispārējās valdības sektora fiskālajiem rādītājiem. </w:t>
      </w:r>
      <w:r w:rsidR="00D40060">
        <w:rPr>
          <w:rFonts w:ascii="Times New Roman" w:hAnsi="Times New Roman"/>
          <w:sz w:val="24"/>
          <w:szCs w:val="24"/>
        </w:rPr>
        <w:t>Gadījumos, kad valsts</w:t>
      </w:r>
      <w:r w:rsidR="003F61C6">
        <w:rPr>
          <w:rFonts w:ascii="Times New Roman" w:hAnsi="Times New Roman"/>
          <w:sz w:val="24"/>
          <w:szCs w:val="24"/>
        </w:rPr>
        <w:t xml:space="preserve"> vai pašvaldības</w:t>
      </w:r>
      <w:r w:rsidR="00D40060">
        <w:rPr>
          <w:rFonts w:ascii="Times New Roman" w:hAnsi="Times New Roman"/>
          <w:sz w:val="24"/>
          <w:szCs w:val="24"/>
        </w:rPr>
        <w:t xml:space="preserve"> mērķis ieguldījuma veikšanai ir līdzīgs privātā investora motivācijai, proti, ieguldīt līdzekļus un saņemt </w:t>
      </w:r>
      <w:r w:rsidR="003F61C6">
        <w:rPr>
          <w:rFonts w:ascii="Times New Roman" w:hAnsi="Times New Roman"/>
          <w:sz w:val="24"/>
          <w:szCs w:val="24"/>
        </w:rPr>
        <w:t>par tiem</w:t>
      </w:r>
      <w:r w:rsidR="00D40060">
        <w:rPr>
          <w:rFonts w:ascii="Times New Roman" w:hAnsi="Times New Roman"/>
          <w:sz w:val="24"/>
          <w:szCs w:val="24"/>
        </w:rPr>
        <w:t xml:space="preserve"> līdzvērtīgus finanšu aktīvus, kas nākotnē ar zināmu varbūtību nodrošin</w:t>
      </w:r>
      <w:r w:rsidR="003F61C6">
        <w:rPr>
          <w:rFonts w:ascii="Times New Roman" w:hAnsi="Times New Roman"/>
          <w:sz w:val="24"/>
          <w:szCs w:val="24"/>
        </w:rPr>
        <w:t>a</w:t>
      </w:r>
      <w:r w:rsidR="00D40060">
        <w:rPr>
          <w:rFonts w:ascii="Times New Roman" w:hAnsi="Times New Roman"/>
          <w:sz w:val="24"/>
          <w:szCs w:val="24"/>
        </w:rPr>
        <w:t xml:space="preserve"> riskam atbilstošu atdevi (dividenžu, procenta ieņēmumu vai kapitāla pieauguma veidā)</w:t>
      </w:r>
      <w:r w:rsidR="003F61C6">
        <w:rPr>
          <w:rFonts w:ascii="Times New Roman" w:hAnsi="Times New Roman"/>
          <w:sz w:val="24"/>
          <w:szCs w:val="24"/>
        </w:rPr>
        <w:t xml:space="preserve">, tad </w:t>
      </w:r>
      <w:r w:rsidR="00D40060">
        <w:rPr>
          <w:rFonts w:ascii="Times New Roman" w:hAnsi="Times New Roman"/>
          <w:sz w:val="24"/>
          <w:szCs w:val="24"/>
        </w:rPr>
        <w:t>kapitāla palielināšana var tikt uzskaitīta par finanšu darījumu, kam nav negatīvas ietekmes uz vispārējās valdības budžeta bilanci (t.i. ieguldījums neti</w:t>
      </w:r>
      <w:r w:rsidR="00A60A73">
        <w:rPr>
          <w:rFonts w:ascii="Times New Roman" w:hAnsi="Times New Roman"/>
          <w:sz w:val="24"/>
          <w:szCs w:val="24"/>
        </w:rPr>
        <w:t>ek</w:t>
      </w:r>
      <w:r w:rsidR="00D40060">
        <w:rPr>
          <w:rFonts w:ascii="Times New Roman" w:hAnsi="Times New Roman"/>
          <w:sz w:val="24"/>
          <w:szCs w:val="24"/>
        </w:rPr>
        <w:t xml:space="preserve"> atzīts </w:t>
      </w:r>
      <w:r w:rsidR="003F61C6">
        <w:rPr>
          <w:rFonts w:ascii="Times New Roman" w:hAnsi="Times New Roman"/>
          <w:sz w:val="24"/>
          <w:szCs w:val="24"/>
        </w:rPr>
        <w:t>par</w:t>
      </w:r>
      <w:r w:rsidR="00D40060">
        <w:rPr>
          <w:rFonts w:ascii="Times New Roman" w:hAnsi="Times New Roman"/>
          <w:sz w:val="24"/>
          <w:szCs w:val="24"/>
        </w:rPr>
        <w:t xml:space="preserve"> izdevumi</w:t>
      </w:r>
      <w:r w:rsidR="003F61C6">
        <w:rPr>
          <w:rFonts w:ascii="Times New Roman" w:hAnsi="Times New Roman"/>
          <w:sz w:val="24"/>
          <w:szCs w:val="24"/>
        </w:rPr>
        <w:t>em</w:t>
      </w:r>
      <w:r w:rsidR="00D40060">
        <w:rPr>
          <w:rFonts w:ascii="Times New Roman" w:hAnsi="Times New Roman"/>
          <w:sz w:val="24"/>
          <w:szCs w:val="24"/>
        </w:rPr>
        <w:t xml:space="preserve">). Savukārt, ja valsts motivācija, </w:t>
      </w:r>
      <w:r w:rsidR="003F61C6">
        <w:rPr>
          <w:rFonts w:ascii="Times New Roman" w:hAnsi="Times New Roman"/>
          <w:sz w:val="24"/>
          <w:szCs w:val="24"/>
        </w:rPr>
        <w:t>veicot</w:t>
      </w:r>
      <w:r w:rsidR="00D40060">
        <w:rPr>
          <w:rFonts w:ascii="Times New Roman" w:hAnsi="Times New Roman"/>
          <w:sz w:val="24"/>
          <w:szCs w:val="24"/>
        </w:rPr>
        <w:t xml:space="preserve"> ieguldījumu </w:t>
      </w:r>
      <w:r w:rsidR="003F61C6">
        <w:rPr>
          <w:rFonts w:ascii="Times New Roman" w:hAnsi="Times New Roman"/>
          <w:sz w:val="24"/>
          <w:szCs w:val="24"/>
        </w:rPr>
        <w:t xml:space="preserve">ir pamatota ar citiem argumentiem (pamatā publisko mērķu sasniegšanu), kas nenodrošina ne vien pienācīgu atdevi pret uzņemto risku, bet bieži vien </w:t>
      </w:r>
      <w:r w:rsidR="00425BDD">
        <w:rPr>
          <w:rFonts w:ascii="Times New Roman" w:hAnsi="Times New Roman"/>
          <w:sz w:val="24"/>
          <w:szCs w:val="24"/>
        </w:rPr>
        <w:t>nespēj</w:t>
      </w:r>
      <w:r w:rsidR="003F61C6">
        <w:rPr>
          <w:rFonts w:ascii="Times New Roman" w:hAnsi="Times New Roman"/>
          <w:sz w:val="24"/>
          <w:szCs w:val="24"/>
        </w:rPr>
        <w:t xml:space="preserve"> pat </w:t>
      </w:r>
      <w:r w:rsidR="00425BDD">
        <w:rPr>
          <w:rFonts w:ascii="Times New Roman" w:hAnsi="Times New Roman"/>
          <w:sz w:val="24"/>
          <w:szCs w:val="24"/>
        </w:rPr>
        <w:t xml:space="preserve">garantēt </w:t>
      </w:r>
      <w:r w:rsidR="003F61C6">
        <w:rPr>
          <w:rFonts w:ascii="Times New Roman" w:hAnsi="Times New Roman"/>
          <w:sz w:val="24"/>
          <w:szCs w:val="24"/>
        </w:rPr>
        <w:t xml:space="preserve">ieguldītā kapitāla vērtības saglabāšanu, tad ieguldījums tiek uzskaitīts kā izdevumi, pasliktinot budžeta bilanci. </w:t>
      </w:r>
    </w:p>
    <w:p w14:paraId="054BCB99" w14:textId="3B56C2EC" w:rsidR="00EB11C7" w:rsidRDefault="00EB11C7" w:rsidP="006E7AE0">
      <w:pPr>
        <w:spacing w:after="0" w:line="240" w:lineRule="auto"/>
        <w:ind w:firstLine="720"/>
        <w:jc w:val="both"/>
        <w:rPr>
          <w:rFonts w:ascii="Times New Roman" w:hAnsi="Times New Roman"/>
          <w:sz w:val="24"/>
          <w:szCs w:val="24"/>
        </w:rPr>
      </w:pPr>
    </w:p>
    <w:p w14:paraId="0A80BD7E" w14:textId="3D92ED1C" w:rsidR="004B4BC5" w:rsidRDefault="004B4BC5" w:rsidP="0058124B">
      <w:pPr>
        <w:spacing w:after="0" w:line="240" w:lineRule="auto"/>
        <w:jc w:val="right"/>
        <w:rPr>
          <w:rFonts w:ascii="Times New Roman" w:hAnsi="Times New Roman"/>
          <w:sz w:val="24"/>
          <w:szCs w:val="24"/>
        </w:rPr>
      </w:pPr>
      <w:r w:rsidRPr="0021152B">
        <w:rPr>
          <w:rFonts w:ascii="Times New Roman" w:hAnsi="Times New Roman" w:cs="Times New Roman"/>
          <w:b/>
          <w:sz w:val="24"/>
          <w:szCs w:val="24"/>
        </w:rPr>
        <w:t>Tabula Nr.</w:t>
      </w:r>
      <w:r w:rsidR="0077673B">
        <w:rPr>
          <w:rFonts w:ascii="Times New Roman" w:hAnsi="Times New Roman" w:cs="Times New Roman"/>
          <w:b/>
          <w:sz w:val="24"/>
          <w:szCs w:val="24"/>
        </w:rPr>
        <w:t>3.2.1</w:t>
      </w:r>
      <w:r w:rsidRPr="0021152B">
        <w:rPr>
          <w:rFonts w:ascii="Times New Roman" w:hAnsi="Times New Roman" w:cs="Times New Roman"/>
          <w:b/>
          <w:sz w:val="24"/>
          <w:szCs w:val="24"/>
        </w:rPr>
        <w:t xml:space="preserve"> </w:t>
      </w:r>
      <w:r>
        <w:rPr>
          <w:rFonts w:ascii="Times New Roman" w:hAnsi="Times New Roman" w:cs="Times New Roman"/>
          <w:b/>
          <w:sz w:val="24"/>
          <w:szCs w:val="24"/>
        </w:rPr>
        <w:t xml:space="preserve">Ietekme uz vispārējās valdības budžeta bilanci no ieguldījumiem </w:t>
      </w:r>
      <w:proofErr w:type="spellStart"/>
      <w:r>
        <w:rPr>
          <w:rFonts w:ascii="Times New Roman" w:hAnsi="Times New Roman" w:cs="Times New Roman"/>
          <w:b/>
          <w:sz w:val="24"/>
          <w:szCs w:val="24"/>
        </w:rPr>
        <w:t>airBaltic</w:t>
      </w:r>
      <w:proofErr w:type="spellEnd"/>
      <w:r>
        <w:rPr>
          <w:rFonts w:ascii="Times New Roman" w:hAnsi="Times New Roman" w:cs="Times New Roman"/>
          <w:b/>
          <w:sz w:val="24"/>
          <w:szCs w:val="24"/>
        </w:rPr>
        <w:t xml:space="preserve"> (2010.-2022.gads), milj. </w:t>
      </w:r>
      <w:proofErr w:type="spellStart"/>
      <w:r w:rsidRPr="0058124B">
        <w:rPr>
          <w:rFonts w:ascii="Times New Roman" w:hAnsi="Times New Roman" w:cs="Times New Roman"/>
          <w:b/>
          <w:i/>
          <w:iCs/>
          <w:sz w:val="24"/>
          <w:szCs w:val="24"/>
        </w:rPr>
        <w:t>euro</w:t>
      </w:r>
      <w:proofErr w:type="spellEnd"/>
      <w:r>
        <w:rPr>
          <w:rFonts w:ascii="Times New Roman" w:hAnsi="Times New Roman" w:cs="Times New Roman"/>
          <w:b/>
          <w:sz w:val="24"/>
          <w:szCs w:val="24"/>
        </w:rPr>
        <w:t xml:space="preserve"> </w:t>
      </w:r>
    </w:p>
    <w:tbl>
      <w:tblPr>
        <w:tblStyle w:val="TableGrid"/>
        <w:tblpPr w:leftFromText="180" w:rightFromText="180" w:vertAnchor="text" w:horzAnchor="margin" w:tblpY="124"/>
        <w:tblW w:w="980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1885"/>
        <w:gridCol w:w="792"/>
        <w:gridCol w:w="792"/>
        <w:gridCol w:w="792"/>
        <w:gridCol w:w="792"/>
        <w:gridCol w:w="792"/>
        <w:gridCol w:w="792"/>
        <w:gridCol w:w="792"/>
        <w:gridCol w:w="792"/>
        <w:gridCol w:w="792"/>
        <w:gridCol w:w="792"/>
      </w:tblGrid>
      <w:tr w:rsidR="004B4BC5" w14:paraId="4D723F04" w14:textId="77777777" w:rsidTr="0090485F">
        <w:tc>
          <w:tcPr>
            <w:tcW w:w="1885" w:type="dxa"/>
            <w:shd w:val="clear" w:color="auto" w:fill="DEEAF6" w:themeFill="accent1" w:themeFillTint="33"/>
          </w:tcPr>
          <w:p w14:paraId="19FABCD7" w14:textId="77777777" w:rsidR="00682047" w:rsidRPr="00BA58D9" w:rsidRDefault="00682047" w:rsidP="0058124B">
            <w:pPr>
              <w:jc w:val="center"/>
              <w:rPr>
                <w:b/>
                <w:bCs/>
                <w:sz w:val="22"/>
                <w:szCs w:val="20"/>
              </w:rPr>
            </w:pPr>
          </w:p>
        </w:tc>
        <w:tc>
          <w:tcPr>
            <w:tcW w:w="792" w:type="dxa"/>
            <w:shd w:val="clear" w:color="auto" w:fill="DEEAF6" w:themeFill="accent1" w:themeFillTint="33"/>
            <w:vAlign w:val="center"/>
          </w:tcPr>
          <w:p w14:paraId="432B4E49" w14:textId="77777777" w:rsidR="00682047" w:rsidRPr="0053110E" w:rsidRDefault="00682047" w:rsidP="0058124B">
            <w:pPr>
              <w:jc w:val="center"/>
              <w:rPr>
                <w:b/>
                <w:bCs/>
                <w:sz w:val="22"/>
                <w:szCs w:val="20"/>
              </w:rPr>
            </w:pPr>
            <w:r w:rsidRPr="00BA58D9">
              <w:rPr>
                <w:b/>
                <w:bCs/>
                <w:sz w:val="22"/>
                <w:szCs w:val="20"/>
              </w:rPr>
              <w:t>2010</w:t>
            </w:r>
          </w:p>
        </w:tc>
        <w:tc>
          <w:tcPr>
            <w:tcW w:w="792" w:type="dxa"/>
            <w:shd w:val="clear" w:color="auto" w:fill="DEEAF6" w:themeFill="accent1" w:themeFillTint="33"/>
            <w:vAlign w:val="center"/>
          </w:tcPr>
          <w:p w14:paraId="6F67199D" w14:textId="77777777" w:rsidR="00682047" w:rsidRPr="0053110E" w:rsidRDefault="00682047" w:rsidP="0058124B">
            <w:pPr>
              <w:jc w:val="center"/>
              <w:rPr>
                <w:b/>
                <w:bCs/>
                <w:sz w:val="22"/>
                <w:szCs w:val="20"/>
              </w:rPr>
            </w:pPr>
            <w:r w:rsidRPr="00BA58D9">
              <w:rPr>
                <w:b/>
                <w:bCs/>
                <w:sz w:val="22"/>
                <w:szCs w:val="20"/>
              </w:rPr>
              <w:t>2011</w:t>
            </w:r>
          </w:p>
        </w:tc>
        <w:tc>
          <w:tcPr>
            <w:tcW w:w="792" w:type="dxa"/>
            <w:shd w:val="clear" w:color="auto" w:fill="DEEAF6" w:themeFill="accent1" w:themeFillTint="33"/>
            <w:vAlign w:val="center"/>
          </w:tcPr>
          <w:p w14:paraId="614E86BB" w14:textId="77777777" w:rsidR="00682047" w:rsidRPr="0053110E" w:rsidRDefault="00682047" w:rsidP="0058124B">
            <w:pPr>
              <w:jc w:val="center"/>
              <w:rPr>
                <w:b/>
                <w:bCs/>
                <w:sz w:val="22"/>
                <w:szCs w:val="20"/>
              </w:rPr>
            </w:pPr>
            <w:r w:rsidRPr="00BA58D9">
              <w:rPr>
                <w:b/>
                <w:bCs/>
                <w:sz w:val="22"/>
                <w:szCs w:val="20"/>
              </w:rPr>
              <w:t>2012</w:t>
            </w:r>
          </w:p>
        </w:tc>
        <w:tc>
          <w:tcPr>
            <w:tcW w:w="792" w:type="dxa"/>
            <w:shd w:val="clear" w:color="auto" w:fill="DEEAF6" w:themeFill="accent1" w:themeFillTint="33"/>
            <w:vAlign w:val="center"/>
          </w:tcPr>
          <w:p w14:paraId="1C93A6F3" w14:textId="77777777" w:rsidR="00682047" w:rsidRPr="0053110E" w:rsidRDefault="00682047" w:rsidP="0058124B">
            <w:pPr>
              <w:jc w:val="center"/>
              <w:rPr>
                <w:b/>
                <w:bCs/>
                <w:sz w:val="22"/>
                <w:szCs w:val="20"/>
              </w:rPr>
            </w:pPr>
            <w:r w:rsidRPr="00BA58D9">
              <w:rPr>
                <w:b/>
                <w:bCs/>
                <w:sz w:val="22"/>
                <w:szCs w:val="20"/>
              </w:rPr>
              <w:t>2013</w:t>
            </w:r>
          </w:p>
        </w:tc>
        <w:tc>
          <w:tcPr>
            <w:tcW w:w="792" w:type="dxa"/>
            <w:shd w:val="clear" w:color="auto" w:fill="DEEAF6" w:themeFill="accent1" w:themeFillTint="33"/>
            <w:vAlign w:val="center"/>
          </w:tcPr>
          <w:p w14:paraId="67788B25" w14:textId="77777777" w:rsidR="00682047" w:rsidRPr="0053110E" w:rsidRDefault="00682047" w:rsidP="0058124B">
            <w:pPr>
              <w:jc w:val="center"/>
              <w:rPr>
                <w:b/>
                <w:bCs/>
                <w:sz w:val="22"/>
                <w:szCs w:val="20"/>
              </w:rPr>
            </w:pPr>
            <w:r w:rsidRPr="00BA58D9">
              <w:rPr>
                <w:b/>
                <w:bCs/>
                <w:sz w:val="22"/>
                <w:szCs w:val="20"/>
              </w:rPr>
              <w:t>2014</w:t>
            </w:r>
          </w:p>
        </w:tc>
        <w:tc>
          <w:tcPr>
            <w:tcW w:w="792" w:type="dxa"/>
            <w:shd w:val="clear" w:color="auto" w:fill="DEEAF6" w:themeFill="accent1" w:themeFillTint="33"/>
            <w:vAlign w:val="center"/>
          </w:tcPr>
          <w:p w14:paraId="365C33AA" w14:textId="522ABA38" w:rsidR="00682047" w:rsidRPr="0053110E" w:rsidRDefault="00682047" w:rsidP="00682047">
            <w:pPr>
              <w:jc w:val="center"/>
              <w:rPr>
                <w:b/>
                <w:bCs/>
                <w:sz w:val="22"/>
                <w:szCs w:val="20"/>
              </w:rPr>
            </w:pPr>
            <w:r w:rsidRPr="00BA58D9">
              <w:rPr>
                <w:b/>
                <w:bCs/>
                <w:sz w:val="22"/>
                <w:szCs w:val="20"/>
              </w:rPr>
              <w:t>2015</w:t>
            </w:r>
          </w:p>
        </w:tc>
        <w:tc>
          <w:tcPr>
            <w:tcW w:w="792" w:type="dxa"/>
            <w:shd w:val="clear" w:color="auto" w:fill="DEEAF6" w:themeFill="accent1" w:themeFillTint="33"/>
            <w:vAlign w:val="center"/>
          </w:tcPr>
          <w:p w14:paraId="167F069A" w14:textId="36CE9D4C" w:rsidR="00682047" w:rsidRPr="0053110E" w:rsidRDefault="00682047" w:rsidP="0058124B">
            <w:pPr>
              <w:jc w:val="center"/>
              <w:rPr>
                <w:b/>
                <w:bCs/>
                <w:sz w:val="22"/>
                <w:szCs w:val="20"/>
              </w:rPr>
            </w:pPr>
            <w:r w:rsidRPr="00BA58D9">
              <w:rPr>
                <w:b/>
                <w:bCs/>
                <w:sz w:val="22"/>
                <w:szCs w:val="20"/>
              </w:rPr>
              <w:t>2016-2019</w:t>
            </w:r>
          </w:p>
        </w:tc>
        <w:tc>
          <w:tcPr>
            <w:tcW w:w="792" w:type="dxa"/>
            <w:shd w:val="clear" w:color="auto" w:fill="DEEAF6" w:themeFill="accent1" w:themeFillTint="33"/>
            <w:vAlign w:val="center"/>
          </w:tcPr>
          <w:p w14:paraId="222CF499" w14:textId="77777777" w:rsidR="00682047" w:rsidRPr="0053110E" w:rsidRDefault="00682047" w:rsidP="0058124B">
            <w:pPr>
              <w:jc w:val="center"/>
              <w:rPr>
                <w:b/>
                <w:bCs/>
                <w:sz w:val="22"/>
                <w:szCs w:val="20"/>
              </w:rPr>
            </w:pPr>
            <w:r w:rsidRPr="00BA58D9">
              <w:rPr>
                <w:b/>
                <w:bCs/>
                <w:sz w:val="22"/>
                <w:szCs w:val="20"/>
              </w:rPr>
              <w:t>2020</w:t>
            </w:r>
          </w:p>
        </w:tc>
        <w:tc>
          <w:tcPr>
            <w:tcW w:w="792" w:type="dxa"/>
            <w:shd w:val="clear" w:color="auto" w:fill="DEEAF6" w:themeFill="accent1" w:themeFillTint="33"/>
            <w:vAlign w:val="center"/>
          </w:tcPr>
          <w:p w14:paraId="31B06354" w14:textId="77777777" w:rsidR="00682047" w:rsidRPr="0053110E" w:rsidRDefault="00682047" w:rsidP="0058124B">
            <w:pPr>
              <w:jc w:val="center"/>
              <w:rPr>
                <w:b/>
                <w:bCs/>
                <w:sz w:val="22"/>
                <w:szCs w:val="20"/>
              </w:rPr>
            </w:pPr>
            <w:r w:rsidRPr="00BA58D9">
              <w:rPr>
                <w:b/>
                <w:bCs/>
                <w:sz w:val="22"/>
                <w:szCs w:val="20"/>
              </w:rPr>
              <w:t>2021</w:t>
            </w:r>
          </w:p>
        </w:tc>
        <w:tc>
          <w:tcPr>
            <w:tcW w:w="792" w:type="dxa"/>
            <w:shd w:val="clear" w:color="auto" w:fill="DEEAF6" w:themeFill="accent1" w:themeFillTint="33"/>
            <w:vAlign w:val="center"/>
          </w:tcPr>
          <w:p w14:paraId="56DF6DDF" w14:textId="77777777" w:rsidR="00682047" w:rsidRPr="0053110E" w:rsidRDefault="00682047" w:rsidP="0058124B">
            <w:pPr>
              <w:jc w:val="center"/>
              <w:rPr>
                <w:b/>
                <w:bCs/>
                <w:sz w:val="22"/>
                <w:szCs w:val="20"/>
              </w:rPr>
            </w:pPr>
            <w:r w:rsidRPr="00BA58D9">
              <w:rPr>
                <w:b/>
                <w:bCs/>
                <w:sz w:val="22"/>
                <w:szCs w:val="20"/>
              </w:rPr>
              <w:t>2022</w:t>
            </w:r>
          </w:p>
        </w:tc>
      </w:tr>
      <w:tr w:rsidR="00682047" w14:paraId="50B4C63E" w14:textId="77777777" w:rsidTr="0090485F">
        <w:trPr>
          <w:trHeight w:val="589"/>
        </w:trPr>
        <w:tc>
          <w:tcPr>
            <w:tcW w:w="1885" w:type="dxa"/>
            <w:vAlign w:val="center"/>
          </w:tcPr>
          <w:p w14:paraId="585DDECF" w14:textId="6EBC6A26" w:rsidR="00682047" w:rsidRPr="00BA58D9" w:rsidRDefault="00682047" w:rsidP="0058124B">
            <w:pPr>
              <w:jc w:val="center"/>
              <w:rPr>
                <w:b/>
                <w:bCs/>
                <w:sz w:val="22"/>
                <w:szCs w:val="20"/>
              </w:rPr>
            </w:pPr>
            <w:r w:rsidRPr="00BA58D9">
              <w:rPr>
                <w:b/>
                <w:bCs/>
                <w:sz w:val="22"/>
                <w:szCs w:val="20"/>
              </w:rPr>
              <w:t>Ietekme</w:t>
            </w:r>
          </w:p>
        </w:tc>
        <w:tc>
          <w:tcPr>
            <w:tcW w:w="792" w:type="dxa"/>
            <w:vAlign w:val="center"/>
          </w:tcPr>
          <w:p w14:paraId="50D67E18" w14:textId="0B3490BD" w:rsidR="00682047" w:rsidRPr="00BA58D9" w:rsidRDefault="00682047" w:rsidP="0058124B">
            <w:pPr>
              <w:jc w:val="center"/>
              <w:rPr>
                <w:rFonts w:cs="Times New Roman"/>
                <w:sz w:val="22"/>
                <w:szCs w:val="20"/>
              </w:rPr>
            </w:pPr>
            <w:r w:rsidRPr="00BA58D9">
              <w:rPr>
                <w:rFonts w:cs="Times New Roman"/>
                <w:sz w:val="22"/>
                <w:szCs w:val="20"/>
              </w:rPr>
              <w:t>22,1</w:t>
            </w:r>
          </w:p>
        </w:tc>
        <w:tc>
          <w:tcPr>
            <w:tcW w:w="792" w:type="dxa"/>
            <w:vAlign w:val="center"/>
          </w:tcPr>
          <w:p w14:paraId="35F25D92" w14:textId="4A06027A" w:rsidR="00682047" w:rsidRPr="00BA58D9" w:rsidRDefault="00682047" w:rsidP="0058124B">
            <w:pPr>
              <w:jc w:val="center"/>
              <w:rPr>
                <w:rFonts w:cs="Times New Roman"/>
                <w:sz w:val="22"/>
                <w:szCs w:val="20"/>
              </w:rPr>
            </w:pPr>
            <w:r w:rsidRPr="00BA58D9">
              <w:rPr>
                <w:rFonts w:cs="Times New Roman"/>
                <w:sz w:val="22"/>
                <w:szCs w:val="20"/>
              </w:rPr>
              <w:t>81,9</w:t>
            </w:r>
          </w:p>
        </w:tc>
        <w:tc>
          <w:tcPr>
            <w:tcW w:w="792" w:type="dxa"/>
            <w:vAlign w:val="center"/>
          </w:tcPr>
          <w:p w14:paraId="4AF4A511" w14:textId="555254A1" w:rsidR="00682047" w:rsidRPr="00BA58D9" w:rsidRDefault="00682047" w:rsidP="0058124B">
            <w:pPr>
              <w:jc w:val="center"/>
              <w:rPr>
                <w:rFonts w:cs="Times New Roman"/>
                <w:sz w:val="22"/>
                <w:szCs w:val="20"/>
              </w:rPr>
            </w:pPr>
            <w:r w:rsidRPr="00BA58D9">
              <w:rPr>
                <w:rFonts w:cs="Times New Roman"/>
                <w:sz w:val="22"/>
                <w:szCs w:val="20"/>
              </w:rPr>
              <w:t>12,8</w:t>
            </w:r>
          </w:p>
        </w:tc>
        <w:tc>
          <w:tcPr>
            <w:tcW w:w="792" w:type="dxa"/>
            <w:vAlign w:val="center"/>
          </w:tcPr>
          <w:p w14:paraId="4ADB4FB2" w14:textId="59BF0745" w:rsidR="00682047" w:rsidRPr="00BA58D9" w:rsidRDefault="00682047" w:rsidP="0058124B">
            <w:pPr>
              <w:jc w:val="center"/>
              <w:rPr>
                <w:rFonts w:cs="Times New Roman"/>
                <w:sz w:val="22"/>
                <w:szCs w:val="20"/>
              </w:rPr>
            </w:pPr>
            <w:r w:rsidRPr="00BA58D9">
              <w:rPr>
                <w:rFonts w:cs="Times New Roman"/>
                <w:sz w:val="22"/>
                <w:szCs w:val="20"/>
              </w:rPr>
              <w:t>14,2</w:t>
            </w:r>
          </w:p>
        </w:tc>
        <w:tc>
          <w:tcPr>
            <w:tcW w:w="792" w:type="dxa"/>
            <w:vAlign w:val="center"/>
          </w:tcPr>
          <w:p w14:paraId="7687DFAC" w14:textId="15C5C041" w:rsidR="00682047" w:rsidRPr="00BA58D9" w:rsidRDefault="00682047" w:rsidP="0058124B">
            <w:pPr>
              <w:jc w:val="center"/>
              <w:rPr>
                <w:rFonts w:cs="Times New Roman"/>
                <w:sz w:val="22"/>
                <w:szCs w:val="20"/>
              </w:rPr>
            </w:pPr>
            <w:r w:rsidRPr="00BA58D9">
              <w:rPr>
                <w:rFonts w:cs="Times New Roman"/>
                <w:sz w:val="22"/>
                <w:szCs w:val="20"/>
              </w:rPr>
              <w:t>9,1</w:t>
            </w:r>
          </w:p>
        </w:tc>
        <w:tc>
          <w:tcPr>
            <w:tcW w:w="792" w:type="dxa"/>
            <w:vAlign w:val="center"/>
          </w:tcPr>
          <w:p w14:paraId="756CF140" w14:textId="6E2C3ADA" w:rsidR="00682047" w:rsidRPr="00BA58D9" w:rsidRDefault="00682047" w:rsidP="004B4BC5">
            <w:pPr>
              <w:jc w:val="center"/>
              <w:rPr>
                <w:rFonts w:cs="Times New Roman"/>
                <w:sz w:val="22"/>
                <w:szCs w:val="20"/>
              </w:rPr>
            </w:pPr>
            <w:r w:rsidRPr="00BA58D9">
              <w:rPr>
                <w:rFonts w:cs="Times New Roman"/>
                <w:sz w:val="22"/>
                <w:szCs w:val="20"/>
              </w:rPr>
              <w:t>9,0</w:t>
            </w:r>
          </w:p>
        </w:tc>
        <w:tc>
          <w:tcPr>
            <w:tcW w:w="792" w:type="dxa"/>
            <w:vAlign w:val="center"/>
          </w:tcPr>
          <w:p w14:paraId="559CB3A8" w14:textId="6C857973" w:rsidR="00682047" w:rsidRPr="0053110E" w:rsidRDefault="00682047" w:rsidP="0058124B">
            <w:pPr>
              <w:jc w:val="center"/>
              <w:rPr>
                <w:rFonts w:cs="Times New Roman"/>
                <w:sz w:val="22"/>
                <w:szCs w:val="20"/>
              </w:rPr>
            </w:pPr>
            <w:r w:rsidRPr="00BA58D9">
              <w:rPr>
                <w:rFonts w:cs="Times New Roman"/>
                <w:sz w:val="22"/>
                <w:szCs w:val="20"/>
              </w:rPr>
              <w:t>-</w:t>
            </w:r>
            <w:r w:rsidR="009855C5" w:rsidRPr="00BA58D9">
              <w:rPr>
                <w:rFonts w:cs="Times New Roman"/>
                <w:sz w:val="22"/>
                <w:szCs w:val="20"/>
                <w:rtl/>
              </w:rPr>
              <w:t>*</w:t>
            </w:r>
          </w:p>
        </w:tc>
        <w:tc>
          <w:tcPr>
            <w:tcW w:w="792" w:type="dxa"/>
            <w:vAlign w:val="center"/>
          </w:tcPr>
          <w:p w14:paraId="77A51CB4" w14:textId="75F28EE1" w:rsidR="00682047" w:rsidRPr="0053110E" w:rsidRDefault="00682047" w:rsidP="0058124B">
            <w:pPr>
              <w:jc w:val="center"/>
              <w:rPr>
                <w:rFonts w:cs="Times New Roman"/>
                <w:sz w:val="22"/>
                <w:szCs w:val="20"/>
              </w:rPr>
            </w:pPr>
            <w:r w:rsidRPr="00BA58D9">
              <w:rPr>
                <w:rFonts w:cs="Times New Roman"/>
                <w:sz w:val="22"/>
                <w:szCs w:val="20"/>
              </w:rPr>
              <w:t>250,0</w:t>
            </w:r>
          </w:p>
        </w:tc>
        <w:tc>
          <w:tcPr>
            <w:tcW w:w="792" w:type="dxa"/>
            <w:vAlign w:val="center"/>
          </w:tcPr>
          <w:p w14:paraId="144B1C14" w14:textId="25D4A74E" w:rsidR="00682047" w:rsidRPr="0053110E" w:rsidRDefault="00682047" w:rsidP="0058124B">
            <w:pPr>
              <w:jc w:val="center"/>
              <w:rPr>
                <w:rFonts w:cs="Times New Roman"/>
                <w:sz w:val="22"/>
                <w:szCs w:val="20"/>
              </w:rPr>
            </w:pPr>
            <w:r w:rsidRPr="00BA58D9">
              <w:rPr>
                <w:rFonts w:cs="Times New Roman"/>
                <w:sz w:val="22"/>
                <w:szCs w:val="20"/>
              </w:rPr>
              <w:t>45,0</w:t>
            </w:r>
          </w:p>
        </w:tc>
        <w:tc>
          <w:tcPr>
            <w:tcW w:w="792" w:type="dxa"/>
            <w:vAlign w:val="center"/>
          </w:tcPr>
          <w:p w14:paraId="2080FA51" w14:textId="1D7E3B62" w:rsidR="00682047" w:rsidRPr="0053110E" w:rsidRDefault="009855C5" w:rsidP="0058124B">
            <w:pPr>
              <w:jc w:val="center"/>
              <w:rPr>
                <w:rFonts w:cs="Times New Roman"/>
                <w:sz w:val="22"/>
                <w:szCs w:val="20"/>
              </w:rPr>
            </w:pPr>
            <w:r w:rsidRPr="00BA58D9">
              <w:rPr>
                <w:rFonts w:cs="Times New Roman"/>
                <w:sz w:val="22"/>
                <w:szCs w:val="20"/>
              </w:rPr>
              <w:t>45,0</w:t>
            </w:r>
          </w:p>
        </w:tc>
      </w:tr>
    </w:tbl>
    <w:p w14:paraId="4DE3E08C" w14:textId="04890954" w:rsidR="003F61C6" w:rsidRPr="002D428D" w:rsidRDefault="009855C5" w:rsidP="0058124B">
      <w:pPr>
        <w:rPr>
          <w:rFonts w:ascii="Times New Roman" w:hAnsi="Times New Roman"/>
          <w:i/>
          <w:iCs/>
          <w:sz w:val="20"/>
          <w:szCs w:val="20"/>
        </w:rPr>
      </w:pPr>
      <w:r w:rsidRPr="002D428D">
        <w:rPr>
          <w:rFonts w:ascii="Times New Roman" w:eastAsia="Calibri" w:hAnsi="Times New Roman" w:cs="Times New Roman"/>
          <w:i/>
          <w:iCs/>
          <w:sz w:val="20"/>
          <w:szCs w:val="20"/>
        </w:rPr>
        <w:t>*</w:t>
      </w:r>
      <w:r w:rsidRPr="002D428D">
        <w:rPr>
          <w:rFonts w:ascii="Times New Roman" w:hAnsi="Times New Roman"/>
          <w:i/>
          <w:iCs/>
          <w:sz w:val="20"/>
          <w:szCs w:val="20"/>
        </w:rPr>
        <w:t xml:space="preserve"> valsts ieguldījums 80 milj. </w:t>
      </w:r>
      <w:proofErr w:type="spellStart"/>
      <w:r w:rsidRPr="002D428D">
        <w:rPr>
          <w:rFonts w:ascii="Times New Roman" w:hAnsi="Times New Roman"/>
          <w:i/>
          <w:iCs/>
          <w:sz w:val="20"/>
          <w:szCs w:val="20"/>
        </w:rPr>
        <w:t>euro</w:t>
      </w:r>
      <w:proofErr w:type="spellEnd"/>
      <w:r w:rsidRPr="002D428D">
        <w:rPr>
          <w:rFonts w:ascii="Times New Roman" w:hAnsi="Times New Roman"/>
          <w:i/>
          <w:iCs/>
          <w:sz w:val="20"/>
          <w:szCs w:val="20"/>
        </w:rPr>
        <w:t xml:space="preserve"> 2016.gadā uzskaitīts kā finanšu darījums</w:t>
      </w:r>
    </w:p>
    <w:p w14:paraId="6723BD99" w14:textId="02DDCF23" w:rsidR="009855C5" w:rsidRDefault="004B4BC5" w:rsidP="00EB11C7">
      <w:pPr>
        <w:spacing w:after="0" w:line="240" w:lineRule="auto"/>
        <w:ind w:firstLine="720"/>
        <w:jc w:val="both"/>
        <w:rPr>
          <w:rFonts w:ascii="Times New Roman" w:hAnsi="Times New Roman"/>
          <w:sz w:val="24"/>
          <w:szCs w:val="24"/>
        </w:rPr>
      </w:pPr>
      <w:r>
        <w:rPr>
          <w:rFonts w:ascii="Times New Roman" w:hAnsi="Times New Roman"/>
          <w:sz w:val="24"/>
          <w:szCs w:val="24"/>
        </w:rPr>
        <w:t xml:space="preserve">Apskatot datus par ieguldījumu </w:t>
      </w:r>
      <w:proofErr w:type="spellStart"/>
      <w:r>
        <w:rPr>
          <w:rFonts w:ascii="Times New Roman" w:hAnsi="Times New Roman"/>
          <w:sz w:val="24"/>
          <w:szCs w:val="24"/>
        </w:rPr>
        <w:t>airBaltic</w:t>
      </w:r>
      <w:proofErr w:type="spellEnd"/>
      <w:r>
        <w:rPr>
          <w:rFonts w:ascii="Times New Roman" w:hAnsi="Times New Roman"/>
          <w:sz w:val="24"/>
          <w:szCs w:val="24"/>
        </w:rPr>
        <w:t xml:space="preserve"> uzskaiti</w:t>
      </w:r>
      <w:r w:rsidR="00312CA9">
        <w:rPr>
          <w:rFonts w:ascii="Times New Roman" w:hAnsi="Times New Roman"/>
          <w:sz w:val="24"/>
          <w:szCs w:val="24"/>
        </w:rPr>
        <w:t xml:space="preserve"> (sk. tabulu </w:t>
      </w:r>
      <w:r w:rsidR="006F7C57">
        <w:rPr>
          <w:rFonts w:ascii="Times New Roman" w:hAnsi="Times New Roman"/>
          <w:sz w:val="24"/>
          <w:szCs w:val="24"/>
        </w:rPr>
        <w:t>N</w:t>
      </w:r>
      <w:r w:rsidR="00312CA9">
        <w:rPr>
          <w:rFonts w:ascii="Times New Roman" w:hAnsi="Times New Roman"/>
          <w:sz w:val="24"/>
          <w:szCs w:val="24"/>
        </w:rPr>
        <w:t>r.</w:t>
      </w:r>
      <w:r w:rsidR="0077673B">
        <w:rPr>
          <w:rFonts w:ascii="Times New Roman" w:hAnsi="Times New Roman"/>
          <w:sz w:val="24"/>
          <w:szCs w:val="24"/>
        </w:rPr>
        <w:t>3.2.1</w:t>
      </w:r>
      <w:r w:rsidR="006F7C57">
        <w:rPr>
          <w:rFonts w:ascii="Times New Roman" w:hAnsi="Times New Roman"/>
          <w:sz w:val="24"/>
          <w:szCs w:val="24"/>
        </w:rPr>
        <w:t>)</w:t>
      </w:r>
      <w:r>
        <w:rPr>
          <w:rFonts w:ascii="Times New Roman" w:hAnsi="Times New Roman"/>
          <w:sz w:val="24"/>
          <w:szCs w:val="24"/>
        </w:rPr>
        <w:t xml:space="preserve">, redzams, ka </w:t>
      </w:r>
      <w:r w:rsidR="00312CA9">
        <w:rPr>
          <w:rFonts w:ascii="Times New Roman" w:hAnsi="Times New Roman"/>
          <w:sz w:val="24"/>
          <w:szCs w:val="24"/>
        </w:rPr>
        <w:t>valsts atbalsts ir ticis norakstīts izdevumos, izņemot laika periodā no 2016. līdz 2019.gadam. Jāatzīmē, ka 2016.gadā tika īstenot</w:t>
      </w:r>
      <w:r w:rsidR="00425BDD">
        <w:rPr>
          <w:rFonts w:ascii="Times New Roman" w:hAnsi="Times New Roman"/>
          <w:sz w:val="24"/>
          <w:szCs w:val="24"/>
        </w:rPr>
        <w:t>a</w:t>
      </w:r>
      <w:r w:rsidR="00312CA9">
        <w:rPr>
          <w:rFonts w:ascii="Times New Roman" w:hAnsi="Times New Roman"/>
          <w:sz w:val="24"/>
          <w:szCs w:val="24"/>
        </w:rPr>
        <w:t xml:space="preserve"> </w:t>
      </w:r>
      <w:proofErr w:type="spellStart"/>
      <w:r w:rsidR="00312CA9">
        <w:rPr>
          <w:rFonts w:ascii="Times New Roman" w:hAnsi="Times New Roman"/>
          <w:sz w:val="24"/>
          <w:szCs w:val="24"/>
        </w:rPr>
        <w:t>airBaltic</w:t>
      </w:r>
      <w:proofErr w:type="spellEnd"/>
      <w:r w:rsidR="00312CA9">
        <w:rPr>
          <w:rFonts w:ascii="Times New Roman" w:hAnsi="Times New Roman"/>
          <w:sz w:val="24"/>
          <w:szCs w:val="24"/>
        </w:rPr>
        <w:t xml:space="preserve"> pamatkapitāla palielinā</w:t>
      </w:r>
      <w:r w:rsidR="00425BDD">
        <w:rPr>
          <w:rFonts w:ascii="Times New Roman" w:hAnsi="Times New Roman"/>
          <w:sz w:val="24"/>
          <w:szCs w:val="24"/>
        </w:rPr>
        <w:t>šana</w:t>
      </w:r>
      <w:r w:rsidR="00312CA9">
        <w:rPr>
          <w:rFonts w:ascii="Times New Roman" w:hAnsi="Times New Roman"/>
          <w:sz w:val="24"/>
          <w:szCs w:val="24"/>
        </w:rPr>
        <w:t xml:space="preserve">, kurā valsts nodrošināja 80 milj. </w:t>
      </w:r>
      <w:proofErr w:type="spellStart"/>
      <w:r w:rsidR="00312CA9" w:rsidRPr="0058124B">
        <w:rPr>
          <w:rFonts w:ascii="Times New Roman" w:hAnsi="Times New Roman"/>
          <w:i/>
          <w:iCs/>
          <w:sz w:val="24"/>
          <w:szCs w:val="24"/>
        </w:rPr>
        <w:t>euro</w:t>
      </w:r>
      <w:proofErr w:type="spellEnd"/>
      <w:r w:rsidR="00312CA9">
        <w:rPr>
          <w:rFonts w:ascii="Times New Roman" w:hAnsi="Times New Roman"/>
          <w:i/>
          <w:iCs/>
          <w:sz w:val="24"/>
          <w:szCs w:val="24"/>
        </w:rPr>
        <w:t xml:space="preserve">. </w:t>
      </w:r>
      <w:r w:rsidR="00312CA9">
        <w:rPr>
          <w:rFonts w:ascii="Times New Roman" w:hAnsi="Times New Roman"/>
          <w:sz w:val="24"/>
          <w:szCs w:val="24"/>
        </w:rPr>
        <w:t>Ņemot vērā, ka minētājā darījumā tika piesaistīts privātais investors</w:t>
      </w:r>
      <w:r w:rsidR="00425BDD">
        <w:rPr>
          <w:rFonts w:ascii="Times New Roman" w:hAnsi="Times New Roman"/>
          <w:sz w:val="24"/>
          <w:szCs w:val="24"/>
        </w:rPr>
        <w:t xml:space="preserve"> uz vienlīdzīgiem nosacījumi</w:t>
      </w:r>
      <w:r w:rsidR="00A00DC7">
        <w:rPr>
          <w:rFonts w:ascii="Times New Roman" w:hAnsi="Times New Roman"/>
          <w:sz w:val="24"/>
          <w:szCs w:val="24"/>
        </w:rPr>
        <w:t>em</w:t>
      </w:r>
      <w:r w:rsidR="00425BDD">
        <w:rPr>
          <w:rFonts w:ascii="Times New Roman" w:hAnsi="Times New Roman"/>
          <w:sz w:val="24"/>
          <w:szCs w:val="24"/>
        </w:rPr>
        <w:t xml:space="preserve"> ar valsti</w:t>
      </w:r>
      <w:r w:rsidR="00312CA9">
        <w:rPr>
          <w:rFonts w:ascii="Times New Roman" w:hAnsi="Times New Roman"/>
          <w:sz w:val="24"/>
          <w:szCs w:val="24"/>
        </w:rPr>
        <w:t>, norād</w:t>
      </w:r>
      <w:r w:rsidR="00425BDD">
        <w:rPr>
          <w:rFonts w:ascii="Times New Roman" w:hAnsi="Times New Roman"/>
          <w:sz w:val="24"/>
          <w:szCs w:val="24"/>
        </w:rPr>
        <w:t>ot</w:t>
      </w:r>
      <w:r w:rsidR="00312CA9">
        <w:rPr>
          <w:rFonts w:ascii="Times New Roman" w:hAnsi="Times New Roman"/>
          <w:sz w:val="24"/>
          <w:szCs w:val="24"/>
        </w:rPr>
        <w:t xml:space="preserve"> uz privātā investora principa ievērošanu</w:t>
      </w:r>
      <w:r w:rsidR="00212563">
        <w:rPr>
          <w:rFonts w:ascii="Times New Roman" w:hAnsi="Times New Roman"/>
          <w:sz w:val="24"/>
          <w:szCs w:val="24"/>
        </w:rPr>
        <w:t>,</w:t>
      </w:r>
      <w:r w:rsidR="00312CA9">
        <w:rPr>
          <w:rFonts w:ascii="Times New Roman" w:hAnsi="Times New Roman"/>
          <w:sz w:val="24"/>
          <w:szCs w:val="24"/>
        </w:rPr>
        <w:t xml:space="preserve"> ieguldījums </w:t>
      </w:r>
      <w:r w:rsidR="00425BDD">
        <w:rPr>
          <w:rFonts w:ascii="Times New Roman" w:hAnsi="Times New Roman"/>
          <w:sz w:val="24"/>
          <w:szCs w:val="24"/>
        </w:rPr>
        <w:t>tika atzīts kā finanšu darījums</w:t>
      </w:r>
      <w:r w:rsidR="00312CA9">
        <w:rPr>
          <w:rFonts w:ascii="Times New Roman" w:hAnsi="Times New Roman"/>
          <w:sz w:val="24"/>
          <w:szCs w:val="24"/>
        </w:rPr>
        <w:t xml:space="preserve">. Turpmākie ieguldījumi 2020.-2022.gadā ir saistīti ar Covid-19 pandēmijas izraisītajām sekām uz pasaules ekonomiku un jo īpaši </w:t>
      </w:r>
      <w:r w:rsidR="003A39BD">
        <w:rPr>
          <w:rFonts w:ascii="Times New Roman" w:hAnsi="Times New Roman"/>
          <w:sz w:val="24"/>
          <w:szCs w:val="24"/>
        </w:rPr>
        <w:t>avio nozari</w:t>
      </w:r>
      <w:r w:rsidR="00312CA9">
        <w:rPr>
          <w:rFonts w:ascii="Times New Roman" w:hAnsi="Times New Roman"/>
          <w:sz w:val="24"/>
          <w:szCs w:val="24"/>
        </w:rPr>
        <w:t xml:space="preserve">. Aviokompānijas visā pasaulē saskarās ar nepieciešamību piesaistīt papildu </w:t>
      </w:r>
      <w:r w:rsidR="003A39BD">
        <w:rPr>
          <w:rFonts w:ascii="Times New Roman" w:hAnsi="Times New Roman"/>
          <w:sz w:val="24"/>
          <w:szCs w:val="24"/>
        </w:rPr>
        <w:t>finanšu</w:t>
      </w:r>
      <w:r w:rsidR="00312CA9">
        <w:rPr>
          <w:rFonts w:ascii="Times New Roman" w:hAnsi="Times New Roman"/>
          <w:sz w:val="24"/>
          <w:szCs w:val="24"/>
        </w:rPr>
        <w:t xml:space="preserve"> resursus, lai varētu pārciest pandēmijas negatīvās sekas uz to darbību. </w:t>
      </w:r>
      <w:r w:rsidR="003A39BD">
        <w:rPr>
          <w:rFonts w:ascii="Times New Roman" w:hAnsi="Times New Roman"/>
          <w:sz w:val="24"/>
          <w:szCs w:val="24"/>
        </w:rPr>
        <w:t>Attiecīgi</w:t>
      </w:r>
      <w:r w:rsidR="00312CA9">
        <w:rPr>
          <w:rFonts w:ascii="Times New Roman" w:hAnsi="Times New Roman"/>
          <w:sz w:val="24"/>
          <w:szCs w:val="24"/>
        </w:rPr>
        <w:t xml:space="preserve"> </w:t>
      </w:r>
      <w:r w:rsidR="003A39BD">
        <w:rPr>
          <w:rFonts w:ascii="Times New Roman" w:hAnsi="Times New Roman"/>
          <w:sz w:val="24"/>
          <w:szCs w:val="24"/>
        </w:rPr>
        <w:t>arī Latvijā tika</w:t>
      </w:r>
      <w:r w:rsidR="00312CA9">
        <w:rPr>
          <w:rFonts w:ascii="Times New Roman" w:hAnsi="Times New Roman"/>
          <w:sz w:val="24"/>
          <w:szCs w:val="24"/>
        </w:rPr>
        <w:t xml:space="preserve"> </w:t>
      </w:r>
      <w:r w:rsidR="003A39BD">
        <w:rPr>
          <w:rFonts w:ascii="Times New Roman" w:hAnsi="Times New Roman"/>
          <w:sz w:val="24"/>
          <w:szCs w:val="24"/>
        </w:rPr>
        <w:t>izlemts</w:t>
      </w:r>
      <w:r w:rsidR="00312CA9">
        <w:rPr>
          <w:rFonts w:ascii="Times New Roman" w:hAnsi="Times New Roman"/>
          <w:sz w:val="24"/>
          <w:szCs w:val="24"/>
        </w:rPr>
        <w:t xml:space="preserve"> sniegt krīzes pārvarēšanas finanšu atbalstu, lai nodrošinātu </w:t>
      </w:r>
      <w:proofErr w:type="spellStart"/>
      <w:r w:rsidR="00312CA9">
        <w:rPr>
          <w:rFonts w:ascii="Times New Roman" w:hAnsi="Times New Roman"/>
          <w:sz w:val="24"/>
          <w:szCs w:val="24"/>
        </w:rPr>
        <w:t>airBaltic</w:t>
      </w:r>
      <w:proofErr w:type="spellEnd"/>
      <w:r w:rsidR="00312CA9">
        <w:rPr>
          <w:rFonts w:ascii="Times New Roman" w:hAnsi="Times New Roman"/>
          <w:sz w:val="24"/>
          <w:szCs w:val="24"/>
        </w:rPr>
        <w:t xml:space="preserve"> dzīvotspēju</w:t>
      </w:r>
      <w:r w:rsidR="00404DE0">
        <w:rPr>
          <w:rStyle w:val="FootnoteReference"/>
          <w:rFonts w:ascii="Times New Roman" w:hAnsi="Times New Roman"/>
          <w:sz w:val="24"/>
          <w:szCs w:val="24"/>
        </w:rPr>
        <w:footnoteReference w:id="24"/>
      </w:r>
      <w:r w:rsidR="00312CA9">
        <w:rPr>
          <w:rFonts w:ascii="Times New Roman" w:hAnsi="Times New Roman"/>
          <w:sz w:val="24"/>
          <w:szCs w:val="24"/>
        </w:rPr>
        <w:t>.</w:t>
      </w:r>
    </w:p>
    <w:p w14:paraId="3476762F" w14:textId="7EBF5CBB" w:rsidR="00411EF9" w:rsidRPr="00497710" w:rsidRDefault="00216363" w:rsidP="004977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Pamatojoties uz EK lēmumu par </w:t>
      </w:r>
      <w:proofErr w:type="spellStart"/>
      <w:r>
        <w:rPr>
          <w:rFonts w:ascii="Times New Roman" w:hAnsi="Times New Roman"/>
          <w:sz w:val="24"/>
          <w:szCs w:val="24"/>
        </w:rPr>
        <w:t>rekapitalizācijas</w:t>
      </w:r>
      <w:proofErr w:type="spellEnd"/>
      <w:r>
        <w:rPr>
          <w:rFonts w:ascii="Times New Roman" w:hAnsi="Times New Roman"/>
          <w:sz w:val="24"/>
          <w:szCs w:val="24"/>
        </w:rPr>
        <w:t xml:space="preserve"> rezultātā iegūtās Covid-19 valsts līdzdalības izbeigšanu, </w:t>
      </w:r>
      <w:r w:rsidRPr="0058124B">
        <w:rPr>
          <w:rFonts w:ascii="Times New Roman" w:hAnsi="Times New Roman"/>
          <w:sz w:val="24"/>
          <w:szCs w:val="24"/>
        </w:rPr>
        <w:t>2021.gada 11.februāri MK pieņēma zināšanai informatīvo ziņojumu “</w:t>
      </w:r>
      <w:r w:rsidRPr="0058124B">
        <w:rPr>
          <w:rFonts w:ascii="Times New Roman" w:hAnsi="Times New Roman"/>
          <w:i/>
          <w:iCs/>
          <w:sz w:val="24"/>
          <w:szCs w:val="24"/>
        </w:rPr>
        <w:t xml:space="preserve">Par stratēģiju </w:t>
      </w:r>
      <w:proofErr w:type="spellStart"/>
      <w:r w:rsidRPr="0058124B">
        <w:rPr>
          <w:rFonts w:ascii="Times New Roman" w:hAnsi="Times New Roman"/>
          <w:i/>
          <w:iCs/>
          <w:sz w:val="24"/>
          <w:szCs w:val="24"/>
        </w:rPr>
        <w:t>airBaltic</w:t>
      </w:r>
      <w:proofErr w:type="spellEnd"/>
      <w:r w:rsidRPr="0058124B">
        <w:rPr>
          <w:rFonts w:ascii="Times New Roman" w:hAnsi="Times New Roman"/>
          <w:i/>
          <w:iCs/>
          <w:sz w:val="24"/>
          <w:szCs w:val="24"/>
        </w:rPr>
        <w:t xml:space="preserve"> </w:t>
      </w:r>
      <w:proofErr w:type="spellStart"/>
      <w:r w:rsidRPr="0058124B">
        <w:rPr>
          <w:rFonts w:ascii="Times New Roman" w:hAnsi="Times New Roman"/>
          <w:i/>
          <w:iCs/>
          <w:sz w:val="24"/>
          <w:szCs w:val="24"/>
        </w:rPr>
        <w:t>rekapitalizācijas</w:t>
      </w:r>
      <w:proofErr w:type="spellEnd"/>
      <w:r w:rsidRPr="0058124B">
        <w:rPr>
          <w:rFonts w:ascii="Times New Roman" w:hAnsi="Times New Roman"/>
          <w:i/>
          <w:iCs/>
          <w:sz w:val="24"/>
          <w:szCs w:val="24"/>
        </w:rPr>
        <w:t xml:space="preserve"> rezultātā iegūtās valsts līdzdalības izbeigšanai</w:t>
      </w:r>
      <w:r w:rsidRPr="0058124B">
        <w:rPr>
          <w:rFonts w:ascii="Times New Roman" w:hAnsi="Times New Roman"/>
          <w:sz w:val="24"/>
          <w:szCs w:val="24"/>
        </w:rPr>
        <w:t>”, kas paredz starptautiskas investīciju bankas piesaisti</w:t>
      </w:r>
      <w:r w:rsidR="00AB27A3">
        <w:rPr>
          <w:rFonts w:ascii="Times New Roman" w:hAnsi="Times New Roman"/>
          <w:sz w:val="24"/>
          <w:szCs w:val="24"/>
        </w:rPr>
        <w:t xml:space="preserve"> ar mērķi </w:t>
      </w:r>
      <w:r w:rsidRPr="0058124B">
        <w:rPr>
          <w:rFonts w:ascii="Times New Roman" w:hAnsi="Times New Roman"/>
          <w:sz w:val="24"/>
          <w:szCs w:val="24"/>
        </w:rPr>
        <w:t xml:space="preserve">atbalstīt </w:t>
      </w:r>
      <w:proofErr w:type="spellStart"/>
      <w:r w:rsidRPr="0058124B">
        <w:rPr>
          <w:rFonts w:ascii="Times New Roman" w:hAnsi="Times New Roman"/>
          <w:sz w:val="24"/>
          <w:szCs w:val="24"/>
        </w:rPr>
        <w:t>airBaltic</w:t>
      </w:r>
      <w:proofErr w:type="spellEnd"/>
      <w:r w:rsidRPr="0058124B">
        <w:rPr>
          <w:rFonts w:ascii="Times New Roman" w:hAnsi="Times New Roman"/>
          <w:sz w:val="24"/>
          <w:szCs w:val="24"/>
        </w:rPr>
        <w:t xml:space="preserve"> sagatavošanu sākotnējā publiskā piedāvājuma </w:t>
      </w:r>
      <w:r w:rsidR="00A20B01">
        <w:rPr>
          <w:rFonts w:ascii="Times New Roman" w:hAnsi="Times New Roman"/>
          <w:sz w:val="24"/>
          <w:szCs w:val="24"/>
        </w:rPr>
        <w:t>(</w:t>
      </w:r>
      <w:proofErr w:type="spellStart"/>
      <w:r w:rsidR="00A20B01" w:rsidRPr="00497710">
        <w:rPr>
          <w:rFonts w:ascii="Times New Roman" w:hAnsi="Times New Roman"/>
          <w:i/>
          <w:iCs/>
          <w:sz w:val="24"/>
          <w:szCs w:val="24"/>
        </w:rPr>
        <w:t>Initial</w:t>
      </w:r>
      <w:proofErr w:type="spellEnd"/>
      <w:r w:rsidR="00A20B01" w:rsidRPr="00497710">
        <w:rPr>
          <w:rFonts w:ascii="Times New Roman" w:hAnsi="Times New Roman"/>
          <w:i/>
          <w:iCs/>
          <w:sz w:val="24"/>
          <w:szCs w:val="24"/>
        </w:rPr>
        <w:t xml:space="preserve"> </w:t>
      </w:r>
      <w:proofErr w:type="spellStart"/>
      <w:r w:rsidR="00A20B01" w:rsidRPr="00497710">
        <w:rPr>
          <w:rFonts w:ascii="Times New Roman" w:hAnsi="Times New Roman"/>
          <w:i/>
          <w:iCs/>
          <w:sz w:val="24"/>
          <w:szCs w:val="24"/>
        </w:rPr>
        <w:t>public</w:t>
      </w:r>
      <w:proofErr w:type="spellEnd"/>
      <w:r w:rsidR="00A20B01" w:rsidRPr="00497710">
        <w:rPr>
          <w:rFonts w:ascii="Times New Roman" w:hAnsi="Times New Roman"/>
          <w:i/>
          <w:iCs/>
          <w:sz w:val="24"/>
          <w:szCs w:val="24"/>
        </w:rPr>
        <w:t xml:space="preserve"> </w:t>
      </w:r>
      <w:proofErr w:type="spellStart"/>
      <w:r w:rsidR="00A20B01" w:rsidRPr="00497710">
        <w:rPr>
          <w:rFonts w:ascii="Times New Roman" w:hAnsi="Times New Roman"/>
          <w:i/>
          <w:iCs/>
          <w:sz w:val="24"/>
          <w:szCs w:val="24"/>
        </w:rPr>
        <w:t>offering</w:t>
      </w:r>
      <w:proofErr w:type="spellEnd"/>
      <w:r w:rsidR="00A20B01">
        <w:rPr>
          <w:rFonts w:ascii="Times New Roman" w:hAnsi="Times New Roman"/>
          <w:sz w:val="24"/>
          <w:szCs w:val="24"/>
        </w:rPr>
        <w:t xml:space="preserve"> </w:t>
      </w:r>
      <w:r w:rsidR="00A20B01" w:rsidRPr="00263DC5">
        <w:rPr>
          <w:rFonts w:ascii="Times New Roman" w:eastAsia="Times New Roman" w:hAnsi="Times New Roman" w:cs="Times New Roman"/>
          <w:sz w:val="24"/>
          <w:szCs w:val="24"/>
        </w:rPr>
        <w:t>- angļu val., jeb IPO)</w:t>
      </w:r>
      <w:r w:rsidR="00A20B01">
        <w:rPr>
          <w:rFonts w:ascii="Times New Roman" w:hAnsi="Times New Roman"/>
          <w:sz w:val="24"/>
          <w:szCs w:val="24"/>
        </w:rPr>
        <w:t xml:space="preserve"> izteikšanai</w:t>
      </w:r>
      <w:r w:rsidR="00411EF9">
        <w:rPr>
          <w:rFonts w:ascii="Times New Roman" w:hAnsi="Times New Roman"/>
          <w:sz w:val="24"/>
          <w:szCs w:val="24"/>
        </w:rPr>
        <w:t xml:space="preserve">, kas tiek plānots līdz 2024.gada novembrim, atbilstoši </w:t>
      </w:r>
      <w:r w:rsidR="00411EF9" w:rsidRPr="00263DC5">
        <w:rPr>
          <w:rFonts w:ascii="Times New Roman" w:eastAsia="Times New Roman" w:hAnsi="Times New Roman" w:cs="Times New Roman"/>
          <w:sz w:val="24"/>
          <w:szCs w:val="24"/>
        </w:rPr>
        <w:t>M</w:t>
      </w:r>
      <w:r w:rsidR="00212563">
        <w:rPr>
          <w:rFonts w:ascii="Times New Roman" w:eastAsia="Times New Roman" w:hAnsi="Times New Roman" w:cs="Times New Roman"/>
          <w:sz w:val="24"/>
          <w:szCs w:val="24"/>
        </w:rPr>
        <w:t>K</w:t>
      </w:r>
      <w:r w:rsidR="00411EF9" w:rsidRPr="00263DC5">
        <w:rPr>
          <w:rFonts w:ascii="Times New Roman" w:eastAsia="Times New Roman" w:hAnsi="Times New Roman" w:cs="Times New Roman"/>
          <w:sz w:val="24"/>
          <w:szCs w:val="24"/>
        </w:rPr>
        <w:t xml:space="preserve"> iepriekš</w:t>
      </w:r>
      <w:r w:rsidR="00EA76FA">
        <w:rPr>
          <w:rFonts w:ascii="Times New Roman" w:eastAsia="Times New Roman" w:hAnsi="Times New Roman" w:cs="Times New Roman"/>
          <w:sz w:val="24"/>
          <w:szCs w:val="24"/>
        </w:rPr>
        <w:t xml:space="preserve"> prezentētam</w:t>
      </w:r>
      <w:r w:rsidR="00411EF9" w:rsidRPr="00263DC5">
        <w:rPr>
          <w:rFonts w:ascii="Times New Roman" w:eastAsia="Times New Roman" w:hAnsi="Times New Roman" w:cs="Times New Roman"/>
          <w:sz w:val="24"/>
          <w:szCs w:val="24"/>
        </w:rPr>
        <w:t xml:space="preserve"> laika grafik</w:t>
      </w:r>
      <w:r w:rsidR="00411EF9">
        <w:rPr>
          <w:rFonts w:ascii="Times New Roman" w:eastAsia="Times New Roman" w:hAnsi="Times New Roman" w:cs="Times New Roman"/>
          <w:sz w:val="24"/>
          <w:szCs w:val="24"/>
        </w:rPr>
        <w:t>am</w:t>
      </w:r>
      <w:r w:rsidR="00411EF9" w:rsidRPr="00263DC5">
        <w:rPr>
          <w:rFonts w:ascii="Times New Roman" w:eastAsia="Times New Roman" w:hAnsi="Times New Roman" w:cs="Times New Roman"/>
          <w:sz w:val="24"/>
          <w:szCs w:val="24"/>
        </w:rPr>
        <w:t xml:space="preserve"> IPO procesa organizēšanai</w:t>
      </w:r>
      <w:r w:rsidRPr="0058124B">
        <w:rPr>
          <w:rFonts w:ascii="Times New Roman" w:hAnsi="Times New Roman"/>
          <w:sz w:val="24"/>
          <w:szCs w:val="24"/>
        </w:rPr>
        <w:t xml:space="preserve">. </w:t>
      </w:r>
      <w:r w:rsidR="00411EF9">
        <w:rPr>
          <w:rFonts w:ascii="Times New Roman" w:eastAsia="Times New Roman" w:hAnsi="Times New Roman" w:cs="Times New Roman"/>
          <w:sz w:val="24"/>
          <w:szCs w:val="24"/>
        </w:rPr>
        <w:t>K</w:t>
      </w:r>
      <w:r w:rsidR="00411EF9" w:rsidRPr="52CC8DE4">
        <w:rPr>
          <w:rFonts w:ascii="Times New Roman" w:eastAsia="Times New Roman" w:hAnsi="Times New Roman" w:cs="Times New Roman"/>
          <w:sz w:val="24"/>
          <w:szCs w:val="24"/>
        </w:rPr>
        <w:t xml:space="preserve">opsavilkuma informācija </w:t>
      </w:r>
      <w:r w:rsidR="00411EF9" w:rsidRPr="0058124B">
        <w:rPr>
          <w:rFonts w:ascii="Times New Roman" w:hAnsi="Times New Roman"/>
          <w:sz w:val="24"/>
          <w:szCs w:val="24"/>
        </w:rPr>
        <w:t xml:space="preserve">par </w:t>
      </w:r>
      <w:r w:rsidR="00411EF9">
        <w:rPr>
          <w:rFonts w:ascii="Times New Roman" w:hAnsi="Times New Roman"/>
          <w:sz w:val="24"/>
          <w:szCs w:val="24"/>
        </w:rPr>
        <w:t xml:space="preserve">dotā </w:t>
      </w:r>
      <w:r w:rsidR="00411EF9" w:rsidRPr="0058124B">
        <w:rPr>
          <w:rFonts w:ascii="Times New Roman" w:hAnsi="Times New Roman"/>
          <w:sz w:val="24"/>
          <w:szCs w:val="24"/>
        </w:rPr>
        <w:t xml:space="preserve">procesa virzību un </w:t>
      </w:r>
      <w:proofErr w:type="spellStart"/>
      <w:r w:rsidR="00411EF9" w:rsidRPr="0058124B">
        <w:rPr>
          <w:rFonts w:ascii="Times New Roman" w:hAnsi="Times New Roman"/>
          <w:sz w:val="24"/>
          <w:szCs w:val="24"/>
        </w:rPr>
        <w:t>airBaltic</w:t>
      </w:r>
      <w:proofErr w:type="spellEnd"/>
      <w:r w:rsidR="00411EF9" w:rsidRPr="0058124B">
        <w:rPr>
          <w:rFonts w:ascii="Times New Roman" w:hAnsi="Times New Roman"/>
          <w:sz w:val="24"/>
          <w:szCs w:val="24"/>
        </w:rPr>
        <w:t xml:space="preserve"> situāciju</w:t>
      </w:r>
      <w:r w:rsidR="00411EF9" w:rsidRPr="52CC8DE4">
        <w:rPr>
          <w:rFonts w:ascii="Times New Roman" w:eastAsia="Times New Roman" w:hAnsi="Times New Roman" w:cs="Times New Roman"/>
          <w:sz w:val="24"/>
          <w:szCs w:val="24"/>
        </w:rPr>
        <w:t xml:space="preserve"> tiek sniegta regulārajos ziņojumos M</w:t>
      </w:r>
      <w:r w:rsidR="00212563">
        <w:rPr>
          <w:rFonts w:ascii="Times New Roman" w:eastAsia="Times New Roman" w:hAnsi="Times New Roman" w:cs="Times New Roman"/>
          <w:sz w:val="24"/>
          <w:szCs w:val="24"/>
        </w:rPr>
        <w:t>K</w:t>
      </w:r>
      <w:r w:rsidR="00411EF9">
        <w:rPr>
          <w:rFonts w:ascii="Times New Roman" w:eastAsia="Times New Roman" w:hAnsi="Times New Roman" w:cs="Times New Roman"/>
          <w:sz w:val="24"/>
          <w:szCs w:val="24"/>
        </w:rPr>
        <w:t>.</w:t>
      </w:r>
    </w:p>
    <w:p w14:paraId="5DAFA8E3" w14:textId="0E5561A8" w:rsidR="00216363" w:rsidRPr="0020713B" w:rsidRDefault="00216363" w:rsidP="00497710">
      <w:pPr>
        <w:spacing w:after="120" w:line="240" w:lineRule="auto"/>
        <w:ind w:firstLine="709"/>
        <w:jc w:val="both"/>
        <w:rPr>
          <w:rFonts w:ascii="Times New Roman" w:hAnsi="Times New Roman"/>
          <w:b/>
          <w:bCs/>
          <w:sz w:val="24"/>
          <w:szCs w:val="24"/>
        </w:rPr>
      </w:pPr>
      <w:r>
        <w:rPr>
          <w:rFonts w:ascii="Times New Roman" w:hAnsi="Times New Roman"/>
          <w:sz w:val="24"/>
          <w:szCs w:val="24"/>
        </w:rPr>
        <w:t>Deklarācijas sagatavošanas laikā nav pieejama informācija, kas norādītu uz nepieciešamību sniegt turpmāku valsts atbalstu</w:t>
      </w:r>
      <w:r w:rsidR="00AB27A3">
        <w:rPr>
          <w:rFonts w:ascii="Times New Roman" w:hAnsi="Times New Roman"/>
          <w:sz w:val="24"/>
          <w:szCs w:val="24"/>
        </w:rPr>
        <w:t xml:space="preserve">, lai nodrošinātu </w:t>
      </w:r>
      <w:proofErr w:type="spellStart"/>
      <w:r w:rsidR="00AB27A3">
        <w:rPr>
          <w:rFonts w:ascii="Times New Roman" w:hAnsi="Times New Roman"/>
          <w:sz w:val="24"/>
          <w:szCs w:val="24"/>
        </w:rPr>
        <w:t>airBaltic</w:t>
      </w:r>
      <w:proofErr w:type="spellEnd"/>
      <w:r w:rsidR="00AB27A3">
        <w:rPr>
          <w:rFonts w:ascii="Times New Roman" w:hAnsi="Times New Roman"/>
          <w:sz w:val="24"/>
          <w:szCs w:val="24"/>
        </w:rPr>
        <w:t xml:space="preserve"> darbību un maksātspēju. Tomēr, ņemot vērā pastāvošo lielo nenoteiktību saistībā ar ģeopolitiskās situācijas attīstību, nepieciešamīb</w:t>
      </w:r>
      <w:r w:rsidR="00404DE0">
        <w:rPr>
          <w:rFonts w:ascii="Times New Roman" w:hAnsi="Times New Roman"/>
          <w:sz w:val="24"/>
          <w:szCs w:val="24"/>
        </w:rPr>
        <w:t>u</w:t>
      </w:r>
      <w:r w:rsidR="00AB27A3">
        <w:rPr>
          <w:rFonts w:ascii="Times New Roman" w:hAnsi="Times New Roman"/>
          <w:sz w:val="24"/>
          <w:szCs w:val="24"/>
        </w:rPr>
        <w:t xml:space="preserve"> veikt turpmākus valsts ieguldījumus kapitālsabiedrībā nevar izslēgt.</w:t>
      </w:r>
      <w:r w:rsidR="00404DE0">
        <w:rPr>
          <w:rFonts w:ascii="Times New Roman" w:hAnsi="Times New Roman"/>
          <w:sz w:val="24"/>
          <w:szCs w:val="24"/>
        </w:rPr>
        <w:t xml:space="preserve"> Vienlaicīgi šādu ieguldījumu apmēru un to iestāšanās varbūtību nav iespējams noteikt ar </w:t>
      </w:r>
      <w:r w:rsidR="00777480">
        <w:rPr>
          <w:rFonts w:ascii="Times New Roman" w:hAnsi="Times New Roman"/>
          <w:sz w:val="24"/>
          <w:szCs w:val="24"/>
        </w:rPr>
        <w:t>pietiekamu</w:t>
      </w:r>
      <w:r w:rsidR="00404DE0">
        <w:rPr>
          <w:rFonts w:ascii="Times New Roman" w:hAnsi="Times New Roman"/>
          <w:sz w:val="24"/>
          <w:szCs w:val="24"/>
        </w:rPr>
        <w:t xml:space="preserve"> precizitāti, kā rezultātā dotais risks ir atzīstams par nekvantificējamu un tam </w:t>
      </w:r>
      <w:r w:rsidR="00404DE0" w:rsidRPr="0020713B">
        <w:rPr>
          <w:rFonts w:ascii="Times New Roman" w:hAnsi="Times New Roman"/>
          <w:b/>
          <w:bCs/>
          <w:sz w:val="24"/>
          <w:szCs w:val="24"/>
        </w:rPr>
        <w:t xml:space="preserve">netiek veidota fiskālā nodrošinājuma rezerve. </w:t>
      </w:r>
    </w:p>
    <w:p w14:paraId="47B72247" w14:textId="7F3B6A8C" w:rsidR="00115CF3" w:rsidRPr="0020713B" w:rsidRDefault="00115CF3">
      <w:pPr>
        <w:rPr>
          <w:rFonts w:ascii="Times New Roman" w:hAnsi="Times New Roman"/>
          <w:b/>
          <w:bCs/>
          <w:sz w:val="24"/>
          <w:szCs w:val="24"/>
        </w:rPr>
      </w:pPr>
      <w:r w:rsidRPr="0020713B">
        <w:rPr>
          <w:rFonts w:ascii="Times New Roman" w:hAnsi="Times New Roman"/>
          <w:b/>
          <w:bCs/>
          <w:sz w:val="24"/>
          <w:szCs w:val="24"/>
        </w:rPr>
        <w:br w:type="page"/>
      </w:r>
    </w:p>
    <w:p w14:paraId="24EE6199" w14:textId="6ECD96B0" w:rsidR="00043C49" w:rsidRDefault="00043C49" w:rsidP="0058124B">
      <w:pPr>
        <w:pStyle w:val="Heading1"/>
        <w:numPr>
          <w:ilvl w:val="0"/>
          <w:numId w:val="4"/>
        </w:numPr>
        <w:jc w:val="center"/>
        <w:rPr>
          <w:rFonts w:ascii="Times New Roman" w:hAnsi="Times New Roman" w:cs="Times New Roman"/>
          <w:sz w:val="32"/>
          <w:szCs w:val="32"/>
        </w:rPr>
      </w:pPr>
      <w:bookmarkStart w:id="288" w:name="_Toc125382156"/>
      <w:bookmarkStart w:id="289" w:name="_Toc125399748"/>
      <w:bookmarkStart w:id="290" w:name="_Toc125382157"/>
      <w:bookmarkStart w:id="291" w:name="_Toc125399749"/>
      <w:bookmarkStart w:id="292" w:name="_Toc80106163"/>
      <w:bookmarkStart w:id="293" w:name="_Toc142388044"/>
      <w:bookmarkEnd w:id="288"/>
      <w:bookmarkEnd w:id="289"/>
      <w:bookmarkEnd w:id="290"/>
      <w:bookmarkEnd w:id="291"/>
      <w:bookmarkEnd w:id="292"/>
      <w:r>
        <w:rPr>
          <w:rFonts w:ascii="Times New Roman" w:hAnsi="Times New Roman" w:cs="Times New Roman"/>
          <w:sz w:val="32"/>
          <w:szCs w:val="32"/>
        </w:rPr>
        <w:lastRenderedPageBreak/>
        <w:t>Ekonomikas šoku transmisijas kanāli uz valsts fiskālajiem rādītājiem</w:t>
      </w:r>
      <w:r w:rsidR="00E65287">
        <w:rPr>
          <w:rFonts w:ascii="Times New Roman" w:hAnsi="Times New Roman" w:cs="Times New Roman"/>
          <w:sz w:val="32"/>
          <w:szCs w:val="32"/>
        </w:rPr>
        <w:t xml:space="preserve"> un parāda ilg</w:t>
      </w:r>
      <w:r w:rsidR="00E75767">
        <w:rPr>
          <w:rFonts w:ascii="Times New Roman" w:hAnsi="Times New Roman" w:cs="Times New Roman"/>
          <w:sz w:val="32"/>
          <w:szCs w:val="32"/>
        </w:rPr>
        <w:t>t</w:t>
      </w:r>
      <w:r w:rsidR="00E65287">
        <w:rPr>
          <w:rFonts w:ascii="Times New Roman" w:hAnsi="Times New Roman" w:cs="Times New Roman"/>
          <w:sz w:val="32"/>
          <w:szCs w:val="32"/>
        </w:rPr>
        <w:t>spēja</w:t>
      </w:r>
      <w:bookmarkEnd w:id="293"/>
    </w:p>
    <w:p w14:paraId="438C6495" w14:textId="0709E84C" w:rsidR="004F3C39" w:rsidRDefault="00043C49" w:rsidP="00350733">
      <w:pPr>
        <w:spacing w:after="100" w:afterAutospacing="1" w:line="240" w:lineRule="auto"/>
        <w:ind w:firstLine="720"/>
        <w:jc w:val="both"/>
        <w:rPr>
          <w:rFonts w:ascii="Times New Roman" w:hAnsi="Times New Roman" w:cs="Times New Roman"/>
          <w:color w:val="000000"/>
          <w:sz w:val="24"/>
          <w:szCs w:val="24"/>
        </w:rPr>
      </w:pPr>
      <w:r w:rsidRPr="005C17FD">
        <w:rPr>
          <w:rFonts w:ascii="Times New Roman" w:hAnsi="Times New Roman" w:cs="Times New Roman"/>
          <w:color w:val="000000"/>
          <w:sz w:val="24"/>
          <w:szCs w:val="24"/>
        </w:rPr>
        <w:t>Ekonomikas šoku izraisītā negatīvā ietekme uz fiskālajiem rādītājiem, ja tie ir prognozēti un ņemti vērā</w:t>
      </w:r>
      <w:r w:rsidR="00010DA2">
        <w:rPr>
          <w:rFonts w:ascii="Times New Roman" w:hAnsi="Times New Roman" w:cs="Times New Roman"/>
          <w:color w:val="000000"/>
          <w:sz w:val="24"/>
          <w:szCs w:val="24"/>
        </w:rPr>
        <w:t>,</w:t>
      </w:r>
      <w:r w:rsidRPr="005C17FD">
        <w:rPr>
          <w:rFonts w:ascii="Times New Roman" w:hAnsi="Times New Roman" w:cs="Times New Roman"/>
          <w:color w:val="000000"/>
          <w:sz w:val="24"/>
          <w:szCs w:val="24"/>
        </w:rPr>
        <w:t xml:space="preserve"> izstrādājot attiecīgā gada valsts budžetu, nav fiskālais risks. Fiskālais risks nav arī ekonomikas šoka izraisīta negatīva ietekme uz fiskālajiem rādītājiem, ja tā nav progno</w:t>
      </w:r>
      <w:r w:rsidR="005C17FD">
        <w:rPr>
          <w:rFonts w:ascii="Times New Roman" w:hAnsi="Times New Roman" w:cs="Times New Roman"/>
          <w:color w:val="000000"/>
          <w:sz w:val="24"/>
          <w:szCs w:val="24"/>
        </w:rPr>
        <w:t>zēta, bet ir aktivizēta FDL 12.</w:t>
      </w:r>
      <w:r w:rsidRPr="005C17FD">
        <w:rPr>
          <w:rFonts w:ascii="Times New Roman" w:hAnsi="Times New Roman" w:cs="Times New Roman"/>
          <w:color w:val="000000"/>
          <w:sz w:val="24"/>
          <w:szCs w:val="24"/>
        </w:rPr>
        <w:t>pantā</w:t>
      </w:r>
      <w:r w:rsidR="000D2908">
        <w:rPr>
          <w:rFonts w:ascii="Times New Roman" w:hAnsi="Times New Roman" w:cs="Times New Roman"/>
          <w:color w:val="000000"/>
          <w:sz w:val="24"/>
          <w:szCs w:val="24"/>
        </w:rPr>
        <w:t xml:space="preserve"> noteiktā</w:t>
      </w:r>
      <w:r w:rsidRPr="005C17FD">
        <w:rPr>
          <w:rFonts w:ascii="Times New Roman" w:hAnsi="Times New Roman" w:cs="Times New Roman"/>
          <w:color w:val="000000"/>
          <w:sz w:val="24"/>
          <w:szCs w:val="24"/>
        </w:rPr>
        <w:t xml:space="preserve"> izņēmuma klauzula</w:t>
      </w:r>
      <w:r w:rsidR="000D2908">
        <w:rPr>
          <w:rFonts w:ascii="Times New Roman" w:hAnsi="Times New Roman" w:cs="Times New Roman"/>
          <w:color w:val="000000"/>
          <w:sz w:val="24"/>
          <w:szCs w:val="24"/>
        </w:rPr>
        <w:t xml:space="preserve"> </w:t>
      </w:r>
      <w:r w:rsidRPr="005C17FD">
        <w:rPr>
          <w:rFonts w:ascii="Times New Roman" w:hAnsi="Times New Roman" w:cs="Times New Roman"/>
          <w:color w:val="000000"/>
          <w:sz w:val="24"/>
          <w:szCs w:val="24"/>
        </w:rPr>
        <w:t xml:space="preserve">(šajā gadījumā fiskālo rādītāju noteiktās vērtības nav saistošas). Tomēr ekonomikas šoki izraisa būtisku negatīvu ietekmi uz valsts fiskālajiem rādītājiem un optimālai fiskālai politikai būtu šī </w:t>
      </w:r>
      <w:r w:rsidRPr="002770E8">
        <w:rPr>
          <w:rFonts w:ascii="Times New Roman" w:hAnsi="Times New Roman" w:cs="Times New Roman"/>
          <w:color w:val="000000"/>
          <w:sz w:val="24"/>
          <w:szCs w:val="24"/>
        </w:rPr>
        <w:t>ietekme, kur iespējams, jāmazina.</w:t>
      </w:r>
      <w:r w:rsidRPr="005C17FD">
        <w:rPr>
          <w:rFonts w:ascii="Times New Roman" w:hAnsi="Times New Roman" w:cs="Times New Roman"/>
          <w:color w:val="000000"/>
          <w:sz w:val="24"/>
          <w:szCs w:val="24"/>
        </w:rPr>
        <w:t xml:space="preserve"> Valsts publisko finanšu sistēma būtu jāveido pēc iespējas noturīgāk</w:t>
      </w:r>
      <w:r w:rsidR="000D2908">
        <w:rPr>
          <w:rFonts w:ascii="Times New Roman" w:hAnsi="Times New Roman" w:cs="Times New Roman"/>
          <w:color w:val="000000"/>
          <w:sz w:val="24"/>
          <w:szCs w:val="24"/>
        </w:rPr>
        <w:t>u</w:t>
      </w:r>
      <w:r w:rsidRPr="005C17FD">
        <w:rPr>
          <w:rFonts w:ascii="Times New Roman" w:hAnsi="Times New Roman" w:cs="Times New Roman"/>
          <w:color w:val="000000"/>
          <w:sz w:val="24"/>
          <w:szCs w:val="24"/>
        </w:rPr>
        <w:t xml:space="preserve"> pret ekonomikas šokiem. Tāpēc, lai arī šie aspekti nav tieši saistīti ar fiskālajiem riskiem tajā nozīmē, kā tas noteikts valsts fiskālās disciplīnas tiesiskajā regulējumā, deklarācijā </w:t>
      </w:r>
      <w:r w:rsidR="00CB66A4">
        <w:rPr>
          <w:rFonts w:ascii="Times New Roman" w:hAnsi="Times New Roman" w:cs="Times New Roman"/>
          <w:color w:val="000000"/>
          <w:sz w:val="24"/>
          <w:szCs w:val="24"/>
        </w:rPr>
        <w:t>tiek</w:t>
      </w:r>
      <w:r w:rsidR="00CB66A4" w:rsidRPr="005C17FD">
        <w:rPr>
          <w:rFonts w:ascii="Times New Roman" w:hAnsi="Times New Roman" w:cs="Times New Roman"/>
          <w:color w:val="000000"/>
          <w:sz w:val="24"/>
          <w:szCs w:val="24"/>
        </w:rPr>
        <w:t xml:space="preserve"> </w:t>
      </w:r>
      <w:r w:rsidRPr="005C17FD">
        <w:rPr>
          <w:rFonts w:ascii="Times New Roman" w:hAnsi="Times New Roman" w:cs="Times New Roman"/>
          <w:color w:val="000000"/>
          <w:sz w:val="24"/>
          <w:szCs w:val="24"/>
        </w:rPr>
        <w:t>iekļauta arī informācija par to, kā ekonomikas šoki var ietekmēt fiskālos rādītājus (transmisijas kanāli). Šajā deklarācijā ir iekļauta informācija par valsts ekspozīciju uz komercsabiedrībām, garantiju ekspozīciju un ekonomikas šoku ietekmi uz valsts parādu.</w:t>
      </w:r>
      <w:r w:rsidR="004F3C39">
        <w:rPr>
          <w:rFonts w:ascii="Times New Roman" w:hAnsi="Times New Roman" w:cs="Times New Roman"/>
          <w:color w:val="000000"/>
          <w:sz w:val="24"/>
          <w:szCs w:val="24"/>
        </w:rPr>
        <w:t xml:space="preserve"> Atsevišķi tiek skatīta ar</w:t>
      </w:r>
      <w:r w:rsidR="00BE0095">
        <w:rPr>
          <w:rFonts w:ascii="Times New Roman" w:hAnsi="Times New Roman" w:cs="Times New Roman"/>
          <w:color w:val="000000"/>
          <w:sz w:val="24"/>
          <w:szCs w:val="24"/>
        </w:rPr>
        <w:t>ī</w:t>
      </w:r>
      <w:r w:rsidR="004F3C39">
        <w:rPr>
          <w:rFonts w:ascii="Times New Roman" w:hAnsi="Times New Roman" w:cs="Times New Roman"/>
          <w:color w:val="000000"/>
          <w:sz w:val="24"/>
          <w:szCs w:val="24"/>
        </w:rPr>
        <w:t xml:space="preserve"> ilgtermiņa parāda ilgtspēja, kas nav fiskālais risks š</w:t>
      </w:r>
      <w:r w:rsidR="00954027">
        <w:rPr>
          <w:rFonts w:ascii="Times New Roman" w:hAnsi="Times New Roman" w:cs="Times New Roman"/>
          <w:color w:val="000000"/>
          <w:sz w:val="24"/>
          <w:szCs w:val="24"/>
        </w:rPr>
        <w:t>ī</w:t>
      </w:r>
      <w:r w:rsidR="004F3C39">
        <w:rPr>
          <w:rFonts w:ascii="Times New Roman" w:hAnsi="Times New Roman" w:cs="Times New Roman"/>
          <w:color w:val="000000"/>
          <w:sz w:val="24"/>
          <w:szCs w:val="24"/>
        </w:rPr>
        <w:t>s deklarācijas izpratnē, taču parāda ilgtspēja</w:t>
      </w:r>
      <w:r w:rsidR="00BE0095">
        <w:rPr>
          <w:rFonts w:ascii="Times New Roman" w:hAnsi="Times New Roman" w:cs="Times New Roman"/>
          <w:color w:val="000000"/>
          <w:sz w:val="24"/>
          <w:szCs w:val="24"/>
        </w:rPr>
        <w:t>i</w:t>
      </w:r>
      <w:r w:rsidR="004F3C39">
        <w:rPr>
          <w:rFonts w:ascii="Times New Roman" w:hAnsi="Times New Roman" w:cs="Times New Roman"/>
          <w:color w:val="000000"/>
          <w:sz w:val="24"/>
          <w:szCs w:val="24"/>
        </w:rPr>
        <w:t xml:space="preserve"> ir būtiska ietekme uz publisko finanšu stabilitāti.</w:t>
      </w:r>
    </w:p>
    <w:p w14:paraId="785FC200" w14:textId="77777777" w:rsidR="005F74D8" w:rsidRPr="00BA58D9" w:rsidRDefault="005F74D8" w:rsidP="00350733">
      <w:pPr>
        <w:spacing w:after="100" w:afterAutospacing="1" w:line="240" w:lineRule="auto"/>
        <w:ind w:firstLine="720"/>
        <w:jc w:val="both"/>
        <w:rPr>
          <w:rFonts w:ascii="Times New Roman" w:hAnsi="Times New Roman" w:cs="Times New Roman"/>
          <w:color w:val="000000"/>
          <w:sz w:val="6"/>
          <w:szCs w:val="6"/>
        </w:rPr>
      </w:pPr>
    </w:p>
    <w:p w14:paraId="025E9DB5" w14:textId="7F83DD7A" w:rsidR="00043C49" w:rsidRPr="005F74D8" w:rsidRDefault="00043C49" w:rsidP="00497710">
      <w:pPr>
        <w:pStyle w:val="Heading2"/>
        <w:numPr>
          <w:ilvl w:val="1"/>
          <w:numId w:val="4"/>
        </w:numPr>
        <w:spacing w:before="120" w:after="120"/>
        <w:ind w:left="425" w:hanging="357"/>
        <w:jc w:val="center"/>
        <w:rPr>
          <w:rFonts w:ascii="Times New Roman" w:hAnsi="Times New Roman" w:cs="Times New Roman"/>
          <w:sz w:val="24"/>
          <w:szCs w:val="24"/>
        </w:rPr>
      </w:pPr>
      <w:bookmarkStart w:id="294" w:name="_Toc121870901"/>
      <w:bookmarkStart w:id="295" w:name="_Toc125316345"/>
      <w:bookmarkStart w:id="296" w:name="_Toc125316706"/>
      <w:bookmarkStart w:id="297" w:name="_Toc125362768"/>
      <w:bookmarkStart w:id="298" w:name="_Toc125382159"/>
      <w:bookmarkStart w:id="299" w:name="_Toc125399751"/>
      <w:bookmarkStart w:id="300" w:name="_Toc142388045"/>
      <w:bookmarkEnd w:id="294"/>
      <w:bookmarkEnd w:id="295"/>
      <w:bookmarkEnd w:id="296"/>
      <w:bookmarkEnd w:id="297"/>
      <w:bookmarkEnd w:id="298"/>
      <w:bookmarkEnd w:id="299"/>
      <w:r w:rsidRPr="005F74D8">
        <w:rPr>
          <w:rFonts w:ascii="Times New Roman" w:hAnsi="Times New Roman" w:cs="Times New Roman"/>
          <w:sz w:val="24"/>
          <w:szCs w:val="24"/>
        </w:rPr>
        <w:t>Valsts kapitālsabiedrības, kuras nav pieklasificētas S.13 sektoram</w:t>
      </w:r>
      <w:bookmarkEnd w:id="300"/>
    </w:p>
    <w:p w14:paraId="10C2F69C" w14:textId="709B4604" w:rsidR="00C66C00" w:rsidRDefault="00B63C32" w:rsidP="0053110E">
      <w:pPr>
        <w:spacing w:after="0" w:line="240" w:lineRule="auto"/>
        <w:ind w:firstLine="720"/>
        <w:jc w:val="both"/>
        <w:rPr>
          <w:rFonts w:ascii="Times New Roman" w:hAnsi="Times New Roman" w:cs="Times New Roman"/>
          <w:color w:val="000000"/>
          <w:sz w:val="24"/>
          <w:szCs w:val="24"/>
        </w:rPr>
      </w:pPr>
      <w:r w:rsidRPr="00C66C00">
        <w:rPr>
          <w:rFonts w:ascii="Times New Roman" w:hAnsi="Times New Roman" w:cs="Times New Roman"/>
          <w:color w:val="000000"/>
          <w:sz w:val="24"/>
          <w:szCs w:val="24"/>
        </w:rPr>
        <w:t>Covid–19 pandēmija un Krievijas uzsāktā kara pret Ukrainu sekas atkārtoti iezīmēja tendenci, kas netika novērota gandrīz dekādi kopš globālās finanšu un ekonomiskās krīzes – līdztekus atbalsta pasākumiem finanšu instrumentu formā, būtisks atbalsts publiskā sektora uzņēmumiem tika sniegts tās re-kapitalizējot vai sniedzot budžeta dotācijas, lai sekmētu biznesa saglabāšanu, likviditātes nodrošināšanu un ļautu kompānijām turpināt saistību izpildi pret kreditoriem. Valsts atbalstu</w:t>
      </w:r>
      <w:r>
        <w:rPr>
          <w:rFonts w:ascii="Times New Roman" w:hAnsi="Times New Roman" w:cs="Times New Roman"/>
          <w:color w:val="000000"/>
          <w:sz w:val="24"/>
          <w:szCs w:val="24"/>
        </w:rPr>
        <w:t xml:space="preserve"> periodā no 2020. līdz 2022.gadam</w:t>
      </w:r>
      <w:r w:rsidRPr="00C66C00">
        <w:rPr>
          <w:rFonts w:ascii="Times New Roman" w:hAnsi="Times New Roman" w:cs="Times New Roman"/>
          <w:color w:val="000000"/>
          <w:sz w:val="24"/>
          <w:szCs w:val="24"/>
        </w:rPr>
        <w:t xml:space="preserve"> saņēma </w:t>
      </w:r>
      <w:r w:rsidRPr="002D428D">
        <w:rPr>
          <w:rFonts w:ascii="Times New Roman" w:hAnsi="Times New Roman"/>
          <w:sz w:val="24"/>
          <w:szCs w:val="24"/>
        </w:rPr>
        <w:t>AS “</w:t>
      </w:r>
      <w:proofErr w:type="spellStart"/>
      <w:r w:rsidRPr="002D428D">
        <w:rPr>
          <w:rFonts w:ascii="Times New Roman" w:hAnsi="Times New Roman"/>
          <w:sz w:val="24"/>
          <w:szCs w:val="24"/>
        </w:rPr>
        <w:t>Air</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Corporation</w:t>
      </w:r>
      <w:proofErr w:type="spellEnd"/>
      <w:r w:rsidRPr="002D428D">
        <w:rPr>
          <w:rFonts w:ascii="Times New Roman" w:hAnsi="Times New Roman"/>
          <w:sz w:val="24"/>
          <w:szCs w:val="24"/>
        </w:rPr>
        <w:t>”</w:t>
      </w:r>
      <w:r>
        <w:rPr>
          <w:rFonts w:ascii="Times New Roman" w:hAnsi="Times New Roman"/>
          <w:sz w:val="24"/>
          <w:szCs w:val="24"/>
        </w:rPr>
        <w:t>,</w:t>
      </w:r>
      <w:r w:rsidRPr="002D428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VAS “Latvijas gaisa satiksme”, VAS “Starptautiskā lidosta Rīga”” un VAS </w:t>
      </w:r>
      <w:r w:rsidRPr="00C66C00">
        <w:rPr>
          <w:rFonts w:ascii="Times New Roman" w:hAnsi="Times New Roman" w:cs="Times New Roman"/>
          <w:color w:val="000000"/>
          <w:sz w:val="24"/>
          <w:szCs w:val="24"/>
        </w:rPr>
        <w:t>“Latvijas dzelzceļš</w:t>
      </w:r>
      <w:r w:rsidRPr="002D428D">
        <w:rPr>
          <w:rFonts w:ascii="Times New Roman" w:hAnsi="Times New Roman" w:cs="Times New Roman"/>
          <w:color w:val="000000"/>
          <w:sz w:val="24"/>
          <w:szCs w:val="24"/>
        </w:rPr>
        <w:t>”</w:t>
      </w:r>
      <w:r>
        <w:rPr>
          <w:rFonts w:ascii="Times New Roman" w:hAnsi="Times New Roman" w:cs="Times New Roman"/>
          <w:color w:val="000000"/>
          <w:sz w:val="24"/>
          <w:szCs w:val="24"/>
        </w:rPr>
        <w:t>,</w:t>
      </w:r>
      <w:r w:rsidRPr="002D428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tai skaitā </w:t>
      </w:r>
      <w:r w:rsidRPr="002D428D">
        <w:rPr>
          <w:rFonts w:ascii="Times New Roman" w:hAnsi="Times New Roman" w:cs="Times New Roman"/>
          <w:color w:val="000000"/>
          <w:sz w:val="24"/>
          <w:szCs w:val="24"/>
        </w:rPr>
        <w:t>minētā laika periodā</w:t>
      </w:r>
      <w:r>
        <w:rPr>
          <w:rFonts w:ascii="Times New Roman" w:hAnsi="Times New Roman" w:cs="Times New Roman"/>
          <w:color w:val="000000"/>
          <w:sz w:val="24"/>
          <w:szCs w:val="24"/>
        </w:rPr>
        <w:t xml:space="preserve"> </w:t>
      </w:r>
      <w:r w:rsidR="0053110E">
        <w:rPr>
          <w:rFonts w:ascii="Times New Roman" w:hAnsi="Times New Roman" w:cs="Times New Roman"/>
          <w:color w:val="000000"/>
          <w:sz w:val="24"/>
          <w:szCs w:val="24"/>
        </w:rPr>
        <w:t>komercsabiedrības</w:t>
      </w:r>
      <w:r w:rsidRPr="002D428D">
        <w:rPr>
          <w:rFonts w:ascii="Times New Roman" w:hAnsi="Times New Roman" w:cs="Times New Roman"/>
          <w:color w:val="000000"/>
          <w:sz w:val="24"/>
          <w:szCs w:val="24"/>
        </w:rPr>
        <w:t xml:space="preserve"> saņēma</w:t>
      </w:r>
      <w:r>
        <w:rPr>
          <w:rFonts w:ascii="Times New Roman" w:hAnsi="Times New Roman" w:cs="Times New Roman"/>
          <w:color w:val="000000"/>
          <w:sz w:val="24"/>
          <w:szCs w:val="24"/>
        </w:rPr>
        <w:t xml:space="preserve"> </w:t>
      </w:r>
      <w:r w:rsidRPr="002D428D">
        <w:rPr>
          <w:rFonts w:ascii="Times New Roman" w:hAnsi="Times New Roman" w:cs="Times New Roman"/>
          <w:color w:val="000000"/>
          <w:sz w:val="24"/>
          <w:szCs w:val="24"/>
        </w:rPr>
        <w:t>izņēmuma gadījuma atbalstu Covid-19 pandēmijas radīto zaudējumu kompensācijai un ekonomiskās krīzes pārvarēšanai, balstoties uz 2020.gada 19.martā pieņemto paziņojumu “Pagaidu regulējums valsts atbalsta pasākumiem, ar ko atbalsta ekonomiku pašreizējā Covid-19 uzliesmojuma situācijā”, kas vēlāk tika vairākas reizes grozīts.</w:t>
      </w:r>
    </w:p>
    <w:p w14:paraId="6067547A" w14:textId="77777777" w:rsidR="00C66C00" w:rsidRPr="00C66C00" w:rsidRDefault="00C66C00" w:rsidP="00C66C00">
      <w:pPr>
        <w:spacing w:after="0" w:line="240" w:lineRule="auto"/>
        <w:ind w:firstLine="720"/>
        <w:jc w:val="both"/>
        <w:rPr>
          <w:rFonts w:ascii="Times New Roman" w:hAnsi="Times New Roman" w:cs="Times New Roman"/>
          <w:color w:val="000000"/>
          <w:sz w:val="24"/>
          <w:szCs w:val="24"/>
        </w:rPr>
      </w:pPr>
    </w:p>
    <w:p w14:paraId="7BF1897A" w14:textId="226E2CD1" w:rsidR="00043C49" w:rsidRDefault="005C17FD" w:rsidP="00497710">
      <w:pPr>
        <w:spacing w:after="120"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w:t>
      </w:r>
      <w:r w:rsidR="0077673B">
        <w:rPr>
          <w:rFonts w:ascii="Times New Roman" w:eastAsiaTheme="minorHAnsi" w:hAnsi="Times New Roman" w:cs="Times New Roman"/>
          <w:b/>
          <w:color w:val="000000"/>
          <w:sz w:val="24"/>
          <w:szCs w:val="20"/>
        </w:rPr>
        <w:t xml:space="preserve">4.1.1 </w:t>
      </w:r>
      <w:r w:rsidR="008C6036">
        <w:rPr>
          <w:rFonts w:ascii="Times New Roman" w:eastAsiaTheme="minorHAnsi" w:hAnsi="Times New Roman" w:cs="Times New Roman"/>
          <w:b/>
          <w:color w:val="000000"/>
          <w:sz w:val="24"/>
          <w:szCs w:val="20"/>
        </w:rPr>
        <w:t>V</w:t>
      </w:r>
      <w:r w:rsidR="004442F3">
        <w:rPr>
          <w:rFonts w:ascii="Times New Roman" w:eastAsiaTheme="minorHAnsi" w:hAnsi="Times New Roman" w:cs="Times New Roman"/>
          <w:b/>
          <w:color w:val="000000"/>
          <w:sz w:val="24"/>
          <w:szCs w:val="20"/>
        </w:rPr>
        <w:t>alsts</w:t>
      </w:r>
      <w:r w:rsidR="004442F3" w:rsidRPr="005C17FD">
        <w:rPr>
          <w:rFonts w:ascii="Times New Roman" w:eastAsiaTheme="minorHAnsi" w:hAnsi="Times New Roman" w:cs="Times New Roman"/>
          <w:b/>
          <w:color w:val="000000"/>
          <w:sz w:val="24"/>
          <w:szCs w:val="20"/>
        </w:rPr>
        <w:t xml:space="preserve"> </w:t>
      </w:r>
      <w:r w:rsidR="008C6036">
        <w:rPr>
          <w:rFonts w:ascii="Times New Roman" w:eastAsiaTheme="minorHAnsi" w:hAnsi="Times New Roman" w:cs="Times New Roman"/>
          <w:b/>
          <w:color w:val="000000"/>
          <w:sz w:val="24"/>
          <w:szCs w:val="20"/>
        </w:rPr>
        <w:t xml:space="preserve">sniegtais </w:t>
      </w:r>
      <w:r w:rsidR="00043C49" w:rsidRPr="005C17FD">
        <w:rPr>
          <w:rFonts w:ascii="Times New Roman" w:eastAsiaTheme="minorHAnsi" w:hAnsi="Times New Roman" w:cs="Times New Roman"/>
          <w:b/>
          <w:color w:val="000000"/>
          <w:sz w:val="24"/>
          <w:szCs w:val="20"/>
        </w:rPr>
        <w:t>atbalsts</w:t>
      </w:r>
      <w:r w:rsidR="008C6036">
        <w:rPr>
          <w:rFonts w:ascii="Times New Roman" w:eastAsiaTheme="minorHAnsi" w:hAnsi="Times New Roman" w:cs="Times New Roman"/>
          <w:b/>
          <w:color w:val="000000"/>
          <w:sz w:val="24"/>
          <w:szCs w:val="20"/>
        </w:rPr>
        <w:t xml:space="preserve"> </w:t>
      </w:r>
      <w:r w:rsidR="004442F3">
        <w:rPr>
          <w:rFonts w:ascii="Times New Roman" w:eastAsiaTheme="minorHAnsi" w:hAnsi="Times New Roman" w:cs="Times New Roman"/>
          <w:b/>
          <w:color w:val="000000"/>
          <w:sz w:val="24"/>
          <w:szCs w:val="20"/>
        </w:rPr>
        <w:t xml:space="preserve">publiskā sektora </w:t>
      </w:r>
      <w:r>
        <w:rPr>
          <w:rFonts w:ascii="Times New Roman" w:eastAsiaTheme="minorHAnsi" w:hAnsi="Times New Roman" w:cs="Times New Roman"/>
          <w:b/>
          <w:color w:val="000000"/>
          <w:sz w:val="24"/>
          <w:szCs w:val="20"/>
        </w:rPr>
        <w:t>komercsabiedrībām 2020.</w:t>
      </w:r>
      <w:r w:rsidR="000A431B">
        <w:rPr>
          <w:rFonts w:ascii="Times New Roman" w:eastAsiaTheme="minorHAnsi" w:hAnsi="Times New Roman" w:cs="Times New Roman"/>
          <w:b/>
          <w:color w:val="000000"/>
          <w:sz w:val="24"/>
          <w:szCs w:val="20"/>
        </w:rPr>
        <w:t>-</w:t>
      </w:r>
      <w:r w:rsidR="004A68D2">
        <w:rPr>
          <w:rFonts w:ascii="Times New Roman" w:eastAsiaTheme="minorHAnsi" w:hAnsi="Times New Roman" w:cs="Times New Roman"/>
          <w:b/>
          <w:color w:val="000000"/>
          <w:sz w:val="24"/>
          <w:szCs w:val="20"/>
        </w:rPr>
        <w:t>202</w:t>
      </w:r>
      <w:r w:rsidR="00CB66A4">
        <w:rPr>
          <w:rFonts w:ascii="Times New Roman" w:eastAsiaTheme="minorHAnsi" w:hAnsi="Times New Roman" w:cs="Times New Roman"/>
          <w:b/>
          <w:color w:val="000000"/>
          <w:sz w:val="24"/>
          <w:szCs w:val="20"/>
        </w:rPr>
        <w:t>2</w:t>
      </w:r>
      <w:r w:rsidR="004A68D2">
        <w:rPr>
          <w:rFonts w:ascii="Times New Roman" w:eastAsiaTheme="minorHAnsi" w:hAnsi="Times New Roman" w:cs="Times New Roman"/>
          <w:b/>
          <w:color w:val="000000"/>
          <w:sz w:val="24"/>
          <w:szCs w:val="20"/>
        </w:rPr>
        <w:t>.</w:t>
      </w:r>
      <w:r w:rsidR="00043C49" w:rsidRPr="005C17FD">
        <w:rPr>
          <w:rFonts w:ascii="Times New Roman" w:eastAsiaTheme="minorHAnsi" w:hAnsi="Times New Roman" w:cs="Times New Roman"/>
          <w:b/>
          <w:color w:val="000000"/>
          <w:sz w:val="24"/>
          <w:szCs w:val="20"/>
        </w:rPr>
        <w:t xml:space="preserve">gadā, milj. </w:t>
      </w:r>
      <w:proofErr w:type="spellStart"/>
      <w:r w:rsidR="00043C49" w:rsidRPr="005C17FD">
        <w:rPr>
          <w:rFonts w:ascii="Times New Roman" w:eastAsiaTheme="minorHAnsi" w:hAnsi="Times New Roman" w:cs="Times New Roman"/>
          <w:b/>
          <w:i/>
          <w:color w:val="000000"/>
          <w:sz w:val="24"/>
          <w:szCs w:val="20"/>
        </w:rPr>
        <w:t>euro</w:t>
      </w:r>
      <w:proofErr w:type="spellEnd"/>
      <w:r w:rsidR="00043C49" w:rsidRPr="005C17FD">
        <w:rPr>
          <w:rFonts w:ascii="Times New Roman" w:eastAsiaTheme="minorHAnsi" w:hAnsi="Times New Roman" w:cs="Times New Roman"/>
          <w:b/>
          <w:color w:val="000000"/>
          <w:sz w:val="24"/>
          <w:szCs w:val="20"/>
        </w:rPr>
        <w:t xml:space="preserve"> (ieguldījums kapitālā/dotācija)</w:t>
      </w:r>
    </w:p>
    <w:tbl>
      <w:tblPr>
        <w:tblStyle w:val="TableGrid"/>
        <w:tblW w:w="5000"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458"/>
        <w:gridCol w:w="1448"/>
        <w:gridCol w:w="1448"/>
        <w:gridCol w:w="1446"/>
      </w:tblGrid>
      <w:tr w:rsidR="00CB66A4" w14:paraId="7121B451" w14:textId="4A20C44E" w:rsidTr="002A2971">
        <w:trPr>
          <w:jc w:val="center"/>
        </w:trPr>
        <w:tc>
          <w:tcPr>
            <w:tcW w:w="2784" w:type="pct"/>
            <w:shd w:val="clear" w:color="auto" w:fill="DEEAF6" w:themeFill="accent1" w:themeFillTint="33"/>
          </w:tcPr>
          <w:p w14:paraId="0DB059D5" w14:textId="77777777" w:rsidR="00CB66A4" w:rsidRPr="00F56613" w:rsidRDefault="00CB66A4" w:rsidP="00A3140E">
            <w:pPr>
              <w:jc w:val="both"/>
              <w:rPr>
                <w:rFonts w:cs="Times New Roman"/>
                <w:color w:val="000000"/>
                <w:sz w:val="22"/>
              </w:rPr>
            </w:pPr>
          </w:p>
        </w:tc>
        <w:tc>
          <w:tcPr>
            <w:tcW w:w="739" w:type="pct"/>
            <w:shd w:val="clear" w:color="auto" w:fill="DEEAF6" w:themeFill="accent1" w:themeFillTint="33"/>
          </w:tcPr>
          <w:p w14:paraId="4172EE03" w14:textId="17DCB8EA" w:rsidR="00CB66A4" w:rsidRPr="00F56613" w:rsidRDefault="00CB66A4" w:rsidP="00BB69DC">
            <w:pPr>
              <w:jc w:val="center"/>
              <w:rPr>
                <w:rFonts w:cs="Times New Roman"/>
                <w:b/>
                <w:color w:val="000000"/>
                <w:sz w:val="22"/>
              </w:rPr>
            </w:pPr>
            <w:r w:rsidRPr="00F56613">
              <w:rPr>
                <w:rFonts w:cs="Times New Roman"/>
                <w:b/>
                <w:color w:val="000000"/>
                <w:sz w:val="22"/>
              </w:rPr>
              <w:t>2020</w:t>
            </w:r>
          </w:p>
        </w:tc>
        <w:tc>
          <w:tcPr>
            <w:tcW w:w="739" w:type="pct"/>
            <w:shd w:val="clear" w:color="auto" w:fill="DEEAF6" w:themeFill="accent1" w:themeFillTint="33"/>
          </w:tcPr>
          <w:p w14:paraId="404B44DF" w14:textId="42EF1153" w:rsidR="00CB66A4" w:rsidRPr="00F56613" w:rsidRDefault="00CB66A4" w:rsidP="00BB69DC">
            <w:pPr>
              <w:jc w:val="center"/>
              <w:rPr>
                <w:rFonts w:cs="Times New Roman"/>
                <w:b/>
                <w:color w:val="000000"/>
                <w:sz w:val="22"/>
              </w:rPr>
            </w:pPr>
            <w:r w:rsidRPr="00F56613">
              <w:rPr>
                <w:rFonts w:cs="Times New Roman"/>
                <w:b/>
                <w:color w:val="000000"/>
                <w:sz w:val="22"/>
              </w:rPr>
              <w:t>2021</w:t>
            </w:r>
          </w:p>
        </w:tc>
        <w:tc>
          <w:tcPr>
            <w:tcW w:w="739" w:type="pct"/>
            <w:shd w:val="clear" w:color="auto" w:fill="DEEAF6" w:themeFill="accent1" w:themeFillTint="33"/>
          </w:tcPr>
          <w:p w14:paraId="6617D361" w14:textId="634C4438" w:rsidR="00CB66A4" w:rsidRPr="00F56613" w:rsidRDefault="00CB66A4" w:rsidP="00BB69DC">
            <w:pPr>
              <w:jc w:val="center"/>
              <w:rPr>
                <w:rFonts w:cs="Times New Roman"/>
                <w:b/>
                <w:color w:val="000000"/>
                <w:sz w:val="22"/>
              </w:rPr>
            </w:pPr>
            <w:r w:rsidRPr="00F56613">
              <w:rPr>
                <w:rFonts w:cs="Times New Roman"/>
                <w:b/>
                <w:color w:val="000000"/>
                <w:sz w:val="22"/>
              </w:rPr>
              <w:t>2022</w:t>
            </w:r>
          </w:p>
        </w:tc>
      </w:tr>
      <w:tr w:rsidR="00CB66A4" w14:paraId="3B370117" w14:textId="3B15116C" w:rsidTr="002A2971">
        <w:trPr>
          <w:jc w:val="center"/>
        </w:trPr>
        <w:tc>
          <w:tcPr>
            <w:tcW w:w="2784" w:type="pct"/>
            <w:shd w:val="clear" w:color="auto" w:fill="DEEAF6" w:themeFill="accent1" w:themeFillTint="33"/>
          </w:tcPr>
          <w:p w14:paraId="70DE431E" w14:textId="23C4DA31" w:rsidR="00CB66A4" w:rsidRPr="002D428D" w:rsidRDefault="00CB66A4" w:rsidP="00A3140E">
            <w:pPr>
              <w:jc w:val="both"/>
              <w:rPr>
                <w:rFonts w:cs="Times New Roman"/>
                <w:b/>
                <w:color w:val="000000"/>
                <w:sz w:val="22"/>
              </w:rPr>
            </w:pPr>
            <w:r w:rsidRPr="002D428D">
              <w:rPr>
                <w:rFonts w:cs="Times New Roman"/>
                <w:b/>
                <w:color w:val="000000"/>
                <w:sz w:val="22"/>
              </w:rPr>
              <w:t>AS “</w:t>
            </w:r>
            <w:proofErr w:type="spellStart"/>
            <w:r w:rsidRPr="002D428D">
              <w:rPr>
                <w:rFonts w:cs="Times New Roman"/>
                <w:b/>
                <w:color w:val="000000"/>
                <w:sz w:val="22"/>
              </w:rPr>
              <w:t>Air</w:t>
            </w:r>
            <w:proofErr w:type="spellEnd"/>
            <w:r w:rsidRPr="002D428D">
              <w:rPr>
                <w:rFonts w:cs="Times New Roman"/>
                <w:b/>
                <w:color w:val="000000"/>
                <w:sz w:val="22"/>
              </w:rPr>
              <w:t xml:space="preserve"> </w:t>
            </w:r>
            <w:proofErr w:type="spellStart"/>
            <w:r w:rsidRPr="002D428D">
              <w:rPr>
                <w:rFonts w:cs="Times New Roman"/>
                <w:b/>
                <w:color w:val="000000"/>
                <w:sz w:val="22"/>
              </w:rPr>
              <w:t>Baltic</w:t>
            </w:r>
            <w:proofErr w:type="spellEnd"/>
            <w:r w:rsidRPr="002D428D">
              <w:rPr>
                <w:rFonts w:cs="Times New Roman"/>
                <w:b/>
                <w:color w:val="000000"/>
                <w:sz w:val="22"/>
              </w:rPr>
              <w:t xml:space="preserve"> </w:t>
            </w:r>
            <w:proofErr w:type="spellStart"/>
            <w:r w:rsidRPr="002D428D">
              <w:rPr>
                <w:rFonts w:cs="Times New Roman"/>
                <w:b/>
                <w:color w:val="000000"/>
                <w:sz w:val="22"/>
              </w:rPr>
              <w:t>Corporation</w:t>
            </w:r>
            <w:proofErr w:type="spellEnd"/>
            <w:r w:rsidRPr="002D428D">
              <w:rPr>
                <w:rFonts w:cs="Times New Roman"/>
                <w:b/>
                <w:color w:val="000000"/>
                <w:sz w:val="22"/>
              </w:rPr>
              <w:t xml:space="preserve">” </w:t>
            </w:r>
          </w:p>
        </w:tc>
        <w:tc>
          <w:tcPr>
            <w:tcW w:w="739" w:type="pct"/>
            <w:shd w:val="clear" w:color="auto" w:fill="DEEAF6" w:themeFill="accent1" w:themeFillTint="33"/>
          </w:tcPr>
          <w:p w14:paraId="19C1CF36" w14:textId="7F59B23B" w:rsidR="00CB66A4" w:rsidRPr="00F56613" w:rsidRDefault="00CB66A4" w:rsidP="00BB69DC">
            <w:pPr>
              <w:jc w:val="center"/>
              <w:rPr>
                <w:rFonts w:cs="Times New Roman"/>
                <w:color w:val="000000"/>
                <w:sz w:val="22"/>
              </w:rPr>
            </w:pPr>
            <w:r w:rsidRPr="00F56613">
              <w:rPr>
                <w:rFonts w:cs="Times New Roman"/>
                <w:color w:val="000000"/>
                <w:sz w:val="22"/>
              </w:rPr>
              <w:t>250,0</w:t>
            </w:r>
          </w:p>
        </w:tc>
        <w:tc>
          <w:tcPr>
            <w:tcW w:w="739" w:type="pct"/>
            <w:shd w:val="clear" w:color="auto" w:fill="DEEAF6" w:themeFill="accent1" w:themeFillTint="33"/>
          </w:tcPr>
          <w:p w14:paraId="1E5B57A8" w14:textId="600F2A2E" w:rsidR="00CB66A4" w:rsidRPr="00F56613" w:rsidRDefault="00CB66A4" w:rsidP="00BB69DC">
            <w:pPr>
              <w:jc w:val="center"/>
              <w:rPr>
                <w:rFonts w:cs="Times New Roman"/>
                <w:color w:val="000000"/>
                <w:sz w:val="22"/>
              </w:rPr>
            </w:pPr>
            <w:r w:rsidRPr="00F56613">
              <w:rPr>
                <w:rFonts w:cs="Times New Roman"/>
                <w:color w:val="000000"/>
                <w:sz w:val="22"/>
              </w:rPr>
              <w:t>45,0</w:t>
            </w:r>
          </w:p>
        </w:tc>
        <w:tc>
          <w:tcPr>
            <w:tcW w:w="739" w:type="pct"/>
            <w:shd w:val="clear" w:color="auto" w:fill="DEEAF6" w:themeFill="accent1" w:themeFillTint="33"/>
          </w:tcPr>
          <w:p w14:paraId="324A2644" w14:textId="2CF12E6F" w:rsidR="00CB66A4" w:rsidRPr="00F56613" w:rsidRDefault="00CB66A4" w:rsidP="00BB69DC">
            <w:pPr>
              <w:jc w:val="center"/>
              <w:rPr>
                <w:rFonts w:cs="Times New Roman"/>
                <w:color w:val="000000"/>
                <w:sz w:val="22"/>
              </w:rPr>
            </w:pPr>
            <w:r w:rsidRPr="00F56613">
              <w:rPr>
                <w:rFonts w:cs="Times New Roman"/>
                <w:color w:val="000000"/>
                <w:sz w:val="22"/>
              </w:rPr>
              <w:t>45,0</w:t>
            </w:r>
          </w:p>
        </w:tc>
      </w:tr>
      <w:tr w:rsidR="00CB66A4" w14:paraId="06777A2F" w14:textId="61AAC3DC" w:rsidTr="002A2971">
        <w:trPr>
          <w:jc w:val="center"/>
        </w:trPr>
        <w:tc>
          <w:tcPr>
            <w:tcW w:w="2784" w:type="pct"/>
          </w:tcPr>
          <w:p w14:paraId="4831AB38" w14:textId="595E123A" w:rsidR="00CB66A4" w:rsidRPr="002D428D" w:rsidRDefault="00CB66A4" w:rsidP="00A3140E">
            <w:pPr>
              <w:jc w:val="both"/>
              <w:rPr>
                <w:rFonts w:cs="Times New Roman"/>
                <w:b/>
                <w:color w:val="000000"/>
                <w:sz w:val="22"/>
              </w:rPr>
            </w:pPr>
            <w:r w:rsidRPr="002D428D">
              <w:rPr>
                <w:rFonts w:cs="Times New Roman"/>
                <w:b/>
                <w:color w:val="000000"/>
              </w:rPr>
              <w:t>VAS</w:t>
            </w:r>
            <w:r w:rsidR="002D428D" w:rsidRPr="002D428D">
              <w:rPr>
                <w:rFonts w:cs="Times New Roman"/>
                <w:b/>
                <w:color w:val="000000"/>
              </w:rPr>
              <w:t xml:space="preserve"> </w:t>
            </w:r>
            <w:r w:rsidRPr="002D428D">
              <w:rPr>
                <w:rFonts w:cs="Times New Roman"/>
                <w:b/>
                <w:color w:val="000000"/>
              </w:rPr>
              <w:t>“Latvijas gaisa satiksme”</w:t>
            </w:r>
          </w:p>
        </w:tc>
        <w:tc>
          <w:tcPr>
            <w:tcW w:w="739" w:type="pct"/>
          </w:tcPr>
          <w:p w14:paraId="34825158" w14:textId="674A533D" w:rsidR="00CB66A4" w:rsidRPr="00F56613" w:rsidRDefault="00CB66A4" w:rsidP="00BB69DC">
            <w:pPr>
              <w:jc w:val="center"/>
              <w:rPr>
                <w:rFonts w:cs="Times New Roman"/>
                <w:color w:val="000000"/>
                <w:sz w:val="22"/>
              </w:rPr>
            </w:pPr>
            <w:r w:rsidRPr="00F56613">
              <w:rPr>
                <w:rFonts w:cs="Times New Roman"/>
                <w:color w:val="000000"/>
                <w:sz w:val="22"/>
              </w:rPr>
              <w:t>6,0</w:t>
            </w:r>
          </w:p>
        </w:tc>
        <w:tc>
          <w:tcPr>
            <w:tcW w:w="739" w:type="pct"/>
          </w:tcPr>
          <w:p w14:paraId="4A2B2150" w14:textId="1A36D584" w:rsidR="00CB66A4" w:rsidRPr="00F56613" w:rsidRDefault="00CB66A4" w:rsidP="00BB69DC">
            <w:pPr>
              <w:jc w:val="center"/>
              <w:rPr>
                <w:rFonts w:cs="Times New Roman"/>
                <w:color w:val="000000"/>
                <w:sz w:val="22"/>
              </w:rPr>
            </w:pPr>
            <w:r w:rsidRPr="00F56613">
              <w:rPr>
                <w:rFonts w:cs="Times New Roman"/>
                <w:color w:val="000000"/>
                <w:sz w:val="22"/>
              </w:rPr>
              <w:t>0,0</w:t>
            </w:r>
          </w:p>
        </w:tc>
        <w:tc>
          <w:tcPr>
            <w:tcW w:w="739" w:type="pct"/>
          </w:tcPr>
          <w:p w14:paraId="6F28C1DC" w14:textId="2D54D5A9" w:rsidR="00CB66A4" w:rsidRPr="00F56613" w:rsidRDefault="00CB66A4" w:rsidP="00BB69DC">
            <w:pPr>
              <w:jc w:val="center"/>
              <w:rPr>
                <w:rFonts w:cs="Times New Roman"/>
                <w:color w:val="000000"/>
                <w:sz w:val="22"/>
              </w:rPr>
            </w:pPr>
            <w:r w:rsidRPr="00F56613">
              <w:rPr>
                <w:rFonts w:cs="Times New Roman"/>
                <w:color w:val="000000"/>
                <w:sz w:val="22"/>
              </w:rPr>
              <w:t>0,0</w:t>
            </w:r>
          </w:p>
        </w:tc>
      </w:tr>
      <w:tr w:rsidR="00CB66A4" w14:paraId="005B5EC6" w14:textId="09A20731" w:rsidTr="002A2971">
        <w:trPr>
          <w:jc w:val="center"/>
        </w:trPr>
        <w:tc>
          <w:tcPr>
            <w:tcW w:w="2784" w:type="pct"/>
            <w:shd w:val="clear" w:color="auto" w:fill="DEEAF6" w:themeFill="accent1" w:themeFillTint="33"/>
          </w:tcPr>
          <w:p w14:paraId="30970F0D" w14:textId="08EE1104" w:rsidR="00CB66A4" w:rsidRPr="002D428D" w:rsidRDefault="00CB66A4" w:rsidP="00A3140E">
            <w:pPr>
              <w:jc w:val="both"/>
              <w:rPr>
                <w:rFonts w:cs="Times New Roman"/>
                <w:b/>
                <w:color w:val="000000"/>
                <w:sz w:val="22"/>
              </w:rPr>
            </w:pPr>
            <w:r w:rsidRPr="002D428D">
              <w:rPr>
                <w:rFonts w:cs="Times New Roman"/>
                <w:b/>
                <w:color w:val="000000"/>
              </w:rPr>
              <w:t>VAS “Starptautiskā lidosta “Rīga”</w:t>
            </w:r>
            <w:r w:rsidR="005834D8" w:rsidRPr="002D428D">
              <w:rPr>
                <w:rFonts w:cs="Times New Roman"/>
                <w:b/>
                <w:color w:val="000000"/>
              </w:rPr>
              <w:t>”</w:t>
            </w:r>
          </w:p>
        </w:tc>
        <w:tc>
          <w:tcPr>
            <w:tcW w:w="739" w:type="pct"/>
            <w:shd w:val="clear" w:color="auto" w:fill="DEEAF6" w:themeFill="accent1" w:themeFillTint="33"/>
          </w:tcPr>
          <w:p w14:paraId="2E29457C" w14:textId="182A83C3" w:rsidR="00CB66A4" w:rsidRPr="00F56613" w:rsidRDefault="00CB66A4" w:rsidP="00BB69DC">
            <w:pPr>
              <w:jc w:val="center"/>
              <w:rPr>
                <w:rFonts w:cs="Times New Roman"/>
                <w:color w:val="000000"/>
                <w:sz w:val="22"/>
              </w:rPr>
            </w:pPr>
            <w:r w:rsidRPr="00F56613">
              <w:rPr>
                <w:rFonts w:cs="Times New Roman"/>
                <w:color w:val="000000"/>
                <w:sz w:val="22"/>
              </w:rPr>
              <w:t>0,0</w:t>
            </w:r>
          </w:p>
        </w:tc>
        <w:tc>
          <w:tcPr>
            <w:tcW w:w="739" w:type="pct"/>
            <w:shd w:val="clear" w:color="auto" w:fill="DEEAF6" w:themeFill="accent1" w:themeFillTint="33"/>
          </w:tcPr>
          <w:p w14:paraId="571320FE" w14:textId="4205FCA4" w:rsidR="00CB66A4" w:rsidRPr="00F56613" w:rsidRDefault="00CB66A4" w:rsidP="00BB69DC">
            <w:pPr>
              <w:jc w:val="center"/>
              <w:rPr>
                <w:rFonts w:cs="Times New Roman"/>
                <w:color w:val="000000"/>
                <w:sz w:val="22"/>
              </w:rPr>
            </w:pPr>
            <w:r w:rsidRPr="00F56613">
              <w:rPr>
                <w:rFonts w:cs="Times New Roman"/>
                <w:color w:val="000000"/>
                <w:sz w:val="22"/>
              </w:rPr>
              <w:t>35,2</w:t>
            </w:r>
          </w:p>
        </w:tc>
        <w:tc>
          <w:tcPr>
            <w:tcW w:w="739" w:type="pct"/>
            <w:shd w:val="clear" w:color="auto" w:fill="DEEAF6" w:themeFill="accent1" w:themeFillTint="33"/>
          </w:tcPr>
          <w:p w14:paraId="27FA966E" w14:textId="5E51F1D8" w:rsidR="00CB66A4" w:rsidRPr="00F56613" w:rsidRDefault="00CB66A4" w:rsidP="00BB69DC">
            <w:pPr>
              <w:jc w:val="center"/>
              <w:rPr>
                <w:rFonts w:cs="Times New Roman"/>
                <w:color w:val="000000"/>
                <w:sz w:val="22"/>
              </w:rPr>
            </w:pPr>
            <w:r w:rsidRPr="00F56613">
              <w:rPr>
                <w:rFonts w:cs="Times New Roman"/>
                <w:color w:val="000000"/>
                <w:sz w:val="22"/>
              </w:rPr>
              <w:t>0,0</w:t>
            </w:r>
          </w:p>
        </w:tc>
      </w:tr>
      <w:tr w:rsidR="00CB66A4" w14:paraId="2E36A7CC" w14:textId="5369B335" w:rsidTr="002A2971">
        <w:trPr>
          <w:jc w:val="center"/>
        </w:trPr>
        <w:tc>
          <w:tcPr>
            <w:tcW w:w="2784" w:type="pct"/>
          </w:tcPr>
          <w:p w14:paraId="4C4F724C" w14:textId="6C5E6C8F" w:rsidR="00CB66A4" w:rsidRPr="00F56613" w:rsidRDefault="00CB66A4" w:rsidP="00A3140E">
            <w:pPr>
              <w:jc w:val="both"/>
              <w:rPr>
                <w:rFonts w:cs="Times New Roman"/>
                <w:b/>
                <w:color w:val="000000"/>
                <w:sz w:val="22"/>
              </w:rPr>
            </w:pPr>
            <w:r w:rsidRPr="00F56613">
              <w:rPr>
                <w:rFonts w:cs="Times New Roman"/>
                <w:b/>
                <w:color w:val="000000"/>
                <w:sz w:val="22"/>
              </w:rPr>
              <w:t>VAS “Latvijas dzelzceļš”</w:t>
            </w:r>
          </w:p>
        </w:tc>
        <w:tc>
          <w:tcPr>
            <w:tcW w:w="739" w:type="pct"/>
          </w:tcPr>
          <w:p w14:paraId="1EE0B96F" w14:textId="6CBD830F" w:rsidR="00CB66A4" w:rsidRPr="00F56613" w:rsidRDefault="00CB66A4" w:rsidP="00BB69DC">
            <w:pPr>
              <w:jc w:val="center"/>
              <w:rPr>
                <w:rFonts w:cs="Times New Roman"/>
                <w:color w:val="000000"/>
                <w:sz w:val="22"/>
              </w:rPr>
            </w:pPr>
            <w:r w:rsidRPr="00F56613">
              <w:rPr>
                <w:rFonts w:cs="Times New Roman"/>
                <w:color w:val="000000"/>
                <w:sz w:val="22"/>
              </w:rPr>
              <w:t>59,6</w:t>
            </w:r>
          </w:p>
        </w:tc>
        <w:tc>
          <w:tcPr>
            <w:tcW w:w="739" w:type="pct"/>
          </w:tcPr>
          <w:p w14:paraId="683B08D8" w14:textId="40D21BAD" w:rsidR="00CB66A4" w:rsidRPr="00F56613" w:rsidRDefault="00CB66A4" w:rsidP="00BB69DC">
            <w:pPr>
              <w:jc w:val="center"/>
              <w:rPr>
                <w:rFonts w:cs="Times New Roman"/>
                <w:color w:val="000000"/>
                <w:sz w:val="22"/>
              </w:rPr>
            </w:pPr>
            <w:r w:rsidRPr="00F56613">
              <w:rPr>
                <w:rFonts w:cs="Times New Roman"/>
                <w:color w:val="000000"/>
                <w:sz w:val="22"/>
              </w:rPr>
              <w:t>14,2</w:t>
            </w:r>
          </w:p>
        </w:tc>
        <w:tc>
          <w:tcPr>
            <w:tcW w:w="739" w:type="pct"/>
          </w:tcPr>
          <w:p w14:paraId="190CC967" w14:textId="0BA6BB43" w:rsidR="00CB66A4" w:rsidRPr="00F56613" w:rsidRDefault="00FD0809" w:rsidP="00BB69DC">
            <w:pPr>
              <w:jc w:val="center"/>
              <w:rPr>
                <w:rFonts w:cs="Times New Roman"/>
                <w:color w:val="000000"/>
                <w:sz w:val="22"/>
              </w:rPr>
            </w:pPr>
            <w:r w:rsidRPr="00F56613">
              <w:rPr>
                <w:rFonts w:cs="Times New Roman"/>
                <w:color w:val="000000"/>
                <w:sz w:val="22"/>
              </w:rPr>
              <w:t>48,1</w:t>
            </w:r>
          </w:p>
        </w:tc>
      </w:tr>
    </w:tbl>
    <w:p w14:paraId="59025813" w14:textId="110615CE" w:rsidR="00043C49" w:rsidRDefault="00043C49" w:rsidP="00043C49">
      <w:pPr>
        <w:spacing w:after="0" w:line="240" w:lineRule="auto"/>
        <w:jc w:val="both"/>
        <w:rPr>
          <w:rFonts w:ascii="Times New Roman" w:hAnsi="Times New Roman" w:cs="Times New Roman"/>
          <w:color w:val="000000"/>
          <w:sz w:val="24"/>
          <w:szCs w:val="24"/>
        </w:rPr>
      </w:pPr>
    </w:p>
    <w:p w14:paraId="7E050D11" w14:textId="72597604" w:rsidR="003C7D88" w:rsidRDefault="003C7D88" w:rsidP="00043C49">
      <w:pPr>
        <w:spacing w:after="0" w:line="240" w:lineRule="auto"/>
        <w:jc w:val="both"/>
        <w:rPr>
          <w:rFonts w:ascii="Times New Roman" w:hAnsi="Times New Roman" w:cs="Times New Roman"/>
          <w:color w:val="000000"/>
          <w:sz w:val="24"/>
          <w:szCs w:val="24"/>
        </w:rPr>
      </w:pPr>
    </w:p>
    <w:p w14:paraId="6D116F1C" w14:textId="77777777" w:rsidR="003535B5" w:rsidRDefault="003535B5" w:rsidP="00043C49">
      <w:pPr>
        <w:spacing w:after="0" w:line="240" w:lineRule="auto"/>
        <w:jc w:val="both"/>
        <w:rPr>
          <w:rFonts w:ascii="Times New Roman" w:hAnsi="Times New Roman" w:cs="Times New Roman"/>
          <w:color w:val="000000"/>
          <w:sz w:val="24"/>
          <w:szCs w:val="24"/>
        </w:rPr>
      </w:pPr>
    </w:p>
    <w:p w14:paraId="49F9C5DD" w14:textId="577C8414" w:rsidR="00043C49" w:rsidRPr="00BB69DC" w:rsidRDefault="00F7696B" w:rsidP="00925871">
      <w:pPr>
        <w:spacing w:after="0" w:line="240" w:lineRule="auto"/>
        <w:jc w:val="center"/>
        <w:rPr>
          <w:noProof/>
          <w:lang w:eastAsia="lv-LV"/>
        </w:rPr>
      </w:pPr>
      <w:r w:rsidRPr="00F7696B">
        <w:rPr>
          <w:noProof/>
        </w:rPr>
        <w:lastRenderedPageBreak/>
        <w:t xml:space="preserve"> </w:t>
      </w:r>
      <w:r w:rsidR="00D93845">
        <w:rPr>
          <w:noProof/>
        </w:rPr>
        <w:drawing>
          <wp:inline distT="0" distB="0" distL="0" distR="0" wp14:anchorId="2B97C3BB" wp14:editId="2DC1795B">
            <wp:extent cx="6162675" cy="2393950"/>
            <wp:effectExtent l="0" t="0" r="0" b="6350"/>
            <wp:docPr id="7" name="Chart 7">
              <a:extLst xmlns:a="http://schemas.openxmlformats.org/drawingml/2006/main">
                <a:ext uri="{FF2B5EF4-FFF2-40B4-BE49-F238E27FC236}">
                  <a16:creationId xmlns:a16="http://schemas.microsoft.com/office/drawing/2014/main" id="{C562D405-7E4C-E029-E537-8B5A05042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F56AB7" w14:textId="56411BF2" w:rsidR="00043C49" w:rsidRDefault="004A4C72" w:rsidP="003C7D88">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4.1</w:t>
      </w:r>
      <w:r w:rsidR="00925871" w:rsidRPr="00925871">
        <w:rPr>
          <w:rFonts w:ascii="Times New Roman" w:hAnsi="Times New Roman" w:cs="Times New Roman"/>
          <w:b/>
          <w:color w:val="000000"/>
          <w:sz w:val="24"/>
          <w:szCs w:val="24"/>
        </w:rPr>
        <w:t>.</w:t>
      </w:r>
      <w:r w:rsidR="00A1461C">
        <w:rPr>
          <w:rFonts w:ascii="Times New Roman" w:hAnsi="Times New Roman" w:cs="Times New Roman"/>
          <w:b/>
          <w:color w:val="000000"/>
          <w:sz w:val="24"/>
          <w:szCs w:val="24"/>
        </w:rPr>
        <w:t>2</w:t>
      </w:r>
      <w:r w:rsidR="0077673B">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925871" w:rsidRPr="00925871">
        <w:rPr>
          <w:rFonts w:ascii="Times New Roman" w:hAnsi="Times New Roman" w:cs="Times New Roman"/>
          <w:b/>
          <w:color w:val="000000"/>
          <w:sz w:val="24"/>
          <w:szCs w:val="24"/>
        </w:rPr>
        <w:t>.</w:t>
      </w:r>
      <w:r w:rsidR="00043C49">
        <w:rPr>
          <w:rFonts w:ascii="Times New Roman" w:hAnsi="Times New Roman" w:cs="Times New Roman"/>
          <w:color w:val="000000"/>
          <w:sz w:val="24"/>
          <w:szCs w:val="24"/>
        </w:rPr>
        <w:t xml:space="preserve"> </w:t>
      </w:r>
      <w:r w:rsidR="00043C49" w:rsidRPr="00B72D96">
        <w:rPr>
          <w:rFonts w:ascii="Times New Roman" w:hAnsi="Times New Roman" w:cs="Times New Roman"/>
          <w:color w:val="000000"/>
          <w:sz w:val="24"/>
          <w:szCs w:val="24"/>
        </w:rPr>
        <w:t>Vispārējā valdības sektora līdzdalības vērtība</w:t>
      </w:r>
      <w:r w:rsidR="00043C49">
        <w:rPr>
          <w:rFonts w:ascii="Times New Roman" w:hAnsi="Times New Roman" w:cs="Times New Roman"/>
          <w:color w:val="000000"/>
          <w:sz w:val="24"/>
          <w:szCs w:val="24"/>
        </w:rPr>
        <w:t xml:space="preserve"> publisk</w:t>
      </w:r>
      <w:r w:rsidR="00C92923">
        <w:rPr>
          <w:rFonts w:ascii="Times New Roman" w:hAnsi="Times New Roman" w:cs="Times New Roman"/>
          <w:color w:val="000000"/>
          <w:sz w:val="24"/>
          <w:szCs w:val="24"/>
        </w:rPr>
        <w:t>ā sektora</w:t>
      </w:r>
      <w:r w:rsidR="00043C49" w:rsidRPr="00B72D96">
        <w:rPr>
          <w:rFonts w:ascii="Times New Roman" w:hAnsi="Times New Roman" w:cs="Times New Roman"/>
          <w:color w:val="000000"/>
          <w:sz w:val="24"/>
          <w:szCs w:val="24"/>
        </w:rPr>
        <w:t xml:space="preserve"> komercsabiedrību kapitālā</w:t>
      </w:r>
      <w:r w:rsidR="00C92923">
        <w:rPr>
          <w:rFonts w:ascii="Times New Roman" w:hAnsi="Times New Roman" w:cs="Times New Roman"/>
          <w:color w:val="000000"/>
          <w:sz w:val="24"/>
          <w:szCs w:val="24"/>
        </w:rPr>
        <w:t xml:space="preserve"> </w:t>
      </w:r>
      <w:r w:rsidR="000C70C4">
        <w:rPr>
          <w:rFonts w:ascii="Times New Roman" w:hAnsi="Times New Roman" w:cs="Times New Roman"/>
          <w:color w:val="000000"/>
          <w:sz w:val="24"/>
          <w:szCs w:val="24"/>
        </w:rPr>
        <w:t>no 2013.</w:t>
      </w:r>
      <w:r w:rsidR="00A068B4">
        <w:rPr>
          <w:rFonts w:ascii="Times New Roman" w:hAnsi="Times New Roman" w:cs="Times New Roman"/>
          <w:color w:val="000000"/>
          <w:sz w:val="24"/>
          <w:szCs w:val="24"/>
        </w:rPr>
        <w:t xml:space="preserve"> </w:t>
      </w:r>
      <w:r w:rsidR="000C70C4">
        <w:rPr>
          <w:rFonts w:ascii="Times New Roman" w:hAnsi="Times New Roman" w:cs="Times New Roman"/>
          <w:color w:val="000000"/>
          <w:sz w:val="24"/>
          <w:szCs w:val="24"/>
        </w:rPr>
        <w:t>līdz 202</w:t>
      </w:r>
      <w:r w:rsidR="002B3E19">
        <w:rPr>
          <w:rFonts w:ascii="Times New Roman" w:hAnsi="Times New Roman" w:cs="Times New Roman"/>
          <w:color w:val="000000"/>
          <w:sz w:val="24"/>
          <w:szCs w:val="24"/>
        </w:rPr>
        <w:t>1</w:t>
      </w:r>
      <w:r w:rsidR="000C70C4">
        <w:rPr>
          <w:rFonts w:ascii="Times New Roman" w:hAnsi="Times New Roman" w:cs="Times New Roman"/>
          <w:color w:val="000000"/>
          <w:sz w:val="24"/>
          <w:szCs w:val="24"/>
        </w:rPr>
        <w:t>.gadam</w:t>
      </w:r>
      <w:r w:rsidR="00C92923">
        <w:rPr>
          <w:rFonts w:ascii="Times New Roman" w:hAnsi="Times New Roman" w:cs="Times New Roman"/>
          <w:color w:val="000000"/>
          <w:sz w:val="24"/>
          <w:szCs w:val="24"/>
        </w:rPr>
        <w:t xml:space="preserve"> </w:t>
      </w:r>
      <w:r w:rsidR="003C7D88">
        <w:rPr>
          <w:rFonts w:ascii="Times New Roman" w:hAnsi="Times New Roman" w:cs="Times New Roman"/>
          <w:color w:val="000000"/>
          <w:sz w:val="24"/>
          <w:szCs w:val="24"/>
        </w:rPr>
        <w:t>(% no IKP)</w:t>
      </w:r>
      <w:r w:rsidR="007079DA">
        <w:rPr>
          <w:rFonts w:ascii="Times New Roman" w:hAnsi="Times New Roman" w:cs="Times New Roman"/>
          <w:color w:val="000000"/>
          <w:sz w:val="24"/>
          <w:szCs w:val="24"/>
        </w:rPr>
        <w:t xml:space="preserve">. </w:t>
      </w:r>
    </w:p>
    <w:p w14:paraId="37D78098" w14:textId="49F50983" w:rsidR="004442F3" w:rsidRDefault="004442F3" w:rsidP="003C7D88">
      <w:pPr>
        <w:spacing w:after="0" w:line="240" w:lineRule="auto"/>
        <w:jc w:val="center"/>
        <w:rPr>
          <w:rFonts w:ascii="Times New Roman" w:hAnsi="Times New Roman" w:cs="Times New Roman"/>
          <w:color w:val="000000"/>
          <w:sz w:val="24"/>
          <w:szCs w:val="24"/>
        </w:rPr>
      </w:pPr>
    </w:p>
    <w:p w14:paraId="5F0BB164" w14:textId="15B60D08"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Atbilstoši F</w:t>
      </w:r>
      <w:r w:rsidR="00925871">
        <w:rPr>
          <w:rFonts w:ascii="Times New Roman" w:hAnsi="Times New Roman" w:cs="Times New Roman"/>
          <w:color w:val="000000"/>
          <w:sz w:val="24"/>
          <w:szCs w:val="24"/>
        </w:rPr>
        <w:t xml:space="preserve">M </w:t>
      </w:r>
      <w:r>
        <w:rPr>
          <w:rFonts w:ascii="Times New Roman" w:hAnsi="Times New Roman" w:cs="Times New Roman"/>
          <w:color w:val="000000"/>
          <w:sz w:val="24"/>
          <w:szCs w:val="24"/>
        </w:rPr>
        <w:t xml:space="preserve">apkopotajiem datiem, kas tiek </w:t>
      </w:r>
      <w:r w:rsidR="003C2FAB">
        <w:rPr>
          <w:rFonts w:ascii="Times New Roman" w:hAnsi="Times New Roman" w:cs="Times New Roman"/>
          <w:color w:val="000000"/>
          <w:sz w:val="24"/>
          <w:szCs w:val="24"/>
        </w:rPr>
        <w:t xml:space="preserve">apkopoti </w:t>
      </w:r>
      <w:r>
        <w:rPr>
          <w:rFonts w:ascii="Times New Roman" w:hAnsi="Times New Roman" w:cs="Times New Roman"/>
          <w:color w:val="000000"/>
          <w:sz w:val="24"/>
          <w:szCs w:val="24"/>
        </w:rPr>
        <w:t xml:space="preserve">atbilstoši </w:t>
      </w:r>
      <w:r w:rsidRPr="00FA6CBD">
        <w:rPr>
          <w:rFonts w:ascii="Times New Roman" w:hAnsi="Times New Roman" w:cs="Times New Roman"/>
          <w:color w:val="000000"/>
          <w:sz w:val="24"/>
          <w:szCs w:val="24"/>
        </w:rPr>
        <w:t>Padom</w:t>
      </w:r>
      <w:r w:rsidR="00925871">
        <w:rPr>
          <w:rFonts w:ascii="Times New Roman" w:hAnsi="Times New Roman" w:cs="Times New Roman"/>
          <w:color w:val="000000"/>
          <w:sz w:val="24"/>
          <w:szCs w:val="24"/>
        </w:rPr>
        <w:t>es Direktīv</w:t>
      </w:r>
      <w:r w:rsidR="00C92923">
        <w:rPr>
          <w:rFonts w:ascii="Times New Roman" w:hAnsi="Times New Roman" w:cs="Times New Roman"/>
          <w:color w:val="000000"/>
          <w:sz w:val="24"/>
          <w:szCs w:val="24"/>
        </w:rPr>
        <w:t>ai</w:t>
      </w:r>
      <w:r w:rsidR="00925871">
        <w:rPr>
          <w:rFonts w:ascii="Times New Roman" w:hAnsi="Times New Roman" w:cs="Times New Roman"/>
          <w:color w:val="000000"/>
          <w:sz w:val="24"/>
          <w:szCs w:val="24"/>
        </w:rPr>
        <w:t xml:space="preserve"> 2011/85/ES (2011.</w:t>
      </w:r>
      <w:r w:rsidRPr="00FA6CBD">
        <w:rPr>
          <w:rFonts w:ascii="Times New Roman" w:hAnsi="Times New Roman" w:cs="Times New Roman"/>
          <w:color w:val="000000"/>
          <w:sz w:val="24"/>
          <w:szCs w:val="24"/>
        </w:rPr>
        <w:t>gada 8.novembris) par prasībām dalībvalstu budžeta struktūrām</w:t>
      </w:r>
      <w:r>
        <w:rPr>
          <w:rFonts w:ascii="Times New Roman" w:hAnsi="Times New Roman" w:cs="Times New Roman"/>
          <w:color w:val="000000"/>
          <w:sz w:val="24"/>
          <w:szCs w:val="24"/>
        </w:rPr>
        <w:t>, var secināt, ka vispārējās valdības sektora līdzdalība 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komercsabiedrībās ir </w:t>
      </w:r>
      <w:r w:rsidR="00925871">
        <w:rPr>
          <w:rFonts w:ascii="Times New Roman" w:hAnsi="Times New Roman" w:cs="Times New Roman"/>
          <w:color w:val="000000"/>
          <w:sz w:val="24"/>
          <w:szCs w:val="24"/>
        </w:rPr>
        <w:t>pamatā stabila</w:t>
      </w:r>
      <w:r w:rsidR="005D68DD">
        <w:rPr>
          <w:rFonts w:ascii="Times New Roman" w:hAnsi="Times New Roman" w:cs="Times New Roman"/>
          <w:color w:val="000000"/>
          <w:sz w:val="24"/>
          <w:szCs w:val="24"/>
        </w:rPr>
        <w:t xml:space="preserve"> līdz 2017.gadam</w:t>
      </w:r>
      <w:r w:rsidR="00CE7138">
        <w:rPr>
          <w:rFonts w:ascii="Times New Roman" w:hAnsi="Times New Roman" w:cs="Times New Roman"/>
          <w:color w:val="000000"/>
          <w:sz w:val="24"/>
          <w:szCs w:val="24"/>
        </w:rPr>
        <w:t xml:space="preserve"> un pēc 2018.gada</w:t>
      </w:r>
      <w:r w:rsidR="005D68DD" w:rsidRPr="002D428D">
        <w:rPr>
          <w:rFonts w:ascii="Times New Roman" w:hAnsi="Times New Roman" w:cs="Times New Roman"/>
          <w:color w:val="000000"/>
          <w:sz w:val="24"/>
          <w:szCs w:val="24"/>
        </w:rPr>
        <w:t>.</w:t>
      </w:r>
    </w:p>
    <w:p w14:paraId="67FCCCB6" w14:textId="18B70C80"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Tātad kopumā var secināt, ka vispārējās valdības sektora ekspozīcija </w:t>
      </w:r>
      <w:r w:rsidR="00C92923">
        <w:rPr>
          <w:rFonts w:ascii="Times New Roman" w:hAnsi="Times New Roman" w:cs="Times New Roman"/>
          <w:color w:val="000000"/>
          <w:sz w:val="24"/>
          <w:szCs w:val="24"/>
        </w:rPr>
        <w:t xml:space="preserve">attiecībā uz </w:t>
      </w:r>
      <w:r>
        <w:rPr>
          <w:rFonts w:ascii="Times New Roman" w:hAnsi="Times New Roman" w:cs="Times New Roman"/>
          <w:color w:val="000000"/>
          <w:sz w:val="24"/>
          <w:szCs w:val="24"/>
        </w:rPr>
        <w:t>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kapitālsabiedrīb</w:t>
      </w:r>
      <w:r w:rsidR="00C92923">
        <w:rPr>
          <w:rFonts w:ascii="Times New Roman" w:hAnsi="Times New Roman" w:cs="Times New Roman"/>
          <w:color w:val="000000"/>
          <w:sz w:val="24"/>
          <w:szCs w:val="24"/>
        </w:rPr>
        <w:t xml:space="preserve">ām </w:t>
      </w:r>
      <w:r>
        <w:rPr>
          <w:rFonts w:ascii="Times New Roman" w:hAnsi="Times New Roman" w:cs="Times New Roman"/>
          <w:color w:val="000000"/>
          <w:sz w:val="24"/>
          <w:szCs w:val="24"/>
        </w:rPr>
        <w:t xml:space="preserve">ir svārstīga laikā, </w:t>
      </w:r>
      <w:r w:rsidR="00C92923">
        <w:rPr>
          <w:rFonts w:ascii="Times New Roman" w:hAnsi="Times New Roman" w:cs="Times New Roman"/>
          <w:color w:val="000000"/>
          <w:sz w:val="24"/>
          <w:szCs w:val="24"/>
        </w:rPr>
        <w:t xml:space="preserve">bet </w:t>
      </w:r>
      <w:r>
        <w:rPr>
          <w:rFonts w:ascii="Times New Roman" w:hAnsi="Times New Roman" w:cs="Times New Roman"/>
          <w:color w:val="000000"/>
          <w:sz w:val="24"/>
          <w:szCs w:val="24"/>
        </w:rPr>
        <w:t>svārstību koridors ir noteiktās robežās</w:t>
      </w:r>
      <w:r w:rsidR="00C929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 nenorāda uz būtisku riska pieaugumu.</w:t>
      </w:r>
    </w:p>
    <w:p w14:paraId="03068A19" w14:textId="3483B7AF" w:rsidR="00CD1365" w:rsidRPr="0058124B" w:rsidRDefault="00CD1365" w:rsidP="00043C49">
      <w:pPr>
        <w:spacing w:after="0" w:line="240" w:lineRule="auto"/>
        <w:jc w:val="both"/>
        <w:rPr>
          <w:rFonts w:ascii="Times New Roman" w:hAnsi="Times New Roman" w:cs="Times New Roman"/>
          <w:color w:val="000000"/>
          <w:sz w:val="12"/>
          <w:szCs w:val="12"/>
        </w:rPr>
      </w:pPr>
    </w:p>
    <w:p w14:paraId="3C2A9322" w14:textId="416749F7" w:rsidR="00CD1365" w:rsidRDefault="005E0C04" w:rsidP="00D64BA9">
      <w:pPr>
        <w:spacing w:after="0" w:line="240" w:lineRule="auto"/>
        <w:jc w:val="center"/>
        <w:rPr>
          <w:rFonts w:ascii="Times New Roman" w:hAnsi="Times New Roman" w:cs="Times New Roman"/>
          <w:color w:val="000000"/>
          <w:sz w:val="24"/>
          <w:szCs w:val="24"/>
        </w:rPr>
      </w:pPr>
      <w:r>
        <w:rPr>
          <w:noProof/>
        </w:rPr>
        <w:drawing>
          <wp:inline distT="0" distB="0" distL="0" distR="0" wp14:anchorId="04C2946A" wp14:editId="7FCE1F86">
            <wp:extent cx="5812403" cy="2878372"/>
            <wp:effectExtent l="0" t="0" r="0" b="0"/>
            <wp:docPr id="633980115" name="Chart 1">
              <a:extLst xmlns:a="http://schemas.openxmlformats.org/drawingml/2006/main">
                <a:ext uri="{FF2B5EF4-FFF2-40B4-BE49-F238E27FC236}">
                  <a16:creationId xmlns:a16="http://schemas.microsoft.com/office/drawing/2014/main" id="{36425C3D-6514-6F4C-AE0C-1472C27B4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61D521" w14:textId="323339E2" w:rsidR="00043C49" w:rsidRDefault="004A4C72" w:rsidP="00CD1365">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1.</w:t>
      </w:r>
      <w:r w:rsidR="00A1461C">
        <w:rPr>
          <w:rFonts w:ascii="Times New Roman" w:hAnsi="Times New Roman" w:cs="Times New Roman"/>
          <w:b/>
          <w:color w:val="000000"/>
          <w:sz w:val="24"/>
          <w:szCs w:val="24"/>
        </w:rPr>
        <w:t>3</w:t>
      </w:r>
      <w:r w:rsidR="00925871" w:rsidRPr="00925871">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043C49">
        <w:rPr>
          <w:rFonts w:ascii="Times New Roman" w:hAnsi="Times New Roman" w:cs="Times New Roman"/>
          <w:color w:val="000000"/>
          <w:sz w:val="24"/>
          <w:szCs w:val="24"/>
        </w:rPr>
        <w:t xml:space="preserve"> Vispārējās valdības kontrolēto p</w:t>
      </w:r>
      <w:r w:rsidR="00043C49" w:rsidRPr="00E96F63">
        <w:rPr>
          <w:rFonts w:ascii="Times New Roman" w:hAnsi="Times New Roman" w:cs="Times New Roman"/>
          <w:color w:val="000000"/>
          <w:sz w:val="24"/>
          <w:szCs w:val="24"/>
        </w:rPr>
        <w:t>ublisko kapitālsabiedrību</w:t>
      </w:r>
      <w:r w:rsidR="00043C49">
        <w:rPr>
          <w:rFonts w:ascii="Times New Roman" w:hAnsi="Times New Roman" w:cs="Times New Roman"/>
          <w:color w:val="000000"/>
          <w:sz w:val="24"/>
          <w:szCs w:val="24"/>
        </w:rPr>
        <w:t xml:space="preserve"> (ārpus S.13)</w:t>
      </w:r>
      <w:r w:rsidR="00043C49" w:rsidRPr="00E96F63">
        <w:rPr>
          <w:rFonts w:ascii="Times New Roman" w:hAnsi="Times New Roman" w:cs="Times New Roman"/>
          <w:color w:val="000000"/>
          <w:sz w:val="24"/>
          <w:szCs w:val="24"/>
        </w:rPr>
        <w:t xml:space="preserve"> kopējais saistību apmērs</w:t>
      </w:r>
      <w:r w:rsidR="00043C49">
        <w:rPr>
          <w:rFonts w:ascii="Times New Roman" w:hAnsi="Times New Roman" w:cs="Times New Roman"/>
          <w:color w:val="000000"/>
          <w:sz w:val="24"/>
          <w:szCs w:val="24"/>
        </w:rPr>
        <w:t xml:space="preserve"> </w:t>
      </w:r>
      <w:r w:rsidR="000C70C4">
        <w:rPr>
          <w:rFonts w:ascii="Times New Roman" w:hAnsi="Times New Roman" w:cs="Times New Roman"/>
          <w:color w:val="000000"/>
          <w:sz w:val="24"/>
          <w:szCs w:val="24"/>
        </w:rPr>
        <w:t>202</w:t>
      </w:r>
      <w:r w:rsidR="00C9289F">
        <w:rPr>
          <w:rFonts w:ascii="Times New Roman" w:hAnsi="Times New Roman" w:cs="Times New Roman"/>
          <w:color w:val="000000"/>
          <w:sz w:val="24"/>
          <w:szCs w:val="24"/>
        </w:rPr>
        <w:t>1</w:t>
      </w:r>
      <w:r w:rsidR="000C70C4">
        <w:rPr>
          <w:rFonts w:ascii="Times New Roman" w:hAnsi="Times New Roman" w:cs="Times New Roman"/>
          <w:color w:val="000000"/>
          <w:sz w:val="24"/>
          <w:szCs w:val="24"/>
        </w:rPr>
        <w:t>.gadā</w:t>
      </w:r>
      <w:r w:rsidR="001D73C8">
        <w:rPr>
          <w:rFonts w:ascii="Times New Roman" w:hAnsi="Times New Roman" w:cs="Times New Roman"/>
          <w:color w:val="000000"/>
          <w:sz w:val="24"/>
          <w:szCs w:val="24"/>
        </w:rPr>
        <w:t xml:space="preserve"> (* - 20</w:t>
      </w:r>
      <w:r w:rsidR="00C9289F">
        <w:rPr>
          <w:rFonts w:ascii="Times New Roman" w:hAnsi="Times New Roman" w:cs="Times New Roman"/>
          <w:color w:val="000000"/>
          <w:sz w:val="24"/>
          <w:szCs w:val="24"/>
        </w:rPr>
        <w:t>20</w:t>
      </w:r>
      <w:r w:rsidR="001D73C8">
        <w:rPr>
          <w:rFonts w:ascii="Times New Roman" w:hAnsi="Times New Roman" w:cs="Times New Roman"/>
          <w:color w:val="000000"/>
          <w:sz w:val="24"/>
          <w:szCs w:val="24"/>
        </w:rPr>
        <w:t>.gadā)</w:t>
      </w:r>
      <w:r w:rsidR="00043C49" w:rsidRPr="00E96F63">
        <w:rPr>
          <w:rFonts w:ascii="Times New Roman" w:hAnsi="Times New Roman" w:cs="Times New Roman"/>
          <w:color w:val="000000"/>
          <w:sz w:val="24"/>
          <w:szCs w:val="24"/>
        </w:rPr>
        <w:t>, % no IKP</w:t>
      </w:r>
      <w:r w:rsidR="007079DA">
        <w:rPr>
          <w:rFonts w:ascii="Times New Roman" w:hAnsi="Times New Roman" w:cs="Times New Roman"/>
          <w:color w:val="000000"/>
          <w:sz w:val="24"/>
          <w:szCs w:val="24"/>
        </w:rPr>
        <w:t xml:space="preserve">. Avots: </w:t>
      </w:r>
      <w:proofErr w:type="spellStart"/>
      <w:r w:rsidR="007079DA" w:rsidRPr="0058124B">
        <w:rPr>
          <w:rFonts w:ascii="Times New Roman" w:hAnsi="Times New Roman" w:cs="Times New Roman"/>
          <w:i/>
          <w:iCs/>
          <w:color w:val="000000"/>
          <w:sz w:val="24"/>
          <w:szCs w:val="24"/>
        </w:rPr>
        <w:t>Eurostat</w:t>
      </w:r>
      <w:proofErr w:type="spellEnd"/>
    </w:p>
    <w:p w14:paraId="3E3A36CB" w14:textId="3E73BBE5" w:rsidR="00043C49" w:rsidRDefault="00043C49" w:rsidP="00043C49">
      <w:pPr>
        <w:spacing w:after="0" w:line="240" w:lineRule="auto"/>
        <w:jc w:val="both"/>
        <w:rPr>
          <w:rFonts w:ascii="Times New Roman" w:hAnsi="Times New Roman" w:cs="Times New Roman"/>
          <w:color w:val="000000"/>
          <w:sz w:val="24"/>
          <w:szCs w:val="24"/>
        </w:rPr>
      </w:pPr>
    </w:p>
    <w:p w14:paraId="5A54E17C" w14:textId="041EAB4D"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Starpvalstu salīdzinājumam tiek izmantoti </w:t>
      </w:r>
      <w:proofErr w:type="spellStart"/>
      <w:r w:rsidRPr="00910288">
        <w:rPr>
          <w:rFonts w:ascii="Times New Roman" w:hAnsi="Times New Roman" w:cs="Times New Roman"/>
          <w:i/>
          <w:color w:val="000000"/>
          <w:sz w:val="24"/>
          <w:szCs w:val="24"/>
        </w:rPr>
        <w:t>Eurostat</w:t>
      </w:r>
      <w:proofErr w:type="spellEnd"/>
      <w:r>
        <w:rPr>
          <w:rFonts w:ascii="Times New Roman" w:hAnsi="Times New Roman" w:cs="Times New Roman"/>
          <w:color w:val="000000"/>
          <w:sz w:val="24"/>
          <w:szCs w:val="24"/>
        </w:rPr>
        <w:t xml:space="preserve"> dati par vispārējās valdības kontrolēto p</w:t>
      </w:r>
      <w:r w:rsidRPr="00E96F63">
        <w:rPr>
          <w:rFonts w:ascii="Times New Roman" w:hAnsi="Times New Roman" w:cs="Times New Roman"/>
          <w:color w:val="000000"/>
          <w:sz w:val="24"/>
          <w:szCs w:val="24"/>
        </w:rPr>
        <w:t>ublisko kapitālsabiedrību</w:t>
      </w:r>
      <w:r>
        <w:rPr>
          <w:rFonts w:ascii="Times New Roman" w:hAnsi="Times New Roman" w:cs="Times New Roman"/>
          <w:color w:val="000000"/>
          <w:sz w:val="24"/>
          <w:szCs w:val="24"/>
        </w:rPr>
        <w:t xml:space="preserve"> (ārpus S.13) kopējo saistību apmēru, kas varētu pat precīzāk atspoguļot potenciālo ietekmes lielumu</w:t>
      </w:r>
      <w:r w:rsidR="00FD1FDA">
        <w:rPr>
          <w:rFonts w:ascii="Times New Roman" w:hAnsi="Times New Roman" w:cs="Times New Roman"/>
          <w:color w:val="000000"/>
          <w:sz w:val="24"/>
          <w:szCs w:val="24"/>
        </w:rPr>
        <w:t xml:space="preserve"> tādiem gadījumiem, kad valdībai būtu jāpārņem kapitālsabiedrību uzņemto saistību izpilde</w:t>
      </w:r>
      <w:r>
        <w:rPr>
          <w:rFonts w:ascii="Times New Roman" w:hAnsi="Times New Roman" w:cs="Times New Roman"/>
          <w:color w:val="000000"/>
          <w:sz w:val="24"/>
          <w:szCs w:val="24"/>
        </w:rPr>
        <w:t xml:space="preserve">. </w:t>
      </w:r>
      <w:r w:rsidR="00BD74FD">
        <w:rPr>
          <w:rFonts w:ascii="Times New Roman" w:hAnsi="Times New Roman" w:cs="Times New Roman"/>
          <w:color w:val="000000"/>
          <w:sz w:val="24"/>
          <w:szCs w:val="24"/>
        </w:rPr>
        <w:t xml:space="preserve">Kā redzams </w:t>
      </w:r>
      <w:r w:rsidR="004A4C72">
        <w:rPr>
          <w:rFonts w:ascii="Times New Roman" w:hAnsi="Times New Roman" w:cs="Times New Roman"/>
          <w:color w:val="000000"/>
          <w:sz w:val="24"/>
          <w:szCs w:val="24"/>
        </w:rPr>
        <w:t>4.</w:t>
      </w:r>
      <w:r w:rsidR="0077673B">
        <w:rPr>
          <w:rFonts w:ascii="Times New Roman" w:hAnsi="Times New Roman" w:cs="Times New Roman"/>
          <w:color w:val="000000"/>
          <w:sz w:val="24"/>
          <w:szCs w:val="24"/>
        </w:rPr>
        <w:t>1.</w:t>
      </w:r>
      <w:r w:rsidR="00A1461C">
        <w:rPr>
          <w:rFonts w:ascii="Times New Roman" w:hAnsi="Times New Roman" w:cs="Times New Roman"/>
          <w:color w:val="000000"/>
          <w:sz w:val="24"/>
          <w:szCs w:val="24"/>
        </w:rPr>
        <w:t>3</w:t>
      </w:r>
      <w:r w:rsidR="00BC34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attēl</w:t>
      </w:r>
      <w:r w:rsidR="00925871">
        <w:rPr>
          <w:rFonts w:ascii="Times New Roman" w:hAnsi="Times New Roman" w:cs="Times New Roman"/>
          <w:color w:val="000000"/>
          <w:sz w:val="24"/>
          <w:szCs w:val="24"/>
        </w:rPr>
        <w:t>ā</w:t>
      </w:r>
      <w:r>
        <w:rPr>
          <w:rFonts w:ascii="Times New Roman" w:hAnsi="Times New Roman" w:cs="Times New Roman"/>
          <w:color w:val="000000"/>
          <w:sz w:val="24"/>
          <w:szCs w:val="24"/>
        </w:rPr>
        <w:t>, Latvija</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mērot </w:t>
      </w:r>
      <w:r w:rsidR="00BD74FD">
        <w:rPr>
          <w:rFonts w:ascii="Times New Roman" w:hAnsi="Times New Roman" w:cs="Times New Roman"/>
          <w:color w:val="000000"/>
          <w:sz w:val="24"/>
          <w:szCs w:val="24"/>
        </w:rPr>
        <w:t>minēto kapitālsabiedrību</w:t>
      </w:r>
      <w:r>
        <w:rPr>
          <w:rFonts w:ascii="Times New Roman" w:hAnsi="Times New Roman" w:cs="Times New Roman"/>
          <w:color w:val="000000"/>
          <w:sz w:val="24"/>
          <w:szCs w:val="24"/>
        </w:rPr>
        <w:t xml:space="preserve"> saistību apmēru</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atrodas zem ES </w:t>
      </w:r>
      <w:r w:rsidR="00882DEB" w:rsidRPr="005E0C04">
        <w:rPr>
          <w:rFonts w:ascii="Times New Roman" w:hAnsi="Times New Roman" w:cs="Times New Roman"/>
          <w:color w:val="000000"/>
          <w:sz w:val="24"/>
          <w:szCs w:val="24"/>
        </w:rPr>
        <w:t xml:space="preserve">dalībvalstu </w:t>
      </w:r>
      <w:r w:rsidR="00882DEB" w:rsidRPr="008201BD">
        <w:rPr>
          <w:rFonts w:ascii="Times New Roman" w:hAnsi="Times New Roman" w:cs="Times New Roman"/>
          <w:color w:val="000000"/>
          <w:sz w:val="24"/>
          <w:szCs w:val="24"/>
        </w:rPr>
        <w:t>mediānas</w:t>
      </w:r>
      <w:r w:rsidR="008201BD" w:rsidRPr="00D64BA9">
        <w:rPr>
          <w:rFonts w:ascii="Times New Roman" w:hAnsi="Times New Roman" w:cs="Times New Roman"/>
          <w:color w:val="000000"/>
          <w:sz w:val="24"/>
          <w:szCs w:val="24"/>
        </w:rPr>
        <w:t xml:space="preserve"> (4.</w:t>
      </w:r>
      <w:r w:rsidR="0077673B">
        <w:rPr>
          <w:rFonts w:ascii="Times New Roman" w:hAnsi="Times New Roman" w:cs="Times New Roman"/>
          <w:color w:val="000000"/>
          <w:sz w:val="24"/>
          <w:szCs w:val="24"/>
        </w:rPr>
        <w:t>1.</w:t>
      </w:r>
      <w:r w:rsidR="00A1461C">
        <w:rPr>
          <w:rFonts w:ascii="Times New Roman" w:hAnsi="Times New Roman" w:cs="Times New Roman"/>
          <w:color w:val="000000"/>
          <w:sz w:val="24"/>
          <w:szCs w:val="24"/>
        </w:rPr>
        <w:t>3</w:t>
      </w:r>
      <w:r w:rsidR="00BC34BE">
        <w:rPr>
          <w:rFonts w:ascii="Times New Roman" w:hAnsi="Times New Roman" w:cs="Times New Roman"/>
          <w:color w:val="000000"/>
          <w:sz w:val="24"/>
          <w:szCs w:val="24"/>
        </w:rPr>
        <w:t xml:space="preserve"> </w:t>
      </w:r>
      <w:r w:rsidR="008201BD" w:rsidRPr="00D64BA9">
        <w:rPr>
          <w:rFonts w:ascii="Times New Roman" w:hAnsi="Times New Roman" w:cs="Times New Roman"/>
          <w:color w:val="000000"/>
          <w:sz w:val="24"/>
          <w:szCs w:val="24"/>
        </w:rPr>
        <w:t xml:space="preserve">attēlā </w:t>
      </w:r>
      <w:r w:rsidR="00C01DD8" w:rsidRPr="00D64BA9">
        <w:rPr>
          <w:rFonts w:ascii="Times New Roman" w:hAnsi="Times New Roman" w:cs="Times New Roman"/>
          <w:color w:val="000000"/>
          <w:sz w:val="24"/>
          <w:szCs w:val="24"/>
        </w:rPr>
        <w:t>p</w:t>
      </w:r>
      <w:r w:rsidR="00C01DD8">
        <w:rPr>
          <w:rFonts w:ascii="Times New Roman" w:hAnsi="Times New Roman" w:cs="Times New Roman"/>
          <w:color w:val="000000"/>
          <w:sz w:val="24"/>
          <w:szCs w:val="24"/>
        </w:rPr>
        <w:t>e</w:t>
      </w:r>
      <w:r w:rsidR="00C01DD8" w:rsidRPr="00D64BA9">
        <w:rPr>
          <w:rFonts w:ascii="Times New Roman" w:hAnsi="Times New Roman" w:cs="Times New Roman"/>
          <w:color w:val="000000"/>
          <w:sz w:val="24"/>
          <w:szCs w:val="24"/>
        </w:rPr>
        <w:t xml:space="preserve">lēkā </w:t>
      </w:r>
      <w:r w:rsidR="008201BD" w:rsidRPr="00D64BA9">
        <w:rPr>
          <w:rFonts w:ascii="Times New Roman" w:hAnsi="Times New Roman" w:cs="Times New Roman"/>
          <w:color w:val="000000"/>
          <w:sz w:val="24"/>
          <w:szCs w:val="24"/>
        </w:rPr>
        <w:t>krāsā iekrāsota kolonna, kas atbilst Austrijas rādītājam)</w:t>
      </w:r>
      <w:r w:rsidR="00882DEB" w:rsidRPr="008201BD">
        <w:rPr>
          <w:rFonts w:ascii="Times New Roman" w:hAnsi="Times New Roman" w:cs="Times New Roman"/>
          <w:color w:val="000000"/>
          <w:sz w:val="24"/>
          <w:szCs w:val="24"/>
        </w:rPr>
        <w:t xml:space="preserve"> un </w:t>
      </w:r>
      <w:r w:rsidRPr="008201BD">
        <w:rPr>
          <w:rFonts w:ascii="Times New Roman" w:hAnsi="Times New Roman" w:cs="Times New Roman"/>
          <w:color w:val="000000"/>
          <w:sz w:val="24"/>
          <w:szCs w:val="24"/>
        </w:rPr>
        <w:t>vidējā rādītāja</w:t>
      </w:r>
      <w:r w:rsidR="008201BD">
        <w:rPr>
          <w:rFonts w:ascii="Times New Roman" w:hAnsi="Times New Roman" w:cs="Times New Roman"/>
          <w:color w:val="000000"/>
          <w:sz w:val="24"/>
          <w:szCs w:val="24"/>
        </w:rPr>
        <w:t xml:space="preserve"> (4.</w:t>
      </w:r>
      <w:r w:rsidR="0077673B">
        <w:rPr>
          <w:rFonts w:ascii="Times New Roman" w:hAnsi="Times New Roman" w:cs="Times New Roman"/>
          <w:color w:val="000000"/>
          <w:sz w:val="24"/>
          <w:szCs w:val="24"/>
        </w:rPr>
        <w:t>1.</w:t>
      </w:r>
      <w:r w:rsidR="00A1461C">
        <w:rPr>
          <w:rFonts w:ascii="Times New Roman" w:hAnsi="Times New Roman" w:cs="Times New Roman"/>
          <w:color w:val="000000"/>
          <w:sz w:val="24"/>
          <w:szCs w:val="24"/>
        </w:rPr>
        <w:t>3</w:t>
      </w:r>
      <w:r w:rsidR="008201BD">
        <w:rPr>
          <w:rFonts w:ascii="Times New Roman" w:hAnsi="Times New Roman" w:cs="Times New Roman"/>
          <w:color w:val="000000"/>
          <w:sz w:val="24"/>
          <w:szCs w:val="24"/>
        </w:rPr>
        <w:t xml:space="preserve"> attēlā atspoguļotā sarkanā līnija</w:t>
      </w:r>
      <w:r w:rsidR="008201BD" w:rsidRPr="00D21A2A">
        <w:rPr>
          <w:rFonts w:ascii="Times New Roman" w:hAnsi="Times New Roman" w:cs="Times New Roman"/>
          <w:color w:val="000000"/>
          <w:sz w:val="24"/>
          <w:szCs w:val="24"/>
        </w:rPr>
        <w:t>)</w:t>
      </w:r>
      <w:r w:rsidR="00882DEB" w:rsidRPr="00D21A2A">
        <w:rPr>
          <w:rFonts w:ascii="Times New Roman" w:hAnsi="Times New Roman" w:cs="Times New Roman"/>
          <w:color w:val="000000"/>
          <w:sz w:val="24"/>
          <w:szCs w:val="24"/>
        </w:rPr>
        <w:t>, vienlaicīgi jāatzīmē, ka</w:t>
      </w:r>
      <w:r w:rsidR="00FD1FDA" w:rsidRPr="00D21A2A">
        <w:rPr>
          <w:rFonts w:ascii="Times New Roman" w:hAnsi="Times New Roman" w:cs="Times New Roman"/>
          <w:color w:val="000000"/>
          <w:sz w:val="24"/>
          <w:szCs w:val="24"/>
        </w:rPr>
        <w:t xml:space="preserve"> šis rādītājs</w:t>
      </w:r>
      <w:r w:rsidR="00882DEB" w:rsidRPr="00D21A2A">
        <w:rPr>
          <w:rFonts w:ascii="Times New Roman" w:hAnsi="Times New Roman" w:cs="Times New Roman"/>
          <w:color w:val="000000"/>
          <w:sz w:val="24"/>
          <w:szCs w:val="24"/>
        </w:rPr>
        <w:t xml:space="preserve"> Latvijai</w:t>
      </w:r>
      <w:r w:rsidR="00FD1FDA" w:rsidRPr="00D21A2A">
        <w:rPr>
          <w:rFonts w:ascii="Times New Roman" w:hAnsi="Times New Roman" w:cs="Times New Roman"/>
          <w:color w:val="000000"/>
          <w:sz w:val="24"/>
          <w:szCs w:val="24"/>
        </w:rPr>
        <w:t xml:space="preserve"> ir bijis salīdzinoši stabils</w:t>
      </w:r>
      <w:r w:rsidR="005E0C04" w:rsidRPr="00D21A2A">
        <w:rPr>
          <w:rFonts w:ascii="Times New Roman" w:hAnsi="Times New Roman" w:cs="Times New Roman"/>
          <w:color w:val="000000"/>
          <w:sz w:val="24"/>
          <w:szCs w:val="24"/>
        </w:rPr>
        <w:t xml:space="preserve"> ilgstošā laika periodā</w:t>
      </w:r>
      <w:r w:rsidR="00FD1FDA" w:rsidRPr="00D21A2A">
        <w:rPr>
          <w:rFonts w:ascii="Times New Roman" w:hAnsi="Times New Roman" w:cs="Times New Roman"/>
          <w:color w:val="000000"/>
          <w:sz w:val="24"/>
          <w:szCs w:val="24"/>
        </w:rPr>
        <w:t>, svārstoties pie 20% no IKP atzīmes</w:t>
      </w:r>
      <w:r w:rsidR="005E0C04" w:rsidRPr="00D21A2A">
        <w:rPr>
          <w:rFonts w:ascii="Times New Roman" w:hAnsi="Times New Roman" w:cs="Times New Roman"/>
          <w:color w:val="000000"/>
          <w:sz w:val="24"/>
          <w:szCs w:val="24"/>
        </w:rPr>
        <w:t xml:space="preserve">, </w:t>
      </w:r>
      <w:r w:rsidR="005E0C04" w:rsidRPr="00D21A2A">
        <w:rPr>
          <w:rFonts w:ascii="Times New Roman" w:hAnsi="Times New Roman" w:cs="Times New Roman"/>
          <w:color w:val="000000"/>
          <w:sz w:val="24"/>
          <w:szCs w:val="24"/>
        </w:rPr>
        <w:lastRenderedPageBreak/>
        <w:t>kā redzams 4.</w:t>
      </w:r>
      <w:r w:rsidR="0077673B" w:rsidRPr="00D21A2A">
        <w:rPr>
          <w:rFonts w:ascii="Times New Roman" w:hAnsi="Times New Roman" w:cs="Times New Roman"/>
          <w:color w:val="000000"/>
          <w:sz w:val="24"/>
          <w:szCs w:val="24"/>
        </w:rPr>
        <w:t>1.</w:t>
      </w:r>
      <w:r w:rsidR="00A1461C" w:rsidRPr="00D21A2A">
        <w:rPr>
          <w:rFonts w:ascii="Times New Roman" w:hAnsi="Times New Roman" w:cs="Times New Roman"/>
          <w:color w:val="000000"/>
          <w:sz w:val="24"/>
          <w:szCs w:val="24"/>
        </w:rPr>
        <w:t>4</w:t>
      </w:r>
      <w:r w:rsidR="005E0C04" w:rsidRPr="00D21A2A">
        <w:rPr>
          <w:rFonts w:ascii="Times New Roman" w:hAnsi="Times New Roman" w:cs="Times New Roman"/>
          <w:color w:val="000000"/>
          <w:sz w:val="24"/>
          <w:szCs w:val="24"/>
        </w:rPr>
        <w:t xml:space="preserve"> attēlā</w:t>
      </w:r>
      <w:r w:rsidR="0019396A" w:rsidRPr="00D21A2A">
        <w:rPr>
          <w:rFonts w:ascii="Times New Roman" w:hAnsi="Times New Roman" w:cs="Times New Roman"/>
          <w:color w:val="000000"/>
          <w:sz w:val="24"/>
          <w:szCs w:val="24"/>
        </w:rPr>
        <w:t>.</w:t>
      </w:r>
      <w:r w:rsidR="002560FB" w:rsidRPr="002560FB">
        <w:rPr>
          <w:rFonts w:ascii="Times New Roman" w:hAnsi="Times New Roman" w:cs="Times New Roman"/>
          <w:color w:val="000000"/>
          <w:sz w:val="24"/>
          <w:szCs w:val="24"/>
        </w:rPr>
        <w:t xml:space="preserve"> Rādītāja</w:t>
      </w:r>
      <w:r w:rsidR="002560FB">
        <w:rPr>
          <w:rFonts w:ascii="Times New Roman" w:hAnsi="Times New Roman" w:cs="Times New Roman"/>
          <w:color w:val="000000"/>
          <w:sz w:val="24"/>
          <w:szCs w:val="24"/>
        </w:rPr>
        <w:t xml:space="preserve"> vērtības samazinājums 2021.gadā ir skaidrojams ar IKP ievērojamu pieaugumu.</w:t>
      </w:r>
    </w:p>
    <w:p w14:paraId="2BEC17DB" w14:textId="2BFD5E07" w:rsidR="00043C49" w:rsidRDefault="00A17DCA" w:rsidP="005E0C04">
      <w:pPr>
        <w:spacing w:after="0" w:line="240" w:lineRule="auto"/>
        <w:jc w:val="center"/>
        <w:rPr>
          <w:rFonts w:ascii="Times New Roman" w:hAnsi="Times New Roman" w:cs="Times New Roman"/>
          <w:color w:val="000000"/>
          <w:sz w:val="24"/>
          <w:szCs w:val="24"/>
        </w:rPr>
      </w:pPr>
      <w:r>
        <w:rPr>
          <w:noProof/>
        </w:rPr>
        <w:drawing>
          <wp:inline distT="0" distB="0" distL="0" distR="0" wp14:anchorId="320CECD7" wp14:editId="7E790F46">
            <wp:extent cx="3991980" cy="1932973"/>
            <wp:effectExtent l="0" t="0" r="8890" b="0"/>
            <wp:docPr id="484794763" name="Chart 1">
              <a:extLst xmlns:a="http://schemas.openxmlformats.org/drawingml/2006/main">
                <a:ext uri="{FF2B5EF4-FFF2-40B4-BE49-F238E27FC236}">
                  <a16:creationId xmlns:a16="http://schemas.microsoft.com/office/drawing/2014/main" id="{01DB65B6-728F-6D4F-8C57-B8E0D0B317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18E983" w14:textId="3A0D24F8" w:rsidR="005E0C04" w:rsidRDefault="005E0C04" w:rsidP="005E0C04">
      <w:pPr>
        <w:spacing w:after="0" w:line="240" w:lineRule="auto"/>
        <w:jc w:val="center"/>
        <w:rPr>
          <w:rFonts w:ascii="Times New Roman" w:hAnsi="Times New Roman" w:cs="Times New Roman"/>
          <w:i/>
          <w:iCs/>
          <w:color w:val="000000"/>
          <w:sz w:val="24"/>
          <w:szCs w:val="24"/>
        </w:rPr>
      </w:pPr>
      <w:r>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1.</w:t>
      </w:r>
      <w:r w:rsidR="00A1461C">
        <w:rPr>
          <w:rFonts w:ascii="Times New Roman" w:hAnsi="Times New Roman" w:cs="Times New Roman"/>
          <w:b/>
          <w:color w:val="000000"/>
          <w:sz w:val="24"/>
          <w:szCs w:val="24"/>
        </w:rPr>
        <w:t>4</w:t>
      </w:r>
      <w:r w:rsidRPr="00925871">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kontrolēto p</w:t>
      </w:r>
      <w:r w:rsidRPr="00E96F63">
        <w:rPr>
          <w:rFonts w:ascii="Times New Roman" w:hAnsi="Times New Roman" w:cs="Times New Roman"/>
          <w:color w:val="000000"/>
          <w:sz w:val="24"/>
          <w:szCs w:val="24"/>
        </w:rPr>
        <w:t>ublisko kapitālsabiedrību</w:t>
      </w:r>
      <w:r>
        <w:rPr>
          <w:rFonts w:ascii="Times New Roman" w:hAnsi="Times New Roman" w:cs="Times New Roman"/>
          <w:color w:val="000000"/>
          <w:sz w:val="24"/>
          <w:szCs w:val="24"/>
        </w:rPr>
        <w:t xml:space="preserve"> (ārpus S.13)</w:t>
      </w:r>
      <w:r w:rsidRPr="00E96F63">
        <w:rPr>
          <w:rFonts w:ascii="Times New Roman" w:hAnsi="Times New Roman" w:cs="Times New Roman"/>
          <w:color w:val="000000"/>
          <w:sz w:val="24"/>
          <w:szCs w:val="24"/>
        </w:rPr>
        <w:t xml:space="preserve"> kopējais saistību apmērs</w:t>
      </w:r>
      <w:r>
        <w:rPr>
          <w:rFonts w:ascii="Times New Roman" w:hAnsi="Times New Roman" w:cs="Times New Roman"/>
          <w:color w:val="000000"/>
          <w:sz w:val="24"/>
          <w:szCs w:val="24"/>
        </w:rPr>
        <w:t xml:space="preserve"> no 2013. līdz 2021.gadam</w:t>
      </w:r>
      <w:r w:rsidRPr="00E96F63">
        <w:rPr>
          <w:rFonts w:ascii="Times New Roman" w:hAnsi="Times New Roman" w:cs="Times New Roman"/>
          <w:color w:val="000000"/>
          <w:sz w:val="24"/>
          <w:szCs w:val="24"/>
        </w:rPr>
        <w:t>, % no IKP</w:t>
      </w:r>
      <w:r>
        <w:rPr>
          <w:rFonts w:ascii="Times New Roman" w:hAnsi="Times New Roman" w:cs="Times New Roman"/>
          <w:color w:val="000000"/>
          <w:sz w:val="24"/>
          <w:szCs w:val="24"/>
        </w:rPr>
        <w:t xml:space="preserve">. Avots: </w:t>
      </w:r>
      <w:proofErr w:type="spellStart"/>
      <w:r w:rsidRPr="0058124B">
        <w:rPr>
          <w:rFonts w:ascii="Times New Roman" w:hAnsi="Times New Roman" w:cs="Times New Roman"/>
          <w:i/>
          <w:iCs/>
          <w:color w:val="000000"/>
          <w:sz w:val="24"/>
          <w:szCs w:val="24"/>
        </w:rPr>
        <w:t>Eurostat</w:t>
      </w:r>
      <w:proofErr w:type="spellEnd"/>
    </w:p>
    <w:p w14:paraId="75F1A17E" w14:textId="77777777" w:rsidR="005E0C04" w:rsidRDefault="005E0C04" w:rsidP="00D64BA9">
      <w:pPr>
        <w:spacing w:after="0" w:line="240" w:lineRule="auto"/>
        <w:jc w:val="center"/>
        <w:rPr>
          <w:rFonts w:ascii="Times New Roman" w:hAnsi="Times New Roman" w:cs="Times New Roman"/>
          <w:color w:val="000000"/>
          <w:sz w:val="24"/>
          <w:szCs w:val="24"/>
        </w:rPr>
      </w:pPr>
    </w:p>
    <w:p w14:paraId="1B5BE7D4" w14:textId="7B4584E7" w:rsidR="00043C49" w:rsidRPr="002E5F66" w:rsidRDefault="00925871" w:rsidP="0058124B">
      <w:pPr>
        <w:pStyle w:val="Heading2"/>
        <w:numPr>
          <w:ilvl w:val="1"/>
          <w:numId w:val="4"/>
        </w:numPr>
        <w:spacing w:before="120" w:after="120" w:line="240" w:lineRule="auto"/>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bookmarkStart w:id="301" w:name="_Toc142388046"/>
      <w:r w:rsidR="00043C49" w:rsidRPr="002E5F66">
        <w:rPr>
          <w:rFonts w:ascii="Times New Roman" w:hAnsi="Times New Roman" w:cs="Times New Roman"/>
          <w:color w:val="000000"/>
          <w:sz w:val="24"/>
          <w:szCs w:val="24"/>
        </w:rPr>
        <w:t>Vispārējās valdības sektora galvojumi</w:t>
      </w:r>
      <w:bookmarkEnd w:id="301"/>
    </w:p>
    <w:p w14:paraId="45B01D92" w14:textId="1893BBA6" w:rsidR="00043C49" w:rsidRDefault="00043C49" w:rsidP="003E63F7">
      <w:pPr>
        <w:spacing w:before="240"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Vēl viena </w:t>
      </w:r>
      <w:r w:rsidR="00BD74FD">
        <w:rPr>
          <w:rFonts w:ascii="Times New Roman" w:hAnsi="Times New Roman" w:cs="Times New Roman"/>
          <w:color w:val="000000"/>
          <w:sz w:val="24"/>
          <w:szCs w:val="24"/>
        </w:rPr>
        <w:t xml:space="preserve">valsts </w:t>
      </w:r>
      <w:r>
        <w:rPr>
          <w:rFonts w:ascii="Times New Roman" w:hAnsi="Times New Roman" w:cs="Times New Roman"/>
          <w:color w:val="000000"/>
          <w:sz w:val="24"/>
          <w:szCs w:val="24"/>
        </w:rPr>
        <w:t>sniegtā atbalsta forma publiskajām un privātajām komercsabiedrībām krī</w:t>
      </w:r>
      <w:r w:rsidR="00623B8B">
        <w:rPr>
          <w:rFonts w:ascii="Times New Roman" w:hAnsi="Times New Roman" w:cs="Times New Roman"/>
          <w:color w:val="000000"/>
          <w:sz w:val="24"/>
          <w:szCs w:val="24"/>
        </w:rPr>
        <w:t>žu</w:t>
      </w:r>
      <w:r>
        <w:rPr>
          <w:rFonts w:ascii="Times New Roman" w:hAnsi="Times New Roman" w:cs="Times New Roman"/>
          <w:color w:val="000000"/>
          <w:sz w:val="24"/>
          <w:szCs w:val="24"/>
        </w:rPr>
        <w:t xml:space="preserve"> seku mazināšanai gan Latvijā, gan Eiropā un pasaulē, ir atbalsts ar finanšu instrumentiem t.sk. vispārējās valdības sektora galvojumiem.</w:t>
      </w:r>
    </w:p>
    <w:p w14:paraId="027060A3" w14:textId="77777777" w:rsidR="005E0C04" w:rsidRDefault="00043C49" w:rsidP="00D64BA9">
      <w:pPr>
        <w:spacing w:after="0" w:line="240" w:lineRule="auto"/>
        <w:ind w:firstLine="720"/>
        <w:jc w:val="both"/>
        <w:rPr>
          <w:noProof/>
        </w:rPr>
      </w:pPr>
      <w:r>
        <w:rPr>
          <w:rFonts w:ascii="Times New Roman" w:hAnsi="Times New Roman" w:cs="Times New Roman"/>
          <w:color w:val="000000"/>
          <w:sz w:val="24"/>
          <w:szCs w:val="24"/>
        </w:rPr>
        <w:t xml:space="preserve">Ietekme uz publiskajām finansēm šajā gadījumā iestājas, ja galvojuma saņēmējs nav spējīgs segt savas kredītsaistības un </w:t>
      </w:r>
      <w:r w:rsidR="00BD74FD">
        <w:rPr>
          <w:rFonts w:ascii="Times New Roman" w:hAnsi="Times New Roman" w:cs="Times New Roman"/>
          <w:color w:val="000000"/>
          <w:sz w:val="24"/>
          <w:szCs w:val="24"/>
        </w:rPr>
        <w:t xml:space="preserve">vispārējās valdības </w:t>
      </w:r>
      <w:r>
        <w:rPr>
          <w:rFonts w:ascii="Times New Roman" w:hAnsi="Times New Roman" w:cs="Times New Roman"/>
          <w:color w:val="000000"/>
          <w:sz w:val="24"/>
          <w:szCs w:val="24"/>
        </w:rPr>
        <w:t xml:space="preserve">sektoram ir </w:t>
      </w:r>
      <w:r w:rsidR="00BD74FD">
        <w:rPr>
          <w:rFonts w:ascii="Times New Roman" w:hAnsi="Times New Roman" w:cs="Times New Roman"/>
          <w:color w:val="000000"/>
          <w:sz w:val="24"/>
          <w:szCs w:val="24"/>
        </w:rPr>
        <w:t xml:space="preserve">tās </w:t>
      </w:r>
      <w:r>
        <w:rPr>
          <w:rFonts w:ascii="Times New Roman" w:hAnsi="Times New Roman" w:cs="Times New Roman"/>
          <w:color w:val="000000"/>
          <w:sz w:val="24"/>
          <w:szCs w:val="24"/>
        </w:rPr>
        <w:t>jāpārņem. Papildu risks var rasties arī gadījumā, ja sākotnēji novērtētie zaudējumi no galvojumu sniegšanas</w:t>
      </w:r>
      <w:r w:rsidR="00D717A0">
        <w:rPr>
          <w:rFonts w:ascii="Times New Roman" w:hAnsi="Times New Roman" w:cs="Times New Roman"/>
          <w:color w:val="000000"/>
          <w:sz w:val="24"/>
          <w:szCs w:val="24"/>
        </w:rPr>
        <w:t>, kas uzskaitīti kā vispārējās valdības sektora izdevumi,</w:t>
      </w:r>
      <w:r>
        <w:rPr>
          <w:rFonts w:ascii="Times New Roman" w:hAnsi="Times New Roman" w:cs="Times New Roman"/>
          <w:color w:val="000000"/>
          <w:sz w:val="24"/>
          <w:szCs w:val="24"/>
        </w:rPr>
        <w:t xml:space="preserve"> realizējas lielākā apmērā.</w:t>
      </w:r>
      <w:r w:rsidR="005E0C04" w:rsidRPr="005E0C04">
        <w:rPr>
          <w:noProof/>
        </w:rPr>
        <w:t xml:space="preserve"> </w:t>
      </w:r>
    </w:p>
    <w:p w14:paraId="7C71536B" w14:textId="3539B8B9" w:rsidR="00043C49" w:rsidRDefault="005E0C04" w:rsidP="005E0C04">
      <w:pPr>
        <w:spacing w:after="0" w:line="240" w:lineRule="auto"/>
        <w:ind w:firstLine="720"/>
        <w:jc w:val="center"/>
        <w:rPr>
          <w:rFonts w:ascii="Times New Roman" w:hAnsi="Times New Roman" w:cs="Times New Roman"/>
          <w:color w:val="000000"/>
          <w:sz w:val="24"/>
          <w:szCs w:val="24"/>
        </w:rPr>
      </w:pPr>
      <w:r>
        <w:rPr>
          <w:noProof/>
        </w:rPr>
        <w:drawing>
          <wp:inline distT="0" distB="0" distL="0" distR="0" wp14:anchorId="3561BA28" wp14:editId="3F4269CC">
            <wp:extent cx="5609590" cy="2794000"/>
            <wp:effectExtent l="0" t="0" r="0" b="6350"/>
            <wp:docPr id="9917867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D6A2D8" w14:textId="25501A68" w:rsidR="005E0C04" w:rsidRDefault="005E0C04" w:rsidP="005E0C04">
      <w:pPr>
        <w:spacing w:after="0" w:line="240" w:lineRule="auto"/>
        <w:jc w:val="center"/>
        <w:rPr>
          <w:rFonts w:ascii="Times New Roman" w:hAnsi="Times New Roman" w:cs="Times New Roman"/>
          <w:color w:val="000000"/>
          <w:sz w:val="24"/>
          <w:szCs w:val="24"/>
        </w:rPr>
      </w:pPr>
      <w:r w:rsidRPr="003E63F7">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2.1</w:t>
      </w:r>
      <w:r w:rsidRPr="003E63F7">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sektora galvojumu apmērs 2021.gadā, % no IKP</w:t>
      </w:r>
      <w:r>
        <w:rPr>
          <w:rFonts w:ascii="Times New Roman" w:hAnsi="Times New Roman" w:cs="Times New Roman"/>
          <w:color w:val="000000"/>
          <w:sz w:val="24"/>
          <w:szCs w:val="24"/>
        </w:rPr>
        <w:br/>
        <w:t xml:space="preserve"> </w:t>
      </w:r>
      <w:r w:rsidRPr="003E0450">
        <w:rPr>
          <w:rFonts w:ascii="Times New Roman" w:hAnsi="Times New Roman" w:cs="Times New Roman"/>
          <w:color w:val="000000"/>
          <w:szCs w:val="24"/>
        </w:rPr>
        <w:t>(</w:t>
      </w:r>
      <w:r w:rsidRPr="00910288">
        <w:rPr>
          <w:rFonts w:ascii="Times New Roman" w:hAnsi="Times New Roman" w:cs="Times New Roman"/>
          <w:i/>
          <w:color w:val="000000"/>
          <w:szCs w:val="24"/>
        </w:rPr>
        <w:t>sniegti ārpus vispārējās valdības sektora klasificētām institūcijām, un neiekļauj tādus, kas jau ir atzīti vispārējās valdības parādā atbilstoši EKS metodoloģijai</w:t>
      </w:r>
      <w:r w:rsidRPr="003E0450">
        <w:rPr>
          <w:rFonts w:ascii="Times New Roman" w:hAnsi="Times New Roman" w:cs="Times New Roman"/>
          <w:color w:val="000000"/>
          <w:szCs w:val="24"/>
        </w:rPr>
        <w:t>)</w:t>
      </w:r>
      <w:r>
        <w:rPr>
          <w:rFonts w:ascii="Times New Roman" w:hAnsi="Times New Roman" w:cs="Times New Roman"/>
          <w:color w:val="000000"/>
          <w:szCs w:val="24"/>
        </w:rPr>
        <w:t xml:space="preserve">. Avots: </w:t>
      </w:r>
      <w:proofErr w:type="spellStart"/>
      <w:r w:rsidRPr="0058124B">
        <w:rPr>
          <w:rFonts w:ascii="Times New Roman" w:hAnsi="Times New Roman" w:cs="Times New Roman"/>
          <w:i/>
          <w:iCs/>
          <w:color w:val="000000"/>
          <w:szCs w:val="24"/>
        </w:rPr>
        <w:t>Eurostat</w:t>
      </w:r>
      <w:proofErr w:type="spellEnd"/>
    </w:p>
    <w:p w14:paraId="4263452C" w14:textId="77777777" w:rsidR="005E0C04" w:rsidRDefault="005E0C04" w:rsidP="00D64BA9">
      <w:pPr>
        <w:spacing w:after="0" w:line="240" w:lineRule="auto"/>
        <w:ind w:firstLine="720"/>
        <w:jc w:val="center"/>
        <w:rPr>
          <w:rFonts w:ascii="Times New Roman" w:hAnsi="Times New Roman" w:cs="Times New Roman"/>
          <w:color w:val="000000"/>
          <w:sz w:val="24"/>
          <w:szCs w:val="24"/>
        </w:rPr>
      </w:pPr>
    </w:p>
    <w:p w14:paraId="25F38A6D" w14:textId="5223857A" w:rsidR="00C04424" w:rsidRDefault="00D717A0" w:rsidP="00C04424">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00C04424">
        <w:rPr>
          <w:rFonts w:ascii="Times New Roman" w:hAnsi="Times New Roman" w:cs="Times New Roman"/>
          <w:color w:val="000000"/>
          <w:sz w:val="24"/>
          <w:szCs w:val="24"/>
        </w:rPr>
        <w:t xml:space="preserve">ispārējās valdības sektora galvojumu </w:t>
      </w:r>
      <w:r w:rsidR="009A46EE">
        <w:rPr>
          <w:rFonts w:ascii="Times New Roman" w:hAnsi="Times New Roman" w:cs="Times New Roman"/>
          <w:color w:val="000000"/>
          <w:sz w:val="24"/>
          <w:szCs w:val="24"/>
        </w:rPr>
        <w:t>vērtība 202</w:t>
      </w:r>
      <w:r w:rsidR="007C1DD8">
        <w:rPr>
          <w:rFonts w:ascii="Times New Roman" w:hAnsi="Times New Roman" w:cs="Times New Roman"/>
          <w:color w:val="000000"/>
          <w:sz w:val="24"/>
          <w:szCs w:val="24"/>
        </w:rPr>
        <w:t>1</w:t>
      </w:r>
      <w:r w:rsidR="009A46EE">
        <w:rPr>
          <w:rFonts w:ascii="Times New Roman" w:hAnsi="Times New Roman" w:cs="Times New Roman"/>
          <w:color w:val="000000"/>
          <w:sz w:val="24"/>
          <w:szCs w:val="24"/>
        </w:rPr>
        <w:t>.gadā</w:t>
      </w:r>
      <w:r>
        <w:rPr>
          <w:rFonts w:ascii="Times New Roman" w:hAnsi="Times New Roman" w:cs="Times New Roman"/>
          <w:color w:val="000000"/>
          <w:sz w:val="24"/>
          <w:szCs w:val="24"/>
        </w:rPr>
        <w:t>, kas izteikta % no IKP ES dalībvalstu griezumā, ir atspoguļota 4.</w:t>
      </w:r>
      <w:r w:rsidR="0077673B">
        <w:rPr>
          <w:rFonts w:ascii="Times New Roman" w:hAnsi="Times New Roman" w:cs="Times New Roman"/>
          <w:color w:val="000000"/>
          <w:sz w:val="24"/>
          <w:szCs w:val="24"/>
        </w:rPr>
        <w:t>2.1</w:t>
      </w:r>
      <w:r w:rsidR="00BC34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attēlā</w:t>
      </w:r>
      <w:r w:rsidR="00C04424">
        <w:rPr>
          <w:rFonts w:ascii="Times New Roman" w:hAnsi="Times New Roman" w:cs="Times New Roman"/>
          <w:color w:val="000000"/>
          <w:sz w:val="24"/>
          <w:szCs w:val="24"/>
        </w:rPr>
        <w:t xml:space="preserve">. No </w:t>
      </w:r>
      <w:proofErr w:type="spellStart"/>
      <w:r w:rsidR="00C04424" w:rsidRPr="00910288">
        <w:rPr>
          <w:rFonts w:ascii="Times New Roman" w:hAnsi="Times New Roman" w:cs="Times New Roman"/>
          <w:i/>
          <w:color w:val="000000"/>
          <w:sz w:val="24"/>
          <w:szCs w:val="24"/>
        </w:rPr>
        <w:t>Eurostat</w:t>
      </w:r>
      <w:proofErr w:type="spellEnd"/>
      <w:r w:rsidR="00C04424">
        <w:rPr>
          <w:rFonts w:ascii="Times New Roman" w:hAnsi="Times New Roman" w:cs="Times New Roman"/>
          <w:color w:val="000000"/>
          <w:sz w:val="24"/>
          <w:szCs w:val="24"/>
        </w:rPr>
        <w:t xml:space="preserve"> apkopotajiem datiem var viennozīmīgi secināt, ka</w:t>
      </w:r>
      <w:r w:rsidR="009A46EE">
        <w:rPr>
          <w:rFonts w:ascii="Times New Roman" w:hAnsi="Times New Roman" w:cs="Times New Roman"/>
          <w:color w:val="000000"/>
          <w:sz w:val="24"/>
          <w:szCs w:val="24"/>
        </w:rPr>
        <w:t xml:space="preserve"> </w:t>
      </w:r>
      <w:r w:rsidR="00D76FE6">
        <w:rPr>
          <w:rFonts w:ascii="Times New Roman" w:hAnsi="Times New Roman" w:cs="Times New Roman"/>
          <w:color w:val="000000"/>
          <w:sz w:val="24"/>
          <w:szCs w:val="24"/>
        </w:rPr>
        <w:t>ES</w:t>
      </w:r>
      <w:r w:rsidR="009A46EE">
        <w:rPr>
          <w:rFonts w:ascii="Times New Roman" w:hAnsi="Times New Roman" w:cs="Times New Roman"/>
          <w:color w:val="000000"/>
          <w:sz w:val="24"/>
          <w:szCs w:val="24"/>
        </w:rPr>
        <w:t xml:space="preserve"> dalībvalstu vidū</w:t>
      </w:r>
      <w:r w:rsidR="00C04424">
        <w:rPr>
          <w:rFonts w:ascii="Times New Roman" w:hAnsi="Times New Roman" w:cs="Times New Roman"/>
          <w:color w:val="000000"/>
          <w:sz w:val="24"/>
          <w:szCs w:val="24"/>
        </w:rPr>
        <w:t xml:space="preserve"> Latvijas vispārējās valdības sektora </w:t>
      </w:r>
      <w:r w:rsidR="009A46EE">
        <w:rPr>
          <w:rFonts w:ascii="Times New Roman" w:hAnsi="Times New Roman" w:cs="Times New Roman"/>
          <w:color w:val="000000"/>
          <w:sz w:val="24"/>
          <w:szCs w:val="24"/>
        </w:rPr>
        <w:t xml:space="preserve">izsniegto </w:t>
      </w:r>
      <w:r w:rsidR="00C04424">
        <w:rPr>
          <w:rFonts w:ascii="Times New Roman" w:hAnsi="Times New Roman" w:cs="Times New Roman"/>
          <w:color w:val="000000"/>
          <w:sz w:val="24"/>
          <w:szCs w:val="24"/>
        </w:rPr>
        <w:t xml:space="preserve">galvojumu </w:t>
      </w:r>
      <w:r w:rsidR="009A46EE">
        <w:rPr>
          <w:rFonts w:ascii="Times New Roman" w:hAnsi="Times New Roman" w:cs="Times New Roman"/>
          <w:color w:val="000000"/>
          <w:sz w:val="24"/>
          <w:szCs w:val="24"/>
        </w:rPr>
        <w:t>apmērs</w:t>
      </w:r>
      <w:r w:rsidR="00C04424">
        <w:rPr>
          <w:rFonts w:ascii="Times New Roman" w:hAnsi="Times New Roman" w:cs="Times New Roman"/>
          <w:color w:val="000000"/>
          <w:sz w:val="24"/>
          <w:szCs w:val="24"/>
        </w:rPr>
        <w:t xml:space="preserve"> ir zem</w:t>
      </w:r>
      <w:r w:rsidR="009A46EE">
        <w:rPr>
          <w:rFonts w:ascii="Times New Roman" w:hAnsi="Times New Roman" w:cs="Times New Roman"/>
          <w:color w:val="000000"/>
          <w:sz w:val="24"/>
          <w:szCs w:val="24"/>
        </w:rPr>
        <w:t>s</w:t>
      </w:r>
      <w:r w:rsidR="0034785A">
        <w:rPr>
          <w:rFonts w:ascii="Times New Roman" w:hAnsi="Times New Roman" w:cs="Times New Roman"/>
          <w:color w:val="000000"/>
          <w:sz w:val="24"/>
          <w:szCs w:val="24"/>
        </w:rPr>
        <w:t xml:space="preserve"> (neskatoties uz Covid-19 ietekmes mazināšanai sniegto atbalstu)</w:t>
      </w:r>
      <w:r w:rsidR="009A46EE">
        <w:rPr>
          <w:rFonts w:ascii="Times New Roman" w:hAnsi="Times New Roman" w:cs="Times New Roman"/>
          <w:color w:val="000000"/>
          <w:sz w:val="24"/>
          <w:szCs w:val="24"/>
        </w:rPr>
        <w:t xml:space="preserve"> un šāda tendence ir novērota ilgstošā laika periodā</w:t>
      </w:r>
      <w:r w:rsidR="005E0C04">
        <w:rPr>
          <w:rFonts w:ascii="Times New Roman" w:hAnsi="Times New Roman" w:cs="Times New Roman"/>
          <w:color w:val="000000"/>
          <w:sz w:val="24"/>
          <w:szCs w:val="24"/>
        </w:rPr>
        <w:t>, kā redzams 4.</w:t>
      </w:r>
      <w:r w:rsidR="0077673B">
        <w:rPr>
          <w:rFonts w:ascii="Times New Roman" w:hAnsi="Times New Roman" w:cs="Times New Roman"/>
          <w:color w:val="000000"/>
          <w:sz w:val="24"/>
          <w:szCs w:val="24"/>
        </w:rPr>
        <w:t>2.2</w:t>
      </w:r>
      <w:r w:rsidR="00BC34BE">
        <w:rPr>
          <w:rFonts w:ascii="Times New Roman" w:hAnsi="Times New Roman" w:cs="Times New Roman"/>
          <w:color w:val="000000"/>
          <w:sz w:val="24"/>
          <w:szCs w:val="24"/>
        </w:rPr>
        <w:t xml:space="preserve"> </w:t>
      </w:r>
      <w:r w:rsidR="005E0C04">
        <w:rPr>
          <w:rFonts w:ascii="Times New Roman" w:hAnsi="Times New Roman" w:cs="Times New Roman"/>
          <w:color w:val="000000"/>
          <w:sz w:val="24"/>
          <w:szCs w:val="24"/>
        </w:rPr>
        <w:t>attēlā</w:t>
      </w:r>
      <w:r w:rsidR="009A46EE">
        <w:rPr>
          <w:rFonts w:ascii="Times New Roman" w:hAnsi="Times New Roman" w:cs="Times New Roman"/>
          <w:color w:val="000000"/>
          <w:sz w:val="24"/>
          <w:szCs w:val="24"/>
        </w:rPr>
        <w:t xml:space="preserve">. </w:t>
      </w:r>
      <w:r w:rsidR="00922092">
        <w:rPr>
          <w:rFonts w:ascii="Times New Roman" w:hAnsi="Times New Roman" w:cs="Times New Roman"/>
          <w:color w:val="000000"/>
          <w:sz w:val="24"/>
          <w:szCs w:val="24"/>
        </w:rPr>
        <w:t xml:space="preserve"> </w:t>
      </w:r>
    </w:p>
    <w:p w14:paraId="5706C2EB" w14:textId="30E44EEB" w:rsidR="00043C49" w:rsidRDefault="005E0C04" w:rsidP="003E63F7">
      <w:pPr>
        <w:spacing w:after="0" w:line="240" w:lineRule="auto"/>
        <w:jc w:val="center"/>
        <w:rPr>
          <w:rFonts w:ascii="Times New Roman" w:hAnsi="Times New Roman" w:cs="Times New Roman"/>
          <w:color w:val="000000"/>
          <w:sz w:val="24"/>
          <w:szCs w:val="24"/>
        </w:rPr>
      </w:pPr>
      <w:r w:rsidRPr="00D64BA9">
        <w:rPr>
          <w:noProof/>
          <w:sz w:val="20"/>
          <w:szCs w:val="20"/>
        </w:rPr>
        <w:lastRenderedPageBreak/>
        <w:drawing>
          <wp:inline distT="0" distB="0" distL="0" distR="0" wp14:anchorId="31069CC7" wp14:editId="65B946BF">
            <wp:extent cx="4705350" cy="1772529"/>
            <wp:effectExtent l="0" t="0" r="0" b="0"/>
            <wp:docPr id="335474311" name="Chart 1">
              <a:extLst xmlns:a="http://schemas.openxmlformats.org/drawingml/2006/main">
                <a:ext uri="{FF2B5EF4-FFF2-40B4-BE49-F238E27FC236}">
                  <a16:creationId xmlns:a16="http://schemas.microsoft.com/office/drawing/2014/main" id="{B70FC154-A580-FF63-7CC2-6AB1CBF1B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FC39D3" w:rsidRPr="00FC39D3">
        <w:rPr>
          <w:noProof/>
        </w:rPr>
        <w:t xml:space="preserve"> </w:t>
      </w:r>
    </w:p>
    <w:p w14:paraId="2E2A27F7" w14:textId="7E43C1F5" w:rsidR="00043C49" w:rsidRDefault="005E0C04" w:rsidP="00D64BA9">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2.2</w:t>
      </w:r>
      <w:r w:rsidRPr="00925871">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sektora galvojumu apmērs no 2012. līdz 2021.gadam, % no IKP</w:t>
      </w:r>
      <w:r>
        <w:rPr>
          <w:rFonts w:ascii="Times New Roman" w:hAnsi="Times New Roman" w:cs="Times New Roman"/>
          <w:color w:val="000000"/>
          <w:sz w:val="24"/>
          <w:szCs w:val="24"/>
        </w:rPr>
        <w:br/>
        <w:t xml:space="preserve"> </w:t>
      </w:r>
      <w:r w:rsidRPr="003E0450">
        <w:rPr>
          <w:rFonts w:ascii="Times New Roman" w:hAnsi="Times New Roman" w:cs="Times New Roman"/>
          <w:color w:val="000000"/>
          <w:szCs w:val="24"/>
        </w:rPr>
        <w:t>(</w:t>
      </w:r>
      <w:r w:rsidRPr="00910288">
        <w:rPr>
          <w:rFonts w:ascii="Times New Roman" w:hAnsi="Times New Roman" w:cs="Times New Roman"/>
          <w:i/>
          <w:color w:val="000000"/>
          <w:szCs w:val="24"/>
        </w:rPr>
        <w:t>sniegti ārpus vispārējās valdības sektora klasificētām institūcijām, un neiekļauj tādus, kas jau ir atzīti vispārējās valdības parādā atbilstoši EKS metodoloģijai</w:t>
      </w:r>
      <w:r w:rsidRPr="003E0450">
        <w:rPr>
          <w:rFonts w:ascii="Times New Roman" w:hAnsi="Times New Roman" w:cs="Times New Roman"/>
          <w:color w:val="000000"/>
          <w:szCs w:val="24"/>
        </w:rPr>
        <w:t>)</w:t>
      </w:r>
      <w:r>
        <w:rPr>
          <w:rFonts w:ascii="Times New Roman" w:hAnsi="Times New Roman" w:cs="Times New Roman"/>
          <w:color w:val="000000"/>
          <w:szCs w:val="24"/>
        </w:rPr>
        <w:t xml:space="preserve">. Avots: </w:t>
      </w:r>
      <w:proofErr w:type="spellStart"/>
      <w:r w:rsidRPr="0058124B">
        <w:rPr>
          <w:rFonts w:ascii="Times New Roman" w:hAnsi="Times New Roman" w:cs="Times New Roman"/>
          <w:i/>
          <w:iCs/>
          <w:color w:val="000000"/>
          <w:szCs w:val="24"/>
        </w:rPr>
        <w:t>Eurostat</w:t>
      </w:r>
      <w:proofErr w:type="spellEnd"/>
    </w:p>
    <w:p w14:paraId="0F658558" w14:textId="727BD022" w:rsidR="00916397" w:rsidRDefault="00916397" w:rsidP="008D7BC1">
      <w:pPr>
        <w:spacing w:after="0" w:line="240" w:lineRule="auto"/>
        <w:ind w:firstLine="720"/>
        <w:jc w:val="both"/>
        <w:rPr>
          <w:rFonts w:ascii="Times New Roman" w:hAnsi="Times New Roman" w:cs="Times New Roman"/>
          <w:color w:val="000000"/>
          <w:sz w:val="24"/>
          <w:szCs w:val="24"/>
        </w:rPr>
      </w:pPr>
    </w:p>
    <w:p w14:paraId="2A41DF1C" w14:textId="7C270C63" w:rsidR="008F582D" w:rsidRPr="0058124B" w:rsidRDefault="00916397" w:rsidP="0058124B">
      <w:pPr>
        <w:pStyle w:val="Heading2"/>
        <w:numPr>
          <w:ilvl w:val="1"/>
          <w:numId w:val="4"/>
        </w:numPr>
        <w:spacing w:before="120" w:after="120" w:line="240" w:lineRule="auto"/>
        <w:ind w:left="284"/>
        <w:jc w:val="center"/>
        <w:rPr>
          <w:rFonts w:ascii="Times New Roman" w:hAnsi="Times New Roman" w:cs="Times New Roman"/>
          <w:color w:val="000000"/>
          <w:sz w:val="24"/>
          <w:szCs w:val="24"/>
        </w:rPr>
      </w:pPr>
      <w:bookmarkStart w:id="302" w:name="_Toc142388047"/>
      <w:r w:rsidRPr="00E6182D">
        <w:rPr>
          <w:rFonts w:ascii="Times New Roman" w:hAnsi="Times New Roman" w:cs="Times New Roman"/>
          <w:color w:val="000000"/>
          <w:sz w:val="24"/>
          <w:szCs w:val="24"/>
        </w:rPr>
        <w:t>Valsts parāda vadība</w:t>
      </w:r>
      <w:bookmarkEnd w:id="302"/>
    </w:p>
    <w:p w14:paraId="0D8ABC92" w14:textId="0B6725B5" w:rsidR="008F582D" w:rsidRPr="00D9518F" w:rsidRDefault="008F582D" w:rsidP="008F582D">
      <w:pPr>
        <w:spacing w:after="0" w:line="240" w:lineRule="auto"/>
        <w:ind w:firstLine="709"/>
        <w:jc w:val="both"/>
        <w:rPr>
          <w:rFonts w:ascii="Times New Roman" w:hAnsi="Times New Roman" w:cs="Times New Roman"/>
          <w:sz w:val="24"/>
          <w:szCs w:val="24"/>
        </w:rPr>
      </w:pPr>
      <w:r w:rsidRPr="0058124B">
        <w:rPr>
          <w:rFonts w:ascii="Times New Roman" w:hAnsi="Times New Roman" w:cs="Times New Roman"/>
          <w:color w:val="000000"/>
          <w:sz w:val="24"/>
          <w:szCs w:val="24"/>
        </w:rPr>
        <w:t xml:space="preserve">Covid-19 uzliesmojums izraisīja nepieciešamību 2020.-2021.gadā ievērojamā apjomā nodrošināt finansējumu tā ietekmes mazināšanai un ekonomikas atbalstam ārkārtas situācijā, veicot aizņemšanos gan finanšu tirgos, gan no Ziemeļu investīciju bankas un </w:t>
      </w:r>
      <w:r w:rsidR="00D76FE6" w:rsidRPr="0058124B">
        <w:rPr>
          <w:rFonts w:ascii="Times New Roman" w:hAnsi="Times New Roman" w:cs="Times New Roman"/>
          <w:color w:val="000000"/>
          <w:sz w:val="24"/>
          <w:szCs w:val="24"/>
        </w:rPr>
        <w:t>EK</w:t>
      </w:r>
      <w:r w:rsidRPr="0058124B">
        <w:rPr>
          <w:rFonts w:ascii="Times New Roman" w:hAnsi="Times New Roman" w:cs="Times New Roman"/>
          <w:color w:val="000000"/>
          <w:sz w:val="24"/>
          <w:szCs w:val="24"/>
        </w:rPr>
        <w:t xml:space="preserve"> (SURE), kā rezultātā ievērojami pieauga vispārējās valdības parāds. 2021.gada beigās vispārējās valdības parāds pēc EKS metodoloģijas sasniedza 14,7 mljrd. </w:t>
      </w:r>
      <w:proofErr w:type="spellStart"/>
      <w:r w:rsidRPr="0058124B">
        <w:rPr>
          <w:rFonts w:ascii="Times New Roman" w:hAnsi="Times New Roman" w:cs="Times New Roman"/>
          <w:i/>
          <w:iCs/>
          <w:color w:val="000000"/>
          <w:sz w:val="24"/>
          <w:szCs w:val="24"/>
        </w:rPr>
        <w:t>euro</w:t>
      </w:r>
      <w:proofErr w:type="spellEnd"/>
      <w:r w:rsidRPr="0058124B">
        <w:rPr>
          <w:rFonts w:ascii="Times New Roman" w:hAnsi="Times New Roman" w:cs="Times New Roman"/>
          <w:color w:val="000000"/>
          <w:sz w:val="24"/>
          <w:szCs w:val="24"/>
        </w:rPr>
        <w:t xml:space="preserve"> jeb 4</w:t>
      </w:r>
      <w:r w:rsidR="008E7ADF">
        <w:rPr>
          <w:rFonts w:ascii="Times New Roman" w:hAnsi="Times New Roman" w:cs="Times New Roman"/>
          <w:color w:val="000000"/>
          <w:sz w:val="24"/>
          <w:szCs w:val="24"/>
        </w:rPr>
        <w:t>3,7</w:t>
      </w:r>
      <w:r w:rsidRPr="0058124B">
        <w:rPr>
          <w:rFonts w:ascii="Times New Roman" w:hAnsi="Times New Roman" w:cs="Times New Roman"/>
          <w:color w:val="000000"/>
          <w:sz w:val="24"/>
          <w:szCs w:val="24"/>
        </w:rPr>
        <w:t xml:space="preserve">% no </w:t>
      </w:r>
      <w:r w:rsidR="009D4691" w:rsidRPr="0058124B">
        <w:rPr>
          <w:rFonts w:ascii="Times New Roman" w:hAnsi="Times New Roman" w:cs="Times New Roman"/>
          <w:color w:val="000000"/>
          <w:sz w:val="24"/>
          <w:szCs w:val="24"/>
        </w:rPr>
        <w:t>IKP</w:t>
      </w:r>
      <w:r w:rsidRPr="0058124B">
        <w:rPr>
          <w:rFonts w:ascii="Times New Roman" w:hAnsi="Times New Roman" w:cs="Times New Roman"/>
          <w:color w:val="000000"/>
          <w:sz w:val="24"/>
          <w:szCs w:val="24"/>
        </w:rPr>
        <w:t>. Nepieciešamība nodrošināt finansējumu ekonomikas atbalsta un Covid-19 uzliesmojuma seku mazināšanas pasākumiem kopš Covid-19</w:t>
      </w:r>
      <w:r w:rsidRPr="00D9518F">
        <w:rPr>
          <w:rFonts w:ascii="Times New Roman" w:hAnsi="Times New Roman" w:cs="Times New Roman"/>
          <w:sz w:val="24"/>
          <w:szCs w:val="24"/>
        </w:rPr>
        <w:t xml:space="preserve"> pandēmijas s</w:t>
      </w:r>
      <w:r>
        <w:rPr>
          <w:rFonts w:ascii="Times New Roman" w:hAnsi="Times New Roman" w:cs="Times New Roman"/>
          <w:sz w:val="24"/>
          <w:szCs w:val="24"/>
        </w:rPr>
        <w:t>ā</w:t>
      </w:r>
      <w:r w:rsidRPr="00D9518F">
        <w:rPr>
          <w:rFonts w:ascii="Times New Roman" w:hAnsi="Times New Roman" w:cs="Times New Roman"/>
          <w:sz w:val="24"/>
          <w:szCs w:val="24"/>
        </w:rPr>
        <w:t>kuma izraisīja strauju vispārējas valdības par</w:t>
      </w:r>
      <w:r>
        <w:rPr>
          <w:rFonts w:ascii="Times New Roman" w:hAnsi="Times New Roman" w:cs="Times New Roman"/>
          <w:sz w:val="24"/>
          <w:szCs w:val="24"/>
        </w:rPr>
        <w:t>ā</w:t>
      </w:r>
      <w:r w:rsidRPr="00D9518F">
        <w:rPr>
          <w:rFonts w:ascii="Times New Roman" w:hAnsi="Times New Roman" w:cs="Times New Roman"/>
          <w:sz w:val="24"/>
          <w:szCs w:val="24"/>
        </w:rPr>
        <w:t>da pieaugumu vis</w:t>
      </w:r>
      <w:r>
        <w:rPr>
          <w:rFonts w:ascii="Times New Roman" w:hAnsi="Times New Roman" w:cs="Times New Roman"/>
          <w:sz w:val="24"/>
          <w:szCs w:val="24"/>
        </w:rPr>
        <w:t>ās</w:t>
      </w:r>
      <w:r w:rsidRPr="00D9518F">
        <w:t xml:space="preserve"> </w:t>
      </w:r>
      <w:r>
        <w:rPr>
          <w:rFonts w:ascii="Times New Roman" w:hAnsi="Times New Roman" w:cs="Times New Roman"/>
          <w:sz w:val="24"/>
          <w:szCs w:val="24"/>
        </w:rPr>
        <w:t>ES dalībvalstīs (par 10,</w:t>
      </w:r>
      <w:r w:rsidR="000C4BBB">
        <w:rPr>
          <w:rFonts w:ascii="Times New Roman" w:hAnsi="Times New Roman" w:cs="Times New Roman"/>
          <w:sz w:val="24"/>
          <w:szCs w:val="24"/>
        </w:rPr>
        <w:t>3</w:t>
      </w:r>
      <w:r w:rsidRPr="00D9518F">
        <w:rPr>
          <w:rFonts w:ascii="Times New Roman" w:hAnsi="Times New Roman" w:cs="Times New Roman"/>
          <w:sz w:val="24"/>
          <w:szCs w:val="24"/>
        </w:rPr>
        <w:t>%</w:t>
      </w:r>
      <w:r w:rsidR="007D742C">
        <w:rPr>
          <w:rFonts w:ascii="Times New Roman" w:hAnsi="Times New Roman" w:cs="Times New Roman"/>
          <w:sz w:val="24"/>
          <w:szCs w:val="24"/>
        </w:rPr>
        <w:t>-</w:t>
      </w:r>
      <w:r w:rsidRPr="00D9518F">
        <w:rPr>
          <w:rFonts w:ascii="Times New Roman" w:hAnsi="Times New Roman" w:cs="Times New Roman"/>
          <w:sz w:val="24"/>
          <w:szCs w:val="24"/>
        </w:rPr>
        <w:t>punktiem no IKP), ar</w:t>
      </w:r>
      <w:r>
        <w:rPr>
          <w:rFonts w:ascii="Times New Roman" w:hAnsi="Times New Roman" w:cs="Times New Roman"/>
          <w:sz w:val="24"/>
          <w:szCs w:val="24"/>
        </w:rPr>
        <w:t>ī</w:t>
      </w:r>
      <w:r w:rsidRPr="00D9518F">
        <w:rPr>
          <w:rFonts w:ascii="Times New Roman" w:hAnsi="Times New Roman" w:cs="Times New Roman"/>
          <w:sz w:val="24"/>
          <w:szCs w:val="24"/>
        </w:rPr>
        <w:t xml:space="preserve"> Latvija</w:t>
      </w:r>
      <w:r>
        <w:rPr>
          <w:rFonts w:ascii="Times New Roman" w:hAnsi="Times New Roman" w:cs="Times New Roman"/>
          <w:sz w:val="24"/>
          <w:szCs w:val="24"/>
        </w:rPr>
        <w:t xml:space="preserve">i (par </w:t>
      </w:r>
      <w:r w:rsidR="00DD3914">
        <w:rPr>
          <w:rFonts w:ascii="Times New Roman" w:hAnsi="Times New Roman" w:cs="Times New Roman"/>
          <w:sz w:val="24"/>
          <w:szCs w:val="24"/>
        </w:rPr>
        <w:t>7</w:t>
      </w:r>
      <w:r>
        <w:rPr>
          <w:rFonts w:ascii="Times New Roman" w:hAnsi="Times New Roman" w:cs="Times New Roman"/>
          <w:sz w:val="24"/>
          <w:szCs w:val="24"/>
        </w:rPr>
        <w:t>,</w:t>
      </w:r>
      <w:r w:rsidR="000C4BBB">
        <w:rPr>
          <w:rFonts w:ascii="Times New Roman" w:hAnsi="Times New Roman" w:cs="Times New Roman"/>
          <w:sz w:val="24"/>
          <w:szCs w:val="24"/>
        </w:rPr>
        <w:t>2</w:t>
      </w:r>
      <w:r w:rsidRPr="00D9518F">
        <w:rPr>
          <w:rFonts w:ascii="Times New Roman" w:hAnsi="Times New Roman" w:cs="Times New Roman"/>
          <w:sz w:val="24"/>
          <w:szCs w:val="24"/>
        </w:rPr>
        <w:t>%</w:t>
      </w:r>
      <w:r w:rsidR="007D742C">
        <w:rPr>
          <w:rFonts w:ascii="Times New Roman" w:hAnsi="Times New Roman" w:cs="Times New Roman"/>
          <w:sz w:val="24"/>
          <w:szCs w:val="24"/>
        </w:rPr>
        <w:t>-</w:t>
      </w:r>
      <w:r w:rsidRPr="00D9518F">
        <w:rPr>
          <w:rFonts w:ascii="Times New Roman" w:hAnsi="Times New Roman" w:cs="Times New Roman"/>
          <w:sz w:val="24"/>
          <w:szCs w:val="24"/>
        </w:rPr>
        <w:t>punktiem no IKP). Latvijas par</w:t>
      </w:r>
      <w:r w:rsidR="003F2084">
        <w:rPr>
          <w:rFonts w:ascii="Times New Roman" w:hAnsi="Times New Roman" w:cs="Times New Roman"/>
          <w:sz w:val="24"/>
          <w:szCs w:val="24"/>
        </w:rPr>
        <w:t>ā</w:t>
      </w:r>
      <w:r w:rsidRPr="00D9518F">
        <w:rPr>
          <w:rFonts w:ascii="Times New Roman" w:hAnsi="Times New Roman" w:cs="Times New Roman"/>
          <w:sz w:val="24"/>
          <w:szCs w:val="24"/>
        </w:rPr>
        <w:t>da pieaugums</w:t>
      </w:r>
      <w:r>
        <w:rPr>
          <w:rFonts w:ascii="Times New Roman" w:hAnsi="Times New Roman" w:cs="Times New Roman"/>
          <w:sz w:val="24"/>
          <w:szCs w:val="24"/>
        </w:rPr>
        <w:t xml:space="preserve"> ir bijis viens no zemā</w:t>
      </w:r>
      <w:r w:rsidRPr="00D9518F">
        <w:rPr>
          <w:rFonts w:ascii="Times New Roman" w:hAnsi="Times New Roman" w:cs="Times New Roman"/>
          <w:sz w:val="24"/>
          <w:szCs w:val="24"/>
        </w:rPr>
        <w:t>kajiem ES un zemākais starp Baltijas valst</w:t>
      </w:r>
      <w:r>
        <w:rPr>
          <w:rFonts w:ascii="Times New Roman" w:hAnsi="Times New Roman" w:cs="Times New Roman"/>
          <w:sz w:val="24"/>
          <w:szCs w:val="24"/>
        </w:rPr>
        <w:t>ī</w:t>
      </w:r>
      <w:r w:rsidRPr="00D9518F">
        <w:rPr>
          <w:rFonts w:ascii="Times New Roman" w:hAnsi="Times New Roman" w:cs="Times New Roman"/>
          <w:sz w:val="24"/>
          <w:szCs w:val="24"/>
        </w:rPr>
        <w:t>m.</w:t>
      </w:r>
    </w:p>
    <w:p w14:paraId="1E70D62D" w14:textId="4C54C6C0" w:rsidR="008F582D" w:rsidRDefault="008F582D" w:rsidP="008F582D">
      <w:pPr>
        <w:spacing w:after="0" w:line="240" w:lineRule="auto"/>
        <w:ind w:firstLine="709"/>
        <w:jc w:val="both"/>
        <w:rPr>
          <w:rFonts w:ascii="Times New Roman" w:hAnsi="Times New Roman" w:cs="Times New Roman"/>
          <w:sz w:val="24"/>
          <w:szCs w:val="24"/>
        </w:rPr>
      </w:pPr>
      <w:r w:rsidRPr="00FF2576">
        <w:rPr>
          <w:rFonts w:ascii="Times New Roman" w:hAnsi="Times New Roman" w:cs="Times New Roman"/>
          <w:sz w:val="24"/>
          <w:szCs w:val="24"/>
        </w:rPr>
        <w:t xml:space="preserve">Negatīva ģeopolitiskās situācijas attīstība, Krievijas iebrukums Ukrainā un ekonomiskās sadarbības krasa samazināšanās ar Krieviju un tās sabiedroto Baltkrieviju sankciju ietekmē, kā arī straujais </w:t>
      </w:r>
      <w:r>
        <w:rPr>
          <w:rFonts w:ascii="Times New Roman" w:hAnsi="Times New Roman" w:cs="Times New Roman"/>
          <w:sz w:val="24"/>
          <w:szCs w:val="24"/>
        </w:rPr>
        <w:t xml:space="preserve">energoresursu </w:t>
      </w:r>
      <w:r w:rsidRPr="00FF2576">
        <w:rPr>
          <w:rFonts w:ascii="Times New Roman" w:hAnsi="Times New Roman" w:cs="Times New Roman"/>
          <w:sz w:val="24"/>
          <w:szCs w:val="24"/>
        </w:rPr>
        <w:t xml:space="preserve">cenu pieaugums </w:t>
      </w:r>
      <w:r>
        <w:rPr>
          <w:rFonts w:ascii="Times New Roman" w:hAnsi="Times New Roman" w:cs="Times New Roman"/>
          <w:sz w:val="24"/>
          <w:szCs w:val="24"/>
        </w:rPr>
        <w:t>negatīvi</w:t>
      </w:r>
      <w:r w:rsidRPr="00FF2576">
        <w:rPr>
          <w:rFonts w:ascii="Times New Roman" w:hAnsi="Times New Roman" w:cs="Times New Roman"/>
          <w:sz w:val="24"/>
          <w:szCs w:val="24"/>
        </w:rPr>
        <w:t xml:space="preserve"> </w:t>
      </w:r>
      <w:r>
        <w:rPr>
          <w:rFonts w:ascii="Times New Roman" w:hAnsi="Times New Roman" w:cs="Times New Roman"/>
          <w:sz w:val="24"/>
          <w:szCs w:val="24"/>
        </w:rPr>
        <w:t>ietekmē</w:t>
      </w:r>
      <w:r w:rsidR="00DD3914">
        <w:rPr>
          <w:rFonts w:ascii="Times New Roman" w:hAnsi="Times New Roman" w:cs="Times New Roman"/>
          <w:sz w:val="24"/>
          <w:szCs w:val="24"/>
        </w:rPr>
        <w:t>ja</w:t>
      </w:r>
      <w:r>
        <w:rPr>
          <w:rFonts w:ascii="Times New Roman" w:hAnsi="Times New Roman" w:cs="Times New Roman"/>
          <w:sz w:val="24"/>
          <w:szCs w:val="24"/>
        </w:rPr>
        <w:t xml:space="preserve"> situāciju ekonomikā un valsts budžeta izdevumus</w:t>
      </w:r>
      <w:r w:rsidR="00DD3914">
        <w:rPr>
          <w:rFonts w:ascii="Times New Roman" w:hAnsi="Times New Roman" w:cs="Times New Roman"/>
          <w:sz w:val="24"/>
          <w:szCs w:val="24"/>
        </w:rPr>
        <w:t xml:space="preserve"> 2022.gadā.</w:t>
      </w:r>
    </w:p>
    <w:p w14:paraId="6B598BCA" w14:textId="3222EC74" w:rsidR="00DD3914" w:rsidRPr="00FF2576" w:rsidRDefault="00DD3914" w:rsidP="00024C57">
      <w:pPr>
        <w:spacing w:after="0" w:line="240" w:lineRule="auto"/>
        <w:ind w:firstLine="709"/>
        <w:jc w:val="both"/>
        <w:rPr>
          <w:rFonts w:ascii="Times New Roman" w:hAnsi="Times New Roman" w:cs="Times New Roman"/>
          <w:sz w:val="24"/>
          <w:szCs w:val="24"/>
        </w:rPr>
      </w:pPr>
      <w:r w:rsidRPr="006E240D">
        <w:rPr>
          <w:rFonts w:ascii="Times New Roman" w:hAnsi="Times New Roman" w:cs="Times New Roman"/>
          <w:sz w:val="24"/>
          <w:szCs w:val="24"/>
        </w:rPr>
        <w:t xml:space="preserve">2022.gadā </w:t>
      </w:r>
      <w:r>
        <w:rPr>
          <w:rFonts w:ascii="Times New Roman" w:hAnsi="Times New Roman" w:cs="Times New Roman"/>
          <w:sz w:val="24"/>
          <w:szCs w:val="24"/>
        </w:rPr>
        <w:t>tika nodrošināts finansiālais segums</w:t>
      </w:r>
      <w:r w:rsidRPr="006E240D">
        <w:rPr>
          <w:rFonts w:ascii="Times New Roman" w:hAnsi="Times New Roman" w:cs="Times New Roman"/>
          <w:sz w:val="24"/>
          <w:szCs w:val="24"/>
        </w:rPr>
        <w:t xml:space="preserve"> kopējās finansēšanas nepieciešamības segšanai, t.sk. atbalsta pasākumiem Covid-19 uzliesmojuma ietekmes mazināšanai un augsto enerģijas cenu kompens</w:t>
      </w:r>
      <w:r>
        <w:rPr>
          <w:rFonts w:ascii="Times New Roman" w:hAnsi="Times New Roman" w:cs="Times New Roman"/>
          <w:sz w:val="24"/>
          <w:szCs w:val="24"/>
        </w:rPr>
        <w:t xml:space="preserve">ēšanai, veicot  </w:t>
      </w:r>
      <w:r w:rsidRPr="006E240D">
        <w:rPr>
          <w:rFonts w:ascii="Times New Roman" w:hAnsi="Times New Roman" w:cs="Times New Roman"/>
          <w:sz w:val="24"/>
          <w:szCs w:val="24"/>
        </w:rPr>
        <w:t>aizņēmum</w:t>
      </w:r>
      <w:r>
        <w:rPr>
          <w:rFonts w:ascii="Times New Roman" w:hAnsi="Times New Roman" w:cs="Times New Roman"/>
          <w:sz w:val="24"/>
          <w:szCs w:val="24"/>
        </w:rPr>
        <w:t>us</w:t>
      </w:r>
      <w:r w:rsidRPr="006E240D">
        <w:rPr>
          <w:rFonts w:ascii="Times New Roman" w:hAnsi="Times New Roman" w:cs="Times New Roman"/>
          <w:sz w:val="24"/>
          <w:szCs w:val="24"/>
        </w:rPr>
        <w:t xml:space="preserve"> iekšējā un starptautiskajos finanšu tirgos 2 045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Iekšējā finanšu tirgū 2022.gadā veikti apgrozībā esošo eiroobligāciju papildu laidieni kopā 1 195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Starptautiskajos finanšu tirgos 2022.gadā piesaistīti resursi 850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veicot eiroobligāciju emisiju ar dzēšanu 2027.gada martā,  kuponu</w:t>
      </w:r>
      <w:r>
        <w:rPr>
          <w:rFonts w:ascii="Times New Roman" w:hAnsi="Times New Roman" w:cs="Times New Roman"/>
          <w:sz w:val="24"/>
          <w:szCs w:val="24"/>
        </w:rPr>
        <w:t xml:space="preserve"> (fiksēto procentu likmi) 3,875% gadā un ienesīgumu 4,198</w:t>
      </w:r>
      <w:r w:rsidRPr="006E240D">
        <w:rPr>
          <w:rFonts w:ascii="Times New Roman" w:hAnsi="Times New Roman" w:cs="Times New Roman"/>
          <w:sz w:val="24"/>
          <w:szCs w:val="24"/>
        </w:rPr>
        <w:t>%. Papildus finanšu tirg</w:t>
      </w:r>
      <w:r>
        <w:rPr>
          <w:rFonts w:ascii="Times New Roman" w:hAnsi="Times New Roman" w:cs="Times New Roman"/>
          <w:sz w:val="24"/>
          <w:szCs w:val="24"/>
        </w:rPr>
        <w:t>os veiktajiem aizņēmumiem 2022.</w:t>
      </w:r>
      <w:r w:rsidRPr="006E240D">
        <w:rPr>
          <w:rFonts w:ascii="Times New Roman" w:hAnsi="Times New Roman" w:cs="Times New Roman"/>
          <w:sz w:val="24"/>
          <w:szCs w:val="24"/>
        </w:rPr>
        <w:t xml:space="preserve">gadā ar finansiāli izdevīgiem nosacījumiem saņemts aizdevums </w:t>
      </w:r>
      <w:r>
        <w:rPr>
          <w:rFonts w:ascii="Times New Roman" w:hAnsi="Times New Roman" w:cs="Times New Roman"/>
          <w:sz w:val="24"/>
          <w:szCs w:val="24"/>
        </w:rPr>
        <w:t>EK</w:t>
      </w:r>
      <w:r w:rsidRPr="006E240D">
        <w:rPr>
          <w:rFonts w:ascii="Times New Roman" w:hAnsi="Times New Roman" w:cs="Times New Roman"/>
          <w:sz w:val="24"/>
          <w:szCs w:val="24"/>
        </w:rPr>
        <w:t xml:space="preserve"> finansēšanas instrumenta SURE ietvaros 167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ar atmaksas termiņu 15 gadi un fiksētu procentu likmi 2,75%.</w:t>
      </w:r>
      <w:r w:rsidR="00024C57">
        <w:rPr>
          <w:rFonts w:ascii="Times New Roman" w:hAnsi="Times New Roman" w:cs="Times New Roman"/>
          <w:sz w:val="24"/>
          <w:szCs w:val="24"/>
        </w:rPr>
        <w:t xml:space="preserve"> </w:t>
      </w:r>
      <w:r w:rsidR="00024C57" w:rsidRPr="00C90C71">
        <w:rPr>
          <w:rFonts w:ascii="Times New Roman" w:hAnsi="Times New Roman" w:cs="Times New Roman"/>
          <w:sz w:val="24"/>
          <w:szCs w:val="24"/>
        </w:rPr>
        <w:t xml:space="preserve">2022. gada beigās vispārējās valdības parāds pēc EKS metodoloģijas sasniedza 15,9 mljrd. </w:t>
      </w:r>
      <w:proofErr w:type="spellStart"/>
      <w:r w:rsidR="00024C57" w:rsidRPr="00C90C71">
        <w:rPr>
          <w:rFonts w:ascii="Times New Roman" w:hAnsi="Times New Roman" w:cs="Times New Roman"/>
          <w:i/>
          <w:sz w:val="24"/>
          <w:szCs w:val="24"/>
        </w:rPr>
        <w:t>euro</w:t>
      </w:r>
      <w:proofErr w:type="spellEnd"/>
      <w:r w:rsidR="00024C57" w:rsidRPr="00C90C71">
        <w:rPr>
          <w:rFonts w:ascii="Times New Roman" w:hAnsi="Times New Roman" w:cs="Times New Roman"/>
          <w:sz w:val="24"/>
          <w:szCs w:val="24"/>
        </w:rPr>
        <w:t xml:space="preserve"> jeb 40,8% no IKP.</w:t>
      </w:r>
    </w:p>
    <w:p w14:paraId="6AAD0347" w14:textId="279E4FB6" w:rsidR="000C4BBB" w:rsidRPr="00E07277" w:rsidRDefault="000C4BBB" w:rsidP="000C4BBB">
      <w:pPr>
        <w:spacing w:after="0" w:line="240" w:lineRule="auto"/>
        <w:ind w:firstLine="709"/>
        <w:jc w:val="both"/>
        <w:rPr>
          <w:rFonts w:ascii="Times New Roman" w:hAnsi="Times New Roman" w:cs="Times New Roman"/>
          <w:sz w:val="24"/>
          <w:szCs w:val="24"/>
        </w:rPr>
      </w:pPr>
      <w:r w:rsidRPr="00E07277">
        <w:rPr>
          <w:rFonts w:ascii="Times New Roman" w:hAnsi="Times New Roman" w:cs="Times New Roman"/>
          <w:sz w:val="24"/>
          <w:szCs w:val="24"/>
        </w:rPr>
        <w:t>Aizņemšanās apjomu un valsts parāda līmeni vidējā termiņā ietekmē kopējā finansēšanas nepieciešamība, kuru galvenokārt veido valsts budžeta deficīts, t.sk. dažādi atbalsta pasākumi, valsts parāda atmaksa, valsts aizdevumu izsniegšana (pašvaldībām, valsts kapitālsabiedrībām, ostām un augstskolām), kā arī resursu rezerves uzturēšana V</w:t>
      </w:r>
      <w:r w:rsidR="00DC2AED">
        <w:rPr>
          <w:rFonts w:ascii="Times New Roman" w:hAnsi="Times New Roman" w:cs="Times New Roman"/>
          <w:sz w:val="24"/>
          <w:szCs w:val="24"/>
        </w:rPr>
        <w:t>K</w:t>
      </w:r>
      <w:r w:rsidRPr="00E07277">
        <w:rPr>
          <w:rFonts w:ascii="Times New Roman" w:hAnsi="Times New Roman" w:cs="Times New Roman"/>
          <w:sz w:val="24"/>
          <w:szCs w:val="24"/>
        </w:rPr>
        <w:t xml:space="preserve"> kontos dažādu risku vadībai paaugstinātas nenoteiktības apstākļos. </w:t>
      </w:r>
    </w:p>
    <w:p w14:paraId="0A63A5F2" w14:textId="5C03FBEB" w:rsidR="000C4BBB" w:rsidRDefault="000C4BBB" w:rsidP="000C4BBB">
      <w:pPr>
        <w:spacing w:after="0" w:line="240" w:lineRule="auto"/>
        <w:ind w:firstLine="709"/>
        <w:jc w:val="both"/>
        <w:rPr>
          <w:rFonts w:ascii="Times New Roman" w:hAnsi="Times New Roman" w:cs="Times New Roman"/>
          <w:sz w:val="24"/>
          <w:szCs w:val="24"/>
        </w:rPr>
      </w:pPr>
      <w:r w:rsidRPr="00E07277">
        <w:rPr>
          <w:rFonts w:ascii="Times New Roman" w:hAnsi="Times New Roman" w:cs="Times New Roman"/>
          <w:sz w:val="24"/>
          <w:szCs w:val="24"/>
        </w:rPr>
        <w:t xml:space="preserve">Ņemot vērā līdz 2023.gada </w:t>
      </w:r>
      <w:r>
        <w:rPr>
          <w:rFonts w:ascii="Times New Roman" w:hAnsi="Times New Roman" w:cs="Times New Roman"/>
          <w:sz w:val="24"/>
          <w:szCs w:val="24"/>
        </w:rPr>
        <w:t>31.</w:t>
      </w:r>
      <w:r w:rsidR="00024C57">
        <w:rPr>
          <w:rFonts w:ascii="Times New Roman" w:hAnsi="Times New Roman" w:cs="Times New Roman"/>
          <w:sz w:val="24"/>
          <w:szCs w:val="24"/>
        </w:rPr>
        <w:t>jūlijam</w:t>
      </w:r>
      <w:r w:rsidRPr="00E07277">
        <w:rPr>
          <w:rFonts w:ascii="Times New Roman" w:hAnsi="Times New Roman" w:cs="Times New Roman"/>
          <w:sz w:val="24"/>
          <w:szCs w:val="24"/>
        </w:rPr>
        <w:t xml:space="preserve"> uzņemtās valsts parāda saistības, saskaņā ar valsts parāda atmaksas grafiku 2023.gada </w:t>
      </w:r>
      <w:r w:rsidR="00024C57">
        <w:rPr>
          <w:rFonts w:ascii="Times New Roman" w:hAnsi="Times New Roman" w:cs="Times New Roman"/>
          <w:sz w:val="24"/>
          <w:szCs w:val="24"/>
        </w:rPr>
        <w:t>augustā</w:t>
      </w:r>
      <w:r w:rsidRPr="00E07277">
        <w:rPr>
          <w:rFonts w:ascii="Times New Roman" w:hAnsi="Times New Roman" w:cs="Times New Roman"/>
          <w:sz w:val="24"/>
          <w:szCs w:val="24"/>
        </w:rPr>
        <w:t xml:space="preserve"> – 2026.gada decembrī, jāpārfinansē valsts parāda saistības ~</w:t>
      </w:r>
      <w:r>
        <w:rPr>
          <w:rFonts w:ascii="Times New Roman" w:hAnsi="Times New Roman" w:cs="Times New Roman"/>
          <w:sz w:val="24"/>
          <w:szCs w:val="24"/>
        </w:rPr>
        <w:t>5,</w:t>
      </w:r>
      <w:r w:rsidR="00024C57">
        <w:rPr>
          <w:rFonts w:ascii="Times New Roman" w:hAnsi="Times New Roman" w:cs="Times New Roman"/>
          <w:sz w:val="24"/>
          <w:szCs w:val="24"/>
        </w:rPr>
        <w:t>5</w:t>
      </w:r>
      <w:r w:rsidRPr="00E07277">
        <w:rPr>
          <w:rFonts w:ascii="Times New Roman" w:hAnsi="Times New Roman" w:cs="Times New Roman"/>
          <w:sz w:val="24"/>
          <w:szCs w:val="24"/>
        </w:rPr>
        <w:t xml:space="preserve"> mljrd. </w:t>
      </w:r>
      <w:proofErr w:type="spellStart"/>
      <w:r w:rsidRPr="00E07277">
        <w:rPr>
          <w:rFonts w:ascii="Times New Roman" w:hAnsi="Times New Roman" w:cs="Times New Roman"/>
          <w:i/>
          <w:sz w:val="24"/>
          <w:szCs w:val="24"/>
        </w:rPr>
        <w:t>euro</w:t>
      </w:r>
      <w:proofErr w:type="spellEnd"/>
      <w:r w:rsidRPr="00E07277">
        <w:rPr>
          <w:rFonts w:ascii="Times New Roman" w:hAnsi="Times New Roman" w:cs="Times New Roman"/>
          <w:sz w:val="24"/>
          <w:szCs w:val="24"/>
        </w:rPr>
        <w:t xml:space="preserve"> apmērā. Lielāko daļu no minētajā periodā pārfinansējamā parāda apjoma veido starptautiskajos finanšu tirgos emitētās eiroobligācijas, kurām iestāsies dzēšanas termiņš.</w:t>
      </w:r>
    </w:p>
    <w:p w14:paraId="2BE1DEA7" w14:textId="1FE43B1E" w:rsidR="000C4BBB" w:rsidRPr="005E22CB" w:rsidRDefault="000C4BBB" w:rsidP="000C4BBB">
      <w:pPr>
        <w:spacing w:after="0" w:line="240" w:lineRule="auto"/>
        <w:ind w:firstLine="709"/>
        <w:jc w:val="both"/>
        <w:rPr>
          <w:rFonts w:ascii="Times New Roman" w:hAnsi="Times New Roman" w:cs="Times New Roman"/>
          <w:sz w:val="24"/>
          <w:szCs w:val="24"/>
        </w:rPr>
      </w:pPr>
      <w:r w:rsidRPr="005E22CB">
        <w:rPr>
          <w:rFonts w:ascii="Times New Roman" w:hAnsi="Times New Roman" w:cs="Times New Roman"/>
          <w:sz w:val="24"/>
          <w:szCs w:val="24"/>
        </w:rPr>
        <w:t>2023.-202</w:t>
      </w:r>
      <w:r w:rsidR="00024C57">
        <w:rPr>
          <w:rFonts w:ascii="Times New Roman" w:hAnsi="Times New Roman" w:cs="Times New Roman"/>
          <w:sz w:val="24"/>
          <w:szCs w:val="24"/>
        </w:rPr>
        <w:t>6</w:t>
      </w:r>
      <w:r w:rsidRPr="005E22CB">
        <w:rPr>
          <w:rFonts w:ascii="Times New Roman" w:hAnsi="Times New Roman" w:cs="Times New Roman"/>
          <w:sz w:val="24"/>
          <w:szCs w:val="24"/>
        </w:rPr>
        <w:t>. gadā resursi kopējās finansēšanas nepieciešamības segšanai tiks izmantoti V</w:t>
      </w:r>
      <w:r w:rsidR="00DC2AED">
        <w:rPr>
          <w:rFonts w:ascii="Times New Roman" w:hAnsi="Times New Roman" w:cs="Times New Roman"/>
          <w:sz w:val="24"/>
          <w:szCs w:val="24"/>
        </w:rPr>
        <w:t>K</w:t>
      </w:r>
      <w:r w:rsidRPr="005E22CB">
        <w:rPr>
          <w:rFonts w:ascii="Times New Roman" w:hAnsi="Times New Roman" w:cs="Times New Roman"/>
          <w:sz w:val="24"/>
          <w:szCs w:val="24"/>
        </w:rPr>
        <w:t xml:space="preserve"> kontos pieejamie resursi un aizņemšanās pasākumi pamatā finanšu tirgos, pieļaujot arī citu aizņemšanās instrumentu izmantošanu atkarībā no situācijas finanšu tirgos un procentu likmju tendencēm. Iekšējā </w:t>
      </w:r>
      <w:r w:rsidRPr="005E22CB">
        <w:rPr>
          <w:rFonts w:ascii="Times New Roman" w:hAnsi="Times New Roman" w:cs="Times New Roman"/>
          <w:sz w:val="24"/>
          <w:szCs w:val="24"/>
        </w:rPr>
        <w:lastRenderedPageBreak/>
        <w:t>finanšu tirgū resursu piesaisti plānots veikt ar apgrozībā esošo eiroobligāciju papildu laidieniem, izmantojot iekšējā finanšu tirgus potenciālu. Aizņemšanos starptautiskajos finanšu tirgos plānots nodrošināt ar publiskām ilgtermiņa etalona apjoma eiroobligāciju emisijām, uzturot iespējami elastīgas finansiāli izdevīgu aizņemšanās instrumentu parametru izvēles iespējas.</w:t>
      </w:r>
    </w:p>
    <w:p w14:paraId="3A6E6154" w14:textId="77777777" w:rsidR="00024C57" w:rsidRPr="005E22CB" w:rsidRDefault="00024C57" w:rsidP="00024C57">
      <w:pPr>
        <w:spacing w:after="0" w:line="240" w:lineRule="auto"/>
        <w:ind w:firstLine="709"/>
        <w:jc w:val="both"/>
        <w:rPr>
          <w:rFonts w:ascii="Times New Roman" w:hAnsi="Times New Roman" w:cs="Times New Roman"/>
          <w:sz w:val="24"/>
          <w:szCs w:val="24"/>
        </w:rPr>
      </w:pPr>
      <w:r w:rsidRPr="00C90C71">
        <w:rPr>
          <w:rFonts w:ascii="Times New Roman" w:hAnsi="Times New Roman" w:cs="Times New Roman"/>
          <w:sz w:val="24"/>
          <w:szCs w:val="24"/>
        </w:rPr>
        <w:t xml:space="preserve">2023.gada 7 mēnešos veikti aizņemšanās pasākumi, nodrošinot resursus valsts budžeta deficīta finansēšanai, valsts aizdevumu nodrošināšanai, kā arī valsts parāda saistību izpildei, t.sk.  starptautiskajos finanšu tirgos tika veikta eiroobligāciju emisija š.g. janvārī 750 milj.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ar termiņu 5 gadi un kupona likmi 3,5% un jūlijā 750 milj.</w:t>
      </w:r>
      <w:r>
        <w:rPr>
          <w:rFonts w:ascii="Times New Roman" w:hAnsi="Times New Roman" w:cs="Times New Roman"/>
          <w:sz w:val="24"/>
          <w:szCs w:val="24"/>
        </w:rPr>
        <w:t xml:space="preserve">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apmērā ar termiņu 10 gadi un kupona likmi 3,875%. Savukārt, iekšējā finanšu tirgū piesaistīti 885,0 milj.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veicot dažāda termiņa eiroobligāciju papildu laidienu izsoles, kā arī iedzīvotāji veica </w:t>
      </w:r>
      <w:proofErr w:type="spellStart"/>
      <w:r w:rsidRPr="00C90C71">
        <w:rPr>
          <w:rFonts w:ascii="Times New Roman" w:hAnsi="Times New Roman" w:cs="Times New Roman"/>
          <w:sz w:val="24"/>
          <w:szCs w:val="24"/>
        </w:rPr>
        <w:t>krājobligāciju</w:t>
      </w:r>
      <w:proofErr w:type="spellEnd"/>
      <w:r w:rsidRPr="00C90C71">
        <w:rPr>
          <w:rFonts w:ascii="Times New Roman" w:hAnsi="Times New Roman" w:cs="Times New Roman"/>
          <w:sz w:val="24"/>
          <w:szCs w:val="24"/>
        </w:rPr>
        <w:t xml:space="preserve"> iegādi 141,4 milj.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apmērā.</w:t>
      </w:r>
    </w:p>
    <w:p w14:paraId="37989694" w14:textId="77777777" w:rsidR="00024C57" w:rsidRPr="00FF2576" w:rsidRDefault="00024C57" w:rsidP="00024C57">
      <w:pPr>
        <w:spacing w:after="0" w:line="240" w:lineRule="auto"/>
        <w:ind w:firstLine="709"/>
        <w:jc w:val="both"/>
        <w:rPr>
          <w:rFonts w:ascii="Times New Roman" w:hAnsi="Times New Roman" w:cs="Times New Roman"/>
          <w:sz w:val="24"/>
          <w:szCs w:val="24"/>
        </w:rPr>
      </w:pPr>
      <w:r w:rsidRPr="005E22CB">
        <w:rPr>
          <w:rFonts w:ascii="Times New Roman" w:hAnsi="Times New Roman" w:cs="Times New Roman"/>
          <w:sz w:val="24"/>
          <w:szCs w:val="24"/>
        </w:rPr>
        <w:t xml:space="preserve">Atbalsta pasākumu īstenošana </w:t>
      </w:r>
      <w:r w:rsidRPr="00E6180D">
        <w:rPr>
          <w:rFonts w:ascii="Times New Roman" w:hAnsi="Times New Roman" w:cs="Times New Roman"/>
          <w:sz w:val="24"/>
          <w:szCs w:val="24"/>
        </w:rPr>
        <w:t>krīžu mazināšanai</w:t>
      </w:r>
      <w:r w:rsidRPr="005E22CB">
        <w:rPr>
          <w:rFonts w:ascii="Times New Roman" w:hAnsi="Times New Roman" w:cs="Times New Roman"/>
          <w:sz w:val="24"/>
          <w:szCs w:val="24"/>
        </w:rPr>
        <w:t>, papildu izdevumi valsts aizsardzības kapacitātes stiprināšanai</w:t>
      </w:r>
      <w:r>
        <w:rPr>
          <w:rFonts w:ascii="Times New Roman" w:hAnsi="Times New Roman" w:cs="Times New Roman"/>
          <w:sz w:val="24"/>
          <w:szCs w:val="24"/>
        </w:rPr>
        <w:t>, kā arī p</w:t>
      </w:r>
      <w:r w:rsidRPr="00E6180D">
        <w:rPr>
          <w:rFonts w:ascii="Times New Roman" w:hAnsi="Times New Roman" w:cs="Times New Roman"/>
          <w:sz w:val="24"/>
          <w:szCs w:val="24"/>
        </w:rPr>
        <w:t>amatlīdzekļu veidošanas izdevumi, palielinoties ES fondu investīciju plūsmām</w:t>
      </w:r>
      <w:r>
        <w:rPr>
          <w:rFonts w:ascii="Times New Roman" w:hAnsi="Times New Roman" w:cs="Times New Roman"/>
          <w:sz w:val="24"/>
          <w:szCs w:val="24"/>
        </w:rPr>
        <w:t>,</w:t>
      </w:r>
      <w:r w:rsidRPr="005E22CB">
        <w:rPr>
          <w:rFonts w:ascii="Times New Roman" w:hAnsi="Times New Roman" w:cs="Times New Roman"/>
          <w:sz w:val="24"/>
          <w:szCs w:val="24"/>
        </w:rPr>
        <w:t xml:space="preserve"> turpinās ietekmēt valsts parāda tendences vidējā termiņā</w:t>
      </w:r>
      <w:r>
        <w:rPr>
          <w:rFonts w:ascii="Times New Roman" w:hAnsi="Times New Roman" w:cs="Times New Roman"/>
          <w:sz w:val="24"/>
          <w:szCs w:val="24"/>
        </w:rPr>
        <w:t>.</w:t>
      </w:r>
    </w:p>
    <w:p w14:paraId="73D5750B" w14:textId="37456DBB" w:rsidR="00024C57" w:rsidRPr="006F2A55" w:rsidRDefault="00024C57" w:rsidP="00024C57">
      <w:pPr>
        <w:spacing w:after="0" w:line="240" w:lineRule="auto"/>
        <w:ind w:firstLine="709"/>
        <w:jc w:val="both"/>
        <w:rPr>
          <w:rFonts w:ascii="Times New Roman" w:hAnsi="Times New Roman" w:cs="Times New Roman"/>
          <w:sz w:val="24"/>
          <w:szCs w:val="24"/>
        </w:rPr>
      </w:pPr>
      <w:r w:rsidRPr="009D58C2">
        <w:rPr>
          <w:rFonts w:ascii="Times New Roman" w:hAnsi="Times New Roman" w:cs="Times New Roman"/>
          <w:sz w:val="24"/>
          <w:szCs w:val="24"/>
        </w:rPr>
        <w:t xml:space="preserve">Atbilstoši aktuālajam novērtējumam </w:t>
      </w:r>
      <w:r>
        <w:rPr>
          <w:rFonts w:ascii="Times New Roman" w:hAnsi="Times New Roman" w:cs="Times New Roman"/>
          <w:sz w:val="24"/>
          <w:szCs w:val="24"/>
        </w:rPr>
        <w:t>s</w:t>
      </w:r>
      <w:r w:rsidRPr="005E22CB">
        <w:rPr>
          <w:rFonts w:ascii="Times New Roman" w:hAnsi="Times New Roman" w:cs="Times New Roman"/>
          <w:sz w:val="24"/>
          <w:szCs w:val="24"/>
        </w:rPr>
        <w:t xml:space="preserve">agaidāms, ka vidējā termiņā </w:t>
      </w:r>
      <w:r w:rsidR="002601DB">
        <w:rPr>
          <w:rFonts w:ascii="Times New Roman" w:hAnsi="Times New Roman" w:cs="Times New Roman"/>
          <w:sz w:val="24"/>
          <w:szCs w:val="24"/>
        </w:rPr>
        <w:t>FDL</w:t>
      </w:r>
      <w:r w:rsidRPr="005E22CB">
        <w:rPr>
          <w:rFonts w:ascii="Times New Roman" w:hAnsi="Times New Roman" w:cs="Times New Roman"/>
          <w:sz w:val="24"/>
          <w:szCs w:val="24"/>
        </w:rPr>
        <w:t xml:space="preserve"> noteiktais parāda nosacījums 60% no IKP tiks ievērots</w:t>
      </w:r>
      <w:r w:rsidR="0053110E">
        <w:rPr>
          <w:rFonts w:ascii="Times New Roman" w:hAnsi="Times New Roman" w:cs="Times New Roman"/>
          <w:sz w:val="24"/>
          <w:szCs w:val="24"/>
        </w:rPr>
        <w:t>,</w:t>
      </w:r>
      <w:r w:rsidRPr="005E22CB">
        <w:rPr>
          <w:rFonts w:ascii="Times New Roman" w:hAnsi="Times New Roman" w:cs="Times New Roman"/>
          <w:sz w:val="24"/>
          <w:szCs w:val="24"/>
        </w:rPr>
        <w:t xml:space="preserve"> un Latvijas vispārējās valdības parāds stabilizēsies </w:t>
      </w:r>
      <w:r w:rsidRPr="00C90C71">
        <w:rPr>
          <w:rFonts w:ascii="Times New Roman" w:hAnsi="Times New Roman" w:cs="Times New Roman"/>
          <w:sz w:val="24"/>
          <w:szCs w:val="24"/>
        </w:rPr>
        <w:t>ap 40% no IKP ar nelielu samazināšanas tendenci, sākot ar 2025.gadu</w:t>
      </w:r>
      <w:r w:rsidRPr="005E22CB">
        <w:rPr>
          <w:rFonts w:ascii="Times New Roman" w:hAnsi="Times New Roman" w:cs="Times New Roman"/>
          <w:sz w:val="24"/>
          <w:szCs w:val="24"/>
        </w:rPr>
        <w:t>.</w:t>
      </w:r>
    </w:p>
    <w:p w14:paraId="4F9976B6" w14:textId="77777777" w:rsidR="009A1B94" w:rsidRPr="009E02D8" w:rsidRDefault="009A1B94" w:rsidP="009A1B94">
      <w:pPr>
        <w:pStyle w:val="Heading2"/>
        <w:numPr>
          <w:ilvl w:val="0"/>
          <w:numId w:val="0"/>
        </w:numPr>
        <w:spacing w:after="120"/>
        <w:jc w:val="center"/>
        <w:rPr>
          <w:rFonts w:ascii="Times New Roman" w:hAnsi="Times New Roman" w:cs="Times New Roman"/>
          <w:sz w:val="24"/>
          <w:szCs w:val="24"/>
        </w:rPr>
      </w:pPr>
      <w:bookmarkStart w:id="303" w:name="_Toc118743676"/>
      <w:bookmarkStart w:id="304" w:name="_Toc142388048"/>
      <w:r>
        <w:rPr>
          <w:rFonts w:ascii="Times New Roman" w:hAnsi="Times New Roman" w:cs="Times New Roman"/>
          <w:sz w:val="24"/>
          <w:szCs w:val="24"/>
        </w:rPr>
        <w:t xml:space="preserve">4.4. </w:t>
      </w:r>
      <w:r w:rsidRPr="009E02D8">
        <w:rPr>
          <w:rFonts w:ascii="Times New Roman" w:hAnsi="Times New Roman" w:cs="Times New Roman"/>
          <w:sz w:val="24"/>
          <w:szCs w:val="24"/>
        </w:rPr>
        <w:t>Vispārējās valdības parāda ilg</w:t>
      </w:r>
      <w:r>
        <w:rPr>
          <w:rFonts w:ascii="Times New Roman" w:hAnsi="Times New Roman" w:cs="Times New Roman"/>
          <w:sz w:val="24"/>
          <w:szCs w:val="24"/>
        </w:rPr>
        <w:t>ts</w:t>
      </w:r>
      <w:r w:rsidRPr="009E02D8">
        <w:rPr>
          <w:rFonts w:ascii="Times New Roman" w:hAnsi="Times New Roman" w:cs="Times New Roman"/>
          <w:sz w:val="24"/>
          <w:szCs w:val="24"/>
        </w:rPr>
        <w:t>pēja</w:t>
      </w:r>
      <w:bookmarkEnd w:id="303"/>
      <w:bookmarkEnd w:id="304"/>
      <w:r>
        <w:tab/>
      </w:r>
    </w:p>
    <w:p w14:paraId="01302DAD" w14:textId="77777777"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Covid-19 pandēmija un tās sekas, Krievijas iebrukums Ukrainā, augošas energoresursu cenas un procentu likmju kāpums tiešā veidā ietekmē vispārējās valdības budžeta ieņēmumus un izdevumus. Ņemot vērā nepieciešamību nodrošināt atbalstu iedzīvotājiem un uzņēmumiem, kā arī stiprināt valsts aizsardzības kapacitāti, vispārējās valdības budžetā veidojas būtisks deficīts un pieaug vispārējās valdības parāds. Minēto apstākļu kontekstā ir svarīgi novērtēt, vai vispārējās valdības parāds, ņemot vērā augošos izdevumus, ir ilgtspējīgs un negatīvi neietekmē publisko finanšu sistēmu.  </w:t>
      </w:r>
    </w:p>
    <w:p w14:paraId="3054F487" w14:textId="77777777" w:rsidR="00497710" w:rsidRDefault="00497710" w:rsidP="002601DB">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Vispārējās valdības parāds tiek uzskatīts par ilgtspējīgu, ja valsts ir spējīga izpildīt visas savas esošās un nākotnes saistības, ievērojot aizņemšanās līguma nosacījumus, t.i. parāda apkalpošanas maksājumi tiek veikti atbilstoši plānam, netiek veikta parāda restrukturizācija vai pasludināta valsts maksātnespēja</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Lai izpētītu vai Latvijas vispārējās valdības parāds ir ilgtspējīgs tiek veikta parāda ilgtspējas analīze, kas balstās uz parāda dinamikas vienādojumu</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417"/>
      </w:tblGrid>
      <w:tr w:rsidR="00497710" w14:paraId="3CAD216E" w14:textId="77777777" w:rsidTr="00CD4B57">
        <w:trPr>
          <w:trHeight w:val="433"/>
        </w:trPr>
        <w:tc>
          <w:tcPr>
            <w:tcW w:w="8222" w:type="dxa"/>
            <w:vAlign w:val="center"/>
            <w:hideMark/>
          </w:tcPr>
          <w:p w14:paraId="4635BF1A" w14:textId="77777777" w:rsidR="00497710" w:rsidRPr="00F030FD" w:rsidRDefault="008F4570" w:rsidP="00CD4B57">
            <w:pPr>
              <w:spacing w:line="360" w:lineRule="auto"/>
              <w:jc w:val="center"/>
              <w:rPr>
                <w:rFonts w:ascii="Cambria Math" w:hAnsi="Cambria Math"/>
                <w:szCs w:val="24"/>
              </w:rPr>
            </w:pPr>
            <m:oMathPara>
              <m:oMathParaPr>
                <m:jc m:val="center"/>
              </m:oMathParaPr>
              <m:oMath>
                <m:sSub>
                  <m:sSubPr>
                    <m:ctrlPr>
                      <w:rPr>
                        <w:rFonts w:ascii="Cambria Math" w:hAnsi="Cambria Math"/>
                        <w:i/>
                        <w:szCs w:val="24"/>
                      </w:rPr>
                    </m:ctrlPr>
                  </m:sSubPr>
                  <m:e>
                    <m:r>
                      <w:rPr>
                        <w:rFonts w:ascii="Cambria Math" w:hAnsi="Cambria Math"/>
                      </w:rPr>
                      <m:t>Δb</m:t>
                    </m:r>
                  </m:e>
                  <m:sub>
                    <m:r>
                      <w:rPr>
                        <w:rFonts w:ascii="Cambria Math" w:hAnsi="Cambria Math"/>
                        <w:szCs w:val="24"/>
                      </w:rPr>
                      <m:t>t</m:t>
                    </m:r>
                  </m:sub>
                </m:sSub>
                <m:r>
                  <w:rPr>
                    <w:rFonts w:ascii="Cambria Math" w:hAnsi="Cambria Math"/>
                    <w:szCs w:val="24"/>
                  </w:rPr>
                  <m:t>=</m:t>
                </m:r>
                <m:d>
                  <m:dPr>
                    <m:ctrlPr>
                      <w:rPr>
                        <w:rFonts w:ascii="Cambria Math" w:eastAsia="Times New Roman" w:hAnsi="Cambria Math"/>
                        <w:i/>
                        <w:color w:val="000000" w:themeColor="text1"/>
                        <w:szCs w:val="24"/>
                      </w:rPr>
                    </m:ctrlPr>
                  </m:dPr>
                  <m:e>
                    <m:f>
                      <m:fPr>
                        <m:ctrlPr>
                          <w:rPr>
                            <w:rFonts w:ascii="Cambria Math" w:eastAsia="Times New Roman" w:hAnsi="Cambria Math"/>
                            <w:i/>
                            <w:color w:val="000000" w:themeColor="text1"/>
                            <w:szCs w:val="24"/>
                          </w:rPr>
                        </m:ctrlPr>
                      </m:fPr>
                      <m:num>
                        <m:r>
                          <w:rPr>
                            <w:rFonts w:ascii="Cambria Math" w:eastAsia="Times New Roman" w:hAnsi="Cambria Math"/>
                            <w:color w:val="000000" w:themeColor="text1"/>
                            <w:szCs w:val="24"/>
                          </w:rPr>
                          <m:t>r-g</m:t>
                        </m:r>
                      </m:num>
                      <m:den>
                        <m:r>
                          <w:rPr>
                            <w:rFonts w:ascii="Cambria Math" w:eastAsia="Times New Roman" w:hAnsi="Cambria Math"/>
                            <w:color w:val="000000" w:themeColor="text1"/>
                            <w:szCs w:val="24"/>
                          </w:rPr>
                          <m:t>1+g</m:t>
                        </m:r>
                      </m:den>
                    </m:f>
                  </m:e>
                </m:d>
                <m:sSub>
                  <m:sSubPr>
                    <m:ctrlPr>
                      <w:rPr>
                        <w:rFonts w:ascii="Cambria Math" w:hAnsi="Cambria Math"/>
                        <w:i/>
                        <w:szCs w:val="24"/>
                      </w:rPr>
                    </m:ctrlPr>
                  </m:sSubPr>
                  <m:e>
                    <m:r>
                      <w:rPr>
                        <w:rFonts w:ascii="Cambria Math" w:hAnsi="Cambria Math"/>
                        <w:szCs w:val="24"/>
                      </w:rPr>
                      <m:t>b</m:t>
                    </m:r>
                  </m:e>
                  <m:sub>
                    <m:r>
                      <w:rPr>
                        <w:rFonts w:ascii="Cambria Math" w:hAnsi="Cambria Math"/>
                        <w:szCs w:val="24"/>
                      </w:rPr>
                      <m:t>t-1</m:t>
                    </m:r>
                  </m:sub>
                </m:sSub>
                <m:r>
                  <w:rPr>
                    <w:rFonts w:ascii="Cambria Math"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pb</m:t>
                    </m:r>
                  </m:e>
                  <m:sub>
                    <m:r>
                      <w:rPr>
                        <w:rFonts w:ascii="Cambria Math" w:eastAsia="Times New Roman"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sfa</m:t>
                    </m:r>
                  </m:e>
                  <m:sub>
                    <m:r>
                      <w:rPr>
                        <w:rFonts w:ascii="Cambria Math" w:hAnsi="Cambria Math"/>
                        <w:szCs w:val="24"/>
                      </w:rPr>
                      <m:t>t</m:t>
                    </m:r>
                  </m:sub>
                </m:sSub>
              </m:oMath>
            </m:oMathPara>
          </w:p>
        </w:tc>
        <w:tc>
          <w:tcPr>
            <w:tcW w:w="1417" w:type="dxa"/>
            <w:vAlign w:val="center"/>
            <w:hideMark/>
          </w:tcPr>
          <w:p w14:paraId="16F1288B" w14:textId="77777777" w:rsidR="00497710" w:rsidRDefault="00497710" w:rsidP="00CD4B57">
            <w:pPr>
              <w:spacing w:line="360" w:lineRule="auto"/>
              <w:jc w:val="center"/>
              <w:rPr>
                <w:szCs w:val="24"/>
              </w:rPr>
            </w:pPr>
            <w:r>
              <w:rPr>
                <w:szCs w:val="24"/>
              </w:rPr>
              <w:t>(1.)</w:t>
            </w:r>
          </w:p>
        </w:tc>
      </w:tr>
    </w:tbl>
    <w:p w14:paraId="58E856FF" w14:textId="06717E59" w:rsidR="00497710" w:rsidRDefault="00497710" w:rsidP="002601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Atbilstoši 1.vienādojumam izmaiņas vispārējās valdības parādā, % no IKP, (</w:t>
      </w:r>
      <m:oMath>
        <m:sSub>
          <m:sSubPr>
            <m:ctrlPr>
              <w:rPr>
                <w:rFonts w:ascii="Cambria Math" w:hAnsi="Cambria Math"/>
                <w:i/>
                <w:sz w:val="24"/>
                <w:szCs w:val="24"/>
              </w:rPr>
            </m:ctrlPr>
          </m:sSubPr>
          <m:e>
            <m:r>
              <w:rPr>
                <w:rFonts w:ascii="Cambria Math" w:hAnsi="Cambria Math"/>
              </w:rPr>
              <m:t>Δb</m:t>
            </m:r>
          </m:e>
          <m:sub>
            <m:r>
              <w:rPr>
                <w:rFonts w:ascii="Cambria Math" w:hAnsi="Cambria Math"/>
                <w:sz w:val="24"/>
                <w:szCs w:val="24"/>
              </w:rPr>
              <m:t>t</m:t>
            </m:r>
          </m:sub>
        </m:sSub>
      </m:oMath>
      <w:r>
        <w:rPr>
          <w:rFonts w:ascii="Times New Roman" w:hAnsi="Times New Roman" w:cs="Times New Roman"/>
          <w:sz w:val="24"/>
          <w:szCs w:val="24"/>
        </w:rPr>
        <w:t>) ir atkarīgas no efektīvas procentu likmes (</w:t>
      </w:r>
      <m:oMath>
        <m:r>
          <w:rPr>
            <w:rFonts w:ascii="Cambria Math" w:eastAsia="Times New Roman" w:hAnsi="Cambria Math"/>
            <w:sz w:val="24"/>
            <w:szCs w:val="24"/>
          </w:rPr>
          <m:t>r</m:t>
        </m:r>
      </m:oMath>
      <w:r>
        <w:rPr>
          <w:rFonts w:ascii="Times New Roman" w:hAnsi="Times New Roman" w:cs="Times New Roman"/>
          <w:sz w:val="24"/>
          <w:szCs w:val="24"/>
        </w:rPr>
        <w:t>), kas tiek noteikta kā kārtējā gada procentu izdevumi pret iepriekšējā gada vispārējās valdības parādu; IKP pieauguma tempa faktiskajās cenās (</w:t>
      </w:r>
      <m:oMath>
        <m:r>
          <w:rPr>
            <w:rFonts w:ascii="Cambria Math" w:eastAsia="Times New Roman" w:hAnsi="Cambria Math"/>
            <w:sz w:val="24"/>
            <w:szCs w:val="24"/>
          </w:rPr>
          <m:t>g</m:t>
        </m:r>
      </m:oMath>
      <w:r>
        <w:rPr>
          <w:rFonts w:ascii="Times New Roman" w:hAnsi="Times New Roman" w:cs="Times New Roman"/>
          <w:sz w:val="24"/>
          <w:szCs w:val="24"/>
        </w:rPr>
        <w:t>); vispārējās valdības parāda, % no IKP, iepriekšējā perioda beigās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t-1</m:t>
            </m:r>
          </m:sub>
        </m:sSub>
      </m:oMath>
      <w:r>
        <w:rPr>
          <w:rFonts w:ascii="Times New Roman" w:hAnsi="Times New Roman" w:cs="Times New Roman"/>
          <w:sz w:val="24"/>
          <w:szCs w:val="24"/>
        </w:rPr>
        <w:t>); primārās budžeta bilances, % no IKP,(</w:t>
      </w:r>
      <w:r w:rsidRPr="0074415C">
        <w:rPr>
          <w:rFonts w:ascii="Cambria Math" w:eastAsia="Times New Roman" w:hAnsi="Cambria Math"/>
          <w:i/>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pb</m:t>
            </m:r>
          </m:e>
          <m:sub>
            <m:r>
              <w:rPr>
                <w:rFonts w:ascii="Cambria Math" w:eastAsia="Times New Roman" w:hAnsi="Cambria Math"/>
                <w:sz w:val="24"/>
                <w:szCs w:val="24"/>
              </w:rPr>
              <m:t>t</m:t>
            </m:r>
          </m:sub>
        </m:sSub>
      </m:oMath>
      <w:r>
        <w:rPr>
          <w:rFonts w:ascii="Times New Roman" w:hAnsi="Times New Roman" w:cs="Times New Roman"/>
          <w:sz w:val="24"/>
          <w:szCs w:val="24"/>
        </w:rPr>
        <w:t>); krājumu-plūsmas korekcijas, % no IKP, (</w:t>
      </w:r>
      <m:oMath>
        <m:sSub>
          <m:sSubPr>
            <m:ctrlPr>
              <w:rPr>
                <w:rFonts w:ascii="Cambria Math" w:hAnsi="Cambria Math"/>
                <w:i/>
                <w:sz w:val="24"/>
                <w:szCs w:val="24"/>
              </w:rPr>
            </m:ctrlPr>
          </m:sSubPr>
          <m:e>
            <m:r>
              <w:rPr>
                <w:rFonts w:ascii="Cambria Math" w:hAnsi="Cambria Math"/>
                <w:sz w:val="24"/>
                <w:szCs w:val="24"/>
              </w:rPr>
              <m:t>sfa</m:t>
            </m:r>
          </m:e>
          <m:sub>
            <m:r>
              <w:rPr>
                <w:rFonts w:ascii="Cambria Math" w:hAnsi="Cambria Math"/>
                <w:sz w:val="24"/>
                <w:szCs w:val="24"/>
              </w:rPr>
              <m:t>t</m:t>
            </m:r>
          </m:sub>
        </m:sSub>
      </m:oMath>
      <w:r>
        <w:rPr>
          <w:rFonts w:ascii="Times New Roman" w:hAnsi="Times New Roman" w:cs="Times New Roman"/>
          <w:sz w:val="24"/>
          <w:szCs w:val="24"/>
        </w:rPr>
        <w:t>). Krājumu-plūsmas korekciju veido darījumi, kas neietekmē vispārējās valdības budžeta deficītu, taču ietekmē vispārējās valdības parādu</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w:t>
      </w:r>
    </w:p>
    <w:p w14:paraId="645E4CE6" w14:textId="2C8C7248" w:rsidR="00497710" w:rsidRDefault="00497710" w:rsidP="002601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Parāda ilgtspējas analīzē tiek izmantotas gan stohastiskās parāda prognozes, gan </w:t>
      </w:r>
      <w:proofErr w:type="spellStart"/>
      <w:r>
        <w:rPr>
          <w:rFonts w:ascii="Times New Roman" w:hAnsi="Times New Roman" w:cs="Times New Roman"/>
          <w:sz w:val="24"/>
          <w:szCs w:val="24"/>
        </w:rPr>
        <w:t>deterministiskās</w:t>
      </w:r>
      <w:proofErr w:type="spellEnd"/>
      <w:r>
        <w:rPr>
          <w:rFonts w:ascii="Times New Roman" w:hAnsi="Times New Roman" w:cs="Times New Roman"/>
          <w:sz w:val="24"/>
          <w:szCs w:val="24"/>
        </w:rPr>
        <w:t xml:space="preserve"> parāda prognozes. Tieši </w:t>
      </w:r>
      <w:proofErr w:type="spellStart"/>
      <w:r>
        <w:rPr>
          <w:rFonts w:ascii="Times New Roman" w:hAnsi="Times New Roman" w:cs="Times New Roman"/>
          <w:sz w:val="24"/>
          <w:szCs w:val="24"/>
        </w:rPr>
        <w:t>deterministiskās</w:t>
      </w:r>
      <w:proofErr w:type="spellEnd"/>
      <w:r>
        <w:rPr>
          <w:rFonts w:ascii="Times New Roman" w:hAnsi="Times New Roman" w:cs="Times New Roman"/>
          <w:sz w:val="24"/>
          <w:szCs w:val="24"/>
        </w:rPr>
        <w:t xml:space="preserve"> prognozes tiek izmantotas šoku scenāriju analīz</w:t>
      </w:r>
      <w:r w:rsidR="00212563">
        <w:rPr>
          <w:rFonts w:ascii="Times New Roman" w:hAnsi="Times New Roman" w:cs="Times New Roman"/>
          <w:sz w:val="24"/>
          <w:szCs w:val="24"/>
        </w:rPr>
        <w:t>ē</w:t>
      </w:r>
      <w:r>
        <w:rPr>
          <w:rFonts w:ascii="Times New Roman" w:hAnsi="Times New Roman" w:cs="Times New Roman"/>
          <w:sz w:val="24"/>
          <w:szCs w:val="24"/>
        </w:rPr>
        <w:t xml:space="preserve">, jo tās ļauj izvērtēt atsevišķu mainīgo izmaiņu ietekmi uz parāda dinamikas trajektorijām, izslēdzot kopējo nenoteiktību. </w:t>
      </w:r>
      <w:r w:rsidRPr="00C42E88">
        <w:rPr>
          <w:rFonts w:ascii="Times New Roman" w:hAnsi="Times New Roman" w:cs="Times New Roman"/>
          <w:sz w:val="24"/>
          <w:szCs w:val="24"/>
        </w:rPr>
        <w:t>Stohastisk</w:t>
      </w:r>
      <w:r>
        <w:rPr>
          <w:rFonts w:ascii="Times New Roman" w:hAnsi="Times New Roman" w:cs="Times New Roman"/>
          <w:sz w:val="24"/>
          <w:szCs w:val="24"/>
        </w:rPr>
        <w:t>ā</w:t>
      </w:r>
      <w:r w:rsidRPr="00C42E88">
        <w:rPr>
          <w:rFonts w:ascii="Times New Roman" w:hAnsi="Times New Roman" w:cs="Times New Roman"/>
          <w:sz w:val="24"/>
          <w:szCs w:val="24"/>
        </w:rPr>
        <w:t xml:space="preserve">s parāda prognozes, atšķirībā no </w:t>
      </w:r>
      <w:proofErr w:type="spellStart"/>
      <w:r w:rsidRPr="00C42E88">
        <w:rPr>
          <w:rFonts w:ascii="Times New Roman" w:hAnsi="Times New Roman" w:cs="Times New Roman"/>
          <w:sz w:val="24"/>
          <w:szCs w:val="24"/>
        </w:rPr>
        <w:t>deterministiskām</w:t>
      </w:r>
      <w:proofErr w:type="spellEnd"/>
      <w:r w:rsidRPr="00C42E88">
        <w:rPr>
          <w:rFonts w:ascii="Times New Roman" w:hAnsi="Times New Roman" w:cs="Times New Roman"/>
          <w:sz w:val="24"/>
          <w:szCs w:val="24"/>
        </w:rPr>
        <w:t xml:space="preserve"> parāda prognozēm, nesniedz informāciju par vienu iespējamo parāda dinamikas attīstības trajektoriju, bet gan par neierobežotu skaitu parāda dinamikas attīstības trajektorijām, kuras veidojas uz mainīgajiem </w:t>
      </w:r>
      <w:r w:rsidRPr="00C42E88">
        <w:rPr>
          <w:rFonts w:ascii="Times New Roman" w:hAnsi="Times New Roman" w:cs="Times New Roman"/>
          <w:sz w:val="24"/>
          <w:szCs w:val="24"/>
        </w:rPr>
        <w:lastRenderedPageBreak/>
        <w:t xml:space="preserve">iedarbojoties lielam skaitam šoku. Tiek pieņemts, ka šoki atbilst normālajam </w:t>
      </w:r>
      <w:r>
        <w:rPr>
          <w:rFonts w:ascii="Times New Roman" w:hAnsi="Times New Roman" w:cs="Times New Roman"/>
          <w:sz w:val="24"/>
          <w:szCs w:val="24"/>
        </w:rPr>
        <w:t xml:space="preserve">sadalījumam. Līdzīga metode, veicot parāda ilgtspējas analīzi, tika izmantota EK sagatavotajā ziņojumā </w:t>
      </w:r>
      <w:proofErr w:type="spellStart"/>
      <w:r>
        <w:rPr>
          <w:rFonts w:ascii="Times New Roman" w:hAnsi="Times New Roman" w:cs="Times New Roman"/>
          <w:i/>
          <w:iCs/>
          <w:sz w:val="24"/>
          <w:szCs w:val="24"/>
        </w:rPr>
        <w:t>Debt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Sustainability</w:t>
      </w:r>
      <w:proofErr w:type="spellEnd"/>
      <w:r>
        <w:rPr>
          <w:rFonts w:ascii="Times New Roman" w:hAnsi="Times New Roman" w:cs="Times New Roman"/>
          <w:i/>
          <w:iCs/>
          <w:sz w:val="24"/>
          <w:szCs w:val="24"/>
        </w:rPr>
        <w:t xml:space="preserve"> Monitor 2022.</w:t>
      </w:r>
    </w:p>
    <w:p w14:paraId="10B912B6" w14:textId="5976B8C1" w:rsidR="00497710" w:rsidRDefault="00497710" w:rsidP="002601DB">
      <w:pPr>
        <w:spacing w:after="0" w:line="240" w:lineRule="auto"/>
        <w:ind w:firstLine="720"/>
        <w:jc w:val="both"/>
        <w:rPr>
          <w:rFonts w:ascii="Times New Roman" w:hAnsi="Times New Roman" w:cs="Times New Roman"/>
          <w:i/>
          <w:iCs/>
          <w:sz w:val="24"/>
          <w:szCs w:val="24"/>
        </w:rPr>
      </w:pPr>
      <w:r>
        <w:rPr>
          <w:rFonts w:ascii="Times New Roman" w:hAnsi="Times New Roman" w:cs="Times New Roman"/>
          <w:sz w:val="24"/>
          <w:szCs w:val="24"/>
        </w:rPr>
        <w:t>Deklarācijas ietvaros vispārējās valdības parāda stohastiskās prognozes tiek izstrādātas ilgtermiņam – līdz 2036.gadam. Vispārējās valdības parāda prognozes 2023.-2026.gadam tika noteiktas atbilstoši informatīvajam ziņojumam “Par makroekonomisko rādītāju, ieņēmumu un vispārējās valdības budžeta bilances prognozēm 2024., 2025. un</w:t>
      </w:r>
      <w:r w:rsidR="000661CD">
        <w:rPr>
          <w:rFonts w:ascii="Times New Roman" w:hAnsi="Times New Roman" w:cs="Times New Roman"/>
          <w:sz w:val="24"/>
          <w:szCs w:val="24"/>
        </w:rPr>
        <w:t xml:space="preserve"> </w:t>
      </w:r>
      <w:r>
        <w:rPr>
          <w:rFonts w:ascii="Times New Roman" w:hAnsi="Times New Roman" w:cs="Times New Roman"/>
          <w:sz w:val="24"/>
          <w:szCs w:val="24"/>
        </w:rPr>
        <w:t xml:space="preserve">2026. gadā”. Savukārt atlikušajiem 10 gadiem, vispārējās valdības parāda prognozes tika noteiktas atbilstoši 1.vienādojumam, izmantojot mainīgo (t.i. efektīvās procentu likmes, IKP pieauguma tempa un primārās budžeta bilances) pēdējo 10 gadu vidējās vērtības saskaņā ar </w:t>
      </w:r>
      <w:r w:rsidRPr="009E02D8">
        <w:rPr>
          <w:rFonts w:ascii="Times New Roman" w:hAnsi="Times New Roman" w:cs="Times New Roman"/>
          <w:i/>
          <w:iCs/>
          <w:sz w:val="24"/>
          <w:szCs w:val="24"/>
        </w:rPr>
        <w:t>EUROSTAT</w:t>
      </w:r>
      <w:r>
        <w:rPr>
          <w:rFonts w:ascii="Times New Roman" w:hAnsi="Times New Roman" w:cs="Times New Roman"/>
          <w:sz w:val="24"/>
          <w:szCs w:val="24"/>
        </w:rPr>
        <w:t xml:space="preserve"> datiem. Tiek pieņemts, ka krājumu-plūsmas korekcija laikam periodam no 2027.-2036.gadam ir vienāda ar nulli. </w:t>
      </w:r>
    </w:p>
    <w:p w14:paraId="270F8CF6" w14:textId="07DEAE89" w:rsidR="00497710" w:rsidRDefault="00E674C0" w:rsidP="002601DB">
      <w:pPr>
        <w:spacing w:after="0" w:line="240" w:lineRule="auto"/>
        <w:ind w:firstLine="720"/>
        <w:jc w:val="both"/>
        <w:rPr>
          <w:rFonts w:ascii="Times New Roman" w:hAnsi="Times New Roman" w:cs="Times New Roman"/>
          <w:sz w:val="24"/>
          <w:szCs w:val="24"/>
        </w:rPr>
      </w:pPr>
      <w:r w:rsidRPr="00E674C0">
        <w:rPr>
          <w:rFonts w:ascii="Times New Roman" w:hAnsi="Times New Roman" w:cs="Times New Roman"/>
          <w:sz w:val="24"/>
          <w:szCs w:val="24"/>
        </w:rPr>
        <w:t xml:space="preserve"> </w:t>
      </w:r>
      <w:r>
        <w:rPr>
          <w:rFonts w:ascii="Times New Roman" w:hAnsi="Times New Roman" w:cs="Times New Roman"/>
          <w:sz w:val="24"/>
          <w:szCs w:val="24"/>
        </w:rPr>
        <w:t>Vispārējās valdības stohastiskās parāda prognozes ir atspoguļotas 4.4.1.attēlā. Vispārējās valdības parāda augstākā prognozētā vērtība tiks sasniegta 2024.gadā, kad tomēr tā būs zem 2021.gadā sasniegtajiem 43,7% no IKP. Ilgtermiņā parāda apjoms pakāpeniski samazināsies, 2026.gadā noslīdot zem 40% no IKP</w:t>
      </w:r>
      <w:r w:rsidR="00550080">
        <w:rPr>
          <w:rFonts w:ascii="Times New Roman" w:hAnsi="Times New Roman" w:cs="Times New Roman"/>
          <w:sz w:val="24"/>
          <w:szCs w:val="24"/>
        </w:rPr>
        <w:t>,</w:t>
      </w:r>
      <w:r>
        <w:rPr>
          <w:rFonts w:ascii="Times New Roman" w:hAnsi="Times New Roman" w:cs="Times New Roman"/>
          <w:sz w:val="24"/>
          <w:szCs w:val="24"/>
        </w:rPr>
        <w:t xml:space="preserve"> un atbilstoši stohastiskās parāda analīzes rezultātiem parāda apjoms nepārsniegs 40% no IKP līdz 2036.gadam. Labvēlīgu parāda dinamiku nosaka augstāks izaugsmes temps, salīdzinājumā ar efektīvo procentu likmi. Veidoj</w:t>
      </w:r>
      <w:r w:rsidR="00550080">
        <w:rPr>
          <w:rFonts w:ascii="Times New Roman" w:hAnsi="Times New Roman" w:cs="Times New Roman"/>
          <w:sz w:val="24"/>
          <w:szCs w:val="24"/>
        </w:rPr>
        <w:t>a</w:t>
      </w:r>
      <w:r>
        <w:rPr>
          <w:rFonts w:ascii="Times New Roman" w:hAnsi="Times New Roman" w:cs="Times New Roman"/>
          <w:sz w:val="24"/>
          <w:szCs w:val="24"/>
        </w:rPr>
        <w:t>s tā saucamais sniega bumbas efekts</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Prognozējams, ka ilgtermiņā, </w:t>
      </w:r>
      <w:r w:rsidRPr="006F2A55">
        <w:rPr>
          <w:rFonts w:ascii="Times New Roman" w:hAnsi="Times New Roman" w:cs="Times New Roman"/>
          <w:sz w:val="24"/>
          <w:szCs w:val="24"/>
        </w:rPr>
        <w:t xml:space="preserve">ar </w:t>
      </w:r>
      <w:r>
        <w:rPr>
          <w:rFonts w:ascii="Times New Roman" w:hAnsi="Times New Roman" w:cs="Times New Roman"/>
          <w:sz w:val="24"/>
          <w:szCs w:val="24"/>
        </w:rPr>
        <w:t>90% varbūtību,</w:t>
      </w:r>
      <w:r w:rsidRPr="006F2A55">
        <w:rPr>
          <w:rFonts w:ascii="Times New Roman" w:hAnsi="Times New Roman" w:cs="Times New Roman"/>
          <w:sz w:val="24"/>
          <w:szCs w:val="24"/>
        </w:rPr>
        <w:t xml:space="preserve"> </w:t>
      </w:r>
      <w:r>
        <w:rPr>
          <w:rFonts w:ascii="Times New Roman" w:hAnsi="Times New Roman" w:cs="Times New Roman"/>
          <w:sz w:val="24"/>
          <w:szCs w:val="24"/>
        </w:rPr>
        <w:t>FDL</w:t>
      </w:r>
      <w:r w:rsidRPr="006F2A55">
        <w:rPr>
          <w:rFonts w:ascii="Times New Roman" w:hAnsi="Times New Roman" w:cs="Times New Roman"/>
          <w:sz w:val="24"/>
          <w:szCs w:val="24"/>
        </w:rPr>
        <w:t xml:space="preserve"> noteiktais parāda nosacījums (</w:t>
      </w:r>
      <w:r>
        <w:rPr>
          <w:rFonts w:ascii="Times New Roman" w:hAnsi="Times New Roman" w:cs="Times New Roman"/>
          <w:sz w:val="24"/>
          <w:szCs w:val="24"/>
        </w:rPr>
        <w:t xml:space="preserve">t.i. </w:t>
      </w:r>
      <w:r w:rsidRPr="006F2A55">
        <w:rPr>
          <w:rFonts w:ascii="Times New Roman" w:hAnsi="Times New Roman" w:cs="Times New Roman"/>
          <w:sz w:val="24"/>
          <w:szCs w:val="24"/>
        </w:rPr>
        <w:t>60% no IKP) tiks ievērots.</w:t>
      </w:r>
      <w:r>
        <w:rPr>
          <w:rFonts w:ascii="Times New Roman" w:hAnsi="Times New Roman" w:cs="Times New Roman"/>
          <w:sz w:val="24"/>
          <w:szCs w:val="24"/>
        </w:rPr>
        <w:t xml:space="preserve"> Arī EK savā ziņojumā </w:t>
      </w:r>
      <w:proofErr w:type="spellStart"/>
      <w:r>
        <w:rPr>
          <w:rFonts w:ascii="Times New Roman" w:hAnsi="Times New Roman" w:cs="Times New Roman"/>
          <w:i/>
          <w:iCs/>
          <w:sz w:val="24"/>
          <w:szCs w:val="24"/>
        </w:rPr>
        <w:t>Debt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Sustainability</w:t>
      </w:r>
      <w:proofErr w:type="spellEnd"/>
      <w:r>
        <w:rPr>
          <w:rFonts w:ascii="Times New Roman" w:hAnsi="Times New Roman" w:cs="Times New Roman"/>
          <w:i/>
          <w:iCs/>
          <w:sz w:val="24"/>
          <w:szCs w:val="24"/>
        </w:rPr>
        <w:t xml:space="preserve"> Monitor 2022 </w:t>
      </w:r>
      <w:r>
        <w:rPr>
          <w:rFonts w:ascii="Times New Roman" w:hAnsi="Times New Roman" w:cs="Times New Roman"/>
          <w:sz w:val="24"/>
          <w:szCs w:val="24"/>
        </w:rPr>
        <w:t>novērtē</w:t>
      </w:r>
      <w:r w:rsidRPr="009E02D8">
        <w:rPr>
          <w:rFonts w:ascii="Times New Roman" w:hAnsi="Times New Roman" w:cs="Times New Roman"/>
          <w:sz w:val="24"/>
          <w:szCs w:val="24"/>
        </w:rPr>
        <w:t xml:space="preserve">, ka </w:t>
      </w:r>
      <w:r>
        <w:rPr>
          <w:rFonts w:ascii="Times New Roman" w:hAnsi="Times New Roman" w:cs="Times New Roman"/>
          <w:sz w:val="24"/>
          <w:szCs w:val="24"/>
        </w:rPr>
        <w:t>fiskālās un parāda ilgtspējas riski Latvijā ir zemi gan īstermiņā, gan vidējā termiņā, gan arī ilgtermiņā</w:t>
      </w:r>
      <w:r w:rsidR="00497710">
        <w:rPr>
          <w:rFonts w:ascii="Times New Roman" w:hAnsi="Times New Roman" w:cs="Times New Roman"/>
          <w:sz w:val="24"/>
          <w:szCs w:val="24"/>
        </w:rPr>
        <w:t>.</w:t>
      </w:r>
    </w:p>
    <w:p w14:paraId="1A9F7FBA" w14:textId="67F5D623" w:rsidR="00497710" w:rsidRPr="009E02D8" w:rsidRDefault="00E674C0" w:rsidP="00497710">
      <w:pPr>
        <w:spacing w:after="0"/>
        <w:ind w:firstLine="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672" behindDoc="0" locked="0" layoutInCell="1" allowOverlap="1" wp14:anchorId="66CB2803" wp14:editId="439A6E73">
            <wp:simplePos x="0" y="0"/>
            <wp:positionH relativeFrom="page">
              <wp:posOffset>1700755</wp:posOffset>
            </wp:positionH>
            <wp:positionV relativeFrom="paragraph">
              <wp:posOffset>51604</wp:posOffset>
            </wp:positionV>
            <wp:extent cx="4958715" cy="2552065"/>
            <wp:effectExtent l="0" t="0" r="0" b="635"/>
            <wp:wrapSquare wrapText="bothSides"/>
            <wp:docPr id="111292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8715" cy="2552065"/>
                    </a:xfrm>
                    <a:prstGeom prst="rect">
                      <a:avLst/>
                    </a:prstGeom>
                    <a:noFill/>
                  </pic:spPr>
                </pic:pic>
              </a:graphicData>
            </a:graphic>
            <wp14:sizeRelH relativeFrom="margin">
              <wp14:pctWidth>0</wp14:pctWidth>
            </wp14:sizeRelH>
            <wp14:sizeRelV relativeFrom="margin">
              <wp14:pctHeight>0</wp14:pctHeight>
            </wp14:sizeRelV>
          </wp:anchor>
        </w:drawing>
      </w:r>
    </w:p>
    <w:p w14:paraId="73F3CB8C" w14:textId="61A2DEA9" w:rsidR="00497710" w:rsidRDefault="00497710" w:rsidP="00497710">
      <w:pPr>
        <w:spacing w:after="0"/>
        <w:jc w:val="center"/>
        <w:rPr>
          <w:rFonts w:ascii="Times New Roman" w:hAnsi="Times New Roman" w:cs="Times New Roman"/>
          <w:color w:val="000000"/>
          <w:sz w:val="24"/>
          <w:szCs w:val="24"/>
        </w:rPr>
      </w:pPr>
      <w:r w:rsidRPr="003E63F7">
        <w:rPr>
          <w:rFonts w:ascii="Times New Roman" w:hAnsi="Times New Roman" w:cs="Times New Roman"/>
          <w:b/>
          <w:color w:val="000000"/>
          <w:sz w:val="24"/>
          <w:szCs w:val="24"/>
        </w:rPr>
        <w:t>4.</w:t>
      </w:r>
      <w:r>
        <w:rPr>
          <w:rFonts w:ascii="Times New Roman" w:hAnsi="Times New Roman" w:cs="Times New Roman"/>
          <w:b/>
          <w:color w:val="000000"/>
          <w:sz w:val="24"/>
          <w:szCs w:val="24"/>
        </w:rPr>
        <w:t>4</w:t>
      </w:r>
      <w:r w:rsidRPr="003E63F7">
        <w:rPr>
          <w:rFonts w:ascii="Times New Roman" w:hAnsi="Times New Roman" w:cs="Times New Roman"/>
          <w:b/>
          <w:color w:val="000000"/>
          <w:sz w:val="24"/>
          <w:szCs w:val="24"/>
        </w:rPr>
        <w:t>.</w:t>
      </w:r>
      <w:r w:rsidR="00A1461C">
        <w:rPr>
          <w:rFonts w:ascii="Times New Roman" w:hAnsi="Times New Roman" w:cs="Times New Roman"/>
          <w:b/>
          <w:color w:val="000000"/>
          <w:sz w:val="24"/>
          <w:szCs w:val="24"/>
        </w:rPr>
        <w:t>1.</w:t>
      </w:r>
      <w:r w:rsidRPr="003E63F7">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parāda stohastiskās prognozes līdz 2036.gadam, % no IKP</w:t>
      </w:r>
    </w:p>
    <w:p w14:paraId="6AD4B6EA" w14:textId="77777777" w:rsidR="00497710" w:rsidRDefault="00497710" w:rsidP="00497710">
      <w:pPr>
        <w:spacing w:after="0"/>
        <w:jc w:val="center"/>
        <w:rPr>
          <w:rFonts w:ascii="Times New Roman" w:hAnsi="Times New Roman" w:cs="Times New Roman"/>
          <w:i/>
          <w:iCs/>
          <w:sz w:val="24"/>
          <w:szCs w:val="24"/>
        </w:rPr>
      </w:pPr>
    </w:p>
    <w:p w14:paraId="7D7A0EFD" w14:textId="04DA7392" w:rsidR="00497710" w:rsidRPr="009E02D8"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Svarīgi ir atzīmēt, ka vispārējās valdības parāda stohastiskās prognozes ir tiešā veidā atkarīgas no prognozēšanā izmantotajiem pieņēmumiem par mainīgo (t.i. efektīvās procentu likmes, IKP pieauguma tempa un primārās budžeta bilances) vērtībām. Tādēļ papildus tiek veikta arī </w:t>
      </w:r>
      <w:proofErr w:type="spellStart"/>
      <w:r>
        <w:rPr>
          <w:rFonts w:ascii="Times New Roman" w:hAnsi="Times New Roman" w:cs="Times New Roman"/>
          <w:sz w:val="24"/>
          <w:szCs w:val="24"/>
        </w:rPr>
        <w:t>deterministiska</w:t>
      </w:r>
      <w:proofErr w:type="spellEnd"/>
      <w:r>
        <w:rPr>
          <w:rFonts w:ascii="Times New Roman" w:hAnsi="Times New Roman" w:cs="Times New Roman"/>
          <w:sz w:val="24"/>
          <w:szCs w:val="24"/>
        </w:rPr>
        <w:t xml:space="preserve"> scenāriju analīze. Scenāriju analīzes rezultāti atspoguļoti 4.</w:t>
      </w:r>
      <w:r w:rsidR="00A1461C">
        <w:rPr>
          <w:rFonts w:ascii="Times New Roman" w:hAnsi="Times New Roman" w:cs="Times New Roman"/>
          <w:sz w:val="24"/>
          <w:szCs w:val="24"/>
        </w:rPr>
        <w:t>4.2</w:t>
      </w:r>
      <w:r w:rsidR="00BC34BE">
        <w:rPr>
          <w:rFonts w:ascii="Times New Roman" w:hAnsi="Times New Roman" w:cs="Times New Roman"/>
          <w:sz w:val="24"/>
          <w:szCs w:val="24"/>
        </w:rPr>
        <w:t xml:space="preserve"> </w:t>
      </w:r>
      <w:r>
        <w:rPr>
          <w:rFonts w:ascii="Times New Roman" w:hAnsi="Times New Roman" w:cs="Times New Roman"/>
          <w:sz w:val="24"/>
          <w:szCs w:val="24"/>
        </w:rPr>
        <w:t>attēlā.</w:t>
      </w:r>
    </w:p>
    <w:p w14:paraId="4E9DF3F9" w14:textId="4B906B8D" w:rsidR="00497710" w:rsidRDefault="00E674C0" w:rsidP="00497710">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213755A" wp14:editId="6F89E8D7">
            <wp:extent cx="5650614" cy="3733633"/>
            <wp:effectExtent l="0" t="0" r="7620" b="635"/>
            <wp:docPr id="2078393396" name="Picture 2" descr="A graph of a graph with a black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93396" name="Picture 2" descr="A graph of a graph with a black screen&#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8641" cy="3758759"/>
                    </a:xfrm>
                    <a:prstGeom prst="rect">
                      <a:avLst/>
                    </a:prstGeom>
                    <a:noFill/>
                  </pic:spPr>
                </pic:pic>
              </a:graphicData>
            </a:graphic>
          </wp:inline>
        </w:drawing>
      </w:r>
    </w:p>
    <w:p w14:paraId="1CA57F3C" w14:textId="77777777" w:rsidR="00497710" w:rsidRDefault="00497710" w:rsidP="00497710">
      <w:pPr>
        <w:spacing w:after="0"/>
        <w:jc w:val="center"/>
        <w:rPr>
          <w:rFonts w:ascii="Times New Roman" w:hAnsi="Times New Roman" w:cs="Times New Roman"/>
          <w:sz w:val="24"/>
          <w:szCs w:val="24"/>
        </w:rPr>
      </w:pPr>
    </w:p>
    <w:p w14:paraId="3D9C8B1F" w14:textId="77777777" w:rsidR="00E674C0" w:rsidRDefault="00497710" w:rsidP="00E674C0">
      <w:pPr>
        <w:spacing w:after="0" w:line="240" w:lineRule="auto"/>
        <w:jc w:val="center"/>
        <w:rPr>
          <w:rFonts w:ascii="Times New Roman" w:hAnsi="Times New Roman" w:cs="Times New Roman"/>
          <w:color w:val="000000"/>
          <w:szCs w:val="24"/>
        </w:rPr>
      </w:pPr>
      <w:r w:rsidRPr="003E63F7">
        <w:rPr>
          <w:rFonts w:ascii="Times New Roman" w:hAnsi="Times New Roman" w:cs="Times New Roman"/>
          <w:b/>
          <w:color w:val="000000"/>
          <w:sz w:val="24"/>
          <w:szCs w:val="24"/>
        </w:rPr>
        <w:t>4.</w:t>
      </w:r>
      <w:r w:rsidR="00A1461C">
        <w:rPr>
          <w:rFonts w:ascii="Times New Roman" w:hAnsi="Times New Roman" w:cs="Times New Roman"/>
          <w:b/>
          <w:color w:val="000000"/>
          <w:sz w:val="24"/>
          <w:szCs w:val="24"/>
        </w:rPr>
        <w:t>4.2</w:t>
      </w:r>
      <w:r w:rsidRPr="003E63F7">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parāda scenāriju analīze</w:t>
      </w:r>
      <w:r>
        <w:rPr>
          <w:rFonts w:ascii="Times New Roman" w:hAnsi="Times New Roman" w:cs="Times New Roman"/>
          <w:color w:val="000000"/>
          <w:sz w:val="24"/>
          <w:szCs w:val="24"/>
        </w:rPr>
        <w:br/>
        <w:t xml:space="preserve"> </w:t>
      </w:r>
      <w:r w:rsidRPr="003E0450">
        <w:rPr>
          <w:rFonts w:ascii="Times New Roman" w:hAnsi="Times New Roman" w:cs="Times New Roman"/>
          <w:color w:val="000000"/>
          <w:szCs w:val="24"/>
        </w:rPr>
        <w:t>(</w:t>
      </w:r>
      <w:r>
        <w:rPr>
          <w:rFonts w:ascii="Times New Roman" w:hAnsi="Times New Roman" w:cs="Times New Roman"/>
          <w:i/>
          <w:color w:val="000000"/>
          <w:szCs w:val="24"/>
        </w:rPr>
        <w:t xml:space="preserve">zilā līkne attēlos - vispārējās valdības parāda prognoze 2036.gadā, atkarībā no mainīgo vērtībām; ar sarkano punktu </w:t>
      </w:r>
      <w:r w:rsidR="00E674C0">
        <w:rPr>
          <w:rFonts w:ascii="Times New Roman" w:hAnsi="Times New Roman" w:cs="Times New Roman"/>
          <w:i/>
          <w:color w:val="000000"/>
          <w:szCs w:val="24"/>
        </w:rPr>
        <w:t>attēlots vispārējās valdības parāds % no IKP, izmantojot mainīgo 10 gadu vidējās vērtības</w:t>
      </w:r>
      <w:r w:rsidR="00E674C0" w:rsidRPr="003E0450">
        <w:rPr>
          <w:rFonts w:ascii="Times New Roman" w:hAnsi="Times New Roman" w:cs="Times New Roman"/>
          <w:color w:val="000000"/>
          <w:szCs w:val="24"/>
        </w:rPr>
        <w:t>)</w:t>
      </w:r>
    </w:p>
    <w:p w14:paraId="1B3C8D36" w14:textId="77777777" w:rsidR="00497710" w:rsidRDefault="00497710" w:rsidP="00E674C0">
      <w:pPr>
        <w:spacing w:after="0" w:line="240" w:lineRule="auto"/>
        <w:jc w:val="center"/>
        <w:rPr>
          <w:rFonts w:ascii="Times New Roman" w:hAnsi="Times New Roman" w:cs="Times New Roman"/>
          <w:color w:val="000000"/>
          <w:sz w:val="24"/>
          <w:szCs w:val="24"/>
        </w:rPr>
      </w:pPr>
    </w:p>
    <w:p w14:paraId="7D0217CC" w14:textId="38ADAD61"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Scenāriju analīzes rezultāti demonstrē, ka arī nelielas izmaiņas pieņēmumos var būtiski ietekmēt vidējo parāda vērtību. Izstrādājot parāda prognozes</w:t>
      </w:r>
      <w:r w:rsidR="00550080">
        <w:rPr>
          <w:rFonts w:ascii="Times New Roman" w:hAnsi="Times New Roman" w:cs="Times New Roman"/>
          <w:sz w:val="24"/>
          <w:szCs w:val="24"/>
        </w:rPr>
        <w:t>,</w:t>
      </w:r>
      <w:r>
        <w:rPr>
          <w:rFonts w:ascii="Times New Roman" w:hAnsi="Times New Roman" w:cs="Times New Roman"/>
          <w:sz w:val="24"/>
          <w:szCs w:val="24"/>
        </w:rPr>
        <w:t xml:space="preserve"> efektīvā procentu likme tika noteikta 2,4% apmērā, kas ir piesardzīgs pieņēmums, jo 2022.gadā efektīvā procentu likme bija 1,2%. Faktiski daļējs procentu likmju pieaugums ir iestrādāts parāda ilgtspējas analīzē. 2023.gada 5.jūlijā VK emitēja eiroobligācijas 750 milj. </w:t>
      </w:r>
      <w:proofErr w:type="spellStart"/>
      <w:r w:rsidRPr="009E02D8">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apmērā ar ienesīgumu 3,9%, kas ir virs iestrādātās efektīvās procentu likmes prognozes, taču jāņem vērā kopējais valsts parāda portfelis, kura efektīvā procentu likme pieaug pakāpeniski no 1,2% 2022.gadā. </w:t>
      </w:r>
    </w:p>
    <w:p w14:paraId="5457DC61" w14:textId="771530A4"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Vispārējās valdības parāda prognožu izstrādē tika izmantots IKP pieauguma temps faktiskajās cenās 6,0% gadā. Jāņem vērā, ka IKP pieauguma tempam, no prognozēšanā izmantotajiem mainīgajiem, ir lielākā standartnovirze – IKP pieauguma tempam ir izteiktas svārstības. Piemēram, 2009.gadā, finanšu krīzes zemākajā punktā, IKP uzrādīja kritumu 22,5% procentu apmērā, savukārt 2022.gadā augstas inflācijas apstākļos, IKP faktiskajās cenās pieauga par 16,2%.</w:t>
      </w:r>
    </w:p>
    <w:p w14:paraId="49AE4509" w14:textId="00AFF63B"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Primārās budžeta bilances 10 gadu vidējā vērtība ir -1,3% no IKP. Atgūstoties pēc finanšu krīzes, primārās budžeta bilances vērtība kopš 2012.gada nebija noslīdējusi zem -0,3% no IKP. Tomēr sākot ar 2020.gadu, primārā budžeta bilancē veidojās lielāks deficīts. 2020.gadā primārās budžeta bilances deficīts bija 3,7% no IKP, 2021.gadā 6,6% no IKP un 2022.gada 3,9% no IKP, kas skaidrojams valsts atbalstu gan iedzīvotājiem, gan uzņēmumiem Covid-19 pandēmijas un augsto energoresursu cenu laikā. Atbilstoši aktuālākajām FM novērtējumam 2023.gadā primārajā budžeta bilancē būs deficīts </w:t>
      </w:r>
      <w:r w:rsidR="00E674C0" w:rsidRPr="002601DB">
        <w:rPr>
          <w:rFonts w:ascii="Times New Roman" w:hAnsi="Times New Roman" w:cs="Times New Roman"/>
          <w:sz w:val="24"/>
          <w:szCs w:val="24"/>
        </w:rPr>
        <w:t>2,0</w:t>
      </w:r>
      <w:r w:rsidRPr="002601DB">
        <w:rPr>
          <w:rFonts w:ascii="Times New Roman" w:hAnsi="Times New Roman" w:cs="Times New Roman"/>
          <w:sz w:val="24"/>
          <w:szCs w:val="24"/>
        </w:rPr>
        <w:t>%</w:t>
      </w:r>
      <w:r>
        <w:rPr>
          <w:rFonts w:ascii="Times New Roman" w:hAnsi="Times New Roman" w:cs="Times New Roman"/>
          <w:sz w:val="24"/>
          <w:szCs w:val="24"/>
        </w:rPr>
        <w:t xml:space="preserve"> no IKP. Pakāpeniski primārās budžeta bilances deficīts samazināsies un sasniegs pirms Covid-19 pandēmijas vērtības.</w:t>
      </w:r>
    </w:p>
    <w:p w14:paraId="4E5D7334" w14:textId="3E08ED64" w:rsidR="00F77752" w:rsidRDefault="00497710" w:rsidP="00BA58D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Papildus jāvērš uzmanība, ka ietekme uz vispārējās valdības parāda prognozēm tika novērtēta, izmantojot </w:t>
      </w:r>
      <w:proofErr w:type="spellStart"/>
      <w:r w:rsidRPr="00CC6A1A">
        <w:rPr>
          <w:rFonts w:ascii="Times New Roman" w:hAnsi="Times New Roman" w:cs="Times New Roman"/>
          <w:i/>
          <w:iCs/>
          <w:sz w:val="24"/>
          <w:szCs w:val="24"/>
        </w:rPr>
        <w:t>ceteris</w:t>
      </w:r>
      <w:proofErr w:type="spellEnd"/>
      <w:r w:rsidRPr="00CC6A1A">
        <w:rPr>
          <w:rFonts w:ascii="Times New Roman" w:hAnsi="Times New Roman" w:cs="Times New Roman"/>
          <w:i/>
          <w:iCs/>
          <w:sz w:val="24"/>
          <w:szCs w:val="24"/>
        </w:rPr>
        <w:t xml:space="preserve"> </w:t>
      </w:r>
      <w:proofErr w:type="spellStart"/>
      <w:r w:rsidRPr="00CC6A1A">
        <w:rPr>
          <w:rFonts w:ascii="Times New Roman" w:hAnsi="Times New Roman" w:cs="Times New Roman"/>
          <w:i/>
          <w:iCs/>
          <w:sz w:val="24"/>
          <w:szCs w:val="24"/>
        </w:rPr>
        <w:t>paribus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principu, t.i. mainīgie neatkarīgi ietekmē vispārējās valdības parādu. Piemēram, novērtējot kā mainīsies parāda prognoze, ja IKP pieauguma temps mainīsies, pārējie mainīgie paliek konstanti.</w:t>
      </w:r>
    </w:p>
    <w:p w14:paraId="1DA79588" w14:textId="1ACE58D6" w:rsidR="00F77752" w:rsidRPr="00497710" w:rsidRDefault="00F77752" w:rsidP="0058124B">
      <w:pPr>
        <w:pStyle w:val="Heading1"/>
        <w:numPr>
          <w:ilvl w:val="0"/>
          <w:numId w:val="4"/>
        </w:numPr>
        <w:jc w:val="center"/>
        <w:rPr>
          <w:rFonts w:ascii="Times New Roman" w:hAnsi="Times New Roman" w:cs="Times New Roman"/>
          <w:sz w:val="24"/>
          <w:szCs w:val="28"/>
        </w:rPr>
      </w:pPr>
      <w:bookmarkStart w:id="305" w:name="_Toc142388049"/>
      <w:r w:rsidRPr="00497710">
        <w:rPr>
          <w:rFonts w:ascii="Times New Roman" w:hAnsi="Times New Roman" w:cs="Times New Roman"/>
          <w:sz w:val="24"/>
          <w:szCs w:val="28"/>
        </w:rPr>
        <w:lastRenderedPageBreak/>
        <w:t>Energoresursu cenu ārkārtējā pieauguma ietekme uz publiskajām finansēm</w:t>
      </w:r>
      <w:bookmarkEnd w:id="305"/>
    </w:p>
    <w:p w14:paraId="6BACA50E" w14:textId="6D25878C" w:rsidR="00F47332" w:rsidRPr="00F47332" w:rsidRDefault="00016822"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Iepriekšējā</w:t>
      </w:r>
      <w:r w:rsidR="00B70754" w:rsidRPr="0058124B">
        <w:rPr>
          <w:rFonts w:ascii="Times New Roman" w:hAnsi="Times New Roman" w:cs="Times New Roman"/>
          <w:sz w:val="24"/>
          <w:szCs w:val="24"/>
        </w:rPr>
        <w:t xml:space="preserve"> deklarācijā</w:t>
      </w:r>
      <w:r>
        <w:rPr>
          <w:rStyle w:val="FootnoteReference"/>
          <w:rFonts w:ascii="Times New Roman" w:hAnsi="Times New Roman" w:cs="Times New Roman"/>
          <w:sz w:val="24"/>
          <w:szCs w:val="24"/>
        </w:rPr>
        <w:footnoteReference w:id="29"/>
      </w:r>
      <w:r w:rsidR="00B70754" w:rsidRPr="0058124B">
        <w:rPr>
          <w:rFonts w:ascii="Times New Roman" w:hAnsi="Times New Roman" w:cs="Times New Roman"/>
          <w:sz w:val="24"/>
          <w:szCs w:val="24"/>
        </w:rPr>
        <w:t xml:space="preserve"> tik</w:t>
      </w:r>
      <w:r w:rsidR="00F47332">
        <w:rPr>
          <w:rFonts w:ascii="Times New Roman" w:hAnsi="Times New Roman" w:cs="Times New Roman"/>
          <w:sz w:val="24"/>
          <w:szCs w:val="24"/>
        </w:rPr>
        <w:t>a</w:t>
      </w:r>
      <w:r w:rsidR="00B70754" w:rsidRPr="0058124B">
        <w:rPr>
          <w:rFonts w:ascii="Times New Roman" w:hAnsi="Times New Roman" w:cs="Times New Roman"/>
          <w:sz w:val="24"/>
          <w:szCs w:val="24"/>
        </w:rPr>
        <w:t xml:space="preserve"> iekļauta jauna sadaļa par energoresursu cenu ārkārtējā pieauguma ietekmi uz publiskajām finansēm, ņemot vērā, ka cenu </w:t>
      </w:r>
      <w:r w:rsidR="00EC7C96">
        <w:rPr>
          <w:rFonts w:ascii="Times New Roman" w:hAnsi="Times New Roman" w:cs="Times New Roman"/>
          <w:sz w:val="24"/>
          <w:szCs w:val="24"/>
        </w:rPr>
        <w:t>lēciens, kas transformējies reti pieredzētā inflācijas līmenī</w:t>
      </w:r>
      <w:r w:rsidR="002B70DD">
        <w:rPr>
          <w:rFonts w:ascii="Times New Roman" w:hAnsi="Times New Roman" w:cs="Times New Roman"/>
          <w:sz w:val="24"/>
          <w:szCs w:val="24"/>
        </w:rPr>
        <w:t xml:space="preserve"> un </w:t>
      </w:r>
      <w:r w:rsidR="00B70754" w:rsidRPr="0058124B">
        <w:rPr>
          <w:rFonts w:ascii="Times New Roman" w:hAnsi="Times New Roman" w:cs="Times New Roman"/>
          <w:sz w:val="24"/>
          <w:szCs w:val="24"/>
        </w:rPr>
        <w:t>ir izraisījis plašu krīzi, kuras negatīvo efektu mazināšanai ES dalībvalstis, tajā skaitā Latvija, ir sniegušas nozīmīgu valsts atbalstu</w:t>
      </w:r>
      <w:r w:rsidR="00EC7C96">
        <w:rPr>
          <w:rFonts w:ascii="Times New Roman" w:hAnsi="Times New Roman" w:cs="Times New Roman"/>
          <w:sz w:val="24"/>
          <w:szCs w:val="24"/>
        </w:rPr>
        <w:t xml:space="preserve"> ar mērķi</w:t>
      </w:r>
      <w:r w:rsidR="00B70754" w:rsidRPr="0058124B">
        <w:rPr>
          <w:rFonts w:ascii="Times New Roman" w:hAnsi="Times New Roman" w:cs="Times New Roman"/>
          <w:sz w:val="24"/>
          <w:szCs w:val="24"/>
        </w:rPr>
        <w:t xml:space="preserve"> saglabāt reģiona uzņēmumu dzīvotspēju un konkurētspēju, kā arī </w:t>
      </w:r>
      <w:r w:rsidR="002B70DD">
        <w:rPr>
          <w:rFonts w:ascii="Times New Roman" w:hAnsi="Times New Roman" w:cs="Times New Roman"/>
          <w:sz w:val="24"/>
          <w:szCs w:val="24"/>
        </w:rPr>
        <w:t>mazināt</w:t>
      </w:r>
      <w:r w:rsidR="00B70754" w:rsidRPr="0058124B">
        <w:rPr>
          <w:rFonts w:ascii="Times New Roman" w:hAnsi="Times New Roman" w:cs="Times New Roman"/>
          <w:sz w:val="24"/>
          <w:szCs w:val="24"/>
        </w:rPr>
        <w:t xml:space="preserve"> iedzīvotāju labklājības kritumu. </w:t>
      </w:r>
      <w:r w:rsidR="00F47332">
        <w:rPr>
          <w:rFonts w:ascii="Times New Roman" w:hAnsi="Times New Roman" w:cs="Times New Roman"/>
          <w:sz w:val="24"/>
          <w:szCs w:val="24"/>
        </w:rPr>
        <w:t>Š</w:t>
      </w:r>
      <w:r w:rsidR="00F47332" w:rsidRPr="00F47332">
        <w:rPr>
          <w:rFonts w:ascii="Times New Roman" w:hAnsi="Times New Roman" w:cs="Times New Roman"/>
          <w:sz w:val="24"/>
          <w:szCs w:val="24"/>
        </w:rPr>
        <w:t xml:space="preserve">āda makro šoka negatīvo efektu mazināšanai ir izveidots specifisks tiesiskais regulējums ar tam paredzēto finansēšanas mehānismu, kas balstās uz aizņemtajiem resursiem, un tas ir ārpus fiskālo risku vadības sistēmas FDL izpratnē, </w:t>
      </w:r>
      <w:r w:rsidR="00F47332">
        <w:rPr>
          <w:rFonts w:ascii="Times New Roman" w:hAnsi="Times New Roman" w:cs="Times New Roman"/>
          <w:sz w:val="24"/>
          <w:szCs w:val="24"/>
        </w:rPr>
        <w:t xml:space="preserve">tomēr </w:t>
      </w:r>
      <w:r w:rsidR="00F47332" w:rsidRPr="00F47332">
        <w:rPr>
          <w:rFonts w:ascii="Times New Roman" w:hAnsi="Times New Roman" w:cs="Times New Roman"/>
          <w:sz w:val="24"/>
          <w:szCs w:val="24"/>
        </w:rPr>
        <w:t xml:space="preserve">šādu šoku efekti uz valsts fiskālajiem rādītājiem </w:t>
      </w:r>
      <w:r w:rsidR="00F47332">
        <w:rPr>
          <w:rFonts w:ascii="Times New Roman" w:hAnsi="Times New Roman" w:cs="Times New Roman"/>
          <w:sz w:val="24"/>
          <w:szCs w:val="24"/>
        </w:rPr>
        <w:t>tiek analizēti</w:t>
      </w:r>
      <w:r w:rsidR="00F47332" w:rsidRPr="00F47332">
        <w:rPr>
          <w:rFonts w:ascii="Times New Roman" w:hAnsi="Times New Roman" w:cs="Times New Roman"/>
          <w:sz w:val="24"/>
          <w:szCs w:val="24"/>
        </w:rPr>
        <w:t xml:space="preserve"> un iespēju robežās mazin</w:t>
      </w:r>
      <w:r w:rsidR="00F47332">
        <w:rPr>
          <w:rFonts w:ascii="Times New Roman" w:hAnsi="Times New Roman" w:cs="Times New Roman"/>
          <w:sz w:val="24"/>
          <w:szCs w:val="24"/>
        </w:rPr>
        <w:t>āti</w:t>
      </w:r>
      <w:r w:rsidR="00F47332" w:rsidRPr="00F47332">
        <w:rPr>
          <w:rFonts w:ascii="Times New Roman" w:hAnsi="Times New Roman" w:cs="Times New Roman"/>
          <w:sz w:val="24"/>
          <w:szCs w:val="24"/>
        </w:rPr>
        <w:t xml:space="preserve">. </w:t>
      </w:r>
    </w:p>
    <w:p w14:paraId="5A65A6D5" w14:textId="77777777" w:rsidR="00212563" w:rsidRPr="00607ADB" w:rsidRDefault="00212563" w:rsidP="002601DB">
      <w:pPr>
        <w:spacing w:after="0" w:line="240" w:lineRule="auto"/>
        <w:ind w:firstLine="720"/>
        <w:jc w:val="both"/>
        <w:rPr>
          <w:rFonts w:ascii="Times New Roman" w:hAnsi="Times New Roman" w:cs="Times New Roman"/>
          <w:sz w:val="24"/>
          <w:szCs w:val="24"/>
        </w:rPr>
      </w:pPr>
      <w:r w:rsidRPr="00607ADB">
        <w:rPr>
          <w:rFonts w:ascii="Times New Roman" w:hAnsi="Times New Roman" w:cs="Times New Roman"/>
          <w:sz w:val="24"/>
          <w:szCs w:val="24"/>
        </w:rPr>
        <w:t xml:space="preserve">Nozīmīgākais atbalsta </w:t>
      </w:r>
      <w:r>
        <w:rPr>
          <w:rFonts w:ascii="Times New Roman" w:hAnsi="Times New Roman" w:cs="Times New Roman"/>
          <w:sz w:val="24"/>
          <w:szCs w:val="24"/>
        </w:rPr>
        <w:t xml:space="preserve">augsto enerģijas cenu ietekmes mazināšanai </w:t>
      </w:r>
      <w:r w:rsidRPr="00607ADB">
        <w:rPr>
          <w:rFonts w:ascii="Times New Roman" w:hAnsi="Times New Roman" w:cs="Times New Roman"/>
          <w:sz w:val="24"/>
          <w:szCs w:val="24"/>
        </w:rPr>
        <w:t>apjoms ir attiecināms uz 2022.gadu (1,</w:t>
      </w:r>
      <w:r>
        <w:rPr>
          <w:rFonts w:ascii="Times New Roman" w:hAnsi="Times New Roman" w:cs="Times New Roman"/>
          <w:sz w:val="24"/>
          <w:szCs w:val="24"/>
        </w:rPr>
        <w:t>5</w:t>
      </w:r>
      <w:r w:rsidRPr="00607ADB">
        <w:rPr>
          <w:rFonts w:ascii="Times New Roman" w:hAnsi="Times New Roman" w:cs="Times New Roman"/>
          <w:sz w:val="24"/>
          <w:szCs w:val="24"/>
        </w:rPr>
        <w:t xml:space="preserve"> % no IKP jeb 604 milj. </w:t>
      </w:r>
      <w:proofErr w:type="spellStart"/>
      <w:r w:rsidRPr="00607ADB">
        <w:rPr>
          <w:rFonts w:ascii="Times New Roman" w:hAnsi="Times New Roman" w:cs="Times New Roman"/>
          <w:i/>
          <w:iCs/>
          <w:sz w:val="24"/>
          <w:szCs w:val="24"/>
        </w:rPr>
        <w:t>euro</w:t>
      </w:r>
      <w:proofErr w:type="spellEnd"/>
      <w:r w:rsidRPr="00607ADB">
        <w:rPr>
          <w:rFonts w:ascii="Times New Roman" w:hAnsi="Times New Roman" w:cs="Times New Roman"/>
          <w:sz w:val="24"/>
          <w:szCs w:val="24"/>
        </w:rPr>
        <w:t xml:space="preserve">). </w:t>
      </w:r>
      <w:r>
        <w:rPr>
          <w:rFonts w:ascii="Times New Roman" w:hAnsi="Times New Roman" w:cs="Times New Roman"/>
          <w:sz w:val="24"/>
          <w:szCs w:val="24"/>
        </w:rPr>
        <w:t xml:space="preserve">Kaut arī </w:t>
      </w:r>
      <w:r w:rsidRPr="00607ADB">
        <w:rPr>
          <w:rFonts w:ascii="Times New Roman" w:hAnsi="Times New Roman" w:cs="Times New Roman"/>
          <w:sz w:val="24"/>
          <w:szCs w:val="24"/>
        </w:rPr>
        <w:t>2023.gadam plānotā atbalst</w:t>
      </w:r>
      <w:r>
        <w:rPr>
          <w:rFonts w:ascii="Times New Roman" w:hAnsi="Times New Roman" w:cs="Times New Roman"/>
          <w:sz w:val="24"/>
          <w:szCs w:val="24"/>
        </w:rPr>
        <w:t>a</w:t>
      </w:r>
      <w:r w:rsidRPr="00607ADB">
        <w:rPr>
          <w:rFonts w:ascii="Times New Roman" w:hAnsi="Times New Roman" w:cs="Times New Roman"/>
          <w:sz w:val="24"/>
          <w:szCs w:val="24"/>
        </w:rPr>
        <w:t xml:space="preserve"> apjoms pārsniedz 2022.gadā šim nolūkam izlietoto finansējuma apjomu, atbilstoši FM novērtējumam līdz 2023.gada 30.</w:t>
      </w:r>
      <w:r>
        <w:rPr>
          <w:rFonts w:ascii="Times New Roman" w:hAnsi="Times New Roman" w:cs="Times New Roman"/>
          <w:sz w:val="24"/>
          <w:szCs w:val="24"/>
        </w:rPr>
        <w:t>jūnijam</w:t>
      </w:r>
      <w:r w:rsidRPr="00607ADB">
        <w:rPr>
          <w:rFonts w:ascii="Times New Roman" w:hAnsi="Times New Roman" w:cs="Times New Roman"/>
          <w:sz w:val="24"/>
          <w:szCs w:val="24"/>
        </w:rPr>
        <w:t xml:space="preserve"> ir </w:t>
      </w:r>
      <w:r w:rsidRPr="003D6B94">
        <w:rPr>
          <w:rFonts w:ascii="Times New Roman" w:hAnsi="Times New Roman" w:cs="Times New Roman"/>
          <w:sz w:val="24"/>
          <w:szCs w:val="24"/>
        </w:rPr>
        <w:t>i</w:t>
      </w:r>
      <w:r w:rsidRPr="00F56613">
        <w:rPr>
          <w:rFonts w:ascii="Times New Roman" w:hAnsi="Times New Roman" w:cs="Times New Roman"/>
          <w:sz w:val="24"/>
          <w:szCs w:val="24"/>
        </w:rPr>
        <w:t>z</w:t>
      </w:r>
      <w:r w:rsidRPr="003D6B94">
        <w:rPr>
          <w:rFonts w:ascii="Times New Roman" w:hAnsi="Times New Roman" w:cs="Times New Roman"/>
          <w:sz w:val="24"/>
          <w:szCs w:val="24"/>
        </w:rPr>
        <w:t>lietoti</w:t>
      </w:r>
      <w:r w:rsidRPr="00607ADB">
        <w:rPr>
          <w:rFonts w:ascii="Times New Roman" w:hAnsi="Times New Roman" w:cs="Times New Roman"/>
          <w:sz w:val="24"/>
          <w:szCs w:val="24"/>
        </w:rPr>
        <w:t xml:space="preserve"> nepilni 41</w:t>
      </w:r>
      <w:r>
        <w:rPr>
          <w:rFonts w:ascii="Times New Roman" w:hAnsi="Times New Roman" w:cs="Times New Roman"/>
          <w:sz w:val="24"/>
          <w:szCs w:val="24"/>
        </w:rPr>
        <w:t>7</w:t>
      </w:r>
      <w:r w:rsidRPr="00607ADB">
        <w:rPr>
          <w:rFonts w:ascii="Times New Roman" w:hAnsi="Times New Roman" w:cs="Times New Roman"/>
          <w:sz w:val="24"/>
          <w:szCs w:val="24"/>
        </w:rPr>
        <w:t xml:space="preserve"> milj. </w:t>
      </w:r>
      <w:proofErr w:type="spellStart"/>
      <w:r w:rsidRPr="00607ADB">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(1% no IKP)</w:t>
      </w:r>
      <w:r w:rsidRPr="00607ADB">
        <w:rPr>
          <w:rFonts w:ascii="Times New Roman" w:hAnsi="Times New Roman" w:cs="Times New Roman"/>
          <w:sz w:val="24"/>
          <w:szCs w:val="24"/>
        </w:rPr>
        <w:t xml:space="preserve">.  </w:t>
      </w:r>
    </w:p>
    <w:p w14:paraId="114B6974" w14:textId="28AB356C" w:rsidR="00607ADB" w:rsidRPr="00607ADB" w:rsidRDefault="006F08FE"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EK</w:t>
      </w:r>
      <w:r w:rsidR="007D6131">
        <w:rPr>
          <w:rFonts w:ascii="Times New Roman" w:hAnsi="Times New Roman" w:cs="Times New Roman"/>
          <w:sz w:val="24"/>
          <w:szCs w:val="24"/>
        </w:rPr>
        <w:t xml:space="preserve"> 2023.gada pavasara prognozē</w:t>
      </w:r>
      <w:r w:rsidR="007D6131">
        <w:rPr>
          <w:rStyle w:val="FootnoteReference"/>
          <w:rFonts w:ascii="Times New Roman" w:hAnsi="Times New Roman" w:cs="Times New Roman"/>
          <w:sz w:val="24"/>
          <w:szCs w:val="24"/>
        </w:rPr>
        <w:footnoteReference w:id="30"/>
      </w:r>
      <w:r w:rsidR="007D6131">
        <w:rPr>
          <w:rFonts w:ascii="Times New Roman" w:hAnsi="Times New Roman" w:cs="Times New Roman"/>
          <w:sz w:val="24"/>
          <w:szCs w:val="24"/>
        </w:rPr>
        <w:t xml:space="preserve"> atzīmē, ka Latvijā 2023.gadā </w:t>
      </w:r>
      <w:r w:rsidR="007D6131" w:rsidRPr="007D6131">
        <w:rPr>
          <w:rFonts w:ascii="Times New Roman" w:hAnsi="Times New Roman" w:cs="Times New Roman"/>
          <w:sz w:val="24"/>
          <w:szCs w:val="24"/>
        </w:rPr>
        <w:t>deficīts samazināsies</w:t>
      </w:r>
      <w:r w:rsidR="007D6131">
        <w:rPr>
          <w:rFonts w:ascii="Times New Roman" w:hAnsi="Times New Roman" w:cs="Times New Roman"/>
          <w:sz w:val="24"/>
          <w:szCs w:val="24"/>
        </w:rPr>
        <w:t xml:space="preserve">, jo </w:t>
      </w:r>
      <w:r w:rsidR="007D6131" w:rsidRPr="007D6131">
        <w:rPr>
          <w:rFonts w:ascii="Times New Roman" w:hAnsi="Times New Roman" w:cs="Times New Roman"/>
          <w:sz w:val="24"/>
          <w:szCs w:val="24"/>
        </w:rPr>
        <w:t xml:space="preserve">pakāpeniski </w:t>
      </w:r>
      <w:r w:rsidR="007D6131">
        <w:rPr>
          <w:rFonts w:ascii="Times New Roman" w:hAnsi="Times New Roman" w:cs="Times New Roman"/>
          <w:sz w:val="24"/>
          <w:szCs w:val="24"/>
        </w:rPr>
        <w:t xml:space="preserve">tiks </w:t>
      </w:r>
      <w:r w:rsidR="007D6131" w:rsidRPr="007D6131">
        <w:rPr>
          <w:rFonts w:ascii="Times New Roman" w:hAnsi="Times New Roman" w:cs="Times New Roman"/>
          <w:sz w:val="24"/>
          <w:szCs w:val="24"/>
        </w:rPr>
        <w:t>pārtrau</w:t>
      </w:r>
      <w:r w:rsidR="007D6131">
        <w:rPr>
          <w:rFonts w:ascii="Times New Roman" w:hAnsi="Times New Roman" w:cs="Times New Roman"/>
          <w:sz w:val="24"/>
          <w:szCs w:val="24"/>
        </w:rPr>
        <w:t>kta</w:t>
      </w:r>
      <w:r w:rsidR="007D6131" w:rsidRPr="007D6131">
        <w:rPr>
          <w:rFonts w:ascii="Times New Roman" w:hAnsi="Times New Roman" w:cs="Times New Roman"/>
          <w:sz w:val="24"/>
          <w:szCs w:val="24"/>
        </w:rPr>
        <w:t xml:space="preserve"> lielāk</w:t>
      </w:r>
      <w:r w:rsidR="007D6131">
        <w:rPr>
          <w:rFonts w:ascii="Times New Roman" w:hAnsi="Times New Roman" w:cs="Times New Roman"/>
          <w:sz w:val="24"/>
          <w:szCs w:val="24"/>
        </w:rPr>
        <w:t xml:space="preserve">ā </w:t>
      </w:r>
      <w:r w:rsidR="007D6131" w:rsidRPr="007D6131">
        <w:rPr>
          <w:rFonts w:ascii="Times New Roman" w:hAnsi="Times New Roman" w:cs="Times New Roman"/>
          <w:sz w:val="24"/>
          <w:szCs w:val="24"/>
        </w:rPr>
        <w:t>daļ</w:t>
      </w:r>
      <w:r w:rsidR="007D6131">
        <w:rPr>
          <w:rFonts w:ascii="Times New Roman" w:hAnsi="Times New Roman" w:cs="Times New Roman"/>
          <w:sz w:val="24"/>
          <w:szCs w:val="24"/>
        </w:rPr>
        <w:t>a</w:t>
      </w:r>
      <w:r w:rsidR="007D6131" w:rsidRPr="007D6131">
        <w:rPr>
          <w:rFonts w:ascii="Times New Roman" w:hAnsi="Times New Roman" w:cs="Times New Roman"/>
          <w:sz w:val="24"/>
          <w:szCs w:val="24"/>
        </w:rPr>
        <w:t xml:space="preserve"> ar pandēmiju saistītā atbalsta,</w:t>
      </w:r>
      <w:r w:rsidR="007D6131">
        <w:rPr>
          <w:rFonts w:ascii="Times New Roman" w:hAnsi="Times New Roman" w:cs="Times New Roman"/>
          <w:sz w:val="24"/>
          <w:szCs w:val="24"/>
        </w:rPr>
        <w:t xml:space="preserve"> </w:t>
      </w:r>
      <w:r w:rsidR="007D6131" w:rsidRPr="007D6131">
        <w:rPr>
          <w:rFonts w:ascii="Times New Roman" w:hAnsi="Times New Roman" w:cs="Times New Roman"/>
          <w:sz w:val="24"/>
          <w:szCs w:val="24"/>
        </w:rPr>
        <w:t xml:space="preserve">nedaudz mazāka </w:t>
      </w:r>
      <w:r w:rsidR="007D6131">
        <w:rPr>
          <w:rFonts w:ascii="Times New Roman" w:hAnsi="Times New Roman" w:cs="Times New Roman"/>
          <w:sz w:val="24"/>
          <w:szCs w:val="24"/>
        </w:rPr>
        <w:t xml:space="preserve">tiek </w:t>
      </w:r>
      <w:r w:rsidR="007D6131" w:rsidRPr="007D6131">
        <w:rPr>
          <w:rFonts w:ascii="Times New Roman" w:hAnsi="Times New Roman" w:cs="Times New Roman"/>
          <w:sz w:val="24"/>
          <w:szCs w:val="24"/>
        </w:rPr>
        <w:t>prognozēt</w:t>
      </w:r>
      <w:r w:rsidR="007D6131">
        <w:rPr>
          <w:rFonts w:ascii="Times New Roman" w:hAnsi="Times New Roman" w:cs="Times New Roman"/>
          <w:sz w:val="24"/>
          <w:szCs w:val="24"/>
        </w:rPr>
        <w:t>a</w:t>
      </w:r>
      <w:r w:rsidR="007D6131" w:rsidRPr="007D6131">
        <w:rPr>
          <w:rFonts w:ascii="Times New Roman" w:hAnsi="Times New Roman" w:cs="Times New Roman"/>
          <w:sz w:val="24"/>
          <w:szCs w:val="24"/>
        </w:rPr>
        <w:t xml:space="preserve"> fiskālā ietekme no pasākumiem, kas paredzēti, lai mazinātu augsto enerģijas cenu</w:t>
      </w:r>
      <w:r w:rsidR="007D6131">
        <w:rPr>
          <w:rFonts w:ascii="Times New Roman" w:hAnsi="Times New Roman" w:cs="Times New Roman"/>
          <w:sz w:val="24"/>
          <w:szCs w:val="24"/>
        </w:rPr>
        <w:t xml:space="preserve"> ietekmi</w:t>
      </w:r>
      <w:r w:rsidR="00F319AE">
        <w:rPr>
          <w:rFonts w:ascii="Times New Roman" w:hAnsi="Times New Roman" w:cs="Times New Roman"/>
          <w:sz w:val="24"/>
          <w:szCs w:val="24"/>
        </w:rPr>
        <w:t>. E</w:t>
      </w:r>
      <w:r w:rsidR="00607ADB" w:rsidRPr="00607ADB">
        <w:rPr>
          <w:rFonts w:ascii="Times New Roman" w:hAnsi="Times New Roman" w:cs="Times New Roman"/>
          <w:sz w:val="24"/>
          <w:szCs w:val="24"/>
        </w:rPr>
        <w:t xml:space="preserve">nerģētikas atbalsta pasākumu neto budžeta izmaksas </w:t>
      </w:r>
      <w:r w:rsidR="00607ADB">
        <w:rPr>
          <w:rFonts w:ascii="Times New Roman" w:hAnsi="Times New Roman" w:cs="Times New Roman"/>
          <w:sz w:val="24"/>
          <w:szCs w:val="24"/>
        </w:rPr>
        <w:t xml:space="preserve">prognozētas </w:t>
      </w:r>
      <w:r w:rsidR="00607ADB" w:rsidRPr="00607ADB">
        <w:rPr>
          <w:rFonts w:ascii="Times New Roman" w:hAnsi="Times New Roman" w:cs="Times New Roman"/>
          <w:sz w:val="24"/>
          <w:szCs w:val="24"/>
        </w:rPr>
        <w:t>1,0 %</w:t>
      </w:r>
      <w:r w:rsidR="00607ADB">
        <w:rPr>
          <w:rFonts w:ascii="Times New Roman" w:hAnsi="Times New Roman" w:cs="Times New Roman"/>
          <w:sz w:val="24"/>
          <w:szCs w:val="24"/>
        </w:rPr>
        <w:t xml:space="preserve"> apmērā</w:t>
      </w:r>
      <w:r w:rsidR="00607ADB" w:rsidRPr="00607ADB">
        <w:rPr>
          <w:rFonts w:ascii="Times New Roman" w:hAnsi="Times New Roman" w:cs="Times New Roman"/>
          <w:sz w:val="24"/>
          <w:szCs w:val="24"/>
        </w:rPr>
        <w:t xml:space="preserve"> no IKP 2023</w:t>
      </w:r>
      <w:r w:rsidR="00F319AE">
        <w:rPr>
          <w:rFonts w:ascii="Times New Roman" w:hAnsi="Times New Roman" w:cs="Times New Roman"/>
          <w:sz w:val="24"/>
          <w:szCs w:val="24"/>
        </w:rPr>
        <w:t>.gadā (0,</w:t>
      </w:r>
      <w:r w:rsidR="008802BC">
        <w:rPr>
          <w:rFonts w:ascii="Times New Roman" w:hAnsi="Times New Roman" w:cs="Times New Roman"/>
          <w:sz w:val="24"/>
          <w:szCs w:val="24"/>
        </w:rPr>
        <w:t>1</w:t>
      </w:r>
      <w:r w:rsidR="00F319AE">
        <w:rPr>
          <w:rFonts w:ascii="Times New Roman" w:hAnsi="Times New Roman" w:cs="Times New Roman"/>
          <w:sz w:val="24"/>
          <w:szCs w:val="24"/>
        </w:rPr>
        <w:t>% no IKP ir mērķēti pasākumi),</w:t>
      </w:r>
      <w:r w:rsidR="00607ADB" w:rsidRPr="00607ADB">
        <w:rPr>
          <w:rFonts w:ascii="Times New Roman" w:hAnsi="Times New Roman" w:cs="Times New Roman"/>
          <w:sz w:val="24"/>
          <w:szCs w:val="24"/>
        </w:rPr>
        <w:t xml:space="preserve"> salīdzinājumā ar 1,5 % </w:t>
      </w:r>
      <w:r w:rsidR="00F319AE">
        <w:rPr>
          <w:rFonts w:ascii="Times New Roman" w:hAnsi="Times New Roman" w:cs="Times New Roman"/>
          <w:sz w:val="24"/>
          <w:szCs w:val="24"/>
        </w:rPr>
        <w:t xml:space="preserve">no IKP </w:t>
      </w:r>
      <w:r w:rsidR="00607ADB" w:rsidRPr="00607ADB">
        <w:rPr>
          <w:rFonts w:ascii="Times New Roman" w:hAnsi="Times New Roman" w:cs="Times New Roman"/>
          <w:sz w:val="24"/>
          <w:szCs w:val="24"/>
        </w:rPr>
        <w:t>2022.gadā</w:t>
      </w:r>
      <w:r w:rsidR="00F319AE">
        <w:rPr>
          <w:rFonts w:ascii="Times New Roman" w:hAnsi="Times New Roman" w:cs="Times New Roman"/>
          <w:sz w:val="24"/>
          <w:szCs w:val="24"/>
        </w:rPr>
        <w:t xml:space="preserve"> un par mērķētiem </w:t>
      </w:r>
      <w:r>
        <w:rPr>
          <w:rFonts w:ascii="Times New Roman" w:hAnsi="Times New Roman" w:cs="Times New Roman"/>
          <w:sz w:val="24"/>
          <w:szCs w:val="24"/>
        </w:rPr>
        <w:t>EK</w:t>
      </w:r>
      <w:r w:rsidR="00F319AE">
        <w:rPr>
          <w:rFonts w:ascii="Times New Roman" w:hAnsi="Times New Roman" w:cs="Times New Roman"/>
          <w:sz w:val="24"/>
          <w:szCs w:val="24"/>
        </w:rPr>
        <w:t xml:space="preserve"> atz</w:t>
      </w:r>
      <w:r w:rsidR="008802BC">
        <w:rPr>
          <w:rFonts w:ascii="Times New Roman" w:hAnsi="Times New Roman" w:cs="Times New Roman"/>
          <w:sz w:val="24"/>
          <w:szCs w:val="24"/>
        </w:rPr>
        <w:t>īst</w:t>
      </w:r>
      <w:r w:rsidR="00F319AE">
        <w:rPr>
          <w:rFonts w:ascii="Times New Roman" w:hAnsi="Times New Roman" w:cs="Times New Roman"/>
          <w:sz w:val="24"/>
          <w:szCs w:val="24"/>
        </w:rPr>
        <w:t xml:space="preserve"> pasākumus </w:t>
      </w:r>
      <w:r w:rsidR="008802BC">
        <w:rPr>
          <w:rFonts w:ascii="Times New Roman" w:hAnsi="Times New Roman" w:cs="Times New Roman"/>
          <w:sz w:val="24"/>
          <w:szCs w:val="24"/>
        </w:rPr>
        <w:t>0,5</w:t>
      </w:r>
      <w:r w:rsidR="00F319AE">
        <w:rPr>
          <w:rFonts w:ascii="Times New Roman" w:hAnsi="Times New Roman" w:cs="Times New Roman"/>
          <w:sz w:val="24"/>
          <w:szCs w:val="24"/>
        </w:rPr>
        <w:t>% no IKP</w:t>
      </w:r>
      <w:r w:rsidR="00607ADB">
        <w:rPr>
          <w:rFonts w:ascii="Times New Roman" w:hAnsi="Times New Roman" w:cs="Times New Roman"/>
          <w:sz w:val="24"/>
          <w:szCs w:val="24"/>
        </w:rPr>
        <w:t>)</w:t>
      </w:r>
      <w:r w:rsidR="00607ADB" w:rsidRPr="00607ADB">
        <w:rPr>
          <w:rFonts w:ascii="Times New Roman" w:hAnsi="Times New Roman" w:cs="Times New Roman"/>
          <w:sz w:val="24"/>
          <w:szCs w:val="24"/>
        </w:rPr>
        <w:t xml:space="preserve">. Paredzams, ka papildu deficītu samazinošu ietekmi radīs </w:t>
      </w:r>
      <w:r w:rsidR="00DB3AC9" w:rsidRPr="00607ADB">
        <w:rPr>
          <w:rFonts w:ascii="Times New Roman" w:hAnsi="Times New Roman" w:cs="Times New Roman"/>
          <w:sz w:val="24"/>
          <w:szCs w:val="24"/>
        </w:rPr>
        <w:t xml:space="preserve">dabasgāzes rezervju veidošanai </w:t>
      </w:r>
      <w:r w:rsidR="00DB3AC9">
        <w:rPr>
          <w:rFonts w:ascii="Times New Roman" w:hAnsi="Times New Roman" w:cs="Times New Roman"/>
          <w:sz w:val="24"/>
          <w:szCs w:val="24"/>
        </w:rPr>
        <w:t xml:space="preserve">paredzētā </w:t>
      </w:r>
      <w:r w:rsidR="00607ADB" w:rsidRPr="00607ADB">
        <w:rPr>
          <w:rFonts w:ascii="Times New Roman" w:hAnsi="Times New Roman" w:cs="Times New Roman"/>
          <w:sz w:val="24"/>
          <w:szCs w:val="24"/>
        </w:rPr>
        <w:t xml:space="preserve">budžeta atbalsta pārtraukšana, </w:t>
      </w:r>
      <w:r w:rsidR="00DB3AC9">
        <w:rPr>
          <w:rFonts w:ascii="Times New Roman" w:hAnsi="Times New Roman" w:cs="Times New Roman"/>
          <w:sz w:val="24"/>
          <w:szCs w:val="24"/>
        </w:rPr>
        <w:t xml:space="preserve">kas sniegts </w:t>
      </w:r>
      <w:r w:rsidR="00DB3AC9" w:rsidRPr="00607ADB">
        <w:rPr>
          <w:rFonts w:ascii="Times New Roman" w:hAnsi="Times New Roman" w:cs="Times New Roman"/>
          <w:sz w:val="24"/>
          <w:szCs w:val="24"/>
        </w:rPr>
        <w:t>2022.gadā</w:t>
      </w:r>
      <w:r w:rsidR="00DB3AC9">
        <w:rPr>
          <w:rFonts w:ascii="Times New Roman" w:hAnsi="Times New Roman" w:cs="Times New Roman"/>
          <w:sz w:val="24"/>
          <w:szCs w:val="24"/>
        </w:rPr>
        <w:t xml:space="preserve">, </w:t>
      </w:r>
      <w:r w:rsidR="00607ADB" w:rsidRPr="00607ADB">
        <w:rPr>
          <w:rFonts w:ascii="Times New Roman" w:hAnsi="Times New Roman" w:cs="Times New Roman"/>
          <w:sz w:val="24"/>
          <w:szCs w:val="24"/>
        </w:rPr>
        <w:t>lai nodrošinātu energoapgādi.</w:t>
      </w:r>
      <w:r w:rsidR="00DB3AC9">
        <w:rPr>
          <w:rFonts w:ascii="Times New Roman" w:hAnsi="Times New Roman" w:cs="Times New Roman"/>
          <w:sz w:val="24"/>
          <w:szCs w:val="24"/>
        </w:rPr>
        <w:t xml:space="preserve"> </w:t>
      </w:r>
      <w:r w:rsidR="00F319AE">
        <w:rPr>
          <w:rFonts w:ascii="Times New Roman" w:hAnsi="Times New Roman" w:cs="Times New Roman"/>
          <w:sz w:val="24"/>
          <w:szCs w:val="24"/>
        </w:rPr>
        <w:t xml:space="preserve">Attiecībā uz </w:t>
      </w:r>
      <w:r w:rsidR="00F319AE" w:rsidRPr="00607ADB">
        <w:rPr>
          <w:rFonts w:ascii="Times New Roman" w:hAnsi="Times New Roman" w:cs="Times New Roman"/>
          <w:sz w:val="24"/>
          <w:szCs w:val="24"/>
        </w:rPr>
        <w:t>2024.gad</w:t>
      </w:r>
      <w:r w:rsidR="00F319AE">
        <w:rPr>
          <w:rFonts w:ascii="Times New Roman" w:hAnsi="Times New Roman" w:cs="Times New Roman"/>
          <w:sz w:val="24"/>
          <w:szCs w:val="24"/>
        </w:rPr>
        <w:t>u</w:t>
      </w:r>
      <w:r w:rsidR="00F319AE" w:rsidRPr="00607ADB">
        <w:rPr>
          <w:rFonts w:ascii="Times New Roman" w:hAnsi="Times New Roman" w:cs="Times New Roman"/>
          <w:sz w:val="24"/>
          <w:szCs w:val="24"/>
        </w:rPr>
        <w:t xml:space="preserve"> </w:t>
      </w:r>
      <w:r w:rsidR="00F319AE">
        <w:rPr>
          <w:rFonts w:ascii="Times New Roman" w:hAnsi="Times New Roman" w:cs="Times New Roman"/>
          <w:sz w:val="24"/>
          <w:szCs w:val="24"/>
        </w:rPr>
        <w:t xml:space="preserve">arī </w:t>
      </w:r>
      <w:r>
        <w:rPr>
          <w:rFonts w:ascii="Times New Roman" w:hAnsi="Times New Roman" w:cs="Times New Roman"/>
          <w:sz w:val="24"/>
          <w:szCs w:val="24"/>
        </w:rPr>
        <w:t>EK</w:t>
      </w:r>
      <w:r w:rsidR="00F319AE" w:rsidRPr="00607ADB">
        <w:rPr>
          <w:rFonts w:ascii="Times New Roman" w:hAnsi="Times New Roman" w:cs="Times New Roman"/>
          <w:sz w:val="24"/>
          <w:szCs w:val="24"/>
        </w:rPr>
        <w:t xml:space="preserve"> pašlaik pieņem, ka </w:t>
      </w:r>
      <w:r w:rsidR="00F319AE">
        <w:rPr>
          <w:rFonts w:ascii="Times New Roman" w:hAnsi="Times New Roman" w:cs="Times New Roman"/>
          <w:sz w:val="24"/>
          <w:szCs w:val="24"/>
        </w:rPr>
        <w:t xml:space="preserve">Latvijā </w:t>
      </w:r>
      <w:r w:rsidR="00F319AE" w:rsidRPr="00607ADB">
        <w:rPr>
          <w:rFonts w:ascii="Times New Roman" w:hAnsi="Times New Roman" w:cs="Times New Roman"/>
          <w:sz w:val="24"/>
          <w:szCs w:val="24"/>
        </w:rPr>
        <w:t>tiks pilnībā izbeigti enerģijas atbalsta pasākumi</w:t>
      </w:r>
      <w:r w:rsidR="00F319AE">
        <w:rPr>
          <w:rStyle w:val="FootnoteReference"/>
          <w:rFonts w:ascii="Times New Roman" w:hAnsi="Times New Roman" w:cs="Times New Roman"/>
          <w:sz w:val="24"/>
          <w:szCs w:val="24"/>
        </w:rPr>
        <w:footnoteReference w:id="31"/>
      </w:r>
      <w:r w:rsidR="00F319AE" w:rsidRPr="00607ADB">
        <w:rPr>
          <w:rFonts w:ascii="Times New Roman" w:hAnsi="Times New Roman" w:cs="Times New Roman"/>
          <w:sz w:val="24"/>
          <w:szCs w:val="24"/>
        </w:rPr>
        <w:t>.</w:t>
      </w:r>
      <w:r w:rsidR="001A3B3B">
        <w:rPr>
          <w:rFonts w:ascii="Times New Roman" w:hAnsi="Times New Roman" w:cs="Times New Roman"/>
          <w:sz w:val="24"/>
          <w:szCs w:val="24"/>
        </w:rPr>
        <w:t xml:space="preserve"> </w:t>
      </w:r>
      <w:r>
        <w:rPr>
          <w:rFonts w:ascii="Times New Roman" w:hAnsi="Times New Roman" w:cs="Times New Roman"/>
          <w:sz w:val="24"/>
          <w:szCs w:val="24"/>
        </w:rPr>
        <w:t>EK</w:t>
      </w:r>
      <w:r w:rsidR="001A3B3B">
        <w:rPr>
          <w:rFonts w:ascii="Times New Roman" w:hAnsi="Times New Roman" w:cs="Times New Roman"/>
          <w:sz w:val="24"/>
          <w:szCs w:val="24"/>
        </w:rPr>
        <w:t xml:space="preserve"> </w:t>
      </w:r>
      <w:r>
        <w:rPr>
          <w:rFonts w:ascii="Times New Roman" w:hAnsi="Times New Roman" w:cs="Times New Roman"/>
          <w:sz w:val="24"/>
          <w:szCs w:val="24"/>
        </w:rPr>
        <w:t xml:space="preserve">2023.gada pavasara </w:t>
      </w:r>
      <w:r w:rsidR="001A3B3B">
        <w:rPr>
          <w:rFonts w:ascii="Times New Roman" w:hAnsi="Times New Roman" w:cs="Times New Roman"/>
          <w:sz w:val="24"/>
          <w:szCs w:val="24"/>
        </w:rPr>
        <w:t>prognoz</w:t>
      </w:r>
      <w:r>
        <w:rPr>
          <w:rFonts w:ascii="Times New Roman" w:hAnsi="Times New Roman" w:cs="Times New Roman"/>
          <w:sz w:val="24"/>
          <w:szCs w:val="24"/>
        </w:rPr>
        <w:t xml:space="preserve">ē </w:t>
      </w:r>
      <w:r w:rsidR="001A3B3B">
        <w:rPr>
          <w:rFonts w:ascii="Times New Roman" w:hAnsi="Times New Roman" w:cs="Times New Roman"/>
          <w:sz w:val="24"/>
          <w:szCs w:val="24"/>
        </w:rPr>
        <w:t>izmantotie</w:t>
      </w:r>
      <w:r>
        <w:rPr>
          <w:rFonts w:ascii="Times New Roman" w:hAnsi="Times New Roman" w:cs="Times New Roman"/>
          <w:sz w:val="24"/>
          <w:szCs w:val="24"/>
        </w:rPr>
        <w:t xml:space="preserve"> dati par e</w:t>
      </w:r>
      <w:r w:rsidRPr="006F08FE">
        <w:rPr>
          <w:rFonts w:ascii="Times New Roman" w:hAnsi="Times New Roman" w:cs="Times New Roman"/>
          <w:sz w:val="24"/>
          <w:szCs w:val="24"/>
        </w:rPr>
        <w:t>nerģētikas atbalsta pasākumu neto budžeta izmaks</w:t>
      </w:r>
      <w:r>
        <w:rPr>
          <w:rFonts w:ascii="Times New Roman" w:hAnsi="Times New Roman" w:cs="Times New Roman"/>
          <w:sz w:val="24"/>
          <w:szCs w:val="24"/>
        </w:rPr>
        <w:t xml:space="preserve">ām ES dalībvalstīs attēlota </w:t>
      </w:r>
      <w:r w:rsidRPr="00F56613">
        <w:rPr>
          <w:rFonts w:ascii="Times New Roman" w:hAnsi="Times New Roman" w:cs="Times New Roman"/>
          <w:sz w:val="24"/>
          <w:szCs w:val="24"/>
        </w:rPr>
        <w:t>5.1</w:t>
      </w:r>
      <w:r w:rsidR="00BC34BE" w:rsidRPr="00F56613">
        <w:rPr>
          <w:rFonts w:ascii="Times New Roman" w:hAnsi="Times New Roman" w:cs="Times New Roman"/>
          <w:sz w:val="24"/>
          <w:szCs w:val="24"/>
        </w:rPr>
        <w:t xml:space="preserve"> </w:t>
      </w:r>
      <w:r w:rsidRPr="00F56613">
        <w:rPr>
          <w:rFonts w:ascii="Times New Roman" w:hAnsi="Times New Roman" w:cs="Times New Roman"/>
          <w:sz w:val="24"/>
          <w:szCs w:val="24"/>
        </w:rPr>
        <w:t>attēlā.</w:t>
      </w:r>
      <w:r>
        <w:rPr>
          <w:rFonts w:ascii="Times New Roman" w:hAnsi="Times New Roman" w:cs="Times New Roman"/>
          <w:sz w:val="24"/>
          <w:szCs w:val="24"/>
        </w:rPr>
        <w:t xml:space="preserve"> </w:t>
      </w:r>
    </w:p>
    <w:p w14:paraId="151945A2" w14:textId="377C8792" w:rsidR="00607ADB" w:rsidRDefault="00607ADB" w:rsidP="00DB3AC9">
      <w:pPr>
        <w:spacing w:after="0"/>
        <w:jc w:val="both"/>
        <w:rPr>
          <w:rFonts w:ascii="Times New Roman" w:hAnsi="Times New Roman" w:cs="Times New Roman"/>
          <w:noProof/>
          <w:sz w:val="24"/>
          <w:szCs w:val="24"/>
        </w:rPr>
      </w:pPr>
    </w:p>
    <w:p w14:paraId="2B526C9A" w14:textId="4B2D4248" w:rsidR="00DB3AC9" w:rsidRPr="00607ADB" w:rsidRDefault="00DB3AC9" w:rsidP="00BA58D9">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43619D7" wp14:editId="6090D562">
                <wp:simplePos x="0" y="0"/>
                <wp:positionH relativeFrom="column">
                  <wp:posOffset>2420620</wp:posOffset>
                </wp:positionH>
                <wp:positionV relativeFrom="paragraph">
                  <wp:posOffset>462915</wp:posOffset>
                </wp:positionV>
                <wp:extent cx="166254" cy="1323109"/>
                <wp:effectExtent l="0" t="0" r="24765" b="10795"/>
                <wp:wrapNone/>
                <wp:docPr id="776396987" name="Rectangle: Rounded Corners 5"/>
                <wp:cNvGraphicFramePr/>
                <a:graphic xmlns:a="http://schemas.openxmlformats.org/drawingml/2006/main">
                  <a:graphicData uri="http://schemas.microsoft.com/office/word/2010/wordprocessingShape">
                    <wps:wsp>
                      <wps:cNvSpPr/>
                      <wps:spPr>
                        <a:xfrm>
                          <a:off x="0" y="0"/>
                          <a:ext cx="166254" cy="1323109"/>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6D6405CC" id="Rectangle: Rounded Corners 5" o:spid="_x0000_s1026" style="position:absolute;margin-left:190.6pt;margin-top:36.45pt;width:13.1pt;height:104.2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" filled="f" strokecolor="red" strokeweight="1pt">
                <v:stroke joinstyle="miter"/>
              </v:roundrect>
            </w:pict>
          </mc:Fallback>
        </mc:AlternateContent>
      </w:r>
      <w:r w:rsidR="00D15612">
        <w:rPr>
          <w:noProof/>
          <w:color w:val="1F497D"/>
        </w:rPr>
        <w:drawing>
          <wp:inline distT="0" distB="0" distL="0" distR="0" wp14:anchorId="6855731E" wp14:editId="50E728A6">
            <wp:extent cx="4813300" cy="1855548"/>
            <wp:effectExtent l="0" t="0" r="6350" b="0"/>
            <wp:docPr id="1235788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881743" cy="1881933"/>
                    </a:xfrm>
                    <a:prstGeom prst="rect">
                      <a:avLst/>
                    </a:prstGeom>
                    <a:noFill/>
                    <a:ln>
                      <a:noFill/>
                    </a:ln>
                  </pic:spPr>
                </pic:pic>
              </a:graphicData>
            </a:graphic>
          </wp:inline>
        </w:drawing>
      </w:r>
    </w:p>
    <w:p w14:paraId="64825652" w14:textId="2DD52541" w:rsidR="00A854CB" w:rsidRPr="00BA58D9" w:rsidRDefault="00A854CB" w:rsidP="00A142EF">
      <w:pPr>
        <w:spacing w:after="0"/>
        <w:jc w:val="both"/>
        <w:rPr>
          <w:rFonts w:ascii="Times New Roman" w:hAnsi="Times New Roman" w:cs="Times New Roman"/>
          <w:sz w:val="10"/>
          <w:szCs w:val="10"/>
          <w:highlight w:val="yellow"/>
        </w:rPr>
      </w:pPr>
    </w:p>
    <w:p w14:paraId="41D8ABD7" w14:textId="41752321" w:rsidR="001115A6" w:rsidRDefault="00DA5A38" w:rsidP="0058124B">
      <w:pPr>
        <w:spacing w:after="0"/>
        <w:ind w:firstLine="720"/>
        <w:jc w:val="center"/>
        <w:rPr>
          <w:rFonts w:ascii="Times New Roman" w:hAnsi="Times New Roman"/>
          <w:i/>
          <w:iCs/>
          <w:sz w:val="20"/>
          <w:szCs w:val="20"/>
        </w:rPr>
      </w:pPr>
      <w:r w:rsidRPr="00F56613">
        <w:rPr>
          <w:rFonts w:ascii="Times New Roman" w:hAnsi="Times New Roman" w:cs="Times New Roman"/>
          <w:b/>
          <w:color w:val="000000"/>
          <w:sz w:val="24"/>
          <w:szCs w:val="24"/>
        </w:rPr>
        <w:t>5.1.attēls.</w:t>
      </w:r>
      <w:r>
        <w:rPr>
          <w:rFonts w:ascii="Times New Roman" w:hAnsi="Times New Roman" w:cs="Times New Roman"/>
          <w:color w:val="000000"/>
          <w:sz w:val="24"/>
          <w:szCs w:val="24"/>
        </w:rPr>
        <w:t xml:space="preserve"> </w:t>
      </w:r>
      <w:r w:rsidR="006F08FE">
        <w:rPr>
          <w:rFonts w:ascii="Times New Roman" w:hAnsi="Times New Roman" w:cs="Times New Roman"/>
          <w:color w:val="000000"/>
          <w:sz w:val="24"/>
          <w:szCs w:val="24"/>
        </w:rPr>
        <w:t xml:space="preserve">Enerģētikas atbalsta </w:t>
      </w:r>
      <w:r>
        <w:rPr>
          <w:rFonts w:ascii="Times New Roman" w:hAnsi="Times New Roman" w:cs="Times New Roman"/>
          <w:color w:val="000000"/>
          <w:sz w:val="24"/>
          <w:szCs w:val="24"/>
        </w:rPr>
        <w:t xml:space="preserve">pasākumu </w:t>
      </w:r>
      <w:r w:rsidR="006F08FE">
        <w:rPr>
          <w:rFonts w:ascii="Times New Roman" w:hAnsi="Times New Roman" w:cs="Times New Roman"/>
          <w:color w:val="000000"/>
          <w:sz w:val="24"/>
          <w:szCs w:val="24"/>
        </w:rPr>
        <w:t xml:space="preserve">neto </w:t>
      </w:r>
      <w:r>
        <w:rPr>
          <w:rFonts w:ascii="Times New Roman" w:hAnsi="Times New Roman" w:cs="Times New Roman"/>
          <w:color w:val="000000"/>
          <w:sz w:val="24"/>
          <w:szCs w:val="24"/>
        </w:rPr>
        <w:t xml:space="preserve">budžeta izmaksas </w:t>
      </w:r>
      <w:r w:rsidR="00DB3AC9">
        <w:rPr>
          <w:rFonts w:ascii="Times New Roman" w:hAnsi="Times New Roman" w:cs="Times New Roman"/>
          <w:i/>
          <w:iCs/>
          <w:color w:val="000000"/>
          <w:sz w:val="24"/>
          <w:szCs w:val="24"/>
        </w:rPr>
        <w:t>ES</w:t>
      </w:r>
      <w:r w:rsidR="005B109D">
        <w:rPr>
          <w:rFonts w:ascii="Times New Roman" w:hAnsi="Times New Roman" w:cs="Times New Roman"/>
          <w:color w:val="000000"/>
          <w:sz w:val="24"/>
          <w:szCs w:val="24"/>
        </w:rPr>
        <w:t xml:space="preserve"> dalībvalstīs </w:t>
      </w:r>
      <w:r>
        <w:rPr>
          <w:rFonts w:ascii="Times New Roman" w:hAnsi="Times New Roman" w:cs="Times New Roman"/>
          <w:color w:val="000000"/>
          <w:sz w:val="24"/>
          <w:szCs w:val="24"/>
        </w:rPr>
        <w:t>202</w:t>
      </w:r>
      <w:r w:rsidR="00DB3AC9">
        <w:rPr>
          <w:rFonts w:ascii="Times New Roman" w:hAnsi="Times New Roman" w:cs="Times New Roman"/>
          <w:color w:val="000000"/>
          <w:sz w:val="24"/>
          <w:szCs w:val="24"/>
        </w:rPr>
        <w:t>2</w:t>
      </w:r>
      <w:r>
        <w:rPr>
          <w:rFonts w:ascii="Times New Roman" w:hAnsi="Times New Roman" w:cs="Times New Roman"/>
          <w:color w:val="000000"/>
          <w:sz w:val="24"/>
          <w:szCs w:val="24"/>
        </w:rPr>
        <w:t>.-202</w:t>
      </w:r>
      <w:r w:rsidR="005D2A1F">
        <w:rPr>
          <w:rFonts w:ascii="Times New Roman" w:hAnsi="Times New Roman" w:cs="Times New Roman"/>
          <w:color w:val="000000"/>
          <w:sz w:val="24"/>
          <w:szCs w:val="24"/>
        </w:rPr>
        <w:t>3</w:t>
      </w:r>
      <w:r>
        <w:rPr>
          <w:rFonts w:ascii="Times New Roman" w:hAnsi="Times New Roman" w:cs="Times New Roman"/>
          <w:color w:val="000000"/>
          <w:sz w:val="24"/>
          <w:szCs w:val="24"/>
        </w:rPr>
        <w:t>.gad</w:t>
      </w:r>
      <w:r w:rsidR="005B109D">
        <w:rPr>
          <w:rFonts w:ascii="Times New Roman" w:hAnsi="Times New Roman" w:cs="Times New Roman"/>
          <w:color w:val="000000"/>
          <w:sz w:val="24"/>
          <w:szCs w:val="24"/>
        </w:rPr>
        <w:t>am</w:t>
      </w:r>
      <w:r>
        <w:rPr>
          <w:rFonts w:ascii="Times New Roman" w:hAnsi="Times New Roman" w:cs="Times New Roman"/>
          <w:color w:val="000000"/>
          <w:sz w:val="24"/>
          <w:szCs w:val="24"/>
        </w:rPr>
        <w:t>, % no IKP</w:t>
      </w:r>
      <w:r w:rsidR="001115A6">
        <w:rPr>
          <w:rFonts w:ascii="Times New Roman" w:hAnsi="Times New Roman" w:cs="Times New Roman"/>
          <w:color w:val="000000"/>
          <w:sz w:val="24"/>
          <w:szCs w:val="24"/>
        </w:rPr>
        <w:t xml:space="preserve">. </w:t>
      </w:r>
      <w:r w:rsidR="001115A6" w:rsidRPr="0058124B">
        <w:rPr>
          <w:rFonts w:ascii="Times New Roman" w:hAnsi="Times New Roman" w:cs="Times New Roman"/>
          <w:color w:val="000000"/>
          <w:sz w:val="24"/>
          <w:szCs w:val="24"/>
        </w:rPr>
        <w:t>Avot</w:t>
      </w:r>
      <w:r w:rsidR="007079DA">
        <w:rPr>
          <w:rFonts w:ascii="Times New Roman" w:hAnsi="Times New Roman" w:cs="Times New Roman"/>
          <w:color w:val="000000"/>
          <w:sz w:val="24"/>
          <w:szCs w:val="24"/>
        </w:rPr>
        <w:t>s:</w:t>
      </w:r>
      <w:r w:rsidR="001115A6" w:rsidRPr="0058124B">
        <w:rPr>
          <w:rFonts w:ascii="Times New Roman" w:hAnsi="Times New Roman" w:cs="Times New Roman"/>
          <w:i/>
          <w:iCs/>
          <w:color w:val="000000"/>
          <w:sz w:val="24"/>
          <w:szCs w:val="24"/>
        </w:rPr>
        <w:t xml:space="preserve"> EK </w:t>
      </w:r>
      <w:r w:rsidR="00DB3AC9">
        <w:rPr>
          <w:rFonts w:ascii="Times New Roman" w:hAnsi="Times New Roman" w:cs="Times New Roman"/>
          <w:i/>
          <w:iCs/>
          <w:color w:val="000000"/>
          <w:sz w:val="24"/>
          <w:szCs w:val="24"/>
        </w:rPr>
        <w:t>2023.gada pavasara prognoze</w:t>
      </w:r>
    </w:p>
    <w:p w14:paraId="3A1675AD" w14:textId="77777777" w:rsidR="00CC74DF" w:rsidRPr="00BA58D9" w:rsidRDefault="00CC74DF" w:rsidP="002D428D">
      <w:pPr>
        <w:spacing w:after="0"/>
        <w:jc w:val="both"/>
        <w:rPr>
          <w:rFonts w:ascii="Times New Roman" w:hAnsi="Times New Roman" w:cs="Times New Roman"/>
          <w:sz w:val="20"/>
          <w:szCs w:val="20"/>
        </w:rPr>
      </w:pPr>
    </w:p>
    <w:p w14:paraId="1979AC9A" w14:textId="0972DA41" w:rsidR="001A3B3B" w:rsidRDefault="00CB39E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Padomes Ieteikumam (202</w:t>
      </w:r>
      <w:r w:rsidR="00E749FE">
        <w:rPr>
          <w:rFonts w:ascii="Times New Roman" w:hAnsi="Times New Roman" w:cs="Times New Roman"/>
          <w:sz w:val="24"/>
          <w:szCs w:val="24"/>
        </w:rPr>
        <w:t>3</w:t>
      </w:r>
      <w:r>
        <w:rPr>
          <w:rFonts w:ascii="Times New Roman" w:hAnsi="Times New Roman" w:cs="Times New Roman"/>
          <w:sz w:val="24"/>
          <w:szCs w:val="24"/>
        </w:rPr>
        <w:t xml:space="preserve">.gada </w:t>
      </w:r>
      <w:r w:rsidR="008B4212">
        <w:rPr>
          <w:rFonts w:ascii="Times New Roman" w:hAnsi="Times New Roman" w:cs="Times New Roman"/>
          <w:sz w:val="24"/>
          <w:szCs w:val="24"/>
        </w:rPr>
        <w:t>14.jūlijs</w:t>
      </w:r>
      <w:r>
        <w:rPr>
          <w:rFonts w:ascii="Times New Roman" w:hAnsi="Times New Roman" w:cs="Times New Roman"/>
          <w:sz w:val="24"/>
          <w:szCs w:val="24"/>
        </w:rPr>
        <w:t xml:space="preserve">) </w:t>
      </w:r>
      <w:r w:rsidRPr="0058124B">
        <w:rPr>
          <w:rFonts w:ascii="Times New Roman" w:hAnsi="Times New Roman" w:cs="Times New Roman"/>
          <w:sz w:val="24"/>
          <w:szCs w:val="24"/>
        </w:rPr>
        <w:t>par Latvijas 202</w:t>
      </w:r>
      <w:r w:rsidR="00D738A3">
        <w:rPr>
          <w:rFonts w:ascii="Times New Roman" w:hAnsi="Times New Roman" w:cs="Times New Roman"/>
          <w:sz w:val="24"/>
          <w:szCs w:val="24"/>
        </w:rPr>
        <w:t>3</w:t>
      </w:r>
      <w:r w:rsidRPr="0058124B">
        <w:rPr>
          <w:rFonts w:ascii="Times New Roman" w:hAnsi="Times New Roman" w:cs="Times New Roman"/>
          <w:sz w:val="24"/>
          <w:szCs w:val="24"/>
        </w:rPr>
        <w:t>.gada valsts reformu programmu un ar ko sniedz Padomes atzinumu par Latvijas stabilitātes programmu Latvijai ti</w:t>
      </w:r>
      <w:r w:rsidR="00D738A3">
        <w:rPr>
          <w:rFonts w:ascii="Times New Roman" w:hAnsi="Times New Roman" w:cs="Times New Roman"/>
          <w:sz w:val="24"/>
          <w:szCs w:val="24"/>
        </w:rPr>
        <w:t>ek</w:t>
      </w:r>
      <w:r w:rsidRPr="0058124B">
        <w:rPr>
          <w:rFonts w:ascii="Times New Roman" w:hAnsi="Times New Roman" w:cs="Times New Roman"/>
          <w:sz w:val="24"/>
          <w:szCs w:val="24"/>
        </w:rPr>
        <w:t xml:space="preserve"> rekomendēts</w:t>
      </w:r>
      <w:r w:rsidR="003D6B94">
        <w:rPr>
          <w:rFonts w:ascii="Times New Roman" w:hAnsi="Times New Roman" w:cs="Times New Roman"/>
          <w:sz w:val="24"/>
          <w:szCs w:val="24"/>
        </w:rPr>
        <w:t>,</w:t>
      </w:r>
      <w:r w:rsidRPr="0058124B">
        <w:rPr>
          <w:rFonts w:ascii="Times New Roman" w:hAnsi="Times New Roman" w:cs="Times New Roman"/>
          <w:sz w:val="24"/>
          <w:szCs w:val="24"/>
        </w:rPr>
        <w:t xml:space="preserve"> </w:t>
      </w:r>
      <w:r w:rsidR="00D738A3">
        <w:rPr>
          <w:rFonts w:ascii="Times New Roman" w:hAnsi="Times New Roman" w:cs="Times New Roman"/>
          <w:sz w:val="24"/>
          <w:szCs w:val="24"/>
        </w:rPr>
        <w:t>c</w:t>
      </w:r>
      <w:r w:rsidR="00D738A3" w:rsidRPr="00D738A3">
        <w:rPr>
          <w:rFonts w:ascii="Times New Roman" w:hAnsi="Times New Roman" w:cs="Times New Roman"/>
          <w:sz w:val="24"/>
          <w:szCs w:val="24"/>
        </w:rPr>
        <w:t xml:space="preserve">ik drīz vien iespējams, </w:t>
      </w:r>
      <w:r w:rsidR="00D738A3" w:rsidRPr="006F08FE">
        <w:rPr>
          <w:rFonts w:ascii="Times New Roman" w:hAnsi="Times New Roman" w:cs="Times New Roman"/>
          <w:b/>
          <w:bCs/>
          <w:sz w:val="24"/>
          <w:szCs w:val="24"/>
        </w:rPr>
        <w:t>2023. un 2024.gadā izbeigt spēkā esošos ārkārtas enerģētikas atbalsta pasākumus</w:t>
      </w:r>
      <w:r w:rsidR="00D738A3" w:rsidRPr="00D738A3">
        <w:rPr>
          <w:rFonts w:ascii="Times New Roman" w:hAnsi="Times New Roman" w:cs="Times New Roman"/>
          <w:sz w:val="24"/>
          <w:szCs w:val="24"/>
        </w:rPr>
        <w:t xml:space="preserve">, </w:t>
      </w:r>
      <w:r w:rsidR="00D738A3" w:rsidRPr="006F08FE">
        <w:rPr>
          <w:rFonts w:ascii="Times New Roman" w:hAnsi="Times New Roman" w:cs="Times New Roman"/>
          <w:b/>
          <w:bCs/>
          <w:sz w:val="24"/>
          <w:szCs w:val="24"/>
        </w:rPr>
        <w:t>saistītos ietaupījumus</w:t>
      </w:r>
      <w:r w:rsidR="003D6B94">
        <w:rPr>
          <w:rFonts w:ascii="Times New Roman" w:hAnsi="Times New Roman" w:cs="Times New Roman"/>
          <w:b/>
          <w:bCs/>
          <w:sz w:val="24"/>
          <w:szCs w:val="24"/>
        </w:rPr>
        <w:t>,</w:t>
      </w:r>
      <w:r w:rsidR="00D738A3" w:rsidRPr="006F08FE">
        <w:rPr>
          <w:rFonts w:ascii="Times New Roman" w:hAnsi="Times New Roman" w:cs="Times New Roman"/>
          <w:b/>
          <w:bCs/>
          <w:sz w:val="24"/>
          <w:szCs w:val="24"/>
        </w:rPr>
        <w:t xml:space="preserve"> izmantojot valdības budžeta deficīta samazināšanai</w:t>
      </w:r>
      <w:r w:rsidR="00D738A3" w:rsidRPr="00D738A3">
        <w:rPr>
          <w:rFonts w:ascii="Times New Roman" w:hAnsi="Times New Roman" w:cs="Times New Roman"/>
          <w:sz w:val="24"/>
          <w:szCs w:val="24"/>
        </w:rPr>
        <w:t xml:space="preserve">. Ja atkal pieaugošu enerģijas cenu dēļ </w:t>
      </w:r>
      <w:r w:rsidR="001A3B3B">
        <w:rPr>
          <w:rFonts w:ascii="Times New Roman" w:hAnsi="Times New Roman" w:cs="Times New Roman"/>
          <w:sz w:val="24"/>
          <w:szCs w:val="24"/>
        </w:rPr>
        <w:t>būs</w:t>
      </w:r>
      <w:r w:rsidR="00D738A3" w:rsidRPr="00D738A3">
        <w:rPr>
          <w:rFonts w:ascii="Times New Roman" w:hAnsi="Times New Roman" w:cs="Times New Roman"/>
          <w:sz w:val="24"/>
          <w:szCs w:val="24"/>
        </w:rPr>
        <w:t xml:space="preserve"> nepieciešami jauni atbalsta pasākumi vai ja esošie pasākumi </w:t>
      </w:r>
      <w:r w:rsidR="001A3B3B">
        <w:rPr>
          <w:rFonts w:ascii="Times New Roman" w:hAnsi="Times New Roman" w:cs="Times New Roman"/>
          <w:sz w:val="24"/>
          <w:szCs w:val="24"/>
        </w:rPr>
        <w:t>būs</w:t>
      </w:r>
      <w:r w:rsidR="00D738A3" w:rsidRPr="00D738A3">
        <w:rPr>
          <w:rFonts w:ascii="Times New Roman" w:hAnsi="Times New Roman" w:cs="Times New Roman"/>
          <w:sz w:val="24"/>
          <w:szCs w:val="24"/>
        </w:rPr>
        <w:t xml:space="preserve"> jāturpina, nodrošināt, ka tie ir orientēti uz neaizsargātu mājsaimniecību un uzņēmumu aizsardzību, fiskāli pieņemami un ka tie saglabā stimulus enerģijas taupīšanai.</w:t>
      </w:r>
      <w:r w:rsidR="001A3B3B">
        <w:rPr>
          <w:rFonts w:ascii="Times New Roman" w:hAnsi="Times New Roman" w:cs="Times New Roman"/>
          <w:sz w:val="24"/>
          <w:szCs w:val="24"/>
        </w:rPr>
        <w:t xml:space="preserve"> </w:t>
      </w:r>
      <w:r>
        <w:rPr>
          <w:rFonts w:ascii="Times New Roman" w:hAnsi="Times New Roman" w:cs="Times New Roman"/>
          <w:sz w:val="24"/>
          <w:szCs w:val="24"/>
        </w:rPr>
        <w:t>Turklāt Latvijai ti</w:t>
      </w:r>
      <w:r w:rsidR="00D738A3">
        <w:rPr>
          <w:rFonts w:ascii="Times New Roman" w:hAnsi="Times New Roman" w:cs="Times New Roman"/>
          <w:sz w:val="24"/>
          <w:szCs w:val="24"/>
        </w:rPr>
        <w:t>ek</w:t>
      </w:r>
      <w:r>
        <w:rPr>
          <w:rFonts w:ascii="Times New Roman" w:hAnsi="Times New Roman" w:cs="Times New Roman"/>
          <w:sz w:val="24"/>
          <w:szCs w:val="24"/>
        </w:rPr>
        <w:t xml:space="preserve"> rekomendēts </w:t>
      </w:r>
      <w:r w:rsidR="001A3B3B">
        <w:rPr>
          <w:rFonts w:ascii="Times New Roman" w:hAnsi="Times New Roman" w:cs="Times New Roman"/>
          <w:sz w:val="24"/>
          <w:szCs w:val="24"/>
        </w:rPr>
        <w:lastRenderedPageBreak/>
        <w:t>s</w:t>
      </w:r>
      <w:r w:rsidR="00D738A3" w:rsidRPr="00D738A3">
        <w:rPr>
          <w:rFonts w:ascii="Times New Roman" w:hAnsi="Times New Roman" w:cs="Times New Roman"/>
          <w:sz w:val="24"/>
          <w:szCs w:val="24"/>
        </w:rPr>
        <w:t xml:space="preserve">amazināt vispārējo atkarību no fosilajām degvielām, paātrinot </w:t>
      </w:r>
      <w:proofErr w:type="spellStart"/>
      <w:r w:rsidR="00D738A3" w:rsidRPr="00D738A3">
        <w:rPr>
          <w:rFonts w:ascii="Times New Roman" w:hAnsi="Times New Roman" w:cs="Times New Roman"/>
          <w:sz w:val="24"/>
          <w:szCs w:val="24"/>
        </w:rPr>
        <w:t>atjaunīgo</w:t>
      </w:r>
      <w:proofErr w:type="spellEnd"/>
      <w:r w:rsidR="00D738A3" w:rsidRPr="00D738A3">
        <w:rPr>
          <w:rFonts w:ascii="Times New Roman" w:hAnsi="Times New Roman" w:cs="Times New Roman"/>
          <w:sz w:val="24"/>
          <w:szCs w:val="24"/>
        </w:rPr>
        <w:t xml:space="preserve"> energoresursu, jo īpaši sauszemes un </w:t>
      </w:r>
      <w:proofErr w:type="spellStart"/>
      <w:r w:rsidR="00D738A3" w:rsidRPr="00D738A3">
        <w:rPr>
          <w:rFonts w:ascii="Times New Roman" w:hAnsi="Times New Roman" w:cs="Times New Roman"/>
          <w:sz w:val="24"/>
          <w:szCs w:val="24"/>
        </w:rPr>
        <w:t>atkrastes</w:t>
      </w:r>
      <w:proofErr w:type="spellEnd"/>
      <w:r w:rsidR="00D738A3" w:rsidRPr="00D738A3">
        <w:rPr>
          <w:rFonts w:ascii="Times New Roman" w:hAnsi="Times New Roman" w:cs="Times New Roman"/>
          <w:sz w:val="24"/>
          <w:szCs w:val="24"/>
        </w:rPr>
        <w:t xml:space="preserve"> vēja enerģijas, kā arī saules enerģijas izmantošanu, un stiprinot energoefektivitātes pasākumus, piemēram, izmantojot jaunus finansēšanas un atbalsta pasākumus, lai sasniegtu ilgtermiņa renovācijas stratēģijas </w:t>
      </w:r>
      <w:proofErr w:type="spellStart"/>
      <w:r w:rsidR="00D738A3" w:rsidRPr="00D738A3">
        <w:rPr>
          <w:rFonts w:ascii="Times New Roman" w:hAnsi="Times New Roman" w:cs="Times New Roman"/>
          <w:sz w:val="24"/>
          <w:szCs w:val="24"/>
        </w:rPr>
        <w:t>mērķrādītājus</w:t>
      </w:r>
      <w:proofErr w:type="spellEnd"/>
      <w:r w:rsidR="001A3B3B">
        <w:rPr>
          <w:rFonts w:ascii="Times New Roman" w:hAnsi="Times New Roman" w:cs="Times New Roman"/>
          <w:sz w:val="24"/>
          <w:szCs w:val="24"/>
        </w:rPr>
        <w:t>, n</w:t>
      </w:r>
      <w:r w:rsidR="00D738A3" w:rsidRPr="00D738A3">
        <w:rPr>
          <w:rFonts w:ascii="Times New Roman" w:hAnsi="Times New Roman" w:cs="Times New Roman"/>
          <w:sz w:val="24"/>
          <w:szCs w:val="24"/>
        </w:rPr>
        <w:t xml:space="preserve">odrošināt pietiekamu </w:t>
      </w:r>
      <w:proofErr w:type="spellStart"/>
      <w:r w:rsidR="00D738A3" w:rsidRPr="00D738A3">
        <w:rPr>
          <w:rFonts w:ascii="Times New Roman" w:hAnsi="Times New Roman" w:cs="Times New Roman"/>
          <w:sz w:val="24"/>
          <w:szCs w:val="24"/>
        </w:rPr>
        <w:t>starpsavienojumu</w:t>
      </w:r>
      <w:proofErr w:type="spellEnd"/>
      <w:r w:rsidR="00D738A3" w:rsidRPr="00D738A3">
        <w:rPr>
          <w:rFonts w:ascii="Times New Roman" w:hAnsi="Times New Roman" w:cs="Times New Roman"/>
          <w:sz w:val="24"/>
          <w:szCs w:val="24"/>
        </w:rPr>
        <w:t xml:space="preserve"> jaudu, lai palielinātu piegādes drošību un turpinātu sinhronizāciju ar ES elektrotīklu. </w:t>
      </w:r>
    </w:p>
    <w:p w14:paraId="587AF1B0" w14:textId="22867196" w:rsidR="001A3B3B" w:rsidRDefault="001A3B3B"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2023.gada 13.jūlija </w:t>
      </w:r>
      <w:proofErr w:type="spellStart"/>
      <w:r w:rsidRPr="001A3B3B">
        <w:rPr>
          <w:rFonts w:ascii="Times New Roman" w:hAnsi="Times New Roman" w:cs="Times New Roman"/>
          <w:i/>
          <w:iCs/>
          <w:sz w:val="24"/>
          <w:szCs w:val="24"/>
        </w:rPr>
        <w:t>Euro</w:t>
      </w:r>
      <w:proofErr w:type="spellEnd"/>
      <w:r>
        <w:rPr>
          <w:rFonts w:ascii="Times New Roman" w:hAnsi="Times New Roman" w:cs="Times New Roman"/>
          <w:sz w:val="24"/>
          <w:szCs w:val="24"/>
        </w:rPr>
        <w:t xml:space="preserve"> grupas paziņojumā </w:t>
      </w:r>
      <w:r w:rsidRPr="001A3B3B">
        <w:rPr>
          <w:rFonts w:ascii="Times New Roman" w:hAnsi="Times New Roman" w:cs="Times New Roman"/>
          <w:sz w:val="24"/>
          <w:szCs w:val="24"/>
        </w:rPr>
        <w:t xml:space="preserve">par </w:t>
      </w:r>
      <w:proofErr w:type="spellStart"/>
      <w:r w:rsidRPr="001A3B3B">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1A3B3B">
        <w:rPr>
          <w:rFonts w:ascii="Times New Roman" w:hAnsi="Times New Roman" w:cs="Times New Roman"/>
          <w:sz w:val="24"/>
          <w:szCs w:val="24"/>
        </w:rPr>
        <w:t>zonas fiskālo nostāju 2024.gadam</w:t>
      </w:r>
      <w:r>
        <w:rPr>
          <w:rFonts w:ascii="Times New Roman" w:hAnsi="Times New Roman" w:cs="Times New Roman"/>
          <w:sz w:val="24"/>
          <w:szCs w:val="24"/>
        </w:rPr>
        <w:t xml:space="preserve"> ir atzīmēts, ka</w:t>
      </w:r>
      <w:r w:rsidR="00D22AFD">
        <w:rPr>
          <w:rFonts w:ascii="Times New Roman" w:hAnsi="Times New Roman" w:cs="Times New Roman"/>
          <w:sz w:val="24"/>
          <w:szCs w:val="24"/>
        </w:rPr>
        <w:t>,</w:t>
      </w:r>
      <w:r>
        <w:rPr>
          <w:rFonts w:ascii="Times New Roman" w:hAnsi="Times New Roman" w:cs="Times New Roman"/>
          <w:sz w:val="24"/>
          <w:szCs w:val="24"/>
        </w:rPr>
        <w:t xml:space="preserve"> j</w:t>
      </w:r>
      <w:r w:rsidRPr="001A3B3B">
        <w:rPr>
          <w:rFonts w:ascii="Times New Roman" w:hAnsi="Times New Roman" w:cs="Times New Roman"/>
          <w:sz w:val="24"/>
          <w:szCs w:val="24"/>
        </w:rPr>
        <w:t xml:space="preserve">a enerģijas cenu satricinājumi neatkārtosies, </w:t>
      </w:r>
      <w:proofErr w:type="spellStart"/>
      <w:r w:rsidRPr="0020713B">
        <w:rPr>
          <w:rFonts w:ascii="Times New Roman" w:hAnsi="Times New Roman" w:cs="Times New Roman"/>
          <w:i/>
          <w:iCs/>
          <w:sz w:val="24"/>
          <w:szCs w:val="24"/>
        </w:rPr>
        <w:t>euro</w:t>
      </w:r>
      <w:proofErr w:type="spellEnd"/>
      <w:r w:rsidRPr="001A3B3B">
        <w:rPr>
          <w:rFonts w:ascii="Times New Roman" w:hAnsi="Times New Roman" w:cs="Times New Roman"/>
          <w:sz w:val="24"/>
          <w:szCs w:val="24"/>
        </w:rPr>
        <w:t xml:space="preserve"> zon</w:t>
      </w:r>
      <w:r>
        <w:rPr>
          <w:rFonts w:ascii="Times New Roman" w:hAnsi="Times New Roman" w:cs="Times New Roman"/>
          <w:sz w:val="24"/>
          <w:szCs w:val="24"/>
        </w:rPr>
        <w:t>as valstis</w:t>
      </w:r>
      <w:r w:rsidRPr="001A3B3B">
        <w:rPr>
          <w:rFonts w:ascii="Times New Roman" w:hAnsi="Times New Roman" w:cs="Times New Roman"/>
          <w:sz w:val="24"/>
          <w:szCs w:val="24"/>
        </w:rPr>
        <w:t xml:space="preserve"> centīsies pēc iespējas ātrāk 2023. un 2024.gadā izbeigt enerģijas atbalsta pasākumus, izmantojot ar tiem saistītos ietaupījumus, lai samazinātu valsts budžeta deficītu.</w:t>
      </w:r>
    </w:p>
    <w:p w14:paraId="1FA181BA" w14:textId="0895BE39" w:rsidR="00072749" w:rsidRPr="00072749" w:rsidRDefault="00C06005"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likuma </w:t>
      </w:r>
      <w:r w:rsidRPr="00072749">
        <w:rPr>
          <w:rFonts w:ascii="Times New Roman" w:hAnsi="Times New Roman" w:cs="Times New Roman"/>
          <w:sz w:val="24"/>
          <w:szCs w:val="24"/>
        </w:rPr>
        <w:t>“</w:t>
      </w:r>
      <w:r w:rsidR="00072749" w:rsidRPr="00072749">
        <w:rPr>
          <w:rFonts w:ascii="Times New Roman" w:hAnsi="Times New Roman" w:cs="Times New Roman"/>
          <w:sz w:val="24"/>
          <w:szCs w:val="24"/>
        </w:rPr>
        <w:t xml:space="preserve">Par valsts budžetu 2023.gadam un budžeta ietvaru 2023., 2024. un 2025. gadam” </w:t>
      </w:r>
      <w:r w:rsidR="00072749">
        <w:rPr>
          <w:rFonts w:ascii="Times New Roman" w:hAnsi="Times New Roman" w:cs="Times New Roman"/>
          <w:sz w:val="24"/>
          <w:szCs w:val="24"/>
        </w:rPr>
        <w:t xml:space="preserve">5.pantu </w:t>
      </w:r>
      <w:r w:rsidR="00072749" w:rsidRPr="00072749">
        <w:rPr>
          <w:rFonts w:ascii="Times New Roman" w:hAnsi="Times New Roman" w:cs="Times New Roman"/>
          <w:sz w:val="24"/>
          <w:szCs w:val="24"/>
        </w:rPr>
        <w:t>vienreizējie izdevumi energoresursu cenu ārkārtēja pieauguma samazināšanas pasākumiem</w:t>
      </w:r>
      <w:r w:rsidR="00072749">
        <w:rPr>
          <w:rFonts w:ascii="Times New Roman" w:hAnsi="Times New Roman" w:cs="Times New Roman"/>
          <w:sz w:val="24"/>
          <w:szCs w:val="24"/>
        </w:rPr>
        <w:t xml:space="preserve"> </w:t>
      </w:r>
      <w:r w:rsidR="00072749" w:rsidRPr="00072749">
        <w:rPr>
          <w:rFonts w:ascii="Times New Roman" w:hAnsi="Times New Roman" w:cs="Times New Roman"/>
          <w:sz w:val="24"/>
          <w:szCs w:val="24"/>
        </w:rPr>
        <w:t>tiek izslēgti no vispārējās valdības budžeta strukturālās bilances mērķa</w:t>
      </w:r>
      <w:r w:rsidR="00072749">
        <w:rPr>
          <w:rFonts w:ascii="Times New Roman" w:hAnsi="Times New Roman" w:cs="Times New Roman"/>
          <w:sz w:val="24"/>
          <w:szCs w:val="24"/>
        </w:rPr>
        <w:t xml:space="preserve">. Lai nodrošinātu pārskatāmu šo izdevumu pārvaldību ir izveidota atsevišķa programma </w:t>
      </w:r>
      <w:r w:rsidR="00072749" w:rsidRPr="00072749">
        <w:rPr>
          <w:rFonts w:ascii="Times New Roman" w:hAnsi="Times New Roman" w:cs="Times New Roman"/>
          <w:sz w:val="24"/>
          <w:szCs w:val="24"/>
        </w:rPr>
        <w:t>15.00.00 "Finansējums</w:t>
      </w:r>
      <w:r w:rsidR="00350733">
        <w:rPr>
          <w:rFonts w:ascii="Times New Roman" w:hAnsi="Times New Roman" w:cs="Times New Roman"/>
          <w:sz w:val="24"/>
          <w:szCs w:val="24"/>
        </w:rPr>
        <w:t xml:space="preserve"> </w:t>
      </w:r>
      <w:r w:rsidR="00072749" w:rsidRPr="00072749">
        <w:rPr>
          <w:rFonts w:ascii="Times New Roman" w:hAnsi="Times New Roman" w:cs="Times New Roman"/>
          <w:sz w:val="24"/>
          <w:szCs w:val="24"/>
        </w:rPr>
        <w:t>Energoresursu cenu ārkārtēja pieauguma samazinājuma pasākumu likumā noteikto terminēto atbalsta pasākumu īstenošanai"</w:t>
      </w:r>
      <w:r w:rsidR="00072749">
        <w:rPr>
          <w:rFonts w:ascii="Times New Roman" w:hAnsi="Times New Roman" w:cs="Times New Roman"/>
          <w:sz w:val="24"/>
          <w:szCs w:val="24"/>
        </w:rPr>
        <w:t xml:space="preserve">. Likuma </w:t>
      </w:r>
      <w:r w:rsidR="00072749" w:rsidRPr="00072749">
        <w:rPr>
          <w:rFonts w:ascii="Times New Roman" w:hAnsi="Times New Roman" w:cs="Times New Roman"/>
          <w:sz w:val="24"/>
          <w:szCs w:val="24"/>
        </w:rPr>
        <w:t xml:space="preserve">“Par valsts budžetu 2023.gadam un budžeta ietvaru 2023., 2024. un 2025.gadam” </w:t>
      </w:r>
      <w:r w:rsidR="00072749">
        <w:rPr>
          <w:rFonts w:ascii="Times New Roman" w:hAnsi="Times New Roman" w:cs="Times New Roman"/>
          <w:sz w:val="24"/>
          <w:szCs w:val="24"/>
        </w:rPr>
        <w:t xml:space="preserve">64.pants atrunā </w:t>
      </w:r>
      <w:r w:rsidR="00072749" w:rsidRPr="00072749">
        <w:rPr>
          <w:rFonts w:ascii="Times New Roman" w:hAnsi="Times New Roman" w:cs="Times New Roman"/>
          <w:sz w:val="24"/>
          <w:szCs w:val="24"/>
        </w:rPr>
        <w:t>Finanšu ministra tiesības palielināt apropriāciju minētajā programmā</w:t>
      </w:r>
      <w:r w:rsidR="00072749">
        <w:rPr>
          <w:rFonts w:ascii="Times New Roman" w:hAnsi="Times New Roman" w:cs="Times New Roman"/>
          <w:sz w:val="24"/>
          <w:szCs w:val="24"/>
        </w:rPr>
        <w:t xml:space="preserve">, </w:t>
      </w:r>
      <w:r w:rsidR="00072749" w:rsidRPr="00072749">
        <w:rPr>
          <w:rFonts w:ascii="Times New Roman" w:hAnsi="Times New Roman" w:cs="Times New Roman"/>
          <w:sz w:val="24"/>
          <w:szCs w:val="24"/>
        </w:rPr>
        <w:t>palielināt noteikto maksimālo valsts parādu 2023.gada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02DFA46F" w14:textId="4A96F0E2" w:rsidR="000A256A" w:rsidRPr="000A256A" w:rsidRDefault="00072749" w:rsidP="002601DB">
      <w:pPr>
        <w:spacing w:after="0" w:line="240" w:lineRule="auto"/>
        <w:ind w:firstLine="720"/>
        <w:jc w:val="both"/>
        <w:rPr>
          <w:rFonts w:ascii="Times New Roman" w:hAnsi="Times New Roman" w:cs="Times New Roman"/>
          <w:sz w:val="24"/>
          <w:szCs w:val="24"/>
        </w:rPr>
      </w:pPr>
      <w:r w:rsidRPr="00072749">
        <w:rPr>
          <w:rFonts w:ascii="Times New Roman" w:hAnsi="Times New Roman" w:cs="Times New Roman"/>
          <w:sz w:val="24"/>
          <w:szCs w:val="24"/>
        </w:rPr>
        <w:t xml:space="preserve">Lai nodrošinātu paredzēto valsts budžeta līdzekļu maksimāli efektīvu izlietošanu, finanšu ministram ir tiesības ministrijai vai citai centrālajai valsts iestādei no minētās programmas pārdalīto un </w:t>
      </w:r>
      <w:r w:rsidRPr="00072749">
        <w:rPr>
          <w:rFonts w:ascii="Times New Roman" w:hAnsi="Times New Roman" w:cs="Times New Roman"/>
          <w:b/>
          <w:bCs/>
          <w:sz w:val="24"/>
          <w:szCs w:val="24"/>
        </w:rPr>
        <w:t>noteiktajiem mērķiem neizmantoto finansējumu</w:t>
      </w:r>
      <w:r w:rsidRPr="00072749">
        <w:rPr>
          <w:rFonts w:ascii="Times New Roman" w:hAnsi="Times New Roman" w:cs="Times New Roman"/>
          <w:sz w:val="24"/>
          <w:szCs w:val="24"/>
        </w:rPr>
        <w:t xml:space="preserve"> pārdalīt no ministrijas vai citas centrālās valsts iestādes budžeta uz šā panta pirmajā daļā minēto programmu</w:t>
      </w:r>
      <w:r>
        <w:rPr>
          <w:rFonts w:ascii="Times New Roman" w:hAnsi="Times New Roman" w:cs="Times New Roman"/>
          <w:sz w:val="24"/>
          <w:szCs w:val="24"/>
        </w:rPr>
        <w:t>. Attiecīgi šādā veidā tiek paredzēts mehānisms</w:t>
      </w:r>
      <w:r w:rsidR="007E5017">
        <w:rPr>
          <w:rFonts w:ascii="Times New Roman" w:hAnsi="Times New Roman" w:cs="Times New Roman"/>
          <w:sz w:val="24"/>
          <w:szCs w:val="24"/>
        </w:rPr>
        <w:t xml:space="preserve">, kā </w:t>
      </w:r>
      <w:r w:rsidR="007E5017" w:rsidRPr="007E5017">
        <w:rPr>
          <w:rFonts w:ascii="Times New Roman" w:hAnsi="Times New Roman" w:cs="Times New Roman"/>
          <w:sz w:val="24"/>
          <w:szCs w:val="24"/>
        </w:rPr>
        <w:t>ārkārtas enerģētikas atbalsta pasākumu</w:t>
      </w:r>
      <w:r w:rsidR="007E5017">
        <w:rPr>
          <w:rFonts w:ascii="Times New Roman" w:hAnsi="Times New Roman" w:cs="Times New Roman"/>
          <w:sz w:val="24"/>
          <w:szCs w:val="24"/>
        </w:rPr>
        <w:t xml:space="preserve"> ietaupījumus izmantot </w:t>
      </w:r>
      <w:r w:rsidR="007E5017" w:rsidRPr="007E5017">
        <w:rPr>
          <w:rFonts w:ascii="Times New Roman" w:hAnsi="Times New Roman" w:cs="Times New Roman"/>
          <w:sz w:val="24"/>
          <w:szCs w:val="24"/>
        </w:rPr>
        <w:t>valdības budžeta deficīta samazināšanai</w:t>
      </w:r>
      <w:r w:rsidR="000A256A">
        <w:rPr>
          <w:rFonts w:ascii="Times New Roman" w:hAnsi="Times New Roman" w:cs="Times New Roman"/>
          <w:sz w:val="24"/>
          <w:szCs w:val="24"/>
        </w:rPr>
        <w:t xml:space="preserve">, vienlaicīgi paredzot iespēju palielināt apropriāciju, ja nepieciešamība pēc atbalsta pasākumiem radīsies pie negatīvas attīstības enerģijas avotu tirgos. Jāatzīmē, ka </w:t>
      </w:r>
      <w:r w:rsidR="00F147BE">
        <w:rPr>
          <w:rFonts w:ascii="Times New Roman" w:hAnsi="Times New Roman" w:cs="Times New Roman"/>
          <w:sz w:val="24"/>
          <w:szCs w:val="24"/>
        </w:rPr>
        <w:t xml:space="preserve">2023.gada pavasarī </w:t>
      </w:r>
      <w:r w:rsidR="000A256A">
        <w:rPr>
          <w:rFonts w:ascii="Times New Roman" w:hAnsi="Times New Roman" w:cs="Times New Roman"/>
          <w:sz w:val="24"/>
          <w:szCs w:val="24"/>
        </w:rPr>
        <w:t xml:space="preserve">situācija </w:t>
      </w:r>
      <w:r w:rsidR="00F147BE">
        <w:rPr>
          <w:rFonts w:ascii="Times New Roman" w:hAnsi="Times New Roman" w:cs="Times New Roman"/>
          <w:sz w:val="24"/>
          <w:szCs w:val="24"/>
        </w:rPr>
        <w:t xml:space="preserve">energoresursu </w:t>
      </w:r>
      <w:r w:rsidR="000A256A">
        <w:rPr>
          <w:rFonts w:ascii="Times New Roman" w:hAnsi="Times New Roman" w:cs="Times New Roman"/>
          <w:sz w:val="24"/>
          <w:szCs w:val="24"/>
        </w:rPr>
        <w:t>tirgū ir stabilizējusies un</w:t>
      </w:r>
      <w:r w:rsidR="00F147BE">
        <w:rPr>
          <w:rFonts w:ascii="Times New Roman" w:hAnsi="Times New Roman" w:cs="Times New Roman"/>
          <w:sz w:val="24"/>
          <w:szCs w:val="24"/>
        </w:rPr>
        <w:t xml:space="preserve">, piemēram, </w:t>
      </w:r>
      <w:r w:rsidR="000A256A" w:rsidRPr="000A256A">
        <w:rPr>
          <w:rFonts w:ascii="Times New Roman" w:hAnsi="Times New Roman" w:cs="Times New Roman"/>
          <w:sz w:val="24"/>
          <w:szCs w:val="24"/>
        </w:rPr>
        <w:t>2023.gada jūnijā vidējā elektroenerģijas cena Latvijas tirdzniecības apgabalā attiecībā pret 2022.gada jūniju cena ir par 55% zemāka.</w:t>
      </w:r>
      <w:r w:rsidR="000A256A" w:rsidRPr="000A256A">
        <w:rPr>
          <w:rFonts w:ascii="Times New Roman" w:hAnsi="Times New Roman" w:cs="Times New Roman"/>
          <w:sz w:val="24"/>
          <w:szCs w:val="24"/>
          <w:vertAlign w:val="superscript"/>
        </w:rPr>
        <w:footnoteReference w:id="32"/>
      </w:r>
    </w:p>
    <w:p w14:paraId="440145F0" w14:textId="02D7DCF3" w:rsidR="00F147BE" w:rsidRPr="00F147BE" w:rsidRDefault="00F147BE" w:rsidP="002601DB">
      <w:pPr>
        <w:spacing w:after="0" w:line="240" w:lineRule="auto"/>
        <w:ind w:firstLine="720"/>
        <w:jc w:val="both"/>
        <w:rPr>
          <w:rFonts w:ascii="Times New Roman" w:hAnsi="Times New Roman" w:cs="Times New Roman"/>
          <w:sz w:val="24"/>
          <w:szCs w:val="24"/>
        </w:rPr>
      </w:pPr>
      <w:r w:rsidRPr="00F147BE">
        <w:rPr>
          <w:rFonts w:ascii="Times New Roman" w:hAnsi="Times New Roman" w:cs="Times New Roman"/>
          <w:sz w:val="24"/>
          <w:szCs w:val="24"/>
        </w:rPr>
        <w:t>2024.gadam atbalst</w:t>
      </w:r>
      <w:r w:rsidR="00F62312">
        <w:rPr>
          <w:rFonts w:ascii="Times New Roman" w:hAnsi="Times New Roman" w:cs="Times New Roman"/>
          <w:sz w:val="24"/>
          <w:szCs w:val="24"/>
        </w:rPr>
        <w:t>s</w:t>
      </w:r>
      <w:r w:rsidRPr="00F147BE">
        <w:rPr>
          <w:rFonts w:ascii="Times New Roman" w:hAnsi="Times New Roman" w:cs="Times New Roman"/>
          <w:sz w:val="24"/>
          <w:szCs w:val="24"/>
        </w:rPr>
        <w:t xml:space="preserve"> pagaidām nav ieplānots. Tomēr jāatzīmē, ka šobrīd saskaņošanā ir Klimata un enerģētikas ministrijas izstrādātais likumprojekts "Energoapgādes izmaksu atbalsta likums", kura mērķis ir </w:t>
      </w:r>
      <w:r w:rsidRPr="00BC34BE">
        <w:rPr>
          <w:rFonts w:ascii="Times New Roman" w:hAnsi="Times New Roman" w:cs="Times New Roman"/>
          <w:sz w:val="24"/>
          <w:szCs w:val="24"/>
        </w:rPr>
        <w:t xml:space="preserve">mazināt </w:t>
      </w:r>
      <w:r w:rsidRPr="00F56613">
        <w:rPr>
          <w:rFonts w:ascii="Times New Roman" w:hAnsi="Times New Roman" w:cs="Times New Roman"/>
          <w:sz w:val="24"/>
          <w:szCs w:val="24"/>
        </w:rPr>
        <w:t>negatīvo sociālekonomisko ietekmi</w:t>
      </w:r>
      <w:r w:rsidRPr="00BC34BE">
        <w:rPr>
          <w:rFonts w:ascii="Times New Roman" w:hAnsi="Times New Roman" w:cs="Times New Roman"/>
          <w:sz w:val="24"/>
          <w:szCs w:val="24"/>
        </w:rPr>
        <w:t xml:space="preserve"> uz iedzīvotāju labklājību, kas </w:t>
      </w:r>
      <w:r w:rsidRPr="00F56613">
        <w:rPr>
          <w:rFonts w:ascii="Times New Roman" w:hAnsi="Times New Roman" w:cs="Times New Roman"/>
          <w:sz w:val="24"/>
          <w:szCs w:val="24"/>
        </w:rPr>
        <w:t>saistīt</w:t>
      </w:r>
      <w:r w:rsidR="00BC34BE" w:rsidRPr="00BC34BE">
        <w:rPr>
          <w:rFonts w:ascii="Times New Roman" w:hAnsi="Times New Roman" w:cs="Times New Roman"/>
          <w:sz w:val="24"/>
          <w:szCs w:val="24"/>
        </w:rPr>
        <w:t>a</w:t>
      </w:r>
      <w:r w:rsidRPr="00BC34BE">
        <w:rPr>
          <w:rFonts w:ascii="Times New Roman" w:hAnsi="Times New Roman" w:cs="Times New Roman"/>
          <w:sz w:val="24"/>
          <w:szCs w:val="24"/>
        </w:rPr>
        <w:t xml:space="preserve"> ar iepriekš nepieredzētu energoresursu strauju cenu kāpumu, un attiecīgi noteikt </w:t>
      </w:r>
      <w:r w:rsidRPr="00BC34BE">
        <w:rPr>
          <w:rFonts w:ascii="Times New Roman" w:hAnsi="Times New Roman" w:cs="Times New Roman"/>
          <w:b/>
          <w:bCs/>
          <w:sz w:val="24"/>
          <w:szCs w:val="24"/>
        </w:rPr>
        <w:t>laikā terminētus</w:t>
      </w:r>
      <w:r w:rsidRPr="00BC34BE">
        <w:rPr>
          <w:rFonts w:ascii="Times New Roman" w:hAnsi="Times New Roman" w:cs="Times New Roman"/>
          <w:sz w:val="24"/>
          <w:szCs w:val="24"/>
        </w:rPr>
        <w:t xml:space="preserve"> valsts atbalsta pasākumus</w:t>
      </w:r>
      <w:r w:rsidR="00D37740" w:rsidRPr="00BC34BE">
        <w:rPr>
          <w:rFonts w:ascii="Times New Roman" w:hAnsi="Times New Roman" w:cs="Times New Roman"/>
          <w:sz w:val="24"/>
          <w:szCs w:val="24"/>
        </w:rPr>
        <w:t xml:space="preserve"> (</w:t>
      </w:r>
      <w:r w:rsidR="00D37740" w:rsidRPr="00F56613">
        <w:rPr>
          <w:rFonts w:ascii="Times New Roman" w:hAnsi="Times New Roman" w:cs="Times New Roman"/>
          <w:sz w:val="24"/>
          <w:szCs w:val="24"/>
        </w:rPr>
        <w:t>atbalst</w:t>
      </w:r>
      <w:r w:rsidR="00BC34BE" w:rsidRPr="00BC34BE">
        <w:rPr>
          <w:rFonts w:ascii="Times New Roman" w:hAnsi="Times New Roman" w:cs="Times New Roman"/>
          <w:sz w:val="24"/>
          <w:szCs w:val="24"/>
        </w:rPr>
        <w:t>u</w:t>
      </w:r>
      <w:r w:rsidR="00D37740" w:rsidRPr="00BC34BE">
        <w:rPr>
          <w:rFonts w:ascii="Times New Roman" w:hAnsi="Times New Roman" w:cs="Times New Roman"/>
          <w:sz w:val="24"/>
          <w:szCs w:val="24"/>
        </w:rPr>
        <w:t xml:space="preserve"> ir plānots sniegt tikai tad, ja energoresursu cena biržā pārsniedz noteiktu</w:t>
      </w:r>
      <w:r w:rsidR="00D37740" w:rsidRPr="00D37740">
        <w:rPr>
          <w:rFonts w:ascii="Times New Roman" w:hAnsi="Times New Roman" w:cs="Times New Roman"/>
          <w:sz w:val="24"/>
          <w:szCs w:val="24"/>
        </w:rPr>
        <w:t xml:space="preserve"> slieksni, ko apstiprinās Ministru kabinets</w:t>
      </w:r>
      <w:r w:rsidR="00D37740">
        <w:rPr>
          <w:rFonts w:ascii="Times New Roman" w:hAnsi="Times New Roman" w:cs="Times New Roman"/>
          <w:sz w:val="24"/>
          <w:szCs w:val="24"/>
        </w:rPr>
        <w:t>)</w:t>
      </w:r>
      <w:r w:rsidRPr="00F147BE">
        <w:rPr>
          <w:rFonts w:ascii="Times New Roman" w:hAnsi="Times New Roman" w:cs="Times New Roman"/>
          <w:sz w:val="24"/>
          <w:szCs w:val="24"/>
        </w:rPr>
        <w:t xml:space="preserve">, kas mazina strauji pieaugušo energoresursu cenu izraisīto negatīvo ietekmi uz iedzīvotāju labklājību. Likumprojekta anotācijā ir </w:t>
      </w:r>
      <w:r w:rsidR="002601DB">
        <w:rPr>
          <w:rFonts w:ascii="Times New Roman" w:hAnsi="Times New Roman" w:cs="Times New Roman"/>
          <w:sz w:val="24"/>
          <w:szCs w:val="24"/>
        </w:rPr>
        <w:t>minēts</w:t>
      </w:r>
      <w:r w:rsidRPr="00F147BE">
        <w:rPr>
          <w:rFonts w:ascii="Times New Roman" w:hAnsi="Times New Roman" w:cs="Times New Roman"/>
          <w:sz w:val="24"/>
          <w:szCs w:val="24"/>
        </w:rPr>
        <w:t xml:space="preserve">, ka izvērtējot 2022./2023. gada apkures sezonā sniegto atbalstu, </w:t>
      </w:r>
      <w:r w:rsidR="002601DB">
        <w:rPr>
          <w:rFonts w:ascii="Times New Roman" w:hAnsi="Times New Roman" w:cs="Times New Roman"/>
          <w:sz w:val="24"/>
          <w:szCs w:val="24"/>
        </w:rPr>
        <w:t xml:space="preserve">secināts, ka </w:t>
      </w:r>
      <w:r w:rsidRPr="00F147BE">
        <w:rPr>
          <w:rFonts w:ascii="Times New Roman" w:hAnsi="Times New Roman" w:cs="Times New Roman"/>
          <w:sz w:val="24"/>
          <w:szCs w:val="24"/>
        </w:rPr>
        <w:t>efektīvākais veids, kādā sniegt atbalstu, samērojot sociālās vajadzības ar valsts budžeta iespējām, ir mērķēts atbalsts, kas tiek noteikts, vadoties pēc mājsaimniecību ienākumu līmeņa. Proti, 2023./2024.gada apkures sezonā atbalstu energoresursu izmaksu daļējai kompensēšanai varētu sniegt mājsaimniecībām, kuru kopējie izdevumi par mājokli uz vienu mājsaimniecības, t.sk., energoresursiem  (elektroenerģiju, dabasgāzi, siltumenerģiju) pārsniedz 30% no mājsaimniecības ienākumiem uz vienu mājsaimniecības locekli. Tādējādi atbalstu energoresursu izmaksu daļējai kompensēšanai būs iespējams novirzīt mērķa grupai, kurai attiecīgais atbalsts ir visnepieciešamākais.</w:t>
      </w:r>
      <w:r w:rsidRPr="00F147BE">
        <w:rPr>
          <w:rFonts w:ascii="Verdana" w:hAnsi="Verdana"/>
          <w:color w:val="525252"/>
          <w:sz w:val="19"/>
          <w:szCs w:val="19"/>
          <w:shd w:val="clear" w:color="auto" w:fill="FFFFFF"/>
        </w:rPr>
        <w:t xml:space="preserve"> </w:t>
      </w:r>
      <w:r w:rsidRPr="00F147BE">
        <w:rPr>
          <w:rFonts w:ascii="Times New Roman" w:hAnsi="Times New Roman" w:cs="Times New Roman"/>
          <w:sz w:val="24"/>
          <w:szCs w:val="24"/>
        </w:rPr>
        <w:t xml:space="preserve">Ministrijas mērķis ir savlaicīgi izstrādāt atbalsta pasākumus un </w:t>
      </w:r>
      <w:r w:rsidRPr="00F147BE">
        <w:rPr>
          <w:rFonts w:ascii="Times New Roman" w:hAnsi="Times New Roman" w:cs="Times New Roman"/>
          <w:b/>
          <w:bCs/>
          <w:sz w:val="24"/>
          <w:szCs w:val="24"/>
        </w:rPr>
        <w:t>iespējami automatizētu</w:t>
      </w:r>
      <w:r w:rsidRPr="00F147BE">
        <w:rPr>
          <w:rFonts w:ascii="Times New Roman" w:hAnsi="Times New Roman" w:cs="Times New Roman"/>
          <w:sz w:val="24"/>
          <w:szCs w:val="24"/>
        </w:rPr>
        <w:t xml:space="preserve"> atbalsta sniegšanas risinājumu</w:t>
      </w:r>
      <w:r>
        <w:rPr>
          <w:rFonts w:ascii="Times New Roman" w:hAnsi="Times New Roman" w:cs="Times New Roman"/>
          <w:sz w:val="24"/>
          <w:szCs w:val="24"/>
        </w:rPr>
        <w:t xml:space="preserve"> (nav paredzēts izstrādāt jaunu sistēmu, bet tiks p</w:t>
      </w:r>
      <w:r w:rsidR="00D37740">
        <w:rPr>
          <w:rFonts w:ascii="Times New Roman" w:hAnsi="Times New Roman" w:cs="Times New Roman"/>
          <w:sz w:val="24"/>
          <w:szCs w:val="24"/>
        </w:rPr>
        <w:t>aplašināta</w:t>
      </w:r>
      <w:r>
        <w:rPr>
          <w:rFonts w:ascii="Times New Roman" w:hAnsi="Times New Roman" w:cs="Times New Roman"/>
          <w:sz w:val="24"/>
          <w:szCs w:val="24"/>
        </w:rPr>
        <w:t xml:space="preserve"> </w:t>
      </w:r>
      <w:r w:rsidR="001B222F">
        <w:rPr>
          <w:rFonts w:ascii="Times New Roman" w:hAnsi="Times New Roman" w:cs="Times New Roman"/>
          <w:sz w:val="24"/>
          <w:szCs w:val="24"/>
        </w:rPr>
        <w:t>jau eksistējošā ALDIS</w:t>
      </w:r>
      <w:r w:rsidR="00D37740" w:rsidRPr="00D37740">
        <w:t xml:space="preserve"> </w:t>
      </w:r>
      <w:r w:rsidR="00D37740">
        <w:t>(</w:t>
      </w:r>
      <w:r w:rsidR="00D37740" w:rsidRPr="00D37740">
        <w:rPr>
          <w:rFonts w:ascii="Times New Roman" w:hAnsi="Times New Roman" w:cs="Times New Roman"/>
          <w:sz w:val="24"/>
          <w:szCs w:val="24"/>
        </w:rPr>
        <w:t>ALDIS paplašinājums jeb energoresursu izmaksu kompensēšanas informācijas sistēma (EIKIS)</w:t>
      </w:r>
      <w:r w:rsidR="001B222F">
        <w:rPr>
          <w:rFonts w:ascii="Times New Roman" w:hAnsi="Times New Roman" w:cs="Times New Roman"/>
          <w:sz w:val="24"/>
          <w:szCs w:val="24"/>
        </w:rPr>
        <w:t>)</w:t>
      </w:r>
      <w:r w:rsidR="00D37740">
        <w:rPr>
          <w:rStyle w:val="FootnoteReference"/>
          <w:rFonts w:ascii="Times New Roman" w:hAnsi="Times New Roman" w:cs="Times New Roman"/>
          <w:sz w:val="24"/>
          <w:szCs w:val="24"/>
        </w:rPr>
        <w:footnoteReference w:id="33"/>
      </w:r>
      <w:r w:rsidRPr="00F147BE">
        <w:rPr>
          <w:rFonts w:ascii="Times New Roman" w:hAnsi="Times New Roman" w:cs="Times New Roman"/>
          <w:sz w:val="24"/>
          <w:szCs w:val="24"/>
        </w:rPr>
        <w:t xml:space="preserve">, kas ilgtermiņā būtu izmantojams periodos, kad vērojamas ārkārtējas </w:t>
      </w:r>
      <w:r w:rsidRPr="00F147BE">
        <w:rPr>
          <w:rFonts w:ascii="Times New Roman" w:hAnsi="Times New Roman" w:cs="Times New Roman"/>
          <w:sz w:val="24"/>
          <w:szCs w:val="24"/>
        </w:rPr>
        <w:lastRenderedPageBreak/>
        <w:t>energoresursu cenu svārstības, un kas paredzētu mērķēta atbalsta sniegšanu mājsaimniecībām ar zemu un vidēji zemu ienākumu līmeni</w:t>
      </w:r>
      <w:r w:rsidR="00D37740" w:rsidRPr="00D37740">
        <w:rPr>
          <w:rFonts w:ascii="Times New Roman" w:hAnsi="Times New Roman" w:cs="Times New Roman"/>
          <w:sz w:val="24"/>
          <w:szCs w:val="24"/>
        </w:rPr>
        <w:t>.</w:t>
      </w:r>
      <w:r w:rsidR="003D753B">
        <w:rPr>
          <w:rFonts w:ascii="Times New Roman" w:hAnsi="Times New Roman" w:cs="Times New Roman"/>
          <w:sz w:val="24"/>
          <w:szCs w:val="24"/>
        </w:rPr>
        <w:t xml:space="preserve"> Jāatzīmē arī tas, ka, l</w:t>
      </w:r>
      <w:r w:rsidR="003D753B" w:rsidRPr="003D753B">
        <w:rPr>
          <w:rFonts w:ascii="Times New Roman" w:hAnsi="Times New Roman" w:cs="Times New Roman"/>
          <w:sz w:val="24"/>
          <w:szCs w:val="24"/>
        </w:rPr>
        <w:t xml:space="preserve">ai izvērtētu, vai vienotais risinājums ir palīdzējis sasniegt likumprojekta mērķi, </w:t>
      </w:r>
      <w:r w:rsidR="003D753B">
        <w:rPr>
          <w:rFonts w:ascii="Times New Roman" w:hAnsi="Times New Roman" w:cs="Times New Roman"/>
          <w:sz w:val="24"/>
          <w:szCs w:val="24"/>
        </w:rPr>
        <w:t xml:space="preserve">ir paredzēts </w:t>
      </w:r>
      <w:r w:rsidR="003D753B" w:rsidRPr="003D753B">
        <w:rPr>
          <w:rFonts w:ascii="Times New Roman" w:hAnsi="Times New Roman" w:cs="Times New Roman"/>
          <w:sz w:val="24"/>
          <w:szCs w:val="24"/>
        </w:rPr>
        <w:t>gadu pēc tā darbības izvērtēt, kādi ir vienotā risinājuma trūkumi un nepilnības, kādi ir nepieciešamie uzlabojumi un tam nepieciešamie finanšu resursi un cik efektīvi šis instruments ir mazinājis negatīvo sociālekonomisko ietekmi uz mājsaimniecību ar zemu un vidēji zemu ienākumu līmeni labklājību energoresursu cenu ārkārtēja pieauguma rezultātā.</w:t>
      </w:r>
    </w:p>
    <w:p w14:paraId="7C72E9B3" w14:textId="120BDCE9" w:rsidR="00CA6792" w:rsidRDefault="00C13AAC"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Šīs deklarācijas</w:t>
      </w:r>
      <w:r w:rsidR="00B83728">
        <w:rPr>
          <w:rFonts w:ascii="Times New Roman" w:hAnsi="Times New Roman" w:cs="Times New Roman"/>
          <w:sz w:val="24"/>
          <w:szCs w:val="24"/>
        </w:rPr>
        <w:t xml:space="preserve"> sadaļas ietvaros ir svarīgi </w:t>
      </w:r>
      <w:r w:rsidR="00CA6792">
        <w:rPr>
          <w:rFonts w:ascii="Times New Roman" w:hAnsi="Times New Roman" w:cs="Times New Roman"/>
          <w:sz w:val="24"/>
          <w:szCs w:val="24"/>
        </w:rPr>
        <w:t xml:space="preserve">atzīmēt, ka valsts </w:t>
      </w:r>
      <w:proofErr w:type="spellStart"/>
      <w:r w:rsidR="00CA6792">
        <w:rPr>
          <w:rFonts w:ascii="Times New Roman" w:hAnsi="Times New Roman" w:cs="Times New Roman"/>
          <w:sz w:val="24"/>
          <w:szCs w:val="24"/>
        </w:rPr>
        <w:t>rīcībpolitika</w:t>
      </w:r>
      <w:proofErr w:type="spellEnd"/>
      <w:r w:rsidR="00CA6792">
        <w:rPr>
          <w:rFonts w:ascii="Times New Roman" w:hAnsi="Times New Roman" w:cs="Times New Roman"/>
          <w:sz w:val="24"/>
          <w:szCs w:val="24"/>
        </w:rPr>
        <w:t xml:space="preserve"> energoresursu izaicinājumu jomā nesaistās tikai ar īstermiņa budžeta finansēto atbalsta pasākumu nodrošināšanu iedzīvotājiem un </w:t>
      </w:r>
      <w:r w:rsidR="00B85B57">
        <w:rPr>
          <w:rFonts w:ascii="Times New Roman" w:hAnsi="Times New Roman" w:cs="Times New Roman"/>
          <w:sz w:val="24"/>
          <w:szCs w:val="24"/>
        </w:rPr>
        <w:t>uzņēmumiem</w:t>
      </w:r>
      <w:r w:rsidR="00CA6792">
        <w:rPr>
          <w:rFonts w:ascii="Times New Roman" w:hAnsi="Times New Roman" w:cs="Times New Roman"/>
          <w:sz w:val="24"/>
          <w:szCs w:val="24"/>
        </w:rPr>
        <w:t>, bet valdība strādā</w:t>
      </w:r>
      <w:r w:rsidR="00B85B57">
        <w:rPr>
          <w:rFonts w:ascii="Times New Roman" w:hAnsi="Times New Roman" w:cs="Times New Roman"/>
          <w:sz w:val="24"/>
          <w:szCs w:val="24"/>
        </w:rPr>
        <w:t xml:space="preserve"> pie ilgtermiņa risinājumiem, lai diversificētu energoresursu piegādes no drošiem partneriem un veicinātu </w:t>
      </w:r>
      <w:proofErr w:type="spellStart"/>
      <w:r w:rsidR="00B85B57">
        <w:rPr>
          <w:rFonts w:ascii="Times New Roman" w:hAnsi="Times New Roman" w:cs="Times New Roman"/>
          <w:sz w:val="24"/>
          <w:szCs w:val="24"/>
        </w:rPr>
        <w:t>atjaunīgo</w:t>
      </w:r>
      <w:proofErr w:type="spellEnd"/>
      <w:r w:rsidR="00B85B57">
        <w:rPr>
          <w:rFonts w:ascii="Times New Roman" w:hAnsi="Times New Roman" w:cs="Times New Roman"/>
          <w:sz w:val="24"/>
          <w:szCs w:val="24"/>
        </w:rPr>
        <w:t xml:space="preserve"> resursu lielāku ražošanu</w:t>
      </w:r>
      <w:r w:rsidR="00FB2208">
        <w:rPr>
          <w:rFonts w:ascii="Times New Roman" w:hAnsi="Times New Roman" w:cs="Times New Roman"/>
          <w:sz w:val="24"/>
          <w:szCs w:val="24"/>
        </w:rPr>
        <w:t xml:space="preserve"> (primāri ar privātā finansējuma palīdzību</w:t>
      </w:r>
      <w:r w:rsidR="003402D8">
        <w:rPr>
          <w:rStyle w:val="FootnoteReference"/>
          <w:rFonts w:ascii="Times New Roman" w:hAnsi="Times New Roman" w:cs="Times New Roman"/>
          <w:sz w:val="24"/>
          <w:szCs w:val="24"/>
        </w:rPr>
        <w:footnoteReference w:id="34"/>
      </w:r>
      <w:r w:rsidR="00FB2208">
        <w:rPr>
          <w:rFonts w:ascii="Times New Roman" w:hAnsi="Times New Roman" w:cs="Times New Roman"/>
          <w:sz w:val="24"/>
          <w:szCs w:val="24"/>
        </w:rPr>
        <w:t>),</w:t>
      </w:r>
      <w:r w:rsidR="00B85B57">
        <w:rPr>
          <w:rFonts w:ascii="Times New Roman" w:hAnsi="Times New Roman" w:cs="Times New Roman"/>
          <w:sz w:val="24"/>
          <w:szCs w:val="24"/>
        </w:rPr>
        <w:t xml:space="preserve"> tādējādi veicinot Latvijas </w:t>
      </w:r>
      <w:proofErr w:type="spellStart"/>
      <w:r w:rsidR="00B85B57">
        <w:rPr>
          <w:rFonts w:ascii="Times New Roman" w:hAnsi="Times New Roman" w:cs="Times New Roman"/>
          <w:sz w:val="24"/>
          <w:szCs w:val="24"/>
        </w:rPr>
        <w:t>energoneatkarību</w:t>
      </w:r>
      <w:proofErr w:type="spellEnd"/>
      <w:r w:rsidR="00B85B57">
        <w:rPr>
          <w:rFonts w:ascii="Times New Roman" w:hAnsi="Times New Roman" w:cs="Times New Roman"/>
          <w:sz w:val="24"/>
          <w:szCs w:val="24"/>
        </w:rPr>
        <w:t xml:space="preserve"> un noturību pret ārējiem šokiem, ko izraisa energoresursu piedāvājuma izmaiņas un cenu svārstības. Turklāt  šāda politika ir saskanīga ar Latvijas saistībām un ambīcijām </w:t>
      </w:r>
      <w:proofErr w:type="spellStart"/>
      <w:r w:rsidR="00B85B57">
        <w:rPr>
          <w:rFonts w:ascii="Times New Roman" w:hAnsi="Times New Roman" w:cs="Times New Roman"/>
          <w:sz w:val="24"/>
          <w:szCs w:val="24"/>
        </w:rPr>
        <w:t>klimatneitralitātes</w:t>
      </w:r>
      <w:proofErr w:type="spellEnd"/>
      <w:r w:rsidR="00B85B57">
        <w:rPr>
          <w:rFonts w:ascii="Times New Roman" w:hAnsi="Times New Roman" w:cs="Times New Roman"/>
          <w:sz w:val="24"/>
          <w:szCs w:val="24"/>
        </w:rPr>
        <w:t xml:space="preserve"> mērķu sasniegšanā</w:t>
      </w:r>
      <w:r w:rsidR="00A01979">
        <w:rPr>
          <w:rFonts w:ascii="Times New Roman" w:hAnsi="Times New Roman" w:cs="Times New Roman"/>
          <w:sz w:val="24"/>
          <w:szCs w:val="24"/>
        </w:rPr>
        <w:t xml:space="preserve"> </w:t>
      </w:r>
      <w:r w:rsidR="00B85B57">
        <w:rPr>
          <w:rFonts w:ascii="Times New Roman" w:hAnsi="Times New Roman" w:cs="Times New Roman"/>
          <w:sz w:val="24"/>
          <w:szCs w:val="24"/>
        </w:rPr>
        <w:t xml:space="preserve">(detalizētāk </w:t>
      </w:r>
      <w:r w:rsidR="00A01979">
        <w:rPr>
          <w:rFonts w:ascii="Times New Roman" w:hAnsi="Times New Roman" w:cs="Times New Roman"/>
          <w:sz w:val="24"/>
          <w:szCs w:val="24"/>
        </w:rPr>
        <w:t>temats</w:t>
      </w:r>
      <w:r w:rsidR="00B85B57">
        <w:rPr>
          <w:rFonts w:ascii="Times New Roman" w:hAnsi="Times New Roman" w:cs="Times New Roman"/>
          <w:sz w:val="24"/>
          <w:szCs w:val="24"/>
        </w:rPr>
        <w:t xml:space="preserve"> izskatīts nākamajā deklarācijas sadaļā). </w:t>
      </w:r>
    </w:p>
    <w:p w14:paraId="7B1829F7" w14:textId="5CE196CC" w:rsidR="00FB2208" w:rsidRDefault="00FB2208"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Viens no ievērojamākajiem projektiem ir ELWIND</w:t>
      </w:r>
      <w:r w:rsidR="00CA5C78">
        <w:rPr>
          <w:rFonts w:ascii="Times New Roman" w:hAnsi="Times New Roman" w:cs="Times New Roman"/>
          <w:sz w:val="24"/>
          <w:szCs w:val="24"/>
        </w:rPr>
        <w:t xml:space="preserve"> (kopējā plānotā uzstādītā elektriskā jauda 700-1000MW)</w:t>
      </w:r>
      <w:r>
        <w:rPr>
          <w:rFonts w:ascii="Times New Roman" w:hAnsi="Times New Roman" w:cs="Times New Roman"/>
          <w:sz w:val="24"/>
          <w:szCs w:val="24"/>
        </w:rPr>
        <w:t>, kas ir kopīgs Latvijas un</w:t>
      </w:r>
      <w:r w:rsidRPr="0058124B">
        <w:rPr>
          <w:rFonts w:ascii="Times New Roman" w:hAnsi="Times New Roman" w:cs="Times New Roman"/>
          <w:sz w:val="24"/>
          <w:szCs w:val="24"/>
        </w:rPr>
        <w:t xml:space="preserve"> Igaunijas valstu pārvaldīts pārrobežu jūras vēja projekts Baltijas jūrā</w:t>
      </w:r>
      <w:r w:rsidR="00300699">
        <w:rPr>
          <w:rFonts w:ascii="Times New Roman" w:hAnsi="Times New Roman" w:cs="Times New Roman"/>
          <w:sz w:val="24"/>
          <w:szCs w:val="24"/>
        </w:rPr>
        <w:t xml:space="preserve">. </w:t>
      </w:r>
      <w:r w:rsidRPr="0058124B">
        <w:rPr>
          <w:rFonts w:ascii="Times New Roman" w:hAnsi="Times New Roman" w:cs="Times New Roman"/>
          <w:sz w:val="24"/>
          <w:szCs w:val="24"/>
        </w:rPr>
        <w:t xml:space="preserve">Tas ir vērienīgs, videi draudzīgs </w:t>
      </w:r>
      <w:proofErr w:type="spellStart"/>
      <w:r w:rsidRPr="0058124B">
        <w:rPr>
          <w:rFonts w:ascii="Times New Roman" w:hAnsi="Times New Roman" w:cs="Times New Roman"/>
          <w:sz w:val="24"/>
          <w:szCs w:val="24"/>
        </w:rPr>
        <w:t>atjaunīgās</w:t>
      </w:r>
      <w:proofErr w:type="spellEnd"/>
      <w:r w:rsidRPr="0058124B">
        <w:rPr>
          <w:rFonts w:ascii="Times New Roman" w:hAnsi="Times New Roman" w:cs="Times New Roman"/>
          <w:sz w:val="24"/>
          <w:szCs w:val="24"/>
        </w:rPr>
        <w:t xml:space="preserve"> enerģijas projekts, kas nodrošinās lielāku enerģētisko neatkarību un drošību, pieejamākas enerģijas cenas, veicinās izmaksu samazināšanu mājsaimniecībām un uzņēmumiem, kā arī jaunu biznesa iespēju radīšanu vērtību ķēdē.</w:t>
      </w:r>
      <w:r w:rsidR="00300699">
        <w:rPr>
          <w:rFonts w:ascii="Times New Roman" w:hAnsi="Times New Roman" w:cs="Times New Roman"/>
          <w:sz w:val="24"/>
          <w:szCs w:val="24"/>
        </w:rPr>
        <w:t xml:space="preserve"> </w:t>
      </w:r>
    </w:p>
    <w:p w14:paraId="38E48C05" w14:textId="228D37C0" w:rsidR="00CA5C78" w:rsidRPr="0058124B" w:rsidRDefault="007D03C2" w:rsidP="002601DB">
      <w:pPr>
        <w:spacing w:after="0" w:line="240" w:lineRule="auto"/>
        <w:ind w:firstLine="720"/>
        <w:jc w:val="both"/>
        <w:rPr>
          <w:rFonts w:ascii="Times New Roman" w:hAnsi="Times New Roman" w:cs="Times New Roman"/>
          <w:color w:val="000000" w:themeColor="text1"/>
          <w:sz w:val="24"/>
          <w:szCs w:val="24"/>
        </w:rPr>
      </w:pPr>
      <w:r w:rsidRPr="0058124B">
        <w:rPr>
          <w:rFonts w:ascii="Times New Roman" w:hAnsi="Times New Roman" w:cs="Times New Roman"/>
          <w:color w:val="000000" w:themeColor="text1"/>
          <w:sz w:val="24"/>
          <w:szCs w:val="24"/>
        </w:rPr>
        <w:t>Otrs ievēroja</w:t>
      </w:r>
      <w:r w:rsidR="00E24597" w:rsidRPr="0058124B">
        <w:rPr>
          <w:rFonts w:ascii="Times New Roman" w:hAnsi="Times New Roman" w:cs="Times New Roman"/>
          <w:color w:val="000000" w:themeColor="text1"/>
          <w:sz w:val="24"/>
          <w:szCs w:val="24"/>
        </w:rPr>
        <w:t>ma</w:t>
      </w:r>
      <w:r w:rsidRPr="0058124B">
        <w:rPr>
          <w:rFonts w:ascii="Times New Roman" w:hAnsi="Times New Roman" w:cs="Times New Roman"/>
          <w:color w:val="000000" w:themeColor="text1"/>
          <w:sz w:val="24"/>
          <w:szCs w:val="24"/>
        </w:rPr>
        <w:t xml:space="preserve">is projekts ir </w:t>
      </w:r>
      <w:r w:rsidR="00E24597" w:rsidRPr="0058124B">
        <w:rPr>
          <w:rFonts w:ascii="Times New Roman" w:hAnsi="Times New Roman" w:cs="Times New Roman"/>
          <w:color w:val="000000" w:themeColor="text1"/>
          <w:sz w:val="24"/>
          <w:szCs w:val="24"/>
        </w:rPr>
        <w:t xml:space="preserve">2022.gada jūlijā </w:t>
      </w:r>
      <w:r w:rsidRPr="0058124B">
        <w:rPr>
          <w:rFonts w:ascii="Times New Roman" w:hAnsi="Times New Roman" w:cs="Times New Roman"/>
          <w:color w:val="000000" w:themeColor="text1"/>
          <w:sz w:val="24"/>
          <w:szCs w:val="24"/>
        </w:rPr>
        <w:t xml:space="preserve">dibinātais Latvijas valstij piederošo uzņēmumu AS </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Latvenergo</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un AS </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Latvijas valsts meži</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kopuzņēmums SIA </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Latvijas vēja parki</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sperot nozīmīgu soli Latvijas </w:t>
      </w:r>
      <w:r w:rsidR="00FE271D" w:rsidRPr="00FE271D">
        <w:rPr>
          <w:rFonts w:ascii="Times New Roman" w:hAnsi="Times New Roman" w:cs="Times New Roman"/>
          <w:color w:val="000000" w:themeColor="text1"/>
          <w:sz w:val="24"/>
          <w:szCs w:val="24"/>
        </w:rPr>
        <w:t>enerģētiskās</w:t>
      </w:r>
      <w:r w:rsidRPr="0058124B">
        <w:rPr>
          <w:rFonts w:ascii="Times New Roman" w:hAnsi="Times New Roman" w:cs="Times New Roman"/>
          <w:color w:val="000000" w:themeColor="text1"/>
          <w:sz w:val="24"/>
          <w:szCs w:val="24"/>
        </w:rPr>
        <w:t xml:space="preserve"> neatkarības nodrošinājumam. </w:t>
      </w:r>
      <w:r w:rsidR="00BB369D" w:rsidRPr="0058124B">
        <w:rPr>
          <w:rFonts w:ascii="Times New Roman" w:hAnsi="Times New Roman" w:cs="Times New Roman"/>
          <w:color w:val="000000" w:themeColor="text1"/>
          <w:sz w:val="24"/>
          <w:szCs w:val="24"/>
        </w:rPr>
        <w:t>Jaundibinātā nacionālā uzņēmuma</w:t>
      </w:r>
      <w:r w:rsidR="00CA5C78" w:rsidRPr="0058124B">
        <w:rPr>
          <w:rFonts w:ascii="Times New Roman" w:hAnsi="Times New Roman" w:cs="Times New Roman"/>
          <w:color w:val="000000" w:themeColor="text1"/>
          <w:sz w:val="24"/>
          <w:szCs w:val="24"/>
        </w:rPr>
        <w:t xml:space="preserve"> darbības mērķis ir </w:t>
      </w:r>
      <w:proofErr w:type="spellStart"/>
      <w:r w:rsidR="00CA5C78" w:rsidRPr="0058124B">
        <w:rPr>
          <w:rFonts w:ascii="Times New Roman" w:hAnsi="Times New Roman" w:cs="Times New Roman"/>
          <w:color w:val="000000" w:themeColor="text1"/>
          <w:sz w:val="24"/>
          <w:szCs w:val="24"/>
        </w:rPr>
        <w:t>energoneatkarības</w:t>
      </w:r>
      <w:proofErr w:type="spellEnd"/>
      <w:r w:rsidR="00CA5C78" w:rsidRPr="0058124B">
        <w:rPr>
          <w:rFonts w:ascii="Times New Roman" w:hAnsi="Times New Roman" w:cs="Times New Roman"/>
          <w:color w:val="000000" w:themeColor="text1"/>
          <w:sz w:val="24"/>
          <w:szCs w:val="24"/>
        </w:rPr>
        <w:t xml:space="preserve">, ilgtermiņa </w:t>
      </w:r>
      <w:proofErr w:type="spellStart"/>
      <w:r w:rsidR="00CA5C78" w:rsidRPr="0058124B">
        <w:rPr>
          <w:rFonts w:ascii="Times New Roman" w:hAnsi="Times New Roman" w:cs="Times New Roman"/>
          <w:color w:val="000000" w:themeColor="text1"/>
          <w:sz w:val="24"/>
          <w:szCs w:val="24"/>
        </w:rPr>
        <w:t>atjaunīgās</w:t>
      </w:r>
      <w:proofErr w:type="spellEnd"/>
      <w:r w:rsidR="00CA5C78" w:rsidRPr="0058124B">
        <w:rPr>
          <w:rFonts w:ascii="Times New Roman" w:hAnsi="Times New Roman" w:cs="Times New Roman"/>
          <w:color w:val="000000" w:themeColor="text1"/>
          <w:sz w:val="24"/>
          <w:szCs w:val="24"/>
        </w:rPr>
        <w:t xml:space="preserve"> enerģijas un vērtības pieaugums visu Latvijas iedzīvotāju un uzņēmumu interesēs</w:t>
      </w:r>
      <w:r w:rsidRPr="0058124B">
        <w:rPr>
          <w:rFonts w:ascii="Times New Roman" w:hAnsi="Times New Roman" w:cs="Times New Roman"/>
          <w:color w:val="000000" w:themeColor="text1"/>
          <w:sz w:val="24"/>
          <w:szCs w:val="24"/>
        </w:rPr>
        <w:t>.</w:t>
      </w:r>
      <w:r w:rsidR="00CA5C78" w:rsidRPr="0058124B">
        <w:rPr>
          <w:rFonts w:ascii="Times New Roman" w:hAnsi="Times New Roman" w:cs="Times New Roman"/>
          <w:color w:val="000000" w:themeColor="text1"/>
          <w:sz w:val="24"/>
          <w:szCs w:val="24"/>
        </w:rPr>
        <w:t xml:space="preserve"> Kopuzņēmuma uzdevums ir līdz 2030.gadam uzbūvēt vēja parkus ar kopējo jaudu vismaz 800MW, kas nodrošinās </w:t>
      </w:r>
      <w:proofErr w:type="spellStart"/>
      <w:r w:rsidR="00CA5C78" w:rsidRPr="0058124B">
        <w:rPr>
          <w:rFonts w:ascii="Times New Roman" w:hAnsi="Times New Roman" w:cs="Times New Roman"/>
          <w:color w:val="000000" w:themeColor="text1"/>
          <w:sz w:val="24"/>
          <w:szCs w:val="24"/>
        </w:rPr>
        <w:t>atjaunīgās</w:t>
      </w:r>
      <w:proofErr w:type="spellEnd"/>
      <w:r w:rsidR="00CA5C78" w:rsidRPr="0058124B">
        <w:rPr>
          <w:rFonts w:ascii="Times New Roman" w:hAnsi="Times New Roman" w:cs="Times New Roman"/>
          <w:color w:val="000000" w:themeColor="text1"/>
          <w:sz w:val="24"/>
          <w:szCs w:val="24"/>
        </w:rPr>
        <w:t xml:space="preserve"> elektroenerģijas ražošanas jaudas ievērojamu pieaugumu un veicinās Latvijas virzību uz enerģētisko neatkarību, drošību un </w:t>
      </w:r>
      <w:proofErr w:type="spellStart"/>
      <w:r w:rsidR="00CA5C78" w:rsidRPr="0058124B">
        <w:rPr>
          <w:rFonts w:ascii="Times New Roman" w:hAnsi="Times New Roman" w:cs="Times New Roman"/>
          <w:color w:val="000000" w:themeColor="text1"/>
          <w:sz w:val="24"/>
          <w:szCs w:val="24"/>
        </w:rPr>
        <w:t>klimatneitralitāti</w:t>
      </w:r>
      <w:proofErr w:type="spellEnd"/>
      <w:r w:rsidR="00CA5C78" w:rsidRPr="0058124B">
        <w:rPr>
          <w:rFonts w:ascii="Times New Roman" w:hAnsi="Times New Roman" w:cs="Times New Roman"/>
          <w:color w:val="000000" w:themeColor="text1"/>
          <w:sz w:val="24"/>
          <w:szCs w:val="24"/>
        </w:rPr>
        <w:t>, vienlaikus samazinot</w:t>
      </w:r>
      <w:r w:rsidR="00F64903">
        <w:rPr>
          <w:rFonts w:ascii="Times New Roman" w:hAnsi="Times New Roman" w:cs="Times New Roman"/>
          <w:color w:val="000000" w:themeColor="text1"/>
          <w:sz w:val="24"/>
          <w:szCs w:val="24"/>
        </w:rPr>
        <w:t xml:space="preserve"> s</w:t>
      </w:r>
      <w:r w:rsidR="00F64903" w:rsidRPr="00F64903">
        <w:rPr>
          <w:rFonts w:ascii="Times New Roman" w:hAnsi="Times New Roman" w:cs="Times New Roman"/>
          <w:color w:val="000000" w:themeColor="text1"/>
          <w:sz w:val="24"/>
          <w:szCs w:val="24"/>
        </w:rPr>
        <w:t>iltumnīcefekta gāzes</w:t>
      </w:r>
      <w:r w:rsidR="00CA5C78" w:rsidRPr="0058124B">
        <w:rPr>
          <w:rFonts w:ascii="Times New Roman" w:hAnsi="Times New Roman" w:cs="Times New Roman"/>
          <w:color w:val="000000" w:themeColor="text1"/>
          <w:sz w:val="24"/>
          <w:szCs w:val="24"/>
        </w:rPr>
        <w:t xml:space="preserve"> </w:t>
      </w:r>
      <w:r w:rsidR="00F64903">
        <w:rPr>
          <w:rFonts w:ascii="Times New Roman" w:hAnsi="Times New Roman" w:cs="Times New Roman"/>
          <w:color w:val="000000" w:themeColor="text1"/>
          <w:sz w:val="24"/>
          <w:szCs w:val="24"/>
        </w:rPr>
        <w:t xml:space="preserve">(turpmāk </w:t>
      </w:r>
      <w:r w:rsidR="00CA5C78" w:rsidRPr="0058124B">
        <w:rPr>
          <w:rFonts w:ascii="Times New Roman" w:hAnsi="Times New Roman" w:cs="Times New Roman"/>
          <w:color w:val="000000" w:themeColor="text1"/>
          <w:sz w:val="24"/>
          <w:szCs w:val="24"/>
        </w:rPr>
        <w:t>SEG</w:t>
      </w:r>
      <w:r w:rsidR="00F64903">
        <w:rPr>
          <w:rFonts w:ascii="Times New Roman" w:hAnsi="Times New Roman" w:cs="Times New Roman"/>
          <w:color w:val="000000" w:themeColor="text1"/>
          <w:sz w:val="24"/>
          <w:szCs w:val="24"/>
        </w:rPr>
        <w:t>)</w:t>
      </w:r>
      <w:r w:rsidR="00CA5C78" w:rsidRPr="0058124B">
        <w:rPr>
          <w:rFonts w:ascii="Times New Roman" w:hAnsi="Times New Roman" w:cs="Times New Roman"/>
          <w:color w:val="000000" w:themeColor="text1"/>
          <w:sz w:val="24"/>
          <w:szCs w:val="24"/>
        </w:rPr>
        <w:t xml:space="preserve"> emisijas, saglabājot dabas daudzveidību un attīstot aprites ekonomiku.</w:t>
      </w:r>
      <w:r w:rsidRPr="0058124B">
        <w:rPr>
          <w:rFonts w:ascii="Times New Roman" w:hAnsi="Times New Roman" w:cs="Times New Roman"/>
          <w:color w:val="000000" w:themeColor="text1"/>
          <w:sz w:val="24"/>
          <w:szCs w:val="24"/>
        </w:rPr>
        <w:t xml:space="preserve"> Plānotās privātās investīcijas veidos aptuveni 940 milj. </w:t>
      </w:r>
      <w:proofErr w:type="spellStart"/>
      <w:r w:rsidRPr="0058124B">
        <w:rPr>
          <w:rFonts w:ascii="Times New Roman" w:hAnsi="Times New Roman" w:cs="Times New Roman"/>
          <w:i/>
          <w:iCs/>
          <w:color w:val="000000" w:themeColor="text1"/>
          <w:sz w:val="24"/>
          <w:szCs w:val="24"/>
        </w:rPr>
        <w:t>euro</w:t>
      </w:r>
      <w:proofErr w:type="spellEnd"/>
      <w:r w:rsidRPr="0058124B">
        <w:rPr>
          <w:rFonts w:ascii="Times New Roman" w:hAnsi="Times New Roman" w:cs="Times New Roman"/>
          <w:color w:val="000000" w:themeColor="text1"/>
          <w:sz w:val="24"/>
          <w:szCs w:val="24"/>
        </w:rPr>
        <w:t>.</w:t>
      </w:r>
    </w:p>
    <w:p w14:paraId="69D55548" w14:textId="1A7AC479" w:rsidR="00916397" w:rsidRDefault="00280062" w:rsidP="00BA58D9">
      <w:pPr>
        <w:spacing w:after="0" w:line="240" w:lineRule="auto"/>
        <w:ind w:firstLine="720"/>
        <w:jc w:val="both"/>
      </w:pPr>
      <w:r w:rsidRPr="0058124B">
        <w:rPr>
          <w:rFonts w:ascii="Times New Roman" w:hAnsi="Times New Roman" w:cs="Times New Roman"/>
          <w:color w:val="000000" w:themeColor="text1"/>
          <w:sz w:val="24"/>
          <w:szCs w:val="24"/>
        </w:rPr>
        <w:t xml:space="preserve">Kā trešais nozīmīgais ilgtermiņa </w:t>
      </w:r>
      <w:proofErr w:type="spellStart"/>
      <w:r w:rsidRPr="0058124B">
        <w:rPr>
          <w:rFonts w:ascii="Times New Roman" w:hAnsi="Times New Roman" w:cs="Times New Roman"/>
          <w:color w:val="000000" w:themeColor="text1"/>
          <w:sz w:val="24"/>
          <w:szCs w:val="24"/>
        </w:rPr>
        <w:t>energoneatkarības</w:t>
      </w:r>
      <w:proofErr w:type="spellEnd"/>
      <w:r w:rsidRPr="0058124B">
        <w:rPr>
          <w:rFonts w:ascii="Times New Roman" w:hAnsi="Times New Roman" w:cs="Times New Roman"/>
          <w:color w:val="000000" w:themeColor="text1"/>
          <w:sz w:val="24"/>
          <w:szCs w:val="24"/>
        </w:rPr>
        <w:t xml:space="preserve"> veicināšanas </w:t>
      </w:r>
      <w:r w:rsidR="00A5538E" w:rsidRPr="0058124B">
        <w:rPr>
          <w:rFonts w:ascii="Times New Roman" w:hAnsi="Times New Roman" w:cs="Times New Roman"/>
          <w:color w:val="000000" w:themeColor="text1"/>
          <w:sz w:val="24"/>
          <w:szCs w:val="24"/>
        </w:rPr>
        <w:t>projekts</w:t>
      </w:r>
      <w:r w:rsidR="00F30D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ir plānotā </w:t>
      </w:r>
      <w:r w:rsidR="00724F85" w:rsidRPr="0058124B">
        <w:rPr>
          <w:rFonts w:ascii="Times New Roman" w:hAnsi="Times New Roman" w:cs="Times New Roman"/>
          <w:color w:val="000000" w:themeColor="text1"/>
          <w:sz w:val="24"/>
          <w:szCs w:val="24"/>
        </w:rPr>
        <w:t xml:space="preserve">sašķidrinātās </w:t>
      </w:r>
      <w:r w:rsidRPr="0058124B">
        <w:rPr>
          <w:rFonts w:ascii="Times New Roman" w:hAnsi="Times New Roman" w:cs="Times New Roman"/>
          <w:color w:val="000000" w:themeColor="text1"/>
          <w:sz w:val="24"/>
          <w:szCs w:val="24"/>
        </w:rPr>
        <w:t xml:space="preserve">dabasgāzes termināļa būvniecība Skultē. </w:t>
      </w:r>
      <w:r w:rsidR="00A5538E" w:rsidRPr="0058124B">
        <w:rPr>
          <w:rFonts w:ascii="Times New Roman" w:hAnsi="Times New Roman" w:cs="Times New Roman"/>
          <w:color w:val="000000" w:themeColor="text1"/>
          <w:sz w:val="24"/>
          <w:szCs w:val="24"/>
        </w:rPr>
        <w:t xml:space="preserve">Līdz ar grozījumiem Enerģētikas likumā, kas ar 2023.gada 1.janvāri aizliedz dabasgāzes piegādes no Krievijas Federācijas, svarīgs jautājums </w:t>
      </w:r>
      <w:r w:rsidR="00B0137E">
        <w:rPr>
          <w:rFonts w:ascii="Times New Roman" w:hAnsi="Times New Roman" w:cs="Times New Roman"/>
          <w:color w:val="000000" w:themeColor="text1"/>
          <w:sz w:val="24"/>
          <w:szCs w:val="24"/>
        </w:rPr>
        <w:t>saistās ar iespējamajiem</w:t>
      </w:r>
      <w:r w:rsidR="00A5538E" w:rsidRPr="0058124B">
        <w:rPr>
          <w:rFonts w:ascii="Times New Roman" w:hAnsi="Times New Roman" w:cs="Times New Roman"/>
          <w:color w:val="000000" w:themeColor="text1"/>
          <w:sz w:val="24"/>
          <w:szCs w:val="24"/>
        </w:rPr>
        <w:t xml:space="preserve"> alternatīvajiem dabasgāzes piegādes kanāliem.</w:t>
      </w:r>
      <w:r w:rsidR="00A5538E" w:rsidRPr="0058124B">
        <w:rPr>
          <w:rFonts w:ascii="Times New Roman" w:hAnsi="Times New Roman" w:cs="Times New Roman"/>
          <w:color w:val="000000" w:themeColor="text1"/>
          <w:sz w:val="24"/>
          <w:szCs w:val="24"/>
          <w:shd w:val="clear" w:color="auto" w:fill="FFFFFF"/>
        </w:rPr>
        <w:t> Dabasgāze ir viens no būtiskiem primārajiem energoresursiem, kas tiek izmantots gan elektroenerģijas, gan siltumenerģijas ražošanas procesā. Atteikšanās no apgādes ar Krievijas Federācijas dabasgāzi un nodrošināšana ar citiem alternatīviem dabasgāzes avotiem ļaus nodrošināt Latvijas dabasgāzes</w:t>
      </w:r>
      <w:r w:rsidR="009E7660">
        <w:rPr>
          <w:rFonts w:ascii="Times New Roman" w:hAnsi="Times New Roman" w:cs="Times New Roman"/>
          <w:color w:val="000000" w:themeColor="text1"/>
          <w:sz w:val="24"/>
          <w:szCs w:val="24"/>
          <w:shd w:val="clear" w:color="auto" w:fill="FFFFFF"/>
        </w:rPr>
        <w:t xml:space="preserve"> </w:t>
      </w:r>
      <w:r w:rsidR="00A5538E" w:rsidRPr="0058124B">
        <w:rPr>
          <w:rFonts w:ascii="Times New Roman" w:hAnsi="Times New Roman" w:cs="Times New Roman"/>
          <w:color w:val="000000" w:themeColor="text1"/>
          <w:sz w:val="24"/>
          <w:szCs w:val="24"/>
          <w:shd w:val="clear" w:color="auto" w:fill="FFFFFF"/>
        </w:rPr>
        <w:t>lietotājus ar nepārtrauktu dabasgāzes apgādi par pamatotām cenām. Lai nodrošinātu Latvijas apgādi ar dabasgāzi arī turpmāk, viens no piegādes avotiem ir dabasgāzes piegāde sašķidrinātā veidā uz sašķidrinātās dabasgāzes termināli. Tādējādi sašķidrinātās dabasgāzes termināļa izveidei ir būtiska nozīme Latvijas energoapgādes piegāžu ceļu noturībai un tās apgādei ar dabasgāzi.</w:t>
      </w:r>
      <w:r w:rsidR="00724F85" w:rsidRPr="00724F85">
        <w:rPr>
          <w:rFonts w:ascii="Times New Roman" w:hAnsi="Times New Roman" w:cs="Times New Roman"/>
          <w:color w:val="000000" w:themeColor="text1"/>
          <w:sz w:val="24"/>
          <w:szCs w:val="24"/>
          <w:shd w:val="clear" w:color="auto" w:fill="FFFFFF"/>
        </w:rPr>
        <w:t xml:space="preserve"> Attiecīgi </w:t>
      </w:r>
      <w:r w:rsidRPr="0058124B">
        <w:rPr>
          <w:rFonts w:ascii="Times New Roman" w:hAnsi="Times New Roman" w:cs="Times New Roman"/>
          <w:color w:val="000000" w:themeColor="text1"/>
          <w:sz w:val="24"/>
          <w:szCs w:val="24"/>
          <w:shd w:val="clear" w:color="auto" w:fill="FFFFFF"/>
        </w:rPr>
        <w:t>MK 2022.gada 19.apr</w:t>
      </w:r>
      <w:r w:rsidRPr="0058124B">
        <w:rPr>
          <w:rFonts w:ascii="Times New Roman" w:hAnsi="Times New Roman" w:cs="Times New Roman" w:hint="eastAsia"/>
          <w:color w:val="000000" w:themeColor="text1"/>
          <w:sz w:val="24"/>
          <w:szCs w:val="24"/>
          <w:shd w:val="clear" w:color="auto" w:fill="FFFFFF"/>
        </w:rPr>
        <w:t>ī</w:t>
      </w:r>
      <w:r w:rsidRPr="0058124B">
        <w:rPr>
          <w:rFonts w:ascii="Times New Roman" w:hAnsi="Times New Roman" w:cs="Times New Roman"/>
          <w:color w:val="000000" w:themeColor="text1"/>
          <w:sz w:val="24"/>
          <w:szCs w:val="24"/>
          <w:shd w:val="clear" w:color="auto" w:fill="FFFFFF"/>
        </w:rPr>
        <w:t>l</w:t>
      </w:r>
      <w:r w:rsidRPr="0058124B">
        <w:rPr>
          <w:rFonts w:ascii="Times New Roman" w:hAnsi="Times New Roman" w:cs="Times New Roman" w:hint="eastAsia"/>
          <w:color w:val="000000" w:themeColor="text1"/>
          <w:sz w:val="24"/>
          <w:szCs w:val="24"/>
          <w:shd w:val="clear" w:color="auto" w:fill="FFFFFF"/>
        </w:rPr>
        <w:t>ī</w:t>
      </w:r>
      <w:r w:rsidRPr="0058124B">
        <w:rPr>
          <w:rFonts w:ascii="Times New Roman" w:hAnsi="Times New Roman" w:cs="Times New Roman"/>
          <w:color w:val="000000" w:themeColor="text1"/>
          <w:sz w:val="24"/>
          <w:szCs w:val="24"/>
          <w:shd w:val="clear" w:color="auto" w:fill="FFFFFF"/>
        </w:rPr>
        <w:t xml:space="preserve"> l</w:t>
      </w:r>
      <w:r w:rsidRPr="0058124B">
        <w:rPr>
          <w:rFonts w:ascii="Times New Roman" w:hAnsi="Times New Roman" w:cs="Times New Roman" w:hint="eastAsia"/>
          <w:color w:val="000000" w:themeColor="text1"/>
          <w:sz w:val="24"/>
          <w:szCs w:val="24"/>
          <w:shd w:val="clear" w:color="auto" w:fill="FFFFFF"/>
        </w:rPr>
        <w:t>ē</w:t>
      </w:r>
      <w:r w:rsidRPr="0058124B">
        <w:rPr>
          <w:rFonts w:ascii="Times New Roman" w:hAnsi="Times New Roman" w:cs="Times New Roman"/>
          <w:color w:val="000000" w:themeColor="text1"/>
          <w:sz w:val="24"/>
          <w:szCs w:val="24"/>
          <w:shd w:val="clear" w:color="auto" w:fill="FFFFFF"/>
        </w:rPr>
        <w:t>ma, ka ar m</w:t>
      </w:r>
      <w:r w:rsidRPr="0058124B">
        <w:rPr>
          <w:rFonts w:ascii="Times New Roman" w:hAnsi="Times New Roman" w:cs="Times New Roman" w:hint="eastAsia"/>
          <w:color w:val="000000" w:themeColor="text1"/>
          <w:sz w:val="24"/>
          <w:szCs w:val="24"/>
          <w:shd w:val="clear" w:color="auto" w:fill="FFFFFF"/>
        </w:rPr>
        <w:t>ē</w:t>
      </w:r>
      <w:r w:rsidRPr="0058124B">
        <w:rPr>
          <w:rFonts w:ascii="Times New Roman" w:hAnsi="Times New Roman" w:cs="Times New Roman"/>
          <w:color w:val="000000" w:themeColor="text1"/>
          <w:sz w:val="24"/>
          <w:szCs w:val="24"/>
          <w:shd w:val="clear" w:color="auto" w:fill="FFFFFF"/>
        </w:rPr>
        <w:t>r</w:t>
      </w:r>
      <w:r w:rsidRPr="0058124B">
        <w:rPr>
          <w:rFonts w:ascii="Times New Roman" w:hAnsi="Times New Roman" w:cs="Times New Roman" w:hint="eastAsia"/>
          <w:color w:val="000000" w:themeColor="text1"/>
          <w:sz w:val="24"/>
          <w:szCs w:val="24"/>
          <w:shd w:val="clear" w:color="auto" w:fill="FFFFFF"/>
        </w:rPr>
        <w:t>ķ</w:t>
      </w:r>
      <w:r w:rsidRPr="0058124B">
        <w:rPr>
          <w:rFonts w:ascii="Times New Roman" w:hAnsi="Times New Roman" w:cs="Times New Roman"/>
          <w:color w:val="000000" w:themeColor="text1"/>
          <w:sz w:val="24"/>
          <w:szCs w:val="24"/>
          <w:shd w:val="clear" w:color="auto" w:fill="FFFFFF"/>
        </w:rPr>
        <w:t>i nodro</w:t>
      </w:r>
      <w:r w:rsidRPr="0058124B">
        <w:rPr>
          <w:rFonts w:ascii="Times New Roman" w:hAnsi="Times New Roman" w:cs="Times New Roman" w:hint="eastAsia"/>
          <w:color w:val="000000" w:themeColor="text1"/>
          <w:sz w:val="24"/>
          <w:szCs w:val="24"/>
          <w:shd w:val="clear" w:color="auto" w:fill="FFFFFF"/>
        </w:rPr>
        <w:t>š</w:t>
      </w:r>
      <w:r w:rsidRPr="0058124B">
        <w:rPr>
          <w:rFonts w:ascii="Times New Roman" w:hAnsi="Times New Roman" w:cs="Times New Roman"/>
          <w:color w:val="000000" w:themeColor="text1"/>
          <w:sz w:val="24"/>
          <w:szCs w:val="24"/>
          <w:shd w:val="clear" w:color="auto" w:fill="FFFFFF"/>
        </w:rPr>
        <w:t>in</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t dabasg</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zes pieg</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des, Latvij</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 xml:space="preserve"> j</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veido sa</w:t>
      </w:r>
      <w:r w:rsidRPr="0058124B">
        <w:rPr>
          <w:rFonts w:ascii="Times New Roman" w:hAnsi="Times New Roman" w:cs="Times New Roman" w:hint="eastAsia"/>
          <w:color w:val="000000" w:themeColor="text1"/>
          <w:sz w:val="24"/>
          <w:szCs w:val="24"/>
          <w:shd w:val="clear" w:color="auto" w:fill="FFFFFF"/>
        </w:rPr>
        <w:t>šķ</w:t>
      </w:r>
      <w:r w:rsidRPr="0058124B">
        <w:rPr>
          <w:rFonts w:ascii="Times New Roman" w:hAnsi="Times New Roman" w:cs="Times New Roman"/>
          <w:color w:val="000000" w:themeColor="text1"/>
          <w:sz w:val="24"/>
          <w:szCs w:val="24"/>
          <w:shd w:val="clear" w:color="auto" w:fill="FFFFFF"/>
        </w:rPr>
        <w:t>idrin</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t</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s dabasg</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zes termin</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 xml:space="preserve">lis. </w:t>
      </w:r>
      <w:r w:rsidR="00AB2E0C" w:rsidRPr="0058124B">
        <w:rPr>
          <w:rFonts w:ascii="Times New Roman" w:hAnsi="Times New Roman" w:cs="Times New Roman"/>
          <w:color w:val="000000" w:themeColor="text1"/>
          <w:sz w:val="24"/>
          <w:szCs w:val="24"/>
          <w:shd w:val="clear" w:color="auto" w:fill="FFFFFF"/>
        </w:rPr>
        <w:t>Savuk</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rt Saeima 2022.gada 29.septembr</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 xml:space="preserve"> pie</w:t>
      </w:r>
      <w:r w:rsidR="00AB2E0C" w:rsidRPr="0058124B">
        <w:rPr>
          <w:rFonts w:ascii="Times New Roman" w:hAnsi="Times New Roman" w:cs="Times New Roman" w:hint="eastAsia"/>
          <w:color w:val="000000" w:themeColor="text1"/>
          <w:sz w:val="24"/>
          <w:szCs w:val="24"/>
          <w:shd w:val="clear" w:color="auto" w:fill="FFFFFF"/>
        </w:rPr>
        <w:t>ņē</w:t>
      </w:r>
      <w:r w:rsidR="00AB2E0C" w:rsidRPr="0058124B">
        <w:rPr>
          <w:rFonts w:ascii="Times New Roman" w:hAnsi="Times New Roman" w:cs="Times New Roman"/>
          <w:color w:val="000000" w:themeColor="text1"/>
          <w:sz w:val="24"/>
          <w:szCs w:val="24"/>
          <w:shd w:val="clear" w:color="auto" w:fill="FFFFFF"/>
        </w:rPr>
        <w:t xml:space="preserve">ma likumu </w:t>
      </w:r>
      <w:r w:rsidR="00F22A4D">
        <w:rPr>
          <w:rFonts w:ascii="Times New Roman" w:hAnsi="Times New Roman" w:cs="Times New Roman"/>
          <w:color w:val="000000" w:themeColor="text1"/>
          <w:sz w:val="24"/>
          <w:szCs w:val="24"/>
          <w:shd w:val="clear" w:color="auto" w:fill="FFFFFF"/>
        </w:rPr>
        <w:t>“</w:t>
      </w:r>
      <w:r w:rsidR="00AB2E0C" w:rsidRPr="0058124B">
        <w:rPr>
          <w:rFonts w:ascii="Times New Roman" w:hAnsi="Times New Roman" w:cs="Times New Roman"/>
          <w:i/>
          <w:iCs/>
          <w:color w:val="000000" w:themeColor="text1"/>
          <w:sz w:val="24"/>
          <w:szCs w:val="24"/>
          <w:shd w:val="clear" w:color="auto" w:fill="FFFFFF"/>
        </w:rPr>
        <w:t>Par Skultes sa</w:t>
      </w:r>
      <w:r w:rsidR="00AB2E0C" w:rsidRPr="0058124B">
        <w:rPr>
          <w:rFonts w:ascii="Times New Roman" w:hAnsi="Times New Roman" w:cs="Times New Roman" w:hint="eastAsia"/>
          <w:i/>
          <w:iCs/>
          <w:color w:val="000000" w:themeColor="text1"/>
          <w:sz w:val="24"/>
          <w:szCs w:val="24"/>
          <w:shd w:val="clear" w:color="auto" w:fill="FFFFFF"/>
        </w:rPr>
        <w:t>šķ</w:t>
      </w:r>
      <w:r w:rsidR="00AB2E0C" w:rsidRPr="0058124B">
        <w:rPr>
          <w:rFonts w:ascii="Times New Roman" w:hAnsi="Times New Roman" w:cs="Times New Roman"/>
          <w:i/>
          <w:iCs/>
          <w:color w:val="000000" w:themeColor="text1"/>
          <w:sz w:val="24"/>
          <w:szCs w:val="24"/>
          <w:shd w:val="clear" w:color="auto" w:fill="FFFFFF"/>
        </w:rPr>
        <w:t>idrin</w:t>
      </w:r>
      <w:r w:rsidR="00AB2E0C" w:rsidRPr="0058124B">
        <w:rPr>
          <w:rFonts w:ascii="Times New Roman" w:hAnsi="Times New Roman" w:cs="Times New Roman" w:hint="eastAsia"/>
          <w:i/>
          <w:iCs/>
          <w:color w:val="000000" w:themeColor="text1"/>
          <w:sz w:val="24"/>
          <w:szCs w:val="24"/>
          <w:shd w:val="clear" w:color="auto" w:fill="FFFFFF"/>
        </w:rPr>
        <w:t>ā</w:t>
      </w:r>
      <w:r w:rsidR="00AB2E0C" w:rsidRPr="0058124B">
        <w:rPr>
          <w:rFonts w:ascii="Times New Roman" w:hAnsi="Times New Roman" w:cs="Times New Roman"/>
          <w:i/>
          <w:iCs/>
          <w:color w:val="000000" w:themeColor="text1"/>
          <w:sz w:val="24"/>
          <w:szCs w:val="24"/>
          <w:shd w:val="clear" w:color="auto" w:fill="FFFFFF"/>
        </w:rPr>
        <w:t>to dabasg</w:t>
      </w:r>
      <w:r w:rsidR="00AB2E0C" w:rsidRPr="0058124B">
        <w:rPr>
          <w:rFonts w:ascii="Times New Roman" w:hAnsi="Times New Roman" w:cs="Times New Roman" w:hint="eastAsia"/>
          <w:i/>
          <w:iCs/>
          <w:color w:val="000000" w:themeColor="text1"/>
          <w:sz w:val="24"/>
          <w:szCs w:val="24"/>
          <w:shd w:val="clear" w:color="auto" w:fill="FFFFFF"/>
        </w:rPr>
        <w:t>ā</w:t>
      </w:r>
      <w:r w:rsidR="00AB2E0C" w:rsidRPr="0058124B">
        <w:rPr>
          <w:rFonts w:ascii="Times New Roman" w:hAnsi="Times New Roman" w:cs="Times New Roman"/>
          <w:i/>
          <w:iCs/>
          <w:color w:val="000000" w:themeColor="text1"/>
          <w:sz w:val="24"/>
          <w:szCs w:val="24"/>
          <w:shd w:val="clear" w:color="auto" w:fill="FFFFFF"/>
        </w:rPr>
        <w:t>zes termin</w:t>
      </w:r>
      <w:r w:rsidR="00AB2E0C" w:rsidRPr="0058124B">
        <w:rPr>
          <w:rFonts w:ascii="Times New Roman" w:hAnsi="Times New Roman" w:cs="Times New Roman" w:hint="eastAsia"/>
          <w:i/>
          <w:iCs/>
          <w:color w:val="000000" w:themeColor="text1"/>
          <w:sz w:val="24"/>
          <w:szCs w:val="24"/>
          <w:shd w:val="clear" w:color="auto" w:fill="FFFFFF"/>
        </w:rPr>
        <w:t>ā</w:t>
      </w:r>
      <w:r w:rsidR="00AB2E0C" w:rsidRPr="0058124B">
        <w:rPr>
          <w:rFonts w:ascii="Times New Roman" w:hAnsi="Times New Roman" w:cs="Times New Roman"/>
          <w:i/>
          <w:iCs/>
          <w:color w:val="000000" w:themeColor="text1"/>
          <w:sz w:val="24"/>
          <w:szCs w:val="24"/>
          <w:shd w:val="clear" w:color="auto" w:fill="FFFFFF"/>
        </w:rPr>
        <w:t>li</w:t>
      </w:r>
      <w:r w:rsidR="00F22A4D">
        <w:rPr>
          <w:rFonts w:ascii="Times New Roman" w:hAnsi="Times New Roman" w:cs="Times New Roman"/>
          <w:color w:val="000000" w:themeColor="text1"/>
          <w:sz w:val="24"/>
          <w:szCs w:val="24"/>
          <w:shd w:val="clear" w:color="auto" w:fill="FFFFFF"/>
        </w:rPr>
        <w:t>”</w:t>
      </w:r>
      <w:r w:rsidR="00AB2E0C" w:rsidRPr="0058124B">
        <w:rPr>
          <w:rFonts w:ascii="Times New Roman" w:hAnsi="Times New Roman" w:cs="Times New Roman"/>
          <w:color w:val="000000" w:themeColor="text1"/>
          <w:sz w:val="24"/>
          <w:szCs w:val="24"/>
          <w:shd w:val="clear" w:color="auto" w:fill="FFFFFF"/>
        </w:rPr>
        <w:t>, radot labv</w:t>
      </w:r>
      <w:r w:rsidR="00AB2E0C" w:rsidRPr="0058124B">
        <w:rPr>
          <w:rFonts w:ascii="Times New Roman" w:hAnsi="Times New Roman" w:cs="Times New Roman" w:hint="eastAsia"/>
          <w:color w:val="000000" w:themeColor="text1"/>
          <w:sz w:val="24"/>
          <w:szCs w:val="24"/>
          <w:shd w:val="clear" w:color="auto" w:fill="FFFFFF"/>
        </w:rPr>
        <w:t>ē</w:t>
      </w:r>
      <w:r w:rsidR="00AB2E0C" w:rsidRPr="0058124B">
        <w:rPr>
          <w:rFonts w:ascii="Times New Roman" w:hAnsi="Times New Roman" w:cs="Times New Roman"/>
          <w:color w:val="000000" w:themeColor="text1"/>
          <w:sz w:val="24"/>
          <w:szCs w:val="24"/>
          <w:shd w:val="clear" w:color="auto" w:fill="FFFFFF"/>
        </w:rPr>
        <w:t>l</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gus nosac</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jumus sekm</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gai Skultes sa</w:t>
      </w:r>
      <w:r w:rsidR="00AB2E0C" w:rsidRPr="0058124B">
        <w:rPr>
          <w:rFonts w:ascii="Times New Roman" w:hAnsi="Times New Roman" w:cs="Times New Roman" w:hint="eastAsia"/>
          <w:color w:val="000000" w:themeColor="text1"/>
          <w:sz w:val="24"/>
          <w:szCs w:val="24"/>
          <w:shd w:val="clear" w:color="auto" w:fill="FFFFFF"/>
        </w:rPr>
        <w:t>šķ</w:t>
      </w:r>
      <w:r w:rsidR="00AB2E0C" w:rsidRPr="0058124B">
        <w:rPr>
          <w:rFonts w:ascii="Times New Roman" w:hAnsi="Times New Roman" w:cs="Times New Roman"/>
          <w:color w:val="000000" w:themeColor="text1"/>
          <w:sz w:val="24"/>
          <w:szCs w:val="24"/>
          <w:shd w:val="clear" w:color="auto" w:fill="FFFFFF"/>
        </w:rPr>
        <w:t>idrin</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t</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s dabasg</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zes termin</w:t>
      </w:r>
      <w:r w:rsidR="00AB2E0C" w:rsidRPr="0058124B">
        <w:rPr>
          <w:rFonts w:ascii="Times New Roman" w:hAnsi="Times New Roman" w:cs="Times New Roman" w:hint="eastAsia"/>
          <w:color w:val="000000" w:themeColor="text1"/>
          <w:sz w:val="24"/>
          <w:szCs w:val="24"/>
          <w:shd w:val="clear" w:color="auto" w:fill="FFFFFF"/>
        </w:rPr>
        <w:t>āļ</w:t>
      </w:r>
      <w:r w:rsidR="00AB2E0C" w:rsidRPr="0058124B">
        <w:rPr>
          <w:rFonts w:ascii="Times New Roman" w:hAnsi="Times New Roman" w:cs="Times New Roman"/>
          <w:color w:val="000000" w:themeColor="text1"/>
          <w:sz w:val="24"/>
          <w:szCs w:val="24"/>
          <w:shd w:val="clear" w:color="auto" w:fill="FFFFFF"/>
        </w:rPr>
        <w:t>a izb</w:t>
      </w:r>
      <w:r w:rsidR="00AB2E0C" w:rsidRPr="0058124B">
        <w:rPr>
          <w:rFonts w:ascii="Times New Roman" w:hAnsi="Times New Roman" w:cs="Times New Roman" w:hint="eastAsia"/>
          <w:color w:val="000000" w:themeColor="text1"/>
          <w:sz w:val="24"/>
          <w:szCs w:val="24"/>
          <w:shd w:val="clear" w:color="auto" w:fill="FFFFFF"/>
        </w:rPr>
        <w:t>ū</w:t>
      </w:r>
      <w:r w:rsidR="00AB2E0C" w:rsidRPr="0058124B">
        <w:rPr>
          <w:rFonts w:ascii="Times New Roman" w:hAnsi="Times New Roman" w:cs="Times New Roman"/>
          <w:color w:val="000000" w:themeColor="text1"/>
          <w:sz w:val="24"/>
          <w:szCs w:val="24"/>
          <w:shd w:val="clear" w:color="auto" w:fill="FFFFFF"/>
        </w:rPr>
        <w:t>ves norisei.</w:t>
      </w:r>
      <w:bookmarkStart w:id="306" w:name="_Hlk105505717"/>
      <w:r w:rsidR="00724F85" w:rsidRPr="0058124B">
        <w:rPr>
          <w:rFonts w:ascii="Times New Roman" w:hAnsi="Times New Roman" w:cs="Times New Roman"/>
          <w:color w:val="000000" w:themeColor="text1"/>
          <w:sz w:val="24"/>
          <w:szCs w:val="24"/>
          <w:shd w:val="clear" w:color="auto" w:fill="FFFFFF"/>
        </w:rPr>
        <w:t xml:space="preserve"> </w:t>
      </w:r>
      <w:r w:rsidR="00DD3633">
        <w:rPr>
          <w:rFonts w:ascii="Times New Roman" w:hAnsi="Times New Roman" w:cs="Times New Roman"/>
          <w:color w:val="000000" w:themeColor="text1"/>
          <w:sz w:val="24"/>
          <w:szCs w:val="24"/>
          <w:shd w:val="clear" w:color="auto" w:fill="FFFFFF"/>
        </w:rPr>
        <w:t xml:space="preserve">Paredzēts, ka </w:t>
      </w:r>
      <w:r w:rsidR="00DD3633" w:rsidRPr="006E74DD">
        <w:rPr>
          <w:rFonts w:ascii="Times New Roman" w:hAnsi="Times New Roman" w:cs="Times New Roman"/>
          <w:color w:val="000000" w:themeColor="text1"/>
          <w:sz w:val="24"/>
          <w:szCs w:val="24"/>
          <w:shd w:val="clear" w:color="auto" w:fill="FFFFFF"/>
        </w:rPr>
        <w:t>terminā</w:t>
      </w:r>
      <w:r w:rsidR="00DD3633">
        <w:rPr>
          <w:rFonts w:ascii="Times New Roman" w:hAnsi="Times New Roman" w:cs="Times New Roman"/>
          <w:color w:val="000000" w:themeColor="text1"/>
          <w:sz w:val="24"/>
          <w:szCs w:val="24"/>
          <w:shd w:val="clear" w:color="auto" w:fill="FFFFFF"/>
        </w:rPr>
        <w:t>li nodrošinās</w:t>
      </w:r>
      <w:r w:rsidR="00DD3633" w:rsidRPr="006E74DD">
        <w:rPr>
          <w:rFonts w:ascii="Times New Roman" w:hAnsi="Times New Roman" w:cs="Times New Roman"/>
          <w:color w:val="000000" w:themeColor="text1"/>
          <w:sz w:val="24"/>
          <w:szCs w:val="24"/>
          <w:shd w:val="clear" w:color="auto" w:fill="FFFFFF"/>
        </w:rPr>
        <w:t xml:space="preserve"> privātais sektors </w:t>
      </w:r>
      <w:r w:rsidR="00DD3633">
        <w:rPr>
          <w:rFonts w:ascii="Times New Roman" w:hAnsi="Times New Roman" w:cs="Times New Roman"/>
          <w:color w:val="000000" w:themeColor="text1"/>
          <w:sz w:val="24"/>
          <w:szCs w:val="24"/>
          <w:shd w:val="clear" w:color="auto" w:fill="FFFFFF"/>
        </w:rPr>
        <w:t xml:space="preserve">un tas būtu nododams ekspluatācijā līdz 2024.gada 15.septembrim. </w:t>
      </w:r>
      <w:bookmarkEnd w:id="306"/>
    </w:p>
    <w:p w14:paraId="19080EAF" w14:textId="7EA5A8BD" w:rsidR="00FF0550" w:rsidRPr="00497710" w:rsidRDefault="00FF0550" w:rsidP="0058124B">
      <w:pPr>
        <w:pStyle w:val="Heading1"/>
        <w:numPr>
          <w:ilvl w:val="0"/>
          <w:numId w:val="4"/>
        </w:numPr>
        <w:jc w:val="center"/>
        <w:rPr>
          <w:rFonts w:ascii="Times New Roman" w:hAnsi="Times New Roman" w:cs="Times New Roman"/>
          <w:sz w:val="24"/>
          <w:szCs w:val="24"/>
        </w:rPr>
      </w:pPr>
      <w:bookmarkStart w:id="307" w:name="_Toc125316712"/>
      <w:bookmarkStart w:id="308" w:name="_Toc125362774"/>
      <w:bookmarkStart w:id="309" w:name="_Toc125382165"/>
      <w:bookmarkStart w:id="310" w:name="_Toc125399757"/>
      <w:bookmarkStart w:id="311" w:name="_Toc142388050"/>
      <w:bookmarkStart w:id="312" w:name="_Hlk141174047"/>
      <w:bookmarkEnd w:id="307"/>
      <w:bookmarkEnd w:id="308"/>
      <w:bookmarkEnd w:id="309"/>
      <w:bookmarkEnd w:id="310"/>
      <w:r w:rsidRPr="00497710">
        <w:rPr>
          <w:rFonts w:ascii="Times New Roman" w:hAnsi="Times New Roman" w:cs="Times New Roman"/>
          <w:sz w:val="24"/>
          <w:szCs w:val="24"/>
        </w:rPr>
        <w:lastRenderedPageBreak/>
        <w:t>Klimat</w:t>
      </w:r>
      <w:r w:rsidR="00E0058A" w:rsidRPr="00497710">
        <w:rPr>
          <w:rFonts w:ascii="Times New Roman" w:hAnsi="Times New Roman" w:cs="Times New Roman"/>
          <w:sz w:val="24"/>
          <w:szCs w:val="24"/>
        </w:rPr>
        <w:t>a pārmaiņu ietekme</w:t>
      </w:r>
      <w:bookmarkEnd w:id="311"/>
    </w:p>
    <w:p w14:paraId="0BC136EA" w14:textId="3BF16B40" w:rsidR="00171273" w:rsidRDefault="009879EB" w:rsidP="002601DB">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as ir viens no m</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sdienu liel</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kajiem 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lajiem izaicin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jumiem, kas rada arvien noz</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ku</w:t>
      </w:r>
      <w:r w:rsidR="001D7967" w:rsidRPr="00056E74">
        <w:rPr>
          <w:rFonts w:ascii="Times New Roman" w:hAnsi="Times New Roman" w:cs="Times New Roman"/>
          <w:color w:val="212529"/>
          <w:sz w:val="24"/>
          <w:szCs w:val="24"/>
          <w:shd w:val="clear" w:color="auto" w:fill="FFFFFF"/>
        </w:rPr>
        <w:t xml:space="preserve"> negatīvu ietekmi uz </w:t>
      </w:r>
      <w:r w:rsidRPr="0058124B">
        <w:rPr>
          <w:rFonts w:ascii="Times New Roman" w:hAnsi="Times New Roman" w:cs="Times New Roman"/>
          <w:color w:val="212529"/>
          <w:sz w:val="24"/>
          <w:szCs w:val="24"/>
          <w:shd w:val="clear" w:color="auto" w:fill="FFFFFF"/>
        </w:rPr>
        <w:t>cilv</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ku vesel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dro</w:t>
      </w:r>
      <w:r w:rsidRPr="0058124B">
        <w:rPr>
          <w:rFonts w:ascii="Times New Roman" w:hAnsi="Times New Roman" w:cs="Times New Roman" w:hint="eastAsia"/>
          <w:color w:val="212529"/>
          <w:sz w:val="24"/>
          <w:szCs w:val="24"/>
          <w:shd w:val="clear" w:color="auto" w:fill="FFFFFF"/>
        </w:rPr>
        <w:t>šī</w:t>
      </w:r>
      <w:r w:rsidRPr="0058124B">
        <w:rPr>
          <w:rFonts w:ascii="Times New Roman" w:hAnsi="Times New Roman" w:cs="Times New Roman"/>
          <w:color w:val="212529"/>
          <w:sz w:val="24"/>
          <w:szCs w:val="24"/>
          <w:shd w:val="clear" w:color="auto" w:fill="FFFFFF"/>
        </w:rPr>
        <w:t>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labkl</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w:t>
      </w:r>
      <w:r w:rsidRPr="0058124B">
        <w:rPr>
          <w:rFonts w:ascii="Times New Roman" w:hAnsi="Times New Roman" w:cs="Times New Roman" w:hint="eastAsia"/>
          <w:color w:val="212529"/>
          <w:sz w:val="24"/>
          <w:szCs w:val="24"/>
          <w:shd w:val="clear" w:color="auto" w:fill="FFFFFF"/>
        </w:rPr>
        <w:t>ī</w:t>
      </w:r>
      <w:r w:rsidR="001D7967" w:rsidRPr="00056E74">
        <w:rPr>
          <w:rFonts w:ascii="Times New Roman" w:hAnsi="Times New Roman" w:cs="Times New Roman"/>
          <w:color w:val="212529"/>
          <w:sz w:val="24"/>
          <w:szCs w:val="24"/>
          <w:shd w:val="clear" w:color="auto" w:fill="FFFFFF"/>
        </w:rPr>
        <w:t>bu</w:t>
      </w:r>
      <w:r w:rsidRPr="0058124B">
        <w:rPr>
          <w:rFonts w:ascii="Times New Roman" w:hAnsi="Times New Roman" w:cs="Times New Roman"/>
          <w:color w:val="212529"/>
          <w:sz w:val="24"/>
          <w:szCs w:val="24"/>
          <w:shd w:val="clear" w:color="auto" w:fill="FFFFFF"/>
        </w:rPr>
        <w:t>, k</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tautsaimniec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xml:space="preserve"> un dab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xml:space="preserve"> kopum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w:t>
      </w:r>
      <w:r w:rsidR="001A7AAC" w:rsidRPr="00056E74">
        <w:rPr>
          <w:rFonts w:ascii="Times New Roman" w:hAnsi="Times New Roman" w:cs="Times New Roman"/>
          <w:color w:val="212529"/>
          <w:sz w:val="24"/>
          <w:szCs w:val="24"/>
          <w:shd w:val="clear" w:color="auto" w:fill="FFFFFF"/>
        </w:rPr>
        <w:t>ANO</w:t>
      </w:r>
      <w:r w:rsidRPr="0058124B">
        <w:rPr>
          <w:rFonts w:ascii="Times New Roman" w:hAnsi="Times New Roman" w:cs="Times New Roman"/>
          <w:color w:val="212529"/>
          <w:sz w:val="24"/>
          <w:szCs w:val="24"/>
          <w:shd w:val="clear" w:color="auto" w:fill="FFFFFF"/>
        </w:rPr>
        <w:t xml:space="preserve">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as ir raksturojusi k</w:t>
      </w:r>
      <w:r w:rsidRPr="0058124B">
        <w:rPr>
          <w:rFonts w:ascii="Times New Roman" w:hAnsi="Times New Roman" w:cs="Times New Roman" w:hint="eastAsia"/>
          <w:color w:val="212529"/>
          <w:sz w:val="24"/>
          <w:szCs w:val="24"/>
          <w:shd w:val="clear" w:color="auto" w:fill="FFFFFF"/>
        </w:rPr>
        <w:t>ā</w:t>
      </w:r>
      <w:r w:rsidR="00F22A4D">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su laika noteico</w:t>
      </w:r>
      <w:r w:rsidRPr="0058124B">
        <w:rPr>
          <w:rFonts w:ascii="Times New Roman" w:hAnsi="Times New Roman" w:cs="Times New Roman" w:hint="eastAsia"/>
          <w:color w:val="212529"/>
          <w:sz w:val="24"/>
          <w:szCs w:val="24"/>
          <w:shd w:val="clear" w:color="auto" w:fill="FFFFFF"/>
        </w:rPr>
        <w:t>š</w:t>
      </w:r>
      <w:r w:rsidR="00171273" w:rsidRPr="0058124B">
        <w:rPr>
          <w:rFonts w:ascii="Times New Roman" w:hAnsi="Times New Roman" w:cs="Times New Roman"/>
          <w:color w:val="212529"/>
          <w:sz w:val="24"/>
          <w:szCs w:val="24"/>
          <w:shd w:val="clear" w:color="auto" w:fill="FFFFFF"/>
        </w:rPr>
        <w:t>o</w:t>
      </w:r>
      <w:r w:rsidRPr="0058124B">
        <w:rPr>
          <w:rFonts w:ascii="Times New Roman" w:hAnsi="Times New Roman" w:cs="Times New Roman"/>
          <w:color w:val="212529"/>
          <w:sz w:val="24"/>
          <w:szCs w:val="24"/>
          <w:shd w:val="clear" w:color="auto" w:fill="FFFFFF"/>
        </w:rPr>
        <w:t xml:space="preserve"> kr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w:t>
      </w:r>
      <w:r w:rsidR="00171273" w:rsidRPr="0058124B">
        <w:rPr>
          <w:rFonts w:ascii="Times New Roman" w:hAnsi="Times New Roman" w:cs="Times New Roman"/>
          <w:color w:val="212529"/>
          <w:sz w:val="24"/>
          <w:szCs w:val="24"/>
          <w:shd w:val="clear" w:color="auto" w:fill="FFFFFF"/>
        </w:rPr>
        <w:t>i</w:t>
      </w:r>
      <w:r w:rsidR="00F22A4D">
        <w:rPr>
          <w:rFonts w:ascii="Times New Roman" w:hAnsi="Times New Roman" w:cs="Times New Roman"/>
          <w:color w:val="212529"/>
          <w:sz w:val="24"/>
          <w:szCs w:val="24"/>
          <w:shd w:val="clear" w:color="auto" w:fill="FFFFFF"/>
        </w:rPr>
        <w:t>”</w:t>
      </w:r>
      <w:r w:rsidRPr="0058124B">
        <w:rPr>
          <w:rStyle w:val="FootnoteReference"/>
          <w:rFonts w:ascii="Times New Roman" w:hAnsi="Times New Roman" w:cs="Times New Roman"/>
          <w:color w:val="212529"/>
          <w:sz w:val="24"/>
          <w:szCs w:val="24"/>
          <w:shd w:val="clear" w:color="auto" w:fill="FFFFFF"/>
        </w:rPr>
        <w:footnoteReference w:id="35"/>
      </w:r>
      <w:r w:rsidR="00171273" w:rsidRPr="00056E74">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temperat</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ras pieauguma ierobe</w:t>
      </w:r>
      <w:r w:rsidRPr="0058124B">
        <w:rPr>
          <w:rFonts w:ascii="Times New Roman" w:hAnsi="Times New Roman" w:cs="Times New Roman" w:hint="eastAsia"/>
          <w:color w:val="212529"/>
          <w:sz w:val="24"/>
          <w:szCs w:val="24"/>
          <w:shd w:val="clear" w:color="auto" w:fill="FFFFFF"/>
        </w:rPr>
        <w:t>ž</w:t>
      </w:r>
      <w:r w:rsidRPr="0058124B">
        <w:rPr>
          <w:rFonts w:ascii="Times New Roman" w:hAnsi="Times New Roman" w:cs="Times New Roman"/>
          <w:color w:val="212529"/>
          <w:sz w:val="24"/>
          <w:szCs w:val="24"/>
          <w:shd w:val="clear" w:color="auto" w:fill="FFFFFF"/>
        </w:rPr>
        <w:t>o</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anai ir nepiecie</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ama visaptvero</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 visu pasaules valstu 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 SEG</w:t>
      </w:r>
      <w:r w:rsidR="005C2987">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emisiju samazin</w:t>
      </w:r>
      <w:r w:rsidRPr="0058124B">
        <w:rPr>
          <w:rFonts w:ascii="Times New Roman" w:hAnsi="Times New Roman" w:cs="Times New Roman" w:hint="eastAsia"/>
          <w:color w:val="212529"/>
          <w:sz w:val="24"/>
          <w:szCs w:val="24"/>
          <w:shd w:val="clear" w:color="auto" w:fill="FFFFFF"/>
        </w:rPr>
        <w:t>āš</w:t>
      </w:r>
      <w:r w:rsidRPr="0058124B">
        <w:rPr>
          <w:rFonts w:ascii="Times New Roman" w:hAnsi="Times New Roman" w:cs="Times New Roman"/>
          <w:color w:val="212529"/>
          <w:sz w:val="24"/>
          <w:szCs w:val="24"/>
          <w:shd w:val="clear" w:color="auto" w:fill="FFFFFF"/>
        </w:rPr>
        <w:t>an</w:t>
      </w:r>
      <w:r w:rsidRPr="0058124B">
        <w:rPr>
          <w:rFonts w:ascii="Times New Roman" w:hAnsi="Times New Roman" w:cs="Times New Roman" w:hint="eastAsia"/>
          <w:color w:val="212529"/>
          <w:sz w:val="24"/>
          <w:szCs w:val="24"/>
          <w:shd w:val="clear" w:color="auto" w:fill="FFFFFF"/>
        </w:rPr>
        <w:t>ā</w:t>
      </w:r>
      <w:r w:rsidR="00171273" w:rsidRPr="00056E74">
        <w:rPr>
          <w:rFonts w:ascii="Times New Roman" w:hAnsi="Times New Roman" w:cs="Times New Roman"/>
          <w:color w:val="212529"/>
          <w:sz w:val="24"/>
          <w:szCs w:val="24"/>
          <w:shd w:val="clear" w:color="auto" w:fill="FFFFFF"/>
        </w:rPr>
        <w:t xml:space="preserve"> un Latvija aktīvi piedalās šī mērķa sasniegšanā. </w:t>
      </w:r>
    </w:p>
    <w:p w14:paraId="680226E0" w14:textId="6C67A664" w:rsidR="00311967" w:rsidRPr="00056E74" w:rsidRDefault="00311967" w:rsidP="002601DB">
      <w:pPr>
        <w:spacing w:after="0" w:line="240" w:lineRule="auto"/>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Vienlaicīgi Krievijas uzsāktās agresijas pret Ukrainu negatīvie efekti uz pasauli un Latvij</w:t>
      </w:r>
      <w:r w:rsidR="003E37C4">
        <w:rPr>
          <w:rFonts w:ascii="Times New Roman" w:hAnsi="Times New Roman" w:cs="Times New Roman"/>
          <w:color w:val="212529"/>
          <w:sz w:val="24"/>
          <w:szCs w:val="24"/>
          <w:shd w:val="clear" w:color="auto" w:fill="FFFFFF"/>
        </w:rPr>
        <w:t>u</w:t>
      </w:r>
      <w:r>
        <w:rPr>
          <w:rFonts w:ascii="Times New Roman" w:hAnsi="Times New Roman" w:cs="Times New Roman"/>
          <w:color w:val="212529"/>
          <w:sz w:val="24"/>
          <w:szCs w:val="24"/>
          <w:shd w:val="clear" w:color="auto" w:fill="FFFFFF"/>
        </w:rPr>
        <w:t xml:space="preserve"> caur energoresursu pieejamību un attiecīgi </w:t>
      </w:r>
      <w:r w:rsidR="001A05DC">
        <w:rPr>
          <w:rFonts w:ascii="Times New Roman" w:hAnsi="Times New Roman" w:cs="Times New Roman"/>
          <w:color w:val="212529"/>
          <w:sz w:val="24"/>
          <w:szCs w:val="24"/>
          <w:shd w:val="clear" w:color="auto" w:fill="FFFFFF"/>
        </w:rPr>
        <w:t>izmaiņām to cenās</w:t>
      </w:r>
      <w:r>
        <w:rPr>
          <w:rFonts w:ascii="Times New Roman" w:hAnsi="Times New Roman" w:cs="Times New Roman"/>
          <w:color w:val="212529"/>
          <w:sz w:val="24"/>
          <w:szCs w:val="24"/>
          <w:shd w:val="clear" w:color="auto" w:fill="FFFFFF"/>
        </w:rPr>
        <w:t xml:space="preserve"> lika skaidri apzināties būtiskās ievainojamības mūsdienu Ziemeļatlantijas alianses un Eiropas drošības sistēmā. Šajā kontekstā </w:t>
      </w:r>
      <w:r w:rsidR="003E37C4">
        <w:rPr>
          <w:rFonts w:ascii="Times New Roman" w:hAnsi="Times New Roman" w:cs="Times New Roman"/>
          <w:color w:val="212529"/>
          <w:sz w:val="24"/>
          <w:szCs w:val="24"/>
          <w:shd w:val="clear" w:color="auto" w:fill="FFFFFF"/>
        </w:rPr>
        <w:t xml:space="preserve">klimata pārmaiņu mazināšana un </w:t>
      </w:r>
      <w:r>
        <w:rPr>
          <w:rFonts w:ascii="Times New Roman" w:hAnsi="Times New Roman" w:cs="Times New Roman"/>
          <w:color w:val="212529"/>
          <w:sz w:val="24"/>
          <w:szCs w:val="24"/>
          <w:shd w:val="clear" w:color="auto" w:fill="FFFFFF"/>
        </w:rPr>
        <w:t>pielāgošanās klimata pārmaiņām sniedz iespēju pārveidot līdzšinējo sistēmu, lai nodrošinātu ne tikai l</w:t>
      </w:r>
      <w:r w:rsidR="001A05DC">
        <w:rPr>
          <w:rFonts w:ascii="Times New Roman" w:hAnsi="Times New Roman" w:cs="Times New Roman"/>
          <w:color w:val="212529"/>
          <w:sz w:val="24"/>
          <w:szCs w:val="24"/>
          <w:shd w:val="clear" w:color="auto" w:fill="FFFFFF"/>
        </w:rPr>
        <w:t>abklājības potenciālā līmeņa sasniegšanu, bet arī stiprinātu labklājības pamatu – drošību un suverenitāti.</w:t>
      </w:r>
    </w:p>
    <w:p w14:paraId="75FB1F06" w14:textId="1225541F" w:rsidR="00212563" w:rsidRPr="00056E74" w:rsidRDefault="00212563" w:rsidP="00350733">
      <w:pPr>
        <w:spacing w:after="0" w:line="240" w:lineRule="auto"/>
        <w:ind w:firstLine="720"/>
        <w:jc w:val="both"/>
        <w:rPr>
          <w:rFonts w:ascii="Times New Roman" w:hAnsi="Times New Roman" w:cs="Times New Roman"/>
          <w:color w:val="212529"/>
          <w:sz w:val="24"/>
          <w:szCs w:val="24"/>
          <w:shd w:val="clear" w:color="auto" w:fill="FFFFFF"/>
        </w:rPr>
      </w:pPr>
      <w:r w:rsidRPr="00056E74">
        <w:rPr>
          <w:rFonts w:ascii="Times New Roman" w:hAnsi="Times New Roman" w:cs="Times New Roman"/>
          <w:color w:val="212529"/>
          <w:sz w:val="24"/>
          <w:szCs w:val="24"/>
          <w:shd w:val="clear" w:color="auto" w:fill="FFFFFF"/>
        </w:rPr>
        <w:t xml:space="preserve">Klimata pārmaiņu ietekme uz publiskajām finansēm ir ilgtermiņa izaicinājums, ko </w:t>
      </w:r>
      <w:r>
        <w:rPr>
          <w:rFonts w:ascii="Times New Roman" w:hAnsi="Times New Roman" w:cs="Times New Roman"/>
          <w:color w:val="212529"/>
          <w:sz w:val="24"/>
          <w:szCs w:val="24"/>
          <w:shd w:val="clear" w:color="auto" w:fill="FFFFFF"/>
        </w:rPr>
        <w:t>nepieciešams</w:t>
      </w:r>
      <w:r w:rsidRPr="00056E74">
        <w:rPr>
          <w:rFonts w:ascii="Times New Roman" w:hAnsi="Times New Roman" w:cs="Times New Roman"/>
          <w:color w:val="212529"/>
          <w:sz w:val="24"/>
          <w:szCs w:val="24"/>
          <w:shd w:val="clear" w:color="auto" w:fill="FFFFFF"/>
        </w:rPr>
        <w:t xml:space="preserve"> risināt ar apņēmīgu rīcību un ievērojamiem ieguldījumiem, lai transformētu cilvēku paradumus un tautsaimniecības struktūru </w:t>
      </w:r>
      <w:proofErr w:type="spellStart"/>
      <w:r w:rsidRPr="00056E74">
        <w:rPr>
          <w:rFonts w:ascii="Times New Roman" w:hAnsi="Times New Roman" w:cs="Times New Roman"/>
          <w:color w:val="212529"/>
          <w:sz w:val="24"/>
          <w:szCs w:val="24"/>
          <w:shd w:val="clear" w:color="auto" w:fill="FFFFFF"/>
        </w:rPr>
        <w:t>klimatneitrālai</w:t>
      </w:r>
      <w:proofErr w:type="spellEnd"/>
      <w:r w:rsidRPr="00056E74">
        <w:rPr>
          <w:rFonts w:ascii="Times New Roman" w:hAnsi="Times New Roman" w:cs="Times New Roman"/>
          <w:color w:val="212529"/>
          <w:sz w:val="24"/>
          <w:szCs w:val="24"/>
          <w:shd w:val="clear" w:color="auto" w:fill="FFFFFF"/>
        </w:rPr>
        <w:t xml:space="preserve"> nākotnei. </w:t>
      </w:r>
      <w:r>
        <w:rPr>
          <w:rFonts w:ascii="Times New Roman" w:hAnsi="Times New Roman" w:cs="Times New Roman"/>
          <w:color w:val="212529"/>
          <w:sz w:val="24"/>
          <w:szCs w:val="24"/>
          <w:shd w:val="clear" w:color="auto" w:fill="FFFFFF"/>
        </w:rPr>
        <w:t>Līdz ar to</w:t>
      </w:r>
      <w:r w:rsidRPr="00056E74">
        <w:rPr>
          <w:rFonts w:ascii="Times New Roman" w:hAnsi="Times New Roman" w:cs="Times New Roman"/>
          <w:color w:val="212529"/>
          <w:sz w:val="24"/>
          <w:szCs w:val="24"/>
          <w:shd w:val="clear" w:color="auto" w:fill="FFFFFF"/>
        </w:rPr>
        <w:t xml:space="preserve"> tā nav uzskatāma par fiskālo risku </w:t>
      </w:r>
      <w:r>
        <w:rPr>
          <w:rFonts w:ascii="Times New Roman" w:hAnsi="Times New Roman" w:cs="Times New Roman"/>
          <w:color w:val="212529"/>
          <w:sz w:val="24"/>
          <w:szCs w:val="24"/>
          <w:shd w:val="clear" w:color="auto" w:fill="FFFFFF"/>
        </w:rPr>
        <w:t>FDL</w:t>
      </w:r>
      <w:r w:rsidRPr="00056E74">
        <w:rPr>
          <w:rFonts w:ascii="Times New Roman" w:hAnsi="Times New Roman" w:cs="Times New Roman"/>
          <w:color w:val="212529"/>
          <w:sz w:val="24"/>
          <w:szCs w:val="24"/>
          <w:shd w:val="clear" w:color="auto" w:fill="FFFFFF"/>
        </w:rPr>
        <w:t xml:space="preserve"> ietvaros, bet vienlaicīgi atbildīgas un uz nākotni vērstas valsts pienākums ir neatstāt novārtā šo izaicinājumu un ietekmi, ko tā rada uz valsts publiskajām finansēm. Tādējādi deklarācijas ietvaros</w:t>
      </w:r>
      <w:r>
        <w:rPr>
          <w:rFonts w:ascii="Times New Roman" w:hAnsi="Times New Roman" w:cs="Times New Roman"/>
          <w:color w:val="212529"/>
          <w:sz w:val="24"/>
          <w:szCs w:val="24"/>
          <w:shd w:val="clear" w:color="auto" w:fill="FFFFFF"/>
        </w:rPr>
        <w:t xml:space="preserve"> tika</w:t>
      </w:r>
      <w:r w:rsidRPr="00056E74">
        <w:rPr>
          <w:rFonts w:ascii="Times New Roman" w:hAnsi="Times New Roman" w:cs="Times New Roman"/>
          <w:color w:val="212529"/>
          <w:sz w:val="24"/>
          <w:szCs w:val="24"/>
          <w:shd w:val="clear" w:color="auto" w:fill="FFFFFF"/>
        </w:rPr>
        <w:t xml:space="preserve"> izveidota jauna sadaļa, kas aplūko klimata pārmaiņu ietekmi uz Latvijas fiskālo perspektīvu</w:t>
      </w:r>
      <w:r>
        <w:rPr>
          <w:rFonts w:ascii="Times New Roman" w:hAnsi="Times New Roman" w:cs="Times New Roman"/>
          <w:color w:val="212529"/>
          <w:sz w:val="24"/>
          <w:szCs w:val="24"/>
          <w:shd w:val="clear" w:color="auto" w:fill="FFFFFF"/>
        </w:rPr>
        <w:t xml:space="preserve"> un kas pakāpeniski tiek</w:t>
      </w:r>
      <w:r w:rsidRPr="00056E74">
        <w:rPr>
          <w:rFonts w:ascii="Times New Roman" w:hAnsi="Times New Roman" w:cs="Times New Roman"/>
          <w:color w:val="212529"/>
          <w:sz w:val="24"/>
          <w:szCs w:val="24"/>
          <w:shd w:val="clear" w:color="auto" w:fill="FFFFFF"/>
        </w:rPr>
        <w:t xml:space="preserve"> paplašināt</w:t>
      </w:r>
      <w:r>
        <w:rPr>
          <w:rFonts w:ascii="Times New Roman" w:hAnsi="Times New Roman" w:cs="Times New Roman"/>
          <w:color w:val="212529"/>
          <w:sz w:val="24"/>
          <w:szCs w:val="24"/>
          <w:shd w:val="clear" w:color="auto" w:fill="FFFFFF"/>
        </w:rPr>
        <w:t>a</w:t>
      </w:r>
      <w:r w:rsidRPr="00056E74">
        <w:rPr>
          <w:rFonts w:ascii="Times New Roman" w:hAnsi="Times New Roman" w:cs="Times New Roman"/>
          <w:color w:val="212529"/>
          <w:sz w:val="24"/>
          <w:szCs w:val="24"/>
          <w:shd w:val="clear" w:color="auto" w:fill="FFFFFF"/>
        </w:rPr>
        <w:t xml:space="preserve"> ar dziļāku un aptverošāku analīzi</w:t>
      </w:r>
      <w:r>
        <w:rPr>
          <w:rFonts w:ascii="Times New Roman" w:hAnsi="Times New Roman" w:cs="Times New Roman"/>
          <w:color w:val="212529"/>
          <w:sz w:val="24"/>
          <w:szCs w:val="24"/>
          <w:shd w:val="clear" w:color="auto" w:fill="FFFFFF"/>
        </w:rPr>
        <w:t>.</w:t>
      </w:r>
    </w:p>
    <w:p w14:paraId="4E4B24A5" w14:textId="20B83508" w:rsidR="003D6196" w:rsidRPr="00056E74" w:rsidRDefault="00171273" w:rsidP="00350733">
      <w:pPr>
        <w:spacing w:after="0" w:line="240" w:lineRule="auto"/>
        <w:ind w:firstLine="720"/>
        <w:jc w:val="both"/>
        <w:rPr>
          <w:rFonts w:ascii="Times New Roman" w:hAnsi="Times New Roman" w:cs="Times New Roman"/>
          <w:color w:val="212529"/>
          <w:sz w:val="24"/>
          <w:szCs w:val="24"/>
          <w:shd w:val="clear" w:color="auto" w:fill="FFFFFF"/>
        </w:rPr>
      </w:pPr>
      <w:r w:rsidRPr="00056E74">
        <w:rPr>
          <w:rFonts w:ascii="Times New Roman" w:hAnsi="Times New Roman" w:cs="Times New Roman"/>
          <w:color w:val="212529"/>
          <w:sz w:val="24"/>
          <w:szCs w:val="24"/>
          <w:shd w:val="clear" w:color="auto" w:fill="FFFFFF"/>
        </w:rPr>
        <w:t>Globālās sasilšanas mazināšanas mērķi ir tikuši pieņemti Kioto</w:t>
      </w:r>
      <w:r w:rsidR="001A7AAC" w:rsidRPr="00056E74">
        <w:rPr>
          <w:rFonts w:ascii="Times New Roman" w:hAnsi="Times New Roman" w:cs="Times New Roman"/>
          <w:color w:val="212529"/>
          <w:sz w:val="24"/>
          <w:szCs w:val="24"/>
          <w:shd w:val="clear" w:color="auto" w:fill="FFFFFF"/>
        </w:rPr>
        <w:t xml:space="preserve"> </w:t>
      </w:r>
      <w:r w:rsidRPr="00056E74">
        <w:rPr>
          <w:rFonts w:ascii="Times New Roman" w:hAnsi="Times New Roman" w:cs="Times New Roman"/>
          <w:color w:val="212529"/>
          <w:sz w:val="24"/>
          <w:szCs w:val="24"/>
          <w:shd w:val="clear" w:color="auto" w:fill="FFFFFF"/>
        </w:rPr>
        <w:t xml:space="preserve">1997.gadā, Kopenhāgenā 2009.gadā un Parīzē 2015.gadā. </w:t>
      </w:r>
    </w:p>
    <w:p w14:paraId="23D8392F" w14:textId="16B2973E" w:rsidR="00A55FFB" w:rsidRPr="00056E74" w:rsidRDefault="00A55FFB" w:rsidP="00350733">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Tie</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i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 xml:space="preserve"> 2015.gada decembr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tika pie</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emts noz</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gs ilgtermi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 dokuments</w:t>
      </w:r>
      <w:r w:rsidR="00DC2AED">
        <w:rPr>
          <w:rFonts w:ascii="Times New Roman" w:hAnsi="Times New Roman" w:cs="Times New Roman"/>
          <w:color w:val="212529"/>
          <w:sz w:val="24"/>
          <w:szCs w:val="24"/>
          <w:shd w:val="clear" w:color="auto" w:fill="FFFFFF"/>
        </w:rPr>
        <w:t xml:space="preserve"> </w:t>
      </w:r>
      <w:r w:rsidR="00DC2AED">
        <w:rPr>
          <w:rFonts w:ascii="Times New Roman" w:hAnsi="Times New Roman" w:cs="Times New Roman" w:hint="eastAsia"/>
          <w:color w:val="212529"/>
          <w:sz w:val="24"/>
          <w:szCs w:val="24"/>
          <w:shd w:val="clear" w:color="auto" w:fill="FFFFFF"/>
        </w:rPr>
        <w:t>-</w:t>
      </w:r>
      <w:r w:rsidR="00DC2AED">
        <w:rPr>
          <w:rFonts w:ascii="Times New Roman" w:hAnsi="Times New Roman" w:cs="Times New Roman"/>
          <w:color w:val="212529"/>
          <w:sz w:val="24"/>
          <w:szCs w:val="24"/>
          <w:shd w:val="clear" w:color="auto" w:fill="FFFFFF"/>
        </w:rPr>
        <w:t xml:space="preserve"> </w:t>
      </w:r>
      <w:r w:rsidR="00A209C3" w:rsidRPr="0058124B">
        <w:rPr>
          <w:rFonts w:ascii="Times New Roman" w:hAnsi="Times New Roman" w:cs="Times New Roman"/>
          <w:color w:val="212529"/>
          <w:sz w:val="24"/>
          <w:szCs w:val="24"/>
          <w:shd w:val="clear" w:color="auto" w:fill="FFFFFF"/>
        </w:rPr>
        <w:t>Par</w:t>
      </w:r>
      <w:r w:rsidR="00A209C3" w:rsidRPr="0058124B">
        <w:rPr>
          <w:rFonts w:ascii="Times New Roman" w:hAnsi="Times New Roman" w:cs="Times New Roman" w:hint="eastAsia"/>
          <w:color w:val="212529"/>
          <w:sz w:val="24"/>
          <w:szCs w:val="24"/>
          <w:shd w:val="clear" w:color="auto" w:fill="FFFFFF"/>
        </w:rPr>
        <w:t>ī</w:t>
      </w:r>
      <w:r w:rsidR="00A209C3" w:rsidRPr="0058124B">
        <w:rPr>
          <w:rFonts w:ascii="Times New Roman" w:hAnsi="Times New Roman" w:cs="Times New Roman"/>
          <w:color w:val="212529"/>
          <w:sz w:val="24"/>
          <w:szCs w:val="24"/>
          <w:shd w:val="clear" w:color="auto" w:fill="FFFFFF"/>
        </w:rPr>
        <w:t>zes nol</w:t>
      </w:r>
      <w:r w:rsidR="00A209C3" w:rsidRPr="0058124B">
        <w:rPr>
          <w:rFonts w:ascii="Times New Roman" w:hAnsi="Times New Roman" w:cs="Times New Roman" w:hint="eastAsia"/>
          <w:color w:val="212529"/>
          <w:sz w:val="24"/>
          <w:szCs w:val="24"/>
          <w:shd w:val="clear" w:color="auto" w:fill="FFFFFF"/>
        </w:rPr>
        <w:t>ī</w:t>
      </w:r>
      <w:r w:rsidR="00A209C3" w:rsidRPr="0058124B">
        <w:rPr>
          <w:rFonts w:ascii="Times New Roman" w:hAnsi="Times New Roman" w:cs="Times New Roman"/>
          <w:color w:val="212529"/>
          <w:sz w:val="24"/>
          <w:szCs w:val="24"/>
          <w:shd w:val="clear" w:color="auto" w:fill="FFFFFF"/>
        </w:rPr>
        <w:t xml:space="preserve">gums, kura </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ķ</w:t>
      </w:r>
      <w:r w:rsidRPr="0058124B">
        <w:rPr>
          <w:rFonts w:ascii="Times New Roman" w:hAnsi="Times New Roman" w:cs="Times New Roman"/>
          <w:color w:val="212529"/>
          <w:sz w:val="24"/>
          <w:szCs w:val="24"/>
          <w:shd w:val="clear" w:color="auto" w:fill="FFFFFF"/>
        </w:rPr>
        <w:t>is ir stiprin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 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lo 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bu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u nov</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anai un notur</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t 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lo sasil</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anu b</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tiski zem 2</w:t>
      </w:r>
      <w:r w:rsidRPr="0058124B">
        <w:rPr>
          <w:rFonts w:ascii="Times New Roman" w:hAnsi="Times New Roman" w:cs="Times New Roman" w:hint="eastAsia"/>
          <w:color w:val="212529"/>
          <w:sz w:val="24"/>
          <w:szCs w:val="24"/>
          <w:shd w:val="clear" w:color="auto" w:fill="FFFFFF"/>
        </w:rPr>
        <w:t>°</w:t>
      </w:r>
      <w:r w:rsidRPr="0058124B">
        <w:rPr>
          <w:rFonts w:ascii="Times New Roman" w:hAnsi="Times New Roman" w:cs="Times New Roman"/>
          <w:color w:val="212529"/>
          <w:sz w:val="24"/>
          <w:szCs w:val="24"/>
          <w:shd w:val="clear" w:color="auto" w:fill="FFFFFF"/>
        </w:rPr>
        <w:t>C robe</w:t>
      </w:r>
      <w:r w:rsidRPr="0058124B">
        <w:rPr>
          <w:rFonts w:ascii="Times New Roman" w:hAnsi="Times New Roman" w:cs="Times New Roman" w:hint="eastAsia"/>
          <w:color w:val="212529"/>
          <w:sz w:val="24"/>
          <w:szCs w:val="24"/>
          <w:shd w:val="clear" w:color="auto" w:fill="FFFFFF"/>
        </w:rPr>
        <w:t>ž</w:t>
      </w:r>
      <w:r w:rsidRPr="0058124B">
        <w:rPr>
          <w:rFonts w:ascii="Times New Roman" w:hAnsi="Times New Roman" w:cs="Times New Roman"/>
          <w:color w:val="212529"/>
          <w:sz w:val="24"/>
          <w:szCs w:val="24"/>
          <w:shd w:val="clear" w:color="auto" w:fill="FFFFFF"/>
        </w:rPr>
        <w:t>as</w:t>
      </w:r>
      <w:r w:rsidR="00E001D2" w:rsidRPr="00056E74">
        <w:rPr>
          <w:rFonts w:ascii="Times New Roman" w:hAnsi="Times New Roman" w:cs="Times New Roman"/>
          <w:color w:val="212529"/>
          <w:sz w:val="24"/>
          <w:szCs w:val="24"/>
          <w:shd w:val="clear" w:color="auto" w:fill="FFFFFF"/>
        </w:rPr>
        <w:t>,</w:t>
      </w:r>
      <w:r w:rsidRPr="0058124B">
        <w:rPr>
          <w:rFonts w:ascii="Times New Roman" w:hAnsi="Times New Roman" w:cs="Times New Roman"/>
          <w:color w:val="212529"/>
          <w:sz w:val="24"/>
          <w:szCs w:val="24"/>
          <w:shd w:val="clear" w:color="auto" w:fill="FFFFFF"/>
        </w:rPr>
        <w:t xml:space="preserve">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dzinot ar </w:t>
      </w:r>
      <w:proofErr w:type="spellStart"/>
      <w:r w:rsidRPr="0058124B">
        <w:rPr>
          <w:rFonts w:ascii="Times New Roman" w:hAnsi="Times New Roman" w:cs="Times New Roman"/>
          <w:color w:val="212529"/>
          <w:sz w:val="24"/>
          <w:szCs w:val="24"/>
          <w:shd w:val="clear" w:color="auto" w:fill="FFFFFF"/>
        </w:rPr>
        <w:t>pirmsindustri</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lo</w:t>
      </w:r>
      <w:proofErr w:type="spellEnd"/>
      <w:r w:rsidRPr="0058124B">
        <w:rPr>
          <w:rFonts w:ascii="Times New Roman" w:hAnsi="Times New Roman" w:cs="Times New Roman"/>
          <w:color w:val="212529"/>
          <w:sz w:val="24"/>
          <w:szCs w:val="24"/>
          <w:shd w:val="clear" w:color="auto" w:fill="FFFFFF"/>
        </w:rPr>
        <w:t xml:space="preserve">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meni un censties ierobe</w:t>
      </w:r>
      <w:r w:rsidRPr="0058124B">
        <w:rPr>
          <w:rFonts w:ascii="Times New Roman" w:hAnsi="Times New Roman" w:cs="Times New Roman" w:hint="eastAsia"/>
          <w:color w:val="212529"/>
          <w:sz w:val="24"/>
          <w:szCs w:val="24"/>
          <w:shd w:val="clear" w:color="auto" w:fill="FFFFFF"/>
        </w:rPr>
        <w:t>ž</w:t>
      </w:r>
      <w:r w:rsidRPr="0058124B">
        <w:rPr>
          <w:rFonts w:ascii="Times New Roman" w:hAnsi="Times New Roman" w:cs="Times New Roman"/>
          <w:color w:val="212529"/>
          <w:sz w:val="24"/>
          <w:szCs w:val="24"/>
          <w:shd w:val="clear" w:color="auto" w:fill="FFFFFF"/>
        </w:rPr>
        <w:t>ot temperat</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ras pieaugumu 1,5</w:t>
      </w:r>
      <w:r w:rsidRPr="0058124B">
        <w:rPr>
          <w:rFonts w:ascii="Times New Roman" w:hAnsi="Times New Roman" w:cs="Times New Roman" w:hint="eastAsia"/>
          <w:color w:val="212529"/>
          <w:sz w:val="24"/>
          <w:szCs w:val="24"/>
          <w:shd w:val="clear" w:color="auto" w:fill="FFFFFF"/>
        </w:rPr>
        <w:t>°</w:t>
      </w:r>
      <w:r w:rsidRPr="0058124B">
        <w:rPr>
          <w:rFonts w:ascii="Times New Roman" w:hAnsi="Times New Roman" w:cs="Times New Roman"/>
          <w:color w:val="212529"/>
          <w:sz w:val="24"/>
          <w:szCs w:val="24"/>
          <w:shd w:val="clear" w:color="auto" w:fill="FFFFFF"/>
        </w:rPr>
        <w:t>C robe</w:t>
      </w:r>
      <w:r w:rsidRPr="0058124B">
        <w:rPr>
          <w:rFonts w:ascii="Times New Roman" w:hAnsi="Times New Roman" w:cs="Times New Roman" w:hint="eastAsia"/>
          <w:color w:val="212529"/>
          <w:sz w:val="24"/>
          <w:szCs w:val="24"/>
          <w:shd w:val="clear" w:color="auto" w:fill="FFFFFF"/>
        </w:rPr>
        <w:t>žā</w:t>
      </w:r>
      <w:r w:rsidRPr="0058124B">
        <w:rPr>
          <w:rFonts w:ascii="Times New Roman" w:hAnsi="Times New Roman" w:cs="Times New Roman"/>
          <w:color w:val="212529"/>
          <w:sz w:val="24"/>
          <w:szCs w:val="24"/>
          <w:shd w:val="clear" w:color="auto" w:fill="FFFFFF"/>
        </w:rPr>
        <w:t>s, jo tas b</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tiski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u izrais</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tos riskus un ietekmes.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zes nol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gums paredz sekm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t invest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ciju novirz</w:t>
      </w:r>
      <w:r w:rsidRPr="0058124B">
        <w:rPr>
          <w:rFonts w:ascii="Times New Roman" w:hAnsi="Times New Roman" w:cs="Times New Roman" w:hint="eastAsia"/>
          <w:color w:val="212529"/>
          <w:sz w:val="24"/>
          <w:szCs w:val="24"/>
          <w:shd w:val="clear" w:color="auto" w:fill="FFFFFF"/>
        </w:rPr>
        <w:t>īš</w:t>
      </w:r>
      <w:r w:rsidRPr="0058124B">
        <w:rPr>
          <w:rFonts w:ascii="Times New Roman" w:hAnsi="Times New Roman" w:cs="Times New Roman"/>
          <w:color w:val="212529"/>
          <w:sz w:val="24"/>
          <w:szCs w:val="24"/>
          <w:shd w:val="clear" w:color="auto" w:fill="FFFFFF"/>
        </w:rPr>
        <w:t>anu oglek</w:t>
      </w:r>
      <w:r w:rsidRPr="0058124B">
        <w:rPr>
          <w:rFonts w:ascii="Times New Roman" w:hAnsi="Times New Roman" w:cs="Times New Roman" w:hint="eastAsia"/>
          <w:color w:val="212529"/>
          <w:sz w:val="24"/>
          <w:szCs w:val="24"/>
          <w:shd w:val="clear" w:color="auto" w:fill="FFFFFF"/>
        </w:rPr>
        <w:t>ļ</w:t>
      </w:r>
      <w:r w:rsidRPr="0058124B">
        <w:rPr>
          <w:rFonts w:ascii="Times New Roman" w:hAnsi="Times New Roman" w:cs="Times New Roman"/>
          <w:color w:val="212529"/>
          <w:sz w:val="24"/>
          <w:szCs w:val="24"/>
          <w:shd w:val="clear" w:color="auto" w:fill="FFFFFF"/>
        </w:rPr>
        <w:t>a mazietilp</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gai un </w:t>
      </w:r>
      <w:proofErr w:type="spellStart"/>
      <w:r w:rsidRPr="0058124B">
        <w:rPr>
          <w:rFonts w:ascii="Times New Roman" w:hAnsi="Times New Roman" w:cs="Times New Roman"/>
          <w:color w:val="212529"/>
          <w:sz w:val="24"/>
          <w:szCs w:val="24"/>
          <w:shd w:val="clear" w:color="auto" w:fill="FFFFFF"/>
        </w:rPr>
        <w:t>klimatnotur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gai</w:t>
      </w:r>
      <w:proofErr w:type="spellEnd"/>
      <w:r w:rsidRPr="0058124B">
        <w:rPr>
          <w:rFonts w:ascii="Times New Roman" w:hAnsi="Times New Roman" w:cs="Times New Roman"/>
          <w:color w:val="212529"/>
          <w:sz w:val="24"/>
          <w:szCs w:val="24"/>
          <w:shd w:val="clear" w:color="auto" w:fill="FFFFFF"/>
        </w:rPr>
        <w:t xml:space="preserve"> att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st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bai. Latvija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zes nol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gumu ratific</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ja 2017.gad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w:t>
      </w:r>
    </w:p>
    <w:p w14:paraId="67B91D4E" w14:textId="4B615375" w:rsidR="00E001D2" w:rsidRPr="0058124B" w:rsidRDefault="00E001D2" w:rsidP="002601DB">
      <w:pPr>
        <w:spacing w:after="0" w:line="240" w:lineRule="auto"/>
        <w:ind w:firstLine="720"/>
        <w:jc w:val="both"/>
        <w:rPr>
          <w:rFonts w:ascii="Times New Roman" w:hAnsi="Times New Roman"/>
          <w:color w:val="212529"/>
          <w:shd w:val="clear" w:color="auto" w:fill="FFFFFF"/>
        </w:rPr>
      </w:pPr>
      <w:r w:rsidRPr="0058124B">
        <w:rPr>
          <w:rFonts w:ascii="Times New Roman" w:hAnsi="Times New Roman" w:cs="Times New Roman"/>
          <w:color w:val="212529"/>
          <w:sz w:val="24"/>
          <w:szCs w:val="24"/>
          <w:shd w:val="clear" w:color="auto" w:fill="FFFFFF"/>
        </w:rPr>
        <w:t>Latvijas pien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kumi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zes nol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guma kontekst</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noteica</w:t>
      </w:r>
      <w:r w:rsidR="007A3519">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stenot saist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bas, ko paredz ES</w:t>
      </w:r>
      <w:r w:rsidR="001244A8">
        <w:rPr>
          <w:rFonts w:ascii="Times New Roman" w:hAnsi="Times New Roman" w:cs="Times New Roman"/>
          <w:color w:val="212529"/>
          <w:sz w:val="24"/>
          <w:szCs w:val="24"/>
          <w:shd w:val="clear" w:color="auto" w:fill="FFFFFF"/>
        </w:rPr>
        <w:t xml:space="preserve"> </w:t>
      </w:r>
      <w:r w:rsidR="00FE7268">
        <w:rPr>
          <w:rFonts w:ascii="Times New Roman" w:hAnsi="Times New Roman" w:cs="Times New Roman"/>
          <w:color w:val="000000"/>
          <w:sz w:val="24"/>
          <w:szCs w:val="24"/>
        </w:rPr>
        <w:t>Nacionāli noteiktais devums</w:t>
      </w:r>
      <w:r w:rsidR="00FE7268" w:rsidRPr="0058124B">
        <w:rPr>
          <w:rFonts w:ascii="Times New Roman" w:hAnsi="Times New Roman" w:cs="Times New Roman"/>
          <w:color w:val="212529"/>
          <w:sz w:val="24"/>
          <w:szCs w:val="24"/>
          <w:shd w:val="clear" w:color="auto" w:fill="FFFFFF"/>
        </w:rPr>
        <w:t xml:space="preserve"> </w:t>
      </w:r>
      <w:r w:rsidR="00FE7268">
        <w:rPr>
          <w:rFonts w:ascii="Times New Roman" w:hAnsi="Times New Roman" w:cs="Times New Roman"/>
          <w:color w:val="212529"/>
          <w:sz w:val="24"/>
          <w:szCs w:val="24"/>
          <w:shd w:val="clear" w:color="auto" w:fill="FFFFFF"/>
        </w:rPr>
        <w:t xml:space="preserve">(turpmāk </w:t>
      </w:r>
      <w:r w:rsidRPr="0058124B">
        <w:rPr>
          <w:rFonts w:ascii="Times New Roman" w:hAnsi="Times New Roman" w:cs="Times New Roman"/>
          <w:color w:val="212529"/>
          <w:sz w:val="24"/>
          <w:szCs w:val="24"/>
          <w:shd w:val="clear" w:color="auto" w:fill="FFFFFF"/>
        </w:rPr>
        <w:t>NDC</w:t>
      </w:r>
      <w:r w:rsidR="00FE7268">
        <w:rPr>
          <w:rFonts w:ascii="Times New Roman" w:hAnsi="Times New Roman" w:cs="Times New Roman"/>
          <w:color w:val="212529"/>
          <w:sz w:val="24"/>
          <w:szCs w:val="24"/>
          <w:shd w:val="clear" w:color="auto" w:fill="FFFFFF"/>
        </w:rPr>
        <w:t>)</w:t>
      </w:r>
      <w:r w:rsidRPr="0058124B">
        <w:rPr>
          <w:rFonts w:ascii="Times New Roman" w:hAnsi="Times New Roman" w:cs="Times New Roman"/>
          <w:color w:val="212529"/>
          <w:sz w:val="24"/>
          <w:szCs w:val="24"/>
          <w:shd w:val="clear" w:color="auto" w:fill="FFFFFF"/>
        </w:rPr>
        <w:t>, kas paredz</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ja ES dal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bvalstu kop</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go ap</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em</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anos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 SEG emisijas par vismaz 40%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 2030.gadam</w:t>
      </w:r>
      <w:r w:rsidR="001A7AAC" w:rsidRPr="0058124B">
        <w:rPr>
          <w:rFonts w:ascii="Times New Roman" w:hAnsi="Times New Roman" w:cs="Times New Roman"/>
          <w:color w:val="212529"/>
          <w:sz w:val="24"/>
          <w:szCs w:val="24"/>
          <w:shd w:val="clear" w:color="auto" w:fill="FFFFFF"/>
        </w:rPr>
        <w:t>,</w:t>
      </w:r>
      <w:r w:rsidRPr="0058124B">
        <w:rPr>
          <w:rFonts w:ascii="Times New Roman" w:hAnsi="Times New Roman" w:cs="Times New Roman"/>
          <w:color w:val="212529"/>
          <w:sz w:val="24"/>
          <w:szCs w:val="24"/>
          <w:shd w:val="clear" w:color="auto" w:fill="FFFFFF"/>
        </w:rPr>
        <w:t xml:space="preserve">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dzin</w:t>
      </w:r>
      <w:r w:rsidR="001A7AAC" w:rsidRPr="0058124B">
        <w:rPr>
          <w:rFonts w:ascii="Times New Roman" w:hAnsi="Times New Roman" w:cs="Times New Roman"/>
          <w:color w:val="212529"/>
          <w:sz w:val="24"/>
          <w:szCs w:val="24"/>
          <w:shd w:val="clear" w:color="auto" w:fill="FFFFFF"/>
        </w:rPr>
        <w:t>ot</w:t>
      </w:r>
      <w:r w:rsidRPr="0058124B">
        <w:rPr>
          <w:rFonts w:ascii="Times New Roman" w:hAnsi="Times New Roman" w:cs="Times New Roman"/>
          <w:color w:val="212529"/>
          <w:sz w:val="24"/>
          <w:szCs w:val="24"/>
          <w:shd w:val="clear" w:color="auto" w:fill="FFFFFF"/>
        </w:rPr>
        <w:t xml:space="preserve"> ar 1990.gadu.</w:t>
      </w:r>
    </w:p>
    <w:p w14:paraId="43A62130" w14:textId="397E58AE" w:rsidR="00E001D2" w:rsidRPr="0058124B" w:rsidRDefault="00E001D2" w:rsidP="002601DB">
      <w:pPr>
        <w:spacing w:after="0" w:line="240" w:lineRule="auto"/>
        <w:ind w:firstLine="720"/>
        <w:jc w:val="both"/>
        <w:rPr>
          <w:rFonts w:ascii="Times New Roman" w:hAnsi="Times New Roman"/>
          <w:color w:val="212529"/>
          <w:shd w:val="clear" w:color="auto" w:fill="FFFFFF"/>
        </w:rPr>
      </w:pPr>
      <w:r w:rsidRPr="0058124B">
        <w:rPr>
          <w:rFonts w:ascii="Times New Roman" w:hAnsi="Times New Roman" w:cs="Times New Roman"/>
          <w:color w:val="212529"/>
          <w:sz w:val="24"/>
          <w:szCs w:val="24"/>
          <w:shd w:val="clear" w:color="auto" w:fill="FFFFFF"/>
        </w:rPr>
        <w:t>2020.gada decembr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ES t</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dal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bvalstu v</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w:t>
      </w:r>
      <w:r w:rsidR="001A7AAC" w:rsidRPr="0058124B">
        <w:rPr>
          <w:rFonts w:ascii="Times New Roman" w:hAnsi="Times New Roman" w:cs="Times New Roman"/>
          <w:color w:val="212529"/>
          <w:sz w:val="24"/>
          <w:szCs w:val="24"/>
          <w:shd w:val="clear" w:color="auto" w:fill="FFFFFF"/>
        </w:rPr>
        <w:t>ANO</w:t>
      </w:r>
      <w:r w:rsidRPr="0058124B">
        <w:rPr>
          <w:rFonts w:ascii="Times New Roman" w:hAnsi="Times New Roman" w:cs="Times New Roman"/>
          <w:color w:val="212529"/>
          <w:sz w:val="24"/>
          <w:szCs w:val="24"/>
          <w:shd w:val="clear" w:color="auto" w:fill="FFFFFF"/>
        </w:rPr>
        <w:t xml:space="preserve"> Visp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konvencijas par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ņā</w:t>
      </w:r>
      <w:r w:rsidRPr="0058124B">
        <w:rPr>
          <w:rFonts w:ascii="Times New Roman" w:hAnsi="Times New Roman" w:cs="Times New Roman"/>
          <w:color w:val="212529"/>
          <w:sz w:val="24"/>
          <w:szCs w:val="24"/>
          <w:shd w:val="clear" w:color="auto" w:fill="FFFFFF"/>
        </w:rPr>
        <w:t>m sekretari</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tam iesniedza atjaunotu ES NDC,</w:t>
      </w:r>
      <w:r w:rsidR="007A3519" w:rsidRPr="0058124B" w:rsidDel="007A3519">
        <w:rPr>
          <w:rFonts w:ascii="Times New Roman" w:hAnsi="Times New Roman" w:cs="Times New Roman" w:hint="eastAsia"/>
          <w:color w:val="212529"/>
          <w:sz w:val="24"/>
          <w:szCs w:val="24"/>
          <w:shd w:val="clear" w:color="auto" w:fill="FFFFFF"/>
        </w:rPr>
        <w:t xml:space="preserve"> </w:t>
      </w:r>
      <w:r w:rsidR="007A3519">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kur</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atspogu</w:t>
      </w:r>
      <w:r w:rsidRPr="0058124B">
        <w:rPr>
          <w:rFonts w:ascii="Times New Roman" w:hAnsi="Times New Roman" w:cs="Times New Roman" w:hint="eastAsia"/>
          <w:color w:val="212529"/>
          <w:sz w:val="24"/>
          <w:szCs w:val="24"/>
          <w:shd w:val="clear" w:color="auto" w:fill="FFFFFF"/>
        </w:rPr>
        <w:t>ļ</w:t>
      </w:r>
      <w:r w:rsidRPr="0058124B">
        <w:rPr>
          <w:rFonts w:ascii="Times New Roman" w:hAnsi="Times New Roman" w:cs="Times New Roman"/>
          <w:color w:val="212529"/>
          <w:sz w:val="24"/>
          <w:szCs w:val="24"/>
          <w:shd w:val="clear" w:color="auto" w:fill="FFFFFF"/>
        </w:rPr>
        <w:t>ots ambicioz</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ks ES SEG emisiju samazin</w:t>
      </w:r>
      <w:r w:rsidRPr="0058124B">
        <w:rPr>
          <w:rFonts w:ascii="Times New Roman" w:hAnsi="Times New Roman" w:cs="Times New Roman" w:hint="eastAsia"/>
          <w:color w:val="212529"/>
          <w:sz w:val="24"/>
          <w:szCs w:val="24"/>
          <w:shd w:val="clear" w:color="auto" w:fill="FFFFFF"/>
        </w:rPr>
        <w:t>āš</w:t>
      </w:r>
      <w:r w:rsidRPr="0058124B">
        <w:rPr>
          <w:rFonts w:ascii="Times New Roman" w:hAnsi="Times New Roman" w:cs="Times New Roman"/>
          <w:color w:val="212529"/>
          <w:sz w:val="24"/>
          <w:szCs w:val="24"/>
          <w:shd w:val="clear" w:color="auto" w:fill="FFFFFF"/>
        </w:rPr>
        <w:t>anas 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ķ</w:t>
      </w:r>
      <w:r w:rsidRPr="0058124B">
        <w:rPr>
          <w:rFonts w:ascii="Times New Roman" w:hAnsi="Times New Roman" w:cs="Times New Roman"/>
          <w:color w:val="212529"/>
          <w:sz w:val="24"/>
          <w:szCs w:val="24"/>
          <w:shd w:val="clear" w:color="auto" w:fill="FFFFFF"/>
        </w:rPr>
        <w:t>is</w:t>
      </w:r>
      <w:r w:rsidR="00872B64" w:rsidRPr="0058124B">
        <w:rPr>
          <w:rFonts w:ascii="Times New Roman" w:hAnsi="Times New Roman" w:cs="Times New Roman"/>
          <w:color w:val="212529"/>
          <w:sz w:val="24"/>
          <w:szCs w:val="24"/>
          <w:shd w:val="clear" w:color="auto" w:fill="FFFFFF"/>
        </w:rPr>
        <w:t xml:space="preserve">, paredzot </w:t>
      </w:r>
      <w:r w:rsidRPr="0058124B">
        <w:rPr>
          <w:rFonts w:ascii="Times New Roman" w:hAnsi="Times New Roman" w:cs="Times New Roman"/>
          <w:color w:val="212529"/>
          <w:sz w:val="24"/>
          <w:szCs w:val="24"/>
          <w:shd w:val="clear" w:color="auto" w:fill="FFFFFF"/>
        </w:rPr>
        <w:t>vismaz -55%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w:t>
      </w:r>
      <w:r w:rsidR="00872B64" w:rsidRPr="0058124B">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xml:space="preserve"> 2030.gad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1990.gadu.</w:t>
      </w:r>
      <w:r w:rsidRPr="0058124B">
        <w:rPr>
          <w:rFonts w:ascii="Times New Roman" w:hAnsi="Times New Roman" w:cs="Times New Roman" w:hint="eastAsia"/>
          <w:color w:val="212529"/>
          <w:sz w:val="24"/>
          <w:szCs w:val="24"/>
          <w:shd w:val="clear" w:color="auto" w:fill="FFFFFF"/>
        </w:rPr>
        <w:t> </w:t>
      </w:r>
    </w:p>
    <w:p w14:paraId="36760253" w14:textId="64B3C225" w:rsidR="00171273" w:rsidRPr="0058124B" w:rsidRDefault="00872B64" w:rsidP="002601DB">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2019.gada decembr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EK 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ca klaj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pazi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ojumu</w:t>
      </w:r>
      <w:r w:rsidR="00220525" w:rsidRPr="0058124B">
        <w:rPr>
          <w:rStyle w:val="Strong"/>
          <w:rFonts w:ascii="Times New Roman" w:hAnsi="Times New Roman" w:cs="Times New Roman" w:hint="eastAsia"/>
          <w:b w:val="0"/>
          <w:bCs w:val="0"/>
          <w:color w:val="212529"/>
          <w:sz w:val="24"/>
          <w:szCs w:val="24"/>
        </w:rPr>
        <w:t>“</w:t>
      </w:r>
      <w:r w:rsidR="00220525" w:rsidRPr="0058124B">
        <w:rPr>
          <w:rStyle w:val="Strong"/>
          <w:rFonts w:ascii="Times New Roman" w:hAnsi="Times New Roman" w:cs="Times New Roman"/>
          <w:b w:val="0"/>
          <w:bCs w:val="0"/>
          <w:i/>
          <w:iCs/>
          <w:color w:val="212529"/>
          <w:sz w:val="24"/>
          <w:szCs w:val="24"/>
        </w:rPr>
        <w:t>Eiropas Za</w:t>
      </w:r>
      <w:r w:rsidR="00220525" w:rsidRPr="0058124B">
        <w:rPr>
          <w:rStyle w:val="Strong"/>
          <w:rFonts w:ascii="Times New Roman" w:hAnsi="Times New Roman" w:cs="Times New Roman" w:hint="eastAsia"/>
          <w:b w:val="0"/>
          <w:bCs w:val="0"/>
          <w:i/>
          <w:iCs/>
          <w:color w:val="212529"/>
          <w:sz w:val="24"/>
          <w:szCs w:val="24"/>
        </w:rPr>
        <w:t>ļ</w:t>
      </w:r>
      <w:r w:rsidR="00220525" w:rsidRPr="0058124B">
        <w:rPr>
          <w:rStyle w:val="Strong"/>
          <w:rFonts w:ascii="Times New Roman" w:hAnsi="Times New Roman" w:cs="Times New Roman"/>
          <w:b w:val="0"/>
          <w:bCs w:val="0"/>
          <w:i/>
          <w:iCs/>
          <w:color w:val="212529"/>
          <w:sz w:val="24"/>
          <w:szCs w:val="24"/>
        </w:rPr>
        <w:t>ais kurss</w:t>
      </w:r>
      <w:r w:rsidR="00A37FE6">
        <w:rPr>
          <w:rStyle w:val="Strong"/>
          <w:rFonts w:ascii="Times New Roman" w:hAnsi="Times New Roman" w:cs="Times New Roman"/>
          <w:b w:val="0"/>
          <w:bCs w:val="0"/>
          <w:color w:val="212529"/>
          <w:sz w:val="24"/>
          <w:szCs w:val="24"/>
        </w:rPr>
        <w:t>”</w:t>
      </w:r>
      <w:r w:rsidR="00220525" w:rsidRPr="0058124B">
        <w:rPr>
          <w:rStyle w:val="Strong"/>
          <w:rFonts w:ascii="Times New Roman" w:hAnsi="Times New Roman" w:cs="Times New Roman"/>
          <w:b w:val="0"/>
          <w:bCs w:val="0"/>
          <w:color w:val="212529"/>
          <w:sz w:val="24"/>
          <w:szCs w:val="24"/>
        </w:rPr>
        <w:t>,</w:t>
      </w:r>
      <w:r w:rsidR="007A3519" w:rsidRPr="0058124B" w:rsidDel="007A3519">
        <w:rPr>
          <w:rFonts w:ascii="Times New Roman" w:hAnsi="Times New Roman" w:cs="Times New Roman" w:hint="eastAsia"/>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kas paredz izstr</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 un ieviest visaptvero</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as Eiropas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me</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 politikas iniciat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vas</w:t>
      </w:r>
      <w:r w:rsidR="003E37C4">
        <w:rPr>
          <w:rFonts w:ascii="Times New Roman" w:hAnsi="Times New Roman" w:cs="Times New Roman"/>
          <w:color w:val="212529"/>
          <w:sz w:val="24"/>
          <w:szCs w:val="24"/>
          <w:shd w:val="clear" w:color="auto" w:fill="FFFFFF"/>
        </w:rPr>
        <w:t xml:space="preserve">, lai ES līdz 2050.gadam panāktu </w:t>
      </w:r>
      <w:proofErr w:type="spellStart"/>
      <w:r w:rsidR="003E37C4">
        <w:rPr>
          <w:rFonts w:ascii="Times New Roman" w:hAnsi="Times New Roman" w:cs="Times New Roman"/>
          <w:color w:val="212529"/>
          <w:sz w:val="24"/>
          <w:szCs w:val="24"/>
          <w:shd w:val="clear" w:color="auto" w:fill="FFFFFF"/>
        </w:rPr>
        <w:t>klimatneitralitāti</w:t>
      </w:r>
      <w:proofErr w:type="spellEnd"/>
      <w:r w:rsidR="003E37C4">
        <w:rPr>
          <w:rFonts w:ascii="Times New Roman" w:hAnsi="Times New Roman" w:cs="Times New Roman"/>
          <w:color w:val="212529"/>
          <w:sz w:val="24"/>
          <w:szCs w:val="24"/>
          <w:shd w:val="clear" w:color="auto" w:fill="FFFFFF"/>
        </w:rPr>
        <w:t>.</w:t>
      </w:r>
      <w:r w:rsidR="00220525" w:rsidRPr="0058124B">
        <w:rPr>
          <w:rFonts w:ascii="Times New Roman" w:hAnsi="Times New Roman" w:cs="Times New Roman"/>
          <w:color w:val="212529"/>
          <w:sz w:val="24"/>
          <w:szCs w:val="24"/>
          <w:shd w:val="clear" w:color="auto" w:fill="FFFFFF"/>
        </w:rPr>
        <w:t xml:space="preserve"> </w:t>
      </w:r>
    </w:p>
    <w:p w14:paraId="07121BD2" w14:textId="02079E42" w:rsidR="00220525" w:rsidRPr="00056E74" w:rsidRDefault="00220525" w:rsidP="002601DB">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Savuk</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rt 2021.gada 14.j</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lij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EK 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ca klaj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apjom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rskat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to normat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vo aktu priek</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 xml:space="preserve">likumu </w:t>
      </w:r>
      <w:proofErr w:type="spellStart"/>
      <w:r w:rsidRPr="0058124B">
        <w:rPr>
          <w:rFonts w:ascii="Times New Roman" w:hAnsi="Times New Roman" w:cs="Times New Roman"/>
          <w:color w:val="212529"/>
          <w:sz w:val="24"/>
          <w:szCs w:val="24"/>
          <w:shd w:val="clear" w:color="auto" w:fill="FFFFFF"/>
        </w:rPr>
        <w:t>pakotni</w:t>
      </w:r>
      <w:proofErr w:type="spellEnd"/>
      <w:r w:rsidRPr="0058124B">
        <w:rPr>
          <w:rFonts w:ascii="Times New Roman" w:hAnsi="Times New Roman" w:cs="Times New Roman"/>
          <w:color w:val="212529"/>
          <w:sz w:val="24"/>
          <w:szCs w:val="24"/>
          <w:shd w:val="clear" w:color="auto" w:fill="FFFFFF"/>
        </w:rPr>
        <w:t xml:space="preserve"> visas ES tautsaimniec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bas transform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cijai, kas izstr</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ta, lai </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desmitgad</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 xml:space="preserve"> veiksm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gi </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stenotu </w:t>
      </w:r>
      <w:r w:rsidR="003E37C4" w:rsidRPr="0020713B">
        <w:rPr>
          <w:rFonts w:ascii="Times New Roman" w:hAnsi="Times New Roman" w:cs="Times New Roman"/>
          <w:i/>
          <w:iCs/>
          <w:color w:val="212529"/>
          <w:sz w:val="24"/>
          <w:szCs w:val="24"/>
          <w:shd w:val="clear" w:color="auto" w:fill="FFFFFF"/>
        </w:rPr>
        <w:t xml:space="preserve">Eiropas </w:t>
      </w:r>
      <w:r w:rsidRPr="0020713B">
        <w:rPr>
          <w:rFonts w:ascii="Times New Roman" w:hAnsi="Times New Roman" w:cs="Times New Roman"/>
          <w:i/>
          <w:iCs/>
          <w:color w:val="212529"/>
          <w:sz w:val="24"/>
          <w:szCs w:val="24"/>
          <w:shd w:val="clear" w:color="auto" w:fill="FFFFFF"/>
        </w:rPr>
        <w:t>Za</w:t>
      </w:r>
      <w:r w:rsidRPr="0020713B">
        <w:rPr>
          <w:rFonts w:ascii="Times New Roman" w:hAnsi="Times New Roman" w:cs="Times New Roman" w:hint="eastAsia"/>
          <w:i/>
          <w:iCs/>
          <w:color w:val="212529"/>
          <w:sz w:val="24"/>
          <w:szCs w:val="24"/>
          <w:shd w:val="clear" w:color="auto" w:fill="FFFFFF"/>
        </w:rPr>
        <w:t>ļ</w:t>
      </w:r>
      <w:r w:rsidRPr="0020713B">
        <w:rPr>
          <w:rFonts w:ascii="Times New Roman" w:hAnsi="Times New Roman" w:cs="Times New Roman"/>
          <w:i/>
          <w:iCs/>
          <w:color w:val="212529"/>
          <w:sz w:val="24"/>
          <w:szCs w:val="24"/>
          <w:shd w:val="clear" w:color="auto" w:fill="FFFFFF"/>
        </w:rPr>
        <w:t>o kursu</w:t>
      </w:r>
      <w:r w:rsidRPr="0058124B">
        <w:rPr>
          <w:rFonts w:ascii="Times New Roman" w:hAnsi="Times New Roman" w:cs="Times New Roman"/>
          <w:color w:val="212529"/>
          <w:sz w:val="24"/>
          <w:szCs w:val="24"/>
          <w:shd w:val="clear" w:color="auto" w:fill="FFFFFF"/>
        </w:rPr>
        <w:t>,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 2030.gadam sasniedzot jauno, k</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pin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to ES 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ķ</w:t>
      </w:r>
      <w:r w:rsidRPr="0058124B">
        <w:rPr>
          <w:rFonts w:ascii="Times New Roman" w:hAnsi="Times New Roman" w:cs="Times New Roman"/>
          <w:color w:val="212529"/>
          <w:sz w:val="24"/>
          <w:szCs w:val="24"/>
          <w:shd w:val="clear" w:color="auto" w:fill="FFFFFF"/>
        </w:rPr>
        <w:t>i</w:t>
      </w:r>
      <w:r w:rsidR="006E2CDC" w:rsidRPr="00793562">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 xml:space="preserve"> vismaz 55% SEG emisiju neto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jumu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1990.gadu,</w:t>
      </w:r>
      <w:r w:rsidR="006E2CDC" w:rsidRPr="00793562">
        <w:rPr>
          <w:rFonts w:ascii="Times New Roman" w:hAnsi="Times New Roman" w:cs="Times New Roman"/>
          <w:color w:val="212529"/>
          <w:sz w:val="24"/>
          <w:szCs w:val="24"/>
          <w:shd w:val="clear" w:color="auto" w:fill="FFFFFF"/>
        </w:rPr>
        <w:t xml:space="preserve"> –</w:t>
      </w:r>
      <w:r w:rsidR="007A3519">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bet 2050.gad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Eiropa sasniegtu </w:t>
      </w:r>
      <w:proofErr w:type="spellStart"/>
      <w:r w:rsidRPr="0058124B">
        <w:rPr>
          <w:rFonts w:ascii="Times New Roman" w:hAnsi="Times New Roman" w:cs="Times New Roman"/>
          <w:color w:val="212529"/>
          <w:sz w:val="24"/>
          <w:szCs w:val="24"/>
          <w:shd w:val="clear" w:color="auto" w:fill="FFFFFF"/>
        </w:rPr>
        <w:t>klimatneitralit</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ti</w:t>
      </w:r>
      <w:proofErr w:type="spellEnd"/>
      <w:r w:rsidRPr="0058124B">
        <w:rPr>
          <w:rFonts w:ascii="Times New Roman" w:hAnsi="Times New Roman" w:cs="Times New Roman"/>
          <w:color w:val="212529"/>
          <w:sz w:val="24"/>
          <w:szCs w:val="24"/>
          <w:shd w:val="clear" w:color="auto" w:fill="FFFFFF"/>
        </w:rPr>
        <w:t>.</w:t>
      </w:r>
    </w:p>
    <w:p w14:paraId="5DBAB753" w14:textId="56EBE766" w:rsidR="00871962" w:rsidRDefault="00871962" w:rsidP="002601DB">
      <w:pPr>
        <w:spacing w:after="0" w:line="240" w:lineRule="auto"/>
        <w:ind w:firstLine="720"/>
        <w:jc w:val="both"/>
        <w:rPr>
          <w:rFonts w:ascii="Times New Roman" w:hAnsi="Times New Roman" w:cs="Times New Roman"/>
          <w:sz w:val="24"/>
          <w:szCs w:val="24"/>
        </w:rPr>
      </w:pPr>
      <w:r w:rsidRPr="00871962">
        <w:rPr>
          <w:rFonts w:ascii="Times New Roman" w:hAnsi="Times New Roman" w:cs="Times New Roman"/>
          <w:sz w:val="24"/>
          <w:szCs w:val="24"/>
        </w:rPr>
        <w:t>Klimata pārmaiņu fiskālā</w:t>
      </w:r>
      <w:r>
        <w:rPr>
          <w:rFonts w:ascii="Times New Roman" w:hAnsi="Times New Roman" w:cs="Times New Roman"/>
          <w:sz w:val="24"/>
          <w:szCs w:val="24"/>
        </w:rPr>
        <w:t>s</w:t>
      </w:r>
      <w:r w:rsidRPr="00871962">
        <w:rPr>
          <w:rFonts w:ascii="Times New Roman" w:hAnsi="Times New Roman" w:cs="Times New Roman"/>
          <w:sz w:val="24"/>
          <w:szCs w:val="24"/>
        </w:rPr>
        <w:t xml:space="preserve"> ietekme</w:t>
      </w:r>
      <w:r w:rsidR="00CC10C9">
        <w:rPr>
          <w:rFonts w:ascii="Times New Roman" w:hAnsi="Times New Roman" w:cs="Times New Roman"/>
          <w:sz w:val="24"/>
          <w:szCs w:val="24"/>
        </w:rPr>
        <w:t>s novērtējums (pat indikatīvs)</w:t>
      </w:r>
      <w:r w:rsidRPr="00871962">
        <w:rPr>
          <w:rFonts w:ascii="Times New Roman" w:hAnsi="Times New Roman" w:cs="Times New Roman"/>
          <w:sz w:val="24"/>
          <w:szCs w:val="24"/>
        </w:rPr>
        <w:t xml:space="preserve"> ir </w:t>
      </w:r>
      <w:r w:rsidR="00CC10C9">
        <w:rPr>
          <w:rFonts w:ascii="Times New Roman" w:hAnsi="Times New Roman" w:cs="Times New Roman"/>
          <w:sz w:val="24"/>
          <w:szCs w:val="24"/>
        </w:rPr>
        <w:t>komplicēts</w:t>
      </w:r>
      <w:r w:rsidRPr="00871962">
        <w:rPr>
          <w:rFonts w:ascii="Times New Roman" w:hAnsi="Times New Roman" w:cs="Times New Roman"/>
          <w:sz w:val="24"/>
          <w:szCs w:val="24"/>
        </w:rPr>
        <w:t xml:space="preserve"> un atkarīg</w:t>
      </w:r>
      <w:r w:rsidR="00326579">
        <w:rPr>
          <w:rFonts w:ascii="Times New Roman" w:hAnsi="Times New Roman" w:cs="Times New Roman"/>
          <w:sz w:val="24"/>
          <w:szCs w:val="24"/>
        </w:rPr>
        <w:t>s</w:t>
      </w:r>
      <w:r w:rsidRPr="00871962">
        <w:rPr>
          <w:rFonts w:ascii="Times New Roman" w:hAnsi="Times New Roman" w:cs="Times New Roman"/>
          <w:sz w:val="24"/>
          <w:szCs w:val="24"/>
        </w:rPr>
        <w:t xml:space="preserve"> no </w:t>
      </w:r>
      <w:r w:rsidR="00CC10C9">
        <w:rPr>
          <w:rFonts w:ascii="Times New Roman" w:hAnsi="Times New Roman" w:cs="Times New Roman"/>
          <w:sz w:val="24"/>
          <w:szCs w:val="24"/>
        </w:rPr>
        <w:t xml:space="preserve">daudziem faktoriem (piemēram, pašmāju un ārvalstu </w:t>
      </w:r>
      <w:r w:rsidRPr="00871962">
        <w:rPr>
          <w:rFonts w:ascii="Times New Roman" w:hAnsi="Times New Roman" w:cs="Times New Roman"/>
          <w:sz w:val="24"/>
          <w:szCs w:val="24"/>
        </w:rPr>
        <w:t>politik</w:t>
      </w:r>
      <w:r w:rsidR="001244A8">
        <w:rPr>
          <w:rFonts w:ascii="Times New Roman" w:hAnsi="Times New Roman" w:cs="Times New Roman"/>
          <w:sz w:val="24"/>
          <w:szCs w:val="24"/>
        </w:rPr>
        <w:t>u</w:t>
      </w:r>
      <w:r w:rsidRPr="00871962">
        <w:rPr>
          <w:rFonts w:ascii="Times New Roman" w:hAnsi="Times New Roman" w:cs="Times New Roman"/>
          <w:sz w:val="24"/>
          <w:szCs w:val="24"/>
        </w:rPr>
        <w:t xml:space="preserve"> reakcijas</w:t>
      </w:r>
      <w:r w:rsidR="00CC10C9">
        <w:rPr>
          <w:rFonts w:ascii="Times New Roman" w:hAnsi="Times New Roman" w:cs="Times New Roman"/>
          <w:sz w:val="24"/>
          <w:szCs w:val="24"/>
        </w:rPr>
        <w:t>; investīciju sadalījuma starp publisko, mājsaimniecību un uzņēmējdarbības sektoru;</w:t>
      </w:r>
      <w:r w:rsidR="00801597">
        <w:rPr>
          <w:rFonts w:ascii="Times New Roman" w:hAnsi="Times New Roman" w:cs="Times New Roman"/>
          <w:sz w:val="24"/>
          <w:szCs w:val="24"/>
        </w:rPr>
        <w:t xml:space="preserve"> </w:t>
      </w:r>
      <w:r w:rsidR="00902F26">
        <w:rPr>
          <w:rFonts w:ascii="Times New Roman" w:hAnsi="Times New Roman" w:cs="Times New Roman"/>
          <w:sz w:val="24"/>
          <w:szCs w:val="24"/>
        </w:rPr>
        <w:t xml:space="preserve">ražošanas faktoru </w:t>
      </w:r>
      <w:r w:rsidR="00801597">
        <w:rPr>
          <w:rFonts w:ascii="Times New Roman" w:hAnsi="Times New Roman" w:cs="Times New Roman"/>
          <w:sz w:val="24"/>
          <w:szCs w:val="24"/>
        </w:rPr>
        <w:t>izmaksām;</w:t>
      </w:r>
      <w:r w:rsidR="00CC10C9">
        <w:rPr>
          <w:rFonts w:ascii="Times New Roman" w:hAnsi="Times New Roman" w:cs="Times New Roman"/>
          <w:sz w:val="24"/>
          <w:szCs w:val="24"/>
        </w:rPr>
        <w:t xml:space="preserve"> inovācijām un tehnoloģiskā progresa)</w:t>
      </w:r>
      <w:r w:rsidRPr="00871962">
        <w:rPr>
          <w:rFonts w:ascii="Times New Roman" w:hAnsi="Times New Roman" w:cs="Times New Roman"/>
          <w:sz w:val="24"/>
          <w:szCs w:val="24"/>
        </w:rPr>
        <w:t xml:space="preserve">. </w:t>
      </w:r>
      <w:r w:rsidR="00D519DD">
        <w:rPr>
          <w:rFonts w:ascii="Times New Roman" w:hAnsi="Times New Roman" w:cs="Times New Roman"/>
          <w:sz w:val="24"/>
          <w:szCs w:val="24"/>
        </w:rPr>
        <w:t>Ekonomiski spēcīgākās un attīstītākās valstis, kā arī kopējās g</w:t>
      </w:r>
      <w:r w:rsidRPr="00871962">
        <w:rPr>
          <w:rFonts w:ascii="Times New Roman" w:hAnsi="Times New Roman" w:cs="Times New Roman"/>
          <w:sz w:val="24"/>
          <w:szCs w:val="24"/>
        </w:rPr>
        <w:t xml:space="preserve">lobālās tendences, kas lielā mērā ir ārpus </w:t>
      </w:r>
      <w:r w:rsidR="00D519DD">
        <w:rPr>
          <w:rFonts w:ascii="Times New Roman" w:hAnsi="Times New Roman" w:cs="Times New Roman"/>
          <w:sz w:val="24"/>
          <w:szCs w:val="24"/>
        </w:rPr>
        <w:t>Latvijas</w:t>
      </w:r>
      <w:r w:rsidRPr="00871962">
        <w:rPr>
          <w:rFonts w:ascii="Times New Roman" w:hAnsi="Times New Roman" w:cs="Times New Roman"/>
          <w:sz w:val="24"/>
          <w:szCs w:val="24"/>
        </w:rPr>
        <w:t xml:space="preserve"> valdības kontroles, </w:t>
      </w:r>
      <w:r w:rsidR="008600A6">
        <w:rPr>
          <w:rFonts w:ascii="Times New Roman" w:hAnsi="Times New Roman" w:cs="Times New Roman"/>
          <w:sz w:val="24"/>
          <w:szCs w:val="24"/>
        </w:rPr>
        <w:t>izšķirs</w:t>
      </w:r>
      <w:r w:rsidRPr="00871962">
        <w:rPr>
          <w:rFonts w:ascii="Times New Roman" w:hAnsi="Times New Roman" w:cs="Times New Roman"/>
          <w:sz w:val="24"/>
          <w:szCs w:val="24"/>
        </w:rPr>
        <w:t xml:space="preserve"> globālās sasilšanas apjomu</w:t>
      </w:r>
      <w:r w:rsidR="00D519DD">
        <w:rPr>
          <w:rFonts w:ascii="Times New Roman" w:hAnsi="Times New Roman" w:cs="Times New Roman"/>
          <w:sz w:val="24"/>
          <w:szCs w:val="24"/>
        </w:rPr>
        <w:t xml:space="preserve">, kas savukārt </w:t>
      </w:r>
      <w:r w:rsidR="008600A6">
        <w:rPr>
          <w:rFonts w:ascii="Times New Roman" w:hAnsi="Times New Roman" w:cs="Times New Roman"/>
          <w:sz w:val="24"/>
          <w:szCs w:val="24"/>
        </w:rPr>
        <w:t xml:space="preserve">noteiks </w:t>
      </w:r>
      <w:r w:rsidRPr="00871962">
        <w:rPr>
          <w:rFonts w:ascii="Times New Roman" w:hAnsi="Times New Roman" w:cs="Times New Roman"/>
          <w:sz w:val="24"/>
          <w:szCs w:val="24"/>
        </w:rPr>
        <w:t>izmaksas, kas saistītas ar</w:t>
      </w:r>
      <w:r w:rsidR="00D519DD">
        <w:rPr>
          <w:rFonts w:ascii="Times New Roman" w:hAnsi="Times New Roman" w:cs="Times New Roman"/>
          <w:sz w:val="24"/>
          <w:szCs w:val="24"/>
        </w:rPr>
        <w:t xml:space="preserve"> </w:t>
      </w:r>
      <w:r w:rsidR="00326579">
        <w:rPr>
          <w:rFonts w:ascii="Times New Roman" w:hAnsi="Times New Roman" w:cs="Times New Roman"/>
          <w:sz w:val="24"/>
          <w:szCs w:val="24"/>
        </w:rPr>
        <w:t xml:space="preserve">klimata pārmaiņu mazināšanu un </w:t>
      </w:r>
      <w:r w:rsidRPr="00871962">
        <w:rPr>
          <w:rFonts w:ascii="Times New Roman" w:hAnsi="Times New Roman" w:cs="Times New Roman"/>
          <w:sz w:val="24"/>
          <w:szCs w:val="24"/>
        </w:rPr>
        <w:t xml:space="preserve">pielāgošanos </w:t>
      </w:r>
      <w:r w:rsidR="00D519DD">
        <w:rPr>
          <w:rFonts w:ascii="Times New Roman" w:hAnsi="Times New Roman" w:cs="Times New Roman"/>
          <w:sz w:val="24"/>
          <w:szCs w:val="24"/>
        </w:rPr>
        <w:t>klimata pārmaiņām</w:t>
      </w:r>
      <w:r w:rsidRPr="00871962">
        <w:rPr>
          <w:rFonts w:ascii="Times New Roman" w:hAnsi="Times New Roman" w:cs="Times New Roman"/>
          <w:sz w:val="24"/>
          <w:szCs w:val="24"/>
        </w:rPr>
        <w:t>.</w:t>
      </w:r>
      <w:r w:rsidR="00A90BD6">
        <w:rPr>
          <w:rFonts w:ascii="Times New Roman" w:hAnsi="Times New Roman" w:cs="Times New Roman"/>
          <w:sz w:val="24"/>
          <w:szCs w:val="24"/>
        </w:rPr>
        <w:t xml:space="preserve"> </w:t>
      </w:r>
      <w:r w:rsidR="008600A6">
        <w:rPr>
          <w:rFonts w:ascii="Times New Roman" w:hAnsi="Times New Roman" w:cs="Times New Roman"/>
          <w:sz w:val="24"/>
          <w:szCs w:val="24"/>
        </w:rPr>
        <w:t xml:space="preserve">Neskatoties uz </w:t>
      </w:r>
      <w:r w:rsidR="00757502">
        <w:rPr>
          <w:rFonts w:ascii="Times New Roman" w:hAnsi="Times New Roman" w:cs="Times New Roman"/>
          <w:sz w:val="24"/>
          <w:szCs w:val="24"/>
        </w:rPr>
        <w:t>ievērojamām</w:t>
      </w:r>
      <w:r w:rsidR="008600A6">
        <w:rPr>
          <w:rFonts w:ascii="Times New Roman" w:hAnsi="Times New Roman" w:cs="Times New Roman"/>
          <w:sz w:val="24"/>
          <w:szCs w:val="24"/>
        </w:rPr>
        <w:t xml:space="preserve"> izmaksām, kas būs nepieciešamas klimata pārmaiņu vadībai, n</w:t>
      </w:r>
      <w:r w:rsidRPr="00871962">
        <w:rPr>
          <w:rFonts w:ascii="Times New Roman" w:hAnsi="Times New Roman" w:cs="Times New Roman"/>
          <w:sz w:val="24"/>
          <w:szCs w:val="24"/>
        </w:rPr>
        <w:t xml:space="preserve">eierobežotām klimata pārmaiņām galu galā </w:t>
      </w:r>
      <w:r w:rsidR="008600A6">
        <w:rPr>
          <w:rFonts w:ascii="Times New Roman" w:hAnsi="Times New Roman" w:cs="Times New Roman"/>
          <w:sz w:val="24"/>
          <w:szCs w:val="24"/>
        </w:rPr>
        <w:t>būs</w:t>
      </w:r>
      <w:r w:rsidRPr="00871962">
        <w:rPr>
          <w:rFonts w:ascii="Times New Roman" w:hAnsi="Times New Roman" w:cs="Times New Roman"/>
          <w:sz w:val="24"/>
          <w:szCs w:val="24"/>
        </w:rPr>
        <w:t xml:space="preserve"> </w:t>
      </w:r>
      <w:r w:rsidR="007B2E5C">
        <w:rPr>
          <w:rFonts w:ascii="Times New Roman" w:hAnsi="Times New Roman" w:cs="Times New Roman"/>
          <w:sz w:val="24"/>
          <w:szCs w:val="24"/>
        </w:rPr>
        <w:t>ievērojamas negatīvas</w:t>
      </w:r>
      <w:r w:rsidRPr="00871962">
        <w:rPr>
          <w:rFonts w:ascii="Times New Roman" w:hAnsi="Times New Roman" w:cs="Times New Roman"/>
          <w:sz w:val="24"/>
          <w:szCs w:val="24"/>
        </w:rPr>
        <w:t xml:space="preserve"> ekonomiskās un fiskāl</w:t>
      </w:r>
      <w:r w:rsidR="00A90BD6">
        <w:rPr>
          <w:rFonts w:ascii="Times New Roman" w:hAnsi="Times New Roman" w:cs="Times New Roman"/>
          <w:sz w:val="24"/>
          <w:szCs w:val="24"/>
        </w:rPr>
        <w:t>ā</w:t>
      </w:r>
      <w:r w:rsidRPr="00871962">
        <w:rPr>
          <w:rFonts w:ascii="Times New Roman" w:hAnsi="Times New Roman" w:cs="Times New Roman"/>
          <w:sz w:val="24"/>
          <w:szCs w:val="24"/>
        </w:rPr>
        <w:t>s sekas</w:t>
      </w:r>
      <w:r w:rsidR="008600A6">
        <w:rPr>
          <w:rFonts w:ascii="Times New Roman" w:hAnsi="Times New Roman" w:cs="Times New Roman"/>
          <w:sz w:val="24"/>
          <w:szCs w:val="24"/>
        </w:rPr>
        <w:t>.</w:t>
      </w:r>
    </w:p>
    <w:p w14:paraId="74EADCD4" w14:textId="5B3F2F42" w:rsidR="00801597" w:rsidRDefault="00801597"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Pašreizējā posmā deklarācijā tiek apskatīts tas finansiālais apmērs, kas rada slodzi uz finanšu resursiem, kas nepieciešami, lai sasniegtu izvirzītos klimata mērķus, bet tajā netiek apskatītas izmaksas, kas rodas no klimata pārmaiņām (sasilšanas) kā tād</w:t>
      </w:r>
      <w:r w:rsidR="00A610C4">
        <w:rPr>
          <w:rFonts w:ascii="Times New Roman" w:hAnsi="Times New Roman" w:cs="Times New Roman"/>
          <w:sz w:val="24"/>
          <w:szCs w:val="24"/>
        </w:rPr>
        <w:t>ām</w:t>
      </w:r>
      <w:r>
        <w:rPr>
          <w:rFonts w:ascii="Times New Roman" w:hAnsi="Times New Roman" w:cs="Times New Roman"/>
          <w:sz w:val="24"/>
          <w:szCs w:val="24"/>
        </w:rPr>
        <w:t xml:space="preserve"> (t.i. neparedzot izmaiņas politikas rīcībā) vai lēnākas virzīšanās uz noteiktajiem klimata mērķiem. </w:t>
      </w:r>
    </w:p>
    <w:p w14:paraId="72C39F98" w14:textId="47686DE9" w:rsidR="00171273" w:rsidRDefault="00CF4117"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Neskatoties</w:t>
      </w:r>
      <w:r w:rsidR="0049099E">
        <w:rPr>
          <w:rFonts w:ascii="Times New Roman" w:hAnsi="Times New Roman" w:cs="Times New Roman"/>
          <w:sz w:val="24"/>
          <w:szCs w:val="24"/>
        </w:rPr>
        <w:t xml:space="preserve"> uz to</w:t>
      </w:r>
      <w:r>
        <w:rPr>
          <w:rFonts w:ascii="Times New Roman" w:hAnsi="Times New Roman" w:cs="Times New Roman"/>
          <w:sz w:val="24"/>
          <w:szCs w:val="24"/>
        </w:rPr>
        <w:t>, ka m</w:t>
      </w:r>
      <w:r w:rsidR="008E79C2">
        <w:rPr>
          <w:rFonts w:ascii="Times New Roman" w:hAnsi="Times New Roman" w:cs="Times New Roman"/>
          <w:sz w:val="24"/>
          <w:szCs w:val="24"/>
        </w:rPr>
        <w:t xml:space="preserve">ērķu sasniegšanai uzņemto saistību finansiālais apmērs nav precīzi nosakāms un to var tikai vispārīgi iezīmēt, </w:t>
      </w:r>
      <w:r>
        <w:rPr>
          <w:rFonts w:ascii="Times New Roman" w:hAnsi="Times New Roman" w:cs="Times New Roman"/>
          <w:sz w:val="24"/>
          <w:szCs w:val="24"/>
        </w:rPr>
        <w:t xml:space="preserve">ir veikti pētījumi par indikatīvajām papildu izmaksām/investīcijām, kas nepieciešamas klimata mērķu sasniegšanai. </w:t>
      </w:r>
    </w:p>
    <w:p w14:paraId="40180603" w14:textId="6EDFA409" w:rsidR="00A63DA9" w:rsidRPr="00793562" w:rsidRDefault="00A63DA9" w:rsidP="002601DB">
      <w:pPr>
        <w:spacing w:after="0" w:line="240" w:lineRule="auto"/>
        <w:ind w:firstLine="720"/>
        <w:jc w:val="both"/>
        <w:rPr>
          <w:rFonts w:ascii="Times New Roman" w:hAnsi="Times New Roman" w:cs="Times New Roman"/>
          <w:sz w:val="24"/>
          <w:szCs w:val="24"/>
        </w:rPr>
      </w:pPr>
      <w:r w:rsidRPr="00CD2C63">
        <w:rPr>
          <w:rFonts w:ascii="Times New Roman" w:hAnsi="Times New Roman" w:cs="Times New Roman"/>
          <w:sz w:val="24"/>
          <w:szCs w:val="24"/>
        </w:rPr>
        <w:t>Starptautiskā Enerģētikas aģentūra aplē</w:t>
      </w:r>
      <w:r w:rsidR="00A610C4">
        <w:rPr>
          <w:rFonts w:ascii="Times New Roman" w:hAnsi="Times New Roman" w:cs="Times New Roman"/>
          <w:sz w:val="24"/>
          <w:szCs w:val="24"/>
        </w:rPr>
        <w:t>š</w:t>
      </w:r>
      <w:r w:rsidR="00C62AB6">
        <w:rPr>
          <w:rStyle w:val="FootnoteReference"/>
          <w:rFonts w:ascii="Times New Roman" w:hAnsi="Times New Roman" w:cs="Times New Roman"/>
          <w:sz w:val="24"/>
          <w:szCs w:val="24"/>
        </w:rPr>
        <w:footnoteReference w:id="36"/>
      </w:r>
      <w:r w:rsidRPr="00CD2C63">
        <w:rPr>
          <w:rFonts w:ascii="Times New Roman" w:hAnsi="Times New Roman" w:cs="Times New Roman"/>
          <w:sz w:val="24"/>
          <w:szCs w:val="24"/>
        </w:rPr>
        <w:t>, ka r</w:t>
      </w:r>
      <w:r w:rsidRPr="00793562">
        <w:rPr>
          <w:rFonts w:ascii="Times New Roman" w:hAnsi="Times New Roman" w:cs="Times New Roman"/>
          <w:sz w:val="24"/>
          <w:szCs w:val="24"/>
        </w:rPr>
        <w:t xml:space="preserve">adikālā globālās enerģētikas sistēmas pārveide, kas nepieciešama, lai 2050.gadā sasniegtu </w:t>
      </w:r>
      <w:proofErr w:type="spellStart"/>
      <w:r w:rsidRPr="00793562">
        <w:rPr>
          <w:rFonts w:ascii="Times New Roman" w:hAnsi="Times New Roman" w:cs="Times New Roman"/>
          <w:sz w:val="24"/>
          <w:szCs w:val="24"/>
        </w:rPr>
        <w:t>klimatneitralitāti</w:t>
      </w:r>
      <w:proofErr w:type="spellEnd"/>
      <w:r w:rsidRPr="00793562">
        <w:rPr>
          <w:rFonts w:ascii="Times New Roman" w:hAnsi="Times New Roman" w:cs="Times New Roman"/>
          <w:sz w:val="24"/>
          <w:szCs w:val="24"/>
        </w:rPr>
        <w:t>, prasīs palielināt pasaules ikgadējās investīcijas enerģētikā no nedaudz vairāk nekā 2 triljoniem ASV dolāru līdz gandrīz 5 triljoniem ASV dolāru līdz 2030.gadam un līdz 4,5 triljoniem ASV dolāru līdz 2050.gadam. Skatoties</w:t>
      </w:r>
      <w:r>
        <w:rPr>
          <w:rFonts w:ascii="Times New Roman" w:hAnsi="Times New Roman" w:cs="Times New Roman"/>
          <w:sz w:val="24"/>
          <w:szCs w:val="24"/>
        </w:rPr>
        <w:t xml:space="preserve"> nepieciešamo papildu</w:t>
      </w:r>
      <w:r w:rsidRPr="00793562">
        <w:rPr>
          <w:rFonts w:ascii="Times New Roman" w:hAnsi="Times New Roman" w:cs="Times New Roman"/>
          <w:sz w:val="24"/>
          <w:szCs w:val="24"/>
        </w:rPr>
        <w:t xml:space="preserve"> investīciju dinamiku pret IKP, kopēj</w:t>
      </w:r>
      <w:r>
        <w:rPr>
          <w:rFonts w:ascii="Times New Roman" w:hAnsi="Times New Roman" w:cs="Times New Roman"/>
          <w:sz w:val="24"/>
          <w:szCs w:val="24"/>
        </w:rPr>
        <w:t>iem</w:t>
      </w:r>
      <w:r w:rsidRPr="00793562">
        <w:rPr>
          <w:rFonts w:ascii="Times New Roman" w:hAnsi="Times New Roman" w:cs="Times New Roman"/>
          <w:sz w:val="24"/>
          <w:szCs w:val="24"/>
        </w:rPr>
        <w:t xml:space="preserve"> ikgadējie</w:t>
      </w:r>
      <w:r>
        <w:rPr>
          <w:rFonts w:ascii="Times New Roman" w:hAnsi="Times New Roman" w:cs="Times New Roman"/>
          <w:sz w:val="24"/>
          <w:szCs w:val="24"/>
        </w:rPr>
        <w:t>m</w:t>
      </w:r>
      <w:r w:rsidRPr="00793562">
        <w:rPr>
          <w:rFonts w:ascii="Times New Roman" w:hAnsi="Times New Roman" w:cs="Times New Roman"/>
          <w:sz w:val="24"/>
          <w:szCs w:val="24"/>
        </w:rPr>
        <w:t xml:space="preserve"> kapitālieguldījumi</w:t>
      </w:r>
      <w:r>
        <w:rPr>
          <w:rFonts w:ascii="Times New Roman" w:hAnsi="Times New Roman" w:cs="Times New Roman"/>
          <w:sz w:val="24"/>
          <w:szCs w:val="24"/>
        </w:rPr>
        <w:t>em</w:t>
      </w:r>
      <w:r w:rsidRPr="00793562">
        <w:rPr>
          <w:rFonts w:ascii="Times New Roman" w:hAnsi="Times New Roman" w:cs="Times New Roman"/>
          <w:sz w:val="24"/>
          <w:szCs w:val="24"/>
        </w:rPr>
        <w:t xml:space="preserve"> enerģētikā </w:t>
      </w:r>
      <w:r>
        <w:rPr>
          <w:rFonts w:ascii="Times New Roman" w:hAnsi="Times New Roman" w:cs="Times New Roman"/>
          <w:sz w:val="24"/>
          <w:szCs w:val="24"/>
        </w:rPr>
        <w:t xml:space="preserve">būtu </w:t>
      </w:r>
      <w:r w:rsidRPr="00793562">
        <w:rPr>
          <w:rFonts w:ascii="Times New Roman" w:hAnsi="Times New Roman" w:cs="Times New Roman"/>
          <w:sz w:val="24"/>
          <w:szCs w:val="24"/>
        </w:rPr>
        <w:t xml:space="preserve">jāpieaug no aptuveni 2,5% no pasaules IKP līdz aptuveni 4,5% 2030.gadā, bet pēc tam </w:t>
      </w:r>
      <w:r>
        <w:rPr>
          <w:rFonts w:ascii="Times New Roman" w:hAnsi="Times New Roman" w:cs="Times New Roman"/>
          <w:sz w:val="24"/>
          <w:szCs w:val="24"/>
        </w:rPr>
        <w:t>jāatgriežas</w:t>
      </w:r>
      <w:r w:rsidRPr="00793562">
        <w:rPr>
          <w:rFonts w:ascii="Times New Roman" w:hAnsi="Times New Roman" w:cs="Times New Roman"/>
          <w:sz w:val="24"/>
          <w:szCs w:val="24"/>
        </w:rPr>
        <w:t xml:space="preserve"> 2,5%</w:t>
      </w:r>
      <w:r>
        <w:rPr>
          <w:rFonts w:ascii="Times New Roman" w:hAnsi="Times New Roman" w:cs="Times New Roman"/>
          <w:sz w:val="24"/>
          <w:szCs w:val="24"/>
        </w:rPr>
        <w:t xml:space="preserve"> no pasaules IKP apmērā</w:t>
      </w:r>
      <w:r w:rsidRPr="00793562">
        <w:rPr>
          <w:rFonts w:ascii="Times New Roman" w:hAnsi="Times New Roman" w:cs="Times New Roman"/>
          <w:sz w:val="24"/>
          <w:szCs w:val="24"/>
        </w:rPr>
        <w:t xml:space="preserve"> līdz 2050.gadam.</w:t>
      </w:r>
      <w:r w:rsidRPr="00CD2C63">
        <w:rPr>
          <w:rFonts w:ascii="Times New Roman" w:hAnsi="Times New Roman" w:cs="Times New Roman"/>
          <w:sz w:val="24"/>
          <w:szCs w:val="24"/>
        </w:rPr>
        <w:t xml:space="preserve"> </w:t>
      </w:r>
    </w:p>
    <w:p w14:paraId="020FA318" w14:textId="35D525B7" w:rsidR="00A63DA9" w:rsidRDefault="00A63DA9"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Pamatojoties uz EK </w:t>
      </w:r>
      <w:r w:rsidR="00C62AB6">
        <w:rPr>
          <w:rFonts w:ascii="Times New Roman" w:hAnsi="Times New Roman" w:cs="Times New Roman"/>
          <w:sz w:val="24"/>
          <w:szCs w:val="24"/>
        </w:rPr>
        <w:t>analīzi</w:t>
      </w:r>
      <w:r w:rsidR="00C6792D">
        <w:rPr>
          <w:rStyle w:val="FootnoteReference"/>
          <w:rFonts w:ascii="Times New Roman" w:hAnsi="Times New Roman" w:cs="Times New Roman"/>
          <w:sz w:val="24"/>
          <w:szCs w:val="24"/>
        </w:rPr>
        <w:footnoteReference w:id="37"/>
      </w:r>
      <w:r w:rsidR="00C62AB6">
        <w:rPr>
          <w:rFonts w:ascii="Times New Roman" w:hAnsi="Times New Roman" w:cs="Times New Roman"/>
          <w:sz w:val="24"/>
          <w:szCs w:val="24"/>
        </w:rPr>
        <w:t>, kas</w:t>
      </w:r>
      <w:r w:rsidR="00C6792D">
        <w:rPr>
          <w:rFonts w:ascii="Times New Roman" w:hAnsi="Times New Roman" w:cs="Times New Roman"/>
          <w:sz w:val="24"/>
          <w:szCs w:val="24"/>
        </w:rPr>
        <w:t xml:space="preserve"> publicēta 2020.gadā</w:t>
      </w:r>
      <w:r>
        <w:rPr>
          <w:rFonts w:ascii="Times New Roman" w:hAnsi="Times New Roman" w:cs="Times New Roman"/>
          <w:sz w:val="24"/>
          <w:szCs w:val="24"/>
        </w:rPr>
        <w:t>, lai sasniegtu 2030.gada klimata mērķus, ES būs nepieciešams veikt papildu investīcijas</w:t>
      </w:r>
      <w:r w:rsidR="009A4D60">
        <w:rPr>
          <w:rFonts w:ascii="Times New Roman" w:hAnsi="Times New Roman" w:cs="Times New Roman"/>
          <w:sz w:val="24"/>
          <w:szCs w:val="24"/>
        </w:rPr>
        <w:t xml:space="preserve"> vidēji</w:t>
      </w:r>
      <w:r>
        <w:rPr>
          <w:rFonts w:ascii="Times New Roman" w:hAnsi="Times New Roman" w:cs="Times New Roman"/>
          <w:sz w:val="24"/>
          <w:szCs w:val="24"/>
        </w:rPr>
        <w:t xml:space="preserve"> 3</w:t>
      </w:r>
      <w:r w:rsidR="00EE695F">
        <w:rPr>
          <w:rFonts w:ascii="Times New Roman" w:hAnsi="Times New Roman" w:cs="Times New Roman"/>
          <w:sz w:val="24"/>
          <w:szCs w:val="24"/>
        </w:rPr>
        <w:t>63</w:t>
      </w:r>
      <w:r>
        <w:rPr>
          <w:rFonts w:ascii="Times New Roman" w:hAnsi="Times New Roman" w:cs="Times New Roman"/>
          <w:sz w:val="24"/>
          <w:szCs w:val="24"/>
        </w:rPr>
        <w:t xml:space="preserve"> mljr</w:t>
      </w:r>
      <w:r w:rsidR="00EE695F">
        <w:rPr>
          <w:rFonts w:ascii="Times New Roman" w:hAnsi="Times New Roman" w:cs="Times New Roman"/>
          <w:sz w:val="24"/>
          <w:szCs w:val="24"/>
        </w:rPr>
        <w:t>d</w:t>
      </w:r>
      <w:r>
        <w:rPr>
          <w:rFonts w:ascii="Times New Roman" w:hAnsi="Times New Roman" w:cs="Times New Roman"/>
          <w:sz w:val="24"/>
          <w:szCs w:val="24"/>
        </w:rPr>
        <w:t xml:space="preserve">. </w:t>
      </w:r>
      <w:proofErr w:type="spellStart"/>
      <w:r w:rsidRPr="00793562">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ik gadu (2015.gada cenās) jeb ekvivalenti 2,</w:t>
      </w:r>
      <w:r w:rsidR="00EE695F">
        <w:rPr>
          <w:rFonts w:ascii="Times New Roman" w:hAnsi="Times New Roman" w:cs="Times New Roman"/>
          <w:sz w:val="24"/>
          <w:szCs w:val="24"/>
        </w:rPr>
        <w:t>5</w:t>
      </w:r>
      <w:r>
        <w:rPr>
          <w:rFonts w:ascii="Times New Roman" w:hAnsi="Times New Roman" w:cs="Times New Roman"/>
          <w:sz w:val="24"/>
          <w:szCs w:val="24"/>
        </w:rPr>
        <w:t>% no IKP</w:t>
      </w:r>
      <w:r w:rsidR="00EE695F">
        <w:rPr>
          <w:rFonts w:ascii="Times New Roman" w:hAnsi="Times New Roman" w:cs="Times New Roman"/>
          <w:sz w:val="24"/>
          <w:szCs w:val="24"/>
        </w:rPr>
        <w:t xml:space="preserve"> </w:t>
      </w:r>
      <w:r w:rsidR="009A4D60">
        <w:rPr>
          <w:rFonts w:ascii="Times New Roman" w:hAnsi="Times New Roman" w:cs="Times New Roman"/>
          <w:sz w:val="24"/>
          <w:szCs w:val="24"/>
        </w:rPr>
        <w:t>2021.-2030.gada perspektīvā</w:t>
      </w:r>
      <w:r>
        <w:rPr>
          <w:rFonts w:ascii="Times New Roman" w:hAnsi="Times New Roman" w:cs="Times New Roman"/>
          <w:sz w:val="24"/>
          <w:szCs w:val="24"/>
        </w:rPr>
        <w:t>.</w:t>
      </w:r>
      <w:r w:rsidR="009A4D60">
        <w:rPr>
          <w:rFonts w:ascii="Times New Roman" w:hAnsi="Times New Roman" w:cs="Times New Roman"/>
          <w:sz w:val="24"/>
          <w:szCs w:val="24"/>
        </w:rPr>
        <w:t xml:space="preserve"> Savukārt no 2031.gada līdz 2050.gadam papildu ikgadējo investīciju vidējais apmērs varētu samazināties līdz 307 mljrd. </w:t>
      </w:r>
      <w:proofErr w:type="spellStart"/>
      <w:r w:rsidR="009A4D60" w:rsidRPr="0058124B">
        <w:rPr>
          <w:rFonts w:ascii="Times New Roman" w:hAnsi="Times New Roman" w:cs="Times New Roman"/>
          <w:i/>
          <w:iCs/>
          <w:sz w:val="24"/>
          <w:szCs w:val="24"/>
        </w:rPr>
        <w:t>euro</w:t>
      </w:r>
      <w:proofErr w:type="spellEnd"/>
      <w:r w:rsidR="009A4D60">
        <w:rPr>
          <w:rFonts w:ascii="Times New Roman" w:hAnsi="Times New Roman" w:cs="Times New Roman"/>
          <w:sz w:val="24"/>
          <w:szCs w:val="24"/>
        </w:rPr>
        <w:t xml:space="preserve"> jeb aptuveni 1,8% no IKP.</w:t>
      </w:r>
    </w:p>
    <w:p w14:paraId="6B428D11" w14:textId="6085B821" w:rsidR="00510A24" w:rsidRPr="001C3CC4" w:rsidRDefault="00FC3E16"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Latvijā a</w:t>
      </w:r>
      <w:r w:rsidR="00C44962" w:rsidRPr="00C21B5E">
        <w:rPr>
          <w:rFonts w:ascii="Times New Roman" w:hAnsi="Times New Roman" w:cs="Times New Roman"/>
          <w:sz w:val="24"/>
          <w:szCs w:val="24"/>
        </w:rPr>
        <w:t xml:space="preserve">tbilstoši </w:t>
      </w:r>
      <w:r w:rsidR="00C44962" w:rsidRPr="0058124B">
        <w:rPr>
          <w:rFonts w:ascii="Times New Roman" w:hAnsi="Times New Roman" w:cs="Times New Roman"/>
          <w:sz w:val="24"/>
          <w:szCs w:val="24"/>
        </w:rPr>
        <w:t>Fizikālā enerģētikas institūta pētījuma „</w:t>
      </w:r>
      <w:r w:rsidR="00C44962" w:rsidRPr="0058124B">
        <w:rPr>
          <w:rFonts w:ascii="Times New Roman" w:hAnsi="Times New Roman" w:cs="Times New Roman"/>
          <w:i/>
          <w:iCs/>
          <w:sz w:val="24"/>
          <w:szCs w:val="24"/>
        </w:rPr>
        <w:t xml:space="preserve">Latvijas tautsaimniecības attīstības iespējamo scenāriju līdz 2050.gadam izstrāde atbilstoši </w:t>
      </w:r>
      <w:r w:rsidR="00D76FE6" w:rsidRPr="0058124B">
        <w:rPr>
          <w:rFonts w:ascii="Times New Roman" w:hAnsi="Times New Roman" w:cs="Times New Roman"/>
          <w:i/>
          <w:iCs/>
          <w:sz w:val="24"/>
          <w:szCs w:val="24"/>
        </w:rPr>
        <w:t>ES</w:t>
      </w:r>
      <w:r w:rsidR="00C44962" w:rsidRPr="0058124B">
        <w:rPr>
          <w:rFonts w:ascii="Times New Roman" w:hAnsi="Times New Roman" w:cs="Times New Roman"/>
          <w:i/>
          <w:iCs/>
          <w:sz w:val="24"/>
          <w:szCs w:val="24"/>
        </w:rPr>
        <w:t xml:space="preserve"> ilgtermiņa attīstības redzējumam</w:t>
      </w:r>
      <w:r w:rsidR="00C44962" w:rsidRPr="0058124B">
        <w:rPr>
          <w:rFonts w:ascii="Times New Roman" w:hAnsi="Times New Roman" w:cs="Times New Roman"/>
          <w:sz w:val="24"/>
          <w:szCs w:val="24"/>
        </w:rPr>
        <w:t>” sākotnēj</w:t>
      </w:r>
      <w:r w:rsidR="0027327C" w:rsidRPr="0058124B">
        <w:rPr>
          <w:rFonts w:ascii="Times New Roman" w:hAnsi="Times New Roman" w:cs="Times New Roman"/>
          <w:sz w:val="24"/>
          <w:szCs w:val="24"/>
        </w:rPr>
        <w:t>am</w:t>
      </w:r>
      <w:r w:rsidR="00C44962" w:rsidRPr="0058124B">
        <w:rPr>
          <w:rFonts w:ascii="Times New Roman" w:hAnsi="Times New Roman" w:cs="Times New Roman"/>
          <w:sz w:val="24"/>
          <w:szCs w:val="24"/>
        </w:rPr>
        <w:t xml:space="preserve"> </w:t>
      </w:r>
      <w:proofErr w:type="spellStart"/>
      <w:r w:rsidR="00C44962" w:rsidRPr="0058124B">
        <w:rPr>
          <w:rFonts w:ascii="Times New Roman" w:hAnsi="Times New Roman" w:cs="Times New Roman"/>
          <w:sz w:val="24"/>
          <w:szCs w:val="24"/>
        </w:rPr>
        <w:t>izvērtējum</w:t>
      </w:r>
      <w:r w:rsidR="0027327C" w:rsidRPr="0058124B">
        <w:rPr>
          <w:rFonts w:ascii="Times New Roman" w:hAnsi="Times New Roman" w:cs="Times New Roman"/>
          <w:sz w:val="24"/>
          <w:szCs w:val="24"/>
        </w:rPr>
        <w:t>am</w:t>
      </w:r>
      <w:proofErr w:type="spellEnd"/>
      <w:r w:rsidR="0027327C" w:rsidRPr="0058124B">
        <w:rPr>
          <w:rFonts w:ascii="Times New Roman" w:hAnsi="Times New Roman" w:cs="Times New Roman"/>
          <w:sz w:val="24"/>
          <w:szCs w:val="24"/>
        </w:rPr>
        <w:t xml:space="preserve"> (2019.decembris), kas atspoguļots</w:t>
      </w:r>
      <w:r w:rsidR="00C44962" w:rsidRPr="00C21B5E">
        <w:rPr>
          <w:rFonts w:ascii="Times New Roman" w:hAnsi="Times New Roman" w:cs="Times New Roman"/>
          <w:sz w:val="24"/>
          <w:szCs w:val="24"/>
        </w:rPr>
        <w:t xml:space="preserve"> Latvijas stratēģij</w:t>
      </w:r>
      <w:r w:rsidR="0027327C" w:rsidRPr="00C21B5E">
        <w:rPr>
          <w:rFonts w:ascii="Times New Roman" w:hAnsi="Times New Roman" w:cs="Times New Roman"/>
          <w:sz w:val="24"/>
          <w:szCs w:val="24"/>
        </w:rPr>
        <w:t>ā</w:t>
      </w:r>
      <w:r w:rsidR="00C44962" w:rsidRPr="00C21B5E">
        <w:rPr>
          <w:rFonts w:ascii="Times New Roman" w:hAnsi="Times New Roman" w:cs="Times New Roman"/>
          <w:sz w:val="24"/>
          <w:szCs w:val="24"/>
        </w:rPr>
        <w:t xml:space="preserve"> </w:t>
      </w:r>
      <w:proofErr w:type="spellStart"/>
      <w:r w:rsidR="00C44962" w:rsidRPr="00C21B5E">
        <w:rPr>
          <w:rFonts w:ascii="Times New Roman" w:hAnsi="Times New Roman" w:cs="Times New Roman"/>
          <w:sz w:val="24"/>
          <w:szCs w:val="24"/>
        </w:rPr>
        <w:t>klimatneitralitātes</w:t>
      </w:r>
      <w:proofErr w:type="spellEnd"/>
      <w:r w:rsidR="00C44962" w:rsidRPr="00C21B5E">
        <w:rPr>
          <w:rFonts w:ascii="Times New Roman" w:hAnsi="Times New Roman" w:cs="Times New Roman"/>
          <w:sz w:val="24"/>
          <w:szCs w:val="24"/>
        </w:rPr>
        <w:t xml:space="preserve"> sasniegšanai līdz 2050.gadam</w:t>
      </w:r>
      <w:r w:rsidR="0027327C" w:rsidRPr="00C21B5E">
        <w:rPr>
          <w:rFonts w:ascii="Times New Roman" w:hAnsi="Times New Roman" w:cs="Times New Roman"/>
          <w:sz w:val="24"/>
          <w:szCs w:val="24"/>
        </w:rPr>
        <w:t xml:space="preserve">, </w:t>
      </w:r>
      <w:r w:rsidR="00C44962" w:rsidRPr="0058124B">
        <w:rPr>
          <w:rFonts w:ascii="Times New Roman" w:hAnsi="Times New Roman" w:cs="Times New Roman"/>
          <w:sz w:val="24"/>
          <w:szCs w:val="24"/>
        </w:rPr>
        <w:t>indikatīvā</w:t>
      </w:r>
      <w:r w:rsidR="0027327C" w:rsidRPr="0058124B">
        <w:rPr>
          <w:rFonts w:ascii="Times New Roman" w:hAnsi="Times New Roman" w:cs="Times New Roman"/>
          <w:sz w:val="24"/>
          <w:szCs w:val="24"/>
        </w:rPr>
        <w:t>s</w:t>
      </w:r>
      <w:r w:rsidR="00C44962" w:rsidRPr="0058124B">
        <w:rPr>
          <w:rFonts w:ascii="Times New Roman" w:hAnsi="Times New Roman" w:cs="Times New Roman"/>
          <w:sz w:val="24"/>
          <w:szCs w:val="24"/>
        </w:rPr>
        <w:t xml:space="preserve"> prognoz</w:t>
      </w:r>
      <w:r w:rsidR="0027327C" w:rsidRPr="0058124B">
        <w:rPr>
          <w:rFonts w:ascii="Times New Roman" w:hAnsi="Times New Roman" w:cs="Times New Roman"/>
          <w:sz w:val="24"/>
          <w:szCs w:val="24"/>
        </w:rPr>
        <w:t>es</w:t>
      </w:r>
      <w:r w:rsidR="00C44962" w:rsidRPr="0058124B">
        <w:rPr>
          <w:rFonts w:ascii="Times New Roman" w:hAnsi="Times New Roman" w:cs="Times New Roman"/>
          <w:sz w:val="24"/>
          <w:szCs w:val="24"/>
        </w:rPr>
        <w:t xml:space="preserve"> papildu investīcij</w:t>
      </w:r>
      <w:r w:rsidR="0027327C" w:rsidRPr="0058124B">
        <w:rPr>
          <w:rFonts w:ascii="Times New Roman" w:hAnsi="Times New Roman" w:cs="Times New Roman"/>
          <w:sz w:val="24"/>
          <w:szCs w:val="24"/>
        </w:rPr>
        <w:t>ām</w:t>
      </w:r>
      <w:r w:rsidR="00C44962" w:rsidRPr="0058124B">
        <w:rPr>
          <w:rFonts w:ascii="Times New Roman" w:hAnsi="Times New Roman" w:cs="Times New Roman"/>
          <w:sz w:val="24"/>
          <w:szCs w:val="24"/>
        </w:rPr>
        <w:t xml:space="preserve"> mērķa scenārija īstenošanai (</w:t>
      </w:r>
      <w:r w:rsidR="002D46A2">
        <w:rPr>
          <w:rFonts w:ascii="Times New Roman" w:hAnsi="Times New Roman" w:cs="Times New Roman"/>
          <w:sz w:val="24"/>
          <w:szCs w:val="24"/>
        </w:rPr>
        <w:t xml:space="preserve">t.i. </w:t>
      </w:r>
      <w:proofErr w:type="spellStart"/>
      <w:r w:rsidR="00C44962" w:rsidRPr="0058124B">
        <w:rPr>
          <w:rFonts w:ascii="Times New Roman" w:hAnsi="Times New Roman" w:cs="Times New Roman"/>
          <w:sz w:val="24"/>
          <w:szCs w:val="24"/>
        </w:rPr>
        <w:t>klimatneitralitātes</w:t>
      </w:r>
      <w:proofErr w:type="spellEnd"/>
      <w:r w:rsidR="00C44962" w:rsidRPr="0058124B">
        <w:rPr>
          <w:rFonts w:ascii="Times New Roman" w:hAnsi="Times New Roman" w:cs="Times New Roman"/>
          <w:sz w:val="24"/>
          <w:szCs w:val="24"/>
        </w:rPr>
        <w:t xml:space="preserve"> sasniegšanai)</w:t>
      </w:r>
      <w:r w:rsidR="0027327C" w:rsidRPr="0058124B">
        <w:rPr>
          <w:rFonts w:ascii="Times New Roman" w:hAnsi="Times New Roman" w:cs="Times New Roman"/>
          <w:sz w:val="24"/>
          <w:szCs w:val="24"/>
        </w:rPr>
        <w:t xml:space="preserve"> </w:t>
      </w:r>
      <w:r w:rsidR="00C44962" w:rsidRPr="0058124B">
        <w:rPr>
          <w:rFonts w:ascii="Times New Roman" w:hAnsi="Times New Roman" w:cs="Times New Roman"/>
          <w:sz w:val="24"/>
          <w:szCs w:val="24"/>
        </w:rPr>
        <w:t xml:space="preserve">laika periodā </w:t>
      </w:r>
      <w:r>
        <w:rPr>
          <w:rFonts w:ascii="Times New Roman" w:hAnsi="Times New Roman" w:cs="Times New Roman"/>
          <w:sz w:val="24"/>
          <w:szCs w:val="24"/>
        </w:rPr>
        <w:t xml:space="preserve">no 2020.gada </w:t>
      </w:r>
      <w:r w:rsidR="00C44962" w:rsidRPr="0058124B">
        <w:rPr>
          <w:rFonts w:ascii="Times New Roman" w:hAnsi="Times New Roman" w:cs="Times New Roman"/>
          <w:sz w:val="24"/>
          <w:szCs w:val="24"/>
        </w:rPr>
        <w:t>līdz 2050.gadam</w:t>
      </w:r>
      <w:r w:rsidR="0027327C" w:rsidRPr="0058124B">
        <w:rPr>
          <w:rFonts w:ascii="Times New Roman" w:hAnsi="Times New Roman" w:cs="Times New Roman"/>
          <w:sz w:val="24"/>
          <w:szCs w:val="24"/>
        </w:rPr>
        <w:t xml:space="preserve"> </w:t>
      </w:r>
      <w:r w:rsidR="00C44962" w:rsidRPr="0058124B">
        <w:rPr>
          <w:rFonts w:ascii="Times New Roman" w:hAnsi="Times New Roman" w:cs="Times New Roman"/>
          <w:sz w:val="24"/>
          <w:szCs w:val="24"/>
        </w:rPr>
        <w:t xml:space="preserve">ir </w:t>
      </w:r>
      <w:r w:rsidR="0027327C" w:rsidRPr="0058124B">
        <w:rPr>
          <w:rFonts w:ascii="Times New Roman" w:hAnsi="Times New Roman" w:cs="Times New Roman"/>
          <w:sz w:val="24"/>
          <w:szCs w:val="24"/>
        </w:rPr>
        <w:t xml:space="preserve">aptuveni </w:t>
      </w:r>
      <w:r w:rsidR="00510A24" w:rsidRPr="0058124B">
        <w:rPr>
          <w:rFonts w:ascii="Times New Roman" w:hAnsi="Times New Roman" w:cs="Times New Roman"/>
          <w:sz w:val="24"/>
          <w:szCs w:val="24"/>
        </w:rPr>
        <w:t>16 mljrd.</w:t>
      </w:r>
      <w:r w:rsidR="00510A24">
        <w:rPr>
          <w:rFonts w:ascii="Times New Roman" w:hAnsi="Times New Roman" w:cs="Times New Roman"/>
          <w:sz w:val="24"/>
          <w:szCs w:val="24"/>
        </w:rPr>
        <w:t>-</w:t>
      </w:r>
      <w:r w:rsidR="00510A24" w:rsidRPr="00497710">
        <w:rPr>
          <w:rFonts w:ascii="Times New Roman" w:hAnsi="Times New Roman" w:cs="Times New Roman"/>
          <w:sz w:val="24"/>
          <w:szCs w:val="24"/>
        </w:rPr>
        <w:t>22,7 mljrd</w:t>
      </w:r>
      <w:r w:rsidR="00510A24" w:rsidRPr="00560435">
        <w:rPr>
          <w:rFonts w:ascii="Times New Roman" w:hAnsi="Times New Roman" w:cs="Times New Roman"/>
          <w:sz w:val="24"/>
          <w:szCs w:val="24"/>
        </w:rPr>
        <w:t>.</w:t>
      </w:r>
      <w:r w:rsidR="00510A24" w:rsidRPr="0058124B">
        <w:rPr>
          <w:rFonts w:ascii="Times New Roman" w:hAnsi="Times New Roman" w:cs="Times New Roman"/>
          <w:sz w:val="24"/>
          <w:szCs w:val="24"/>
        </w:rPr>
        <w:t xml:space="preserve"> </w:t>
      </w:r>
      <w:proofErr w:type="spellStart"/>
      <w:r w:rsidR="00510A24" w:rsidRPr="0058124B">
        <w:rPr>
          <w:rFonts w:ascii="Times New Roman" w:hAnsi="Times New Roman" w:cs="Times New Roman"/>
          <w:i/>
          <w:iCs/>
          <w:sz w:val="24"/>
          <w:szCs w:val="24"/>
        </w:rPr>
        <w:t>euro</w:t>
      </w:r>
      <w:proofErr w:type="spellEnd"/>
      <w:r w:rsidR="00510A24" w:rsidRPr="0058124B">
        <w:rPr>
          <w:rFonts w:ascii="Times New Roman" w:hAnsi="Times New Roman" w:cs="Times New Roman"/>
          <w:sz w:val="24"/>
          <w:szCs w:val="24"/>
        </w:rPr>
        <w:t xml:space="preserve"> (2010.gada salīdzināmajās cenās) jeb aptuveni </w:t>
      </w:r>
      <w:r w:rsidR="00510A24" w:rsidRPr="00497710">
        <w:rPr>
          <w:rFonts w:ascii="Times New Roman" w:hAnsi="Times New Roman" w:cs="Times New Roman"/>
          <w:sz w:val="24"/>
          <w:szCs w:val="24"/>
        </w:rPr>
        <w:t xml:space="preserve">1,35% </w:t>
      </w:r>
      <w:r w:rsidR="00510A24" w:rsidRPr="0058124B">
        <w:rPr>
          <w:rFonts w:ascii="Times New Roman" w:hAnsi="Times New Roman" w:cs="Times New Roman"/>
          <w:sz w:val="24"/>
          <w:szCs w:val="24"/>
        </w:rPr>
        <w:t>vidēji gadā no IK</w:t>
      </w:r>
      <w:r w:rsidR="00510A24">
        <w:rPr>
          <w:rFonts w:ascii="Times New Roman" w:hAnsi="Times New Roman" w:cs="Times New Roman"/>
          <w:sz w:val="24"/>
          <w:szCs w:val="24"/>
        </w:rPr>
        <w:t>P</w:t>
      </w:r>
      <w:r w:rsidR="00510A24" w:rsidRPr="0058124B">
        <w:rPr>
          <w:rFonts w:ascii="Times New Roman" w:hAnsi="Times New Roman" w:cs="Times New Roman"/>
          <w:sz w:val="24"/>
          <w:szCs w:val="24"/>
        </w:rPr>
        <w:t>.</w:t>
      </w:r>
      <w:r w:rsidR="00C44962" w:rsidRPr="0058124B">
        <w:rPr>
          <w:rFonts w:ascii="Times New Roman" w:hAnsi="Times New Roman" w:cs="Times New Roman"/>
          <w:sz w:val="24"/>
          <w:szCs w:val="24"/>
        </w:rPr>
        <w:t xml:space="preserve"> </w:t>
      </w:r>
      <w:r w:rsidR="0027327C" w:rsidRPr="0058124B">
        <w:rPr>
          <w:rFonts w:ascii="Times New Roman" w:hAnsi="Times New Roman" w:cs="Times New Roman"/>
          <w:sz w:val="24"/>
          <w:szCs w:val="24"/>
        </w:rPr>
        <w:t>Vienlaicīgi tiek atzīmēts, ka</w:t>
      </w:r>
      <w:r w:rsidR="00C44962" w:rsidRPr="0058124B">
        <w:rPr>
          <w:rFonts w:ascii="Times New Roman" w:hAnsi="Times New Roman" w:cs="Times New Roman"/>
          <w:sz w:val="24"/>
          <w:szCs w:val="24"/>
        </w:rPr>
        <w:t xml:space="preserve">, pateicoties </w:t>
      </w:r>
      <w:r w:rsidR="0027327C" w:rsidRPr="0058124B">
        <w:rPr>
          <w:rFonts w:ascii="Times New Roman" w:hAnsi="Times New Roman" w:cs="Times New Roman"/>
          <w:sz w:val="24"/>
          <w:szCs w:val="24"/>
        </w:rPr>
        <w:t>papildu</w:t>
      </w:r>
      <w:r w:rsidR="00C44962" w:rsidRPr="0058124B">
        <w:rPr>
          <w:rFonts w:ascii="Times New Roman" w:hAnsi="Times New Roman" w:cs="Times New Roman"/>
          <w:sz w:val="24"/>
          <w:szCs w:val="24"/>
        </w:rPr>
        <w:t xml:space="preserve"> investīcijām, veidojas arī ieguvumi, piemēram, no izmaksu par kurināmo samazināšanās (arī resursu izmantošanas efektivitātes paaugstināšanas dēļ) un citu ekspluatācijas izmaksu ietaupījumiem</w:t>
      </w:r>
      <w:r w:rsidR="00C44962" w:rsidRPr="001C3CC4">
        <w:rPr>
          <w:rFonts w:ascii="Times New Roman" w:hAnsi="Times New Roman" w:cs="Times New Roman"/>
          <w:sz w:val="24"/>
          <w:szCs w:val="24"/>
        </w:rPr>
        <w:t xml:space="preserve">. </w:t>
      </w:r>
      <w:r w:rsidR="00510A24" w:rsidRPr="00497710">
        <w:rPr>
          <w:rFonts w:ascii="Times New Roman" w:hAnsi="Times New Roman" w:cs="Times New Roman"/>
          <w:sz w:val="24"/>
          <w:szCs w:val="24"/>
        </w:rPr>
        <w:t xml:space="preserve">Līdz ar to laika periodā līdz 2050.gadam papildu kopējās izmaksas mērķa īstenošanai pēc sākotnējām indikatīvām prognozēm ir aptuveni 13,5 mljrd. </w:t>
      </w:r>
      <w:proofErr w:type="spellStart"/>
      <w:r w:rsidR="00510A24" w:rsidRPr="00497710">
        <w:rPr>
          <w:rFonts w:ascii="Times New Roman" w:hAnsi="Times New Roman" w:cs="Times New Roman"/>
          <w:i/>
          <w:iCs/>
          <w:sz w:val="24"/>
          <w:szCs w:val="24"/>
        </w:rPr>
        <w:t>euro</w:t>
      </w:r>
      <w:proofErr w:type="spellEnd"/>
      <w:r w:rsidR="00510A24" w:rsidRPr="00497710">
        <w:rPr>
          <w:rFonts w:ascii="Times New Roman" w:hAnsi="Times New Roman" w:cs="Times New Roman"/>
          <w:sz w:val="24"/>
          <w:szCs w:val="24"/>
        </w:rPr>
        <w:t xml:space="preserve"> (2010.gada salīdzināmajās cenās) jeb aptuveni 1,1% vidēji gadā no IKP.</w:t>
      </w:r>
      <w:r w:rsidR="00510A24" w:rsidRPr="001C3CC4">
        <w:rPr>
          <w:rFonts w:ascii="Times New Roman" w:hAnsi="Times New Roman" w:cs="Times New Roman"/>
          <w:sz w:val="24"/>
          <w:szCs w:val="24"/>
        </w:rPr>
        <w:t xml:space="preserve"> </w:t>
      </w:r>
    </w:p>
    <w:p w14:paraId="750205FC" w14:textId="1600F6DD" w:rsidR="001244A8" w:rsidRPr="009A05B5" w:rsidRDefault="00510A24" w:rsidP="002601DB">
      <w:pPr>
        <w:shd w:val="clear" w:color="auto" w:fill="FFFFFF" w:themeFill="background1"/>
        <w:spacing w:after="0" w:line="240" w:lineRule="auto"/>
        <w:ind w:firstLine="720"/>
        <w:jc w:val="both"/>
      </w:pPr>
      <w:r w:rsidRPr="00497710">
        <w:rPr>
          <w:rFonts w:ascii="Times New Roman" w:hAnsi="Times New Roman" w:cs="Times New Roman"/>
          <w:sz w:val="24"/>
          <w:szCs w:val="24"/>
        </w:rPr>
        <w:t xml:space="preserve">Tomēr saistībā ar pēdējos gados </w:t>
      </w:r>
      <w:r w:rsidR="001244A8" w:rsidRPr="0020713B">
        <w:rPr>
          <w:rFonts w:ascii="Times New Roman" w:hAnsi="Times New Roman" w:cs="Times New Roman"/>
          <w:i/>
          <w:iCs/>
          <w:sz w:val="24"/>
          <w:szCs w:val="24"/>
        </w:rPr>
        <w:t xml:space="preserve">Gatavi </w:t>
      </w:r>
      <w:proofErr w:type="spellStart"/>
      <w:r w:rsidR="001244A8" w:rsidRPr="0020713B">
        <w:rPr>
          <w:rFonts w:ascii="Times New Roman" w:hAnsi="Times New Roman" w:cs="Times New Roman"/>
          <w:i/>
          <w:iCs/>
          <w:sz w:val="24"/>
          <w:szCs w:val="24"/>
        </w:rPr>
        <w:t>mērķrādītājam</w:t>
      </w:r>
      <w:proofErr w:type="spellEnd"/>
      <w:r w:rsidR="001244A8" w:rsidRPr="0020713B">
        <w:rPr>
          <w:rFonts w:ascii="Times New Roman" w:hAnsi="Times New Roman" w:cs="Times New Roman"/>
          <w:i/>
          <w:iCs/>
          <w:sz w:val="24"/>
          <w:szCs w:val="24"/>
        </w:rPr>
        <w:t xml:space="preserve"> 55%</w:t>
      </w:r>
      <w:r w:rsidRPr="00497710">
        <w:rPr>
          <w:rFonts w:ascii="Times New Roman" w:hAnsi="Times New Roman" w:cs="Times New Roman"/>
          <w:sz w:val="24"/>
          <w:szCs w:val="24"/>
        </w:rPr>
        <w:t xml:space="preserve"> </w:t>
      </w:r>
      <w:proofErr w:type="spellStart"/>
      <w:r w:rsidRPr="00497710">
        <w:rPr>
          <w:rFonts w:ascii="Times New Roman" w:hAnsi="Times New Roman" w:cs="Times New Roman"/>
          <w:sz w:val="24"/>
          <w:szCs w:val="24"/>
        </w:rPr>
        <w:t>pakotnes</w:t>
      </w:r>
      <w:proofErr w:type="spellEnd"/>
      <w:r w:rsidRPr="00497710">
        <w:rPr>
          <w:rFonts w:ascii="Times New Roman" w:hAnsi="Times New Roman" w:cs="Times New Roman"/>
          <w:sz w:val="24"/>
          <w:szCs w:val="24"/>
        </w:rPr>
        <w:t xml:space="preserve"> ietvaros dalībvalstu uzņemtajām papildus saistībām, kas paredz paātrināt līdz 2030.gadam klimata mērķu sasniegšanu, sagaidāmo investīciju apjoms </w:t>
      </w:r>
      <w:proofErr w:type="spellStart"/>
      <w:r w:rsidRPr="00497710">
        <w:rPr>
          <w:rFonts w:ascii="Times New Roman" w:hAnsi="Times New Roman" w:cs="Times New Roman"/>
          <w:sz w:val="24"/>
          <w:szCs w:val="24"/>
        </w:rPr>
        <w:t>klimatneitralitātes</w:t>
      </w:r>
      <w:proofErr w:type="spellEnd"/>
      <w:r w:rsidRPr="00497710">
        <w:rPr>
          <w:rFonts w:ascii="Times New Roman" w:hAnsi="Times New Roman" w:cs="Times New Roman"/>
          <w:sz w:val="24"/>
          <w:szCs w:val="24"/>
        </w:rPr>
        <w:t xml:space="preserve"> sasniegšanai ir audzis.</w:t>
      </w:r>
      <w:r w:rsidR="009B6450">
        <w:rPr>
          <w:rFonts w:ascii="Times New Roman" w:hAnsi="Times New Roman" w:cs="Times New Roman"/>
          <w:sz w:val="24"/>
          <w:szCs w:val="24"/>
        </w:rPr>
        <w:t xml:space="preserve"> </w:t>
      </w:r>
      <w:r w:rsidR="001244A8" w:rsidRPr="764CE6DF">
        <w:rPr>
          <w:rFonts w:ascii="Times New Roman" w:hAnsi="Times New Roman" w:cs="Times New Roman"/>
          <w:sz w:val="24"/>
          <w:szCs w:val="24"/>
        </w:rPr>
        <w:t xml:space="preserve">Ekonomikas ministrija sadarbībā </w:t>
      </w:r>
      <w:r w:rsidR="001244A8" w:rsidRPr="009A05B5">
        <w:rPr>
          <w:rFonts w:ascii="Times New Roman" w:hAnsi="Times New Roman" w:cs="Times New Roman"/>
          <w:sz w:val="24"/>
          <w:szCs w:val="24"/>
        </w:rPr>
        <w:t xml:space="preserve">ar </w:t>
      </w:r>
      <w:proofErr w:type="spellStart"/>
      <w:r w:rsidR="001244A8" w:rsidRPr="00497710">
        <w:rPr>
          <w:rFonts w:ascii="Times New Roman" w:hAnsi="Times New Roman" w:cs="Times New Roman"/>
          <w:i/>
          <w:iCs/>
          <w:sz w:val="24"/>
          <w:szCs w:val="24"/>
        </w:rPr>
        <w:t>Trinomics</w:t>
      </w:r>
      <w:proofErr w:type="spellEnd"/>
      <w:r w:rsidR="001244A8" w:rsidRPr="009A05B5">
        <w:rPr>
          <w:rFonts w:ascii="Times New Roman" w:hAnsi="Times New Roman" w:cs="Times New Roman"/>
          <w:sz w:val="24"/>
          <w:szCs w:val="24"/>
        </w:rPr>
        <w:t xml:space="preserve"> institūciju izstrādāja modeli laika periodam no 2023.gada līdz 2050.gadam. Modeļa sagatavošanas pētījumā tiek izteikti sekojoši secinājumi:</w:t>
      </w:r>
      <w:r w:rsidR="001244A8" w:rsidRPr="009A05B5">
        <w:t xml:space="preserve"> </w:t>
      </w:r>
    </w:p>
    <w:p w14:paraId="69AC9DE3" w14:textId="77777777" w:rsidR="001244A8" w:rsidRPr="009A05B5"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9A05B5">
        <w:rPr>
          <w:rFonts w:ascii="Times New Roman" w:hAnsi="Times New Roman"/>
          <w:sz w:val="24"/>
          <w:szCs w:val="24"/>
        </w:rPr>
        <w:t>Novērtēt zemes izmantošanas, zemes izmantošanas maiņas un mežsaimniecības sektora un lauksaimniecības sektora ieguldījumu dekarbonizācijā. Šīs nozares var sniegt būtisku ieguldījumu neto emisiju samazināšanā, darbojoties kā piesaistītāji. Tomēr energosistēmas modelēšana (izstrādāta kā daļa no šī projekta) nav īstais instruments, lai analizētu šo sektoru potenciālu un labākās politikas, lai to izmantotu.</w:t>
      </w:r>
    </w:p>
    <w:p w14:paraId="1E320BB9" w14:textId="77777777" w:rsidR="001244A8" w:rsidRPr="009A05B5"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9A05B5">
        <w:rPr>
          <w:rFonts w:ascii="Times New Roman" w:hAnsi="Times New Roman"/>
          <w:sz w:val="24"/>
          <w:szCs w:val="24"/>
        </w:rPr>
        <w:t>Nepieciešams rūpīgāk izdiskutēt valdības un iesaistīto pušu starpā ierosinātās darbības un to sekas (finansiālās, politiskās). Tas nodrošinātu, ka ierosinātajām stratēģijām ir plašs atbalsts, kas būs nepieciešams, lai nodrošinātu ilgtermiņa panākumus.</w:t>
      </w:r>
    </w:p>
    <w:p w14:paraId="55A6C5FA" w14:textId="59427891" w:rsidR="001244A8" w:rsidRPr="00497710"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9A05B5">
        <w:rPr>
          <w:rFonts w:ascii="Times New Roman" w:hAnsi="Times New Roman"/>
          <w:sz w:val="24"/>
          <w:szCs w:val="24"/>
        </w:rPr>
        <w:t xml:space="preserve">Turpināt atsevišķi analizēt ierosinātās darbības. Šajā uzdevumā tika aplūkota vairāku darbību kopējā ietekme uz kopējām emisijām no Latvijas enerģijas izmantošanas </w:t>
      </w:r>
      <w:r w:rsidRPr="009A05B5">
        <w:rPr>
          <w:rFonts w:ascii="Times New Roman" w:hAnsi="Times New Roman"/>
          <w:sz w:val="24"/>
          <w:szCs w:val="24"/>
        </w:rPr>
        <w:lastRenderedPageBreak/>
        <w:t>sektoriem. Tomēr katra darbība ir jāanalizē atsevišķi, tiklīdz darbības ir definētas precīzāk (piemēram, ar budžetiem, izpildes periodiem, atbildīgajām struktūrām utt.).</w:t>
      </w:r>
    </w:p>
    <w:p w14:paraId="6E4527FD" w14:textId="5AA50579" w:rsidR="00510A24" w:rsidRDefault="001244A8" w:rsidP="002601DB">
      <w:pPr>
        <w:shd w:val="clear" w:color="auto" w:fill="FFFFFF" w:themeFill="background1"/>
        <w:spacing w:after="0" w:line="240" w:lineRule="auto"/>
        <w:ind w:firstLine="720"/>
        <w:jc w:val="both"/>
        <w:rPr>
          <w:rFonts w:ascii="Times New Roman" w:hAnsi="Times New Roman" w:cs="Times New Roman"/>
          <w:sz w:val="24"/>
          <w:szCs w:val="24"/>
        </w:rPr>
      </w:pPr>
      <w:r w:rsidRPr="009A05B5">
        <w:rPr>
          <w:rFonts w:ascii="Times New Roman" w:hAnsi="Times New Roman" w:cs="Times New Roman"/>
          <w:sz w:val="24"/>
          <w:szCs w:val="24"/>
        </w:rPr>
        <w:t xml:space="preserve">Pētījumā netiek analizēta specifiska ietekme uz investīcijām </w:t>
      </w:r>
      <w:proofErr w:type="spellStart"/>
      <w:r w:rsidRPr="009A05B5">
        <w:rPr>
          <w:rFonts w:ascii="Times New Roman" w:hAnsi="Times New Roman" w:cs="Times New Roman"/>
          <w:sz w:val="24"/>
          <w:szCs w:val="24"/>
        </w:rPr>
        <w:t>klimatneitralitātes</w:t>
      </w:r>
      <w:proofErr w:type="spellEnd"/>
      <w:r w:rsidRPr="009A05B5">
        <w:rPr>
          <w:rFonts w:ascii="Times New Roman" w:hAnsi="Times New Roman" w:cs="Times New Roman"/>
          <w:sz w:val="24"/>
          <w:szCs w:val="24"/>
        </w:rPr>
        <w:t xml:space="preserve"> sasniegšanai, bet konkrētu politiku un pasākumu </w:t>
      </w:r>
      <w:proofErr w:type="spellStart"/>
      <w:r w:rsidRPr="009A05B5">
        <w:rPr>
          <w:rFonts w:ascii="Times New Roman" w:hAnsi="Times New Roman" w:cs="Times New Roman"/>
          <w:sz w:val="24"/>
          <w:szCs w:val="24"/>
        </w:rPr>
        <w:t>izmaksefektivitāte</w:t>
      </w:r>
      <w:proofErr w:type="spellEnd"/>
      <w:r w:rsidRPr="009A05B5">
        <w:rPr>
          <w:rFonts w:ascii="Times New Roman" w:hAnsi="Times New Roman" w:cs="Times New Roman"/>
          <w:sz w:val="24"/>
          <w:szCs w:val="24"/>
        </w:rPr>
        <w:t xml:space="preserve"> un finansiālā </w:t>
      </w:r>
      <w:proofErr w:type="spellStart"/>
      <w:r w:rsidRPr="009A05B5">
        <w:rPr>
          <w:rFonts w:ascii="Times New Roman" w:hAnsi="Times New Roman" w:cs="Times New Roman"/>
          <w:sz w:val="24"/>
          <w:szCs w:val="24"/>
        </w:rPr>
        <w:t>pamatojamība</w:t>
      </w:r>
      <w:proofErr w:type="spellEnd"/>
      <w:r w:rsidRPr="009A05B5">
        <w:rPr>
          <w:rFonts w:ascii="Times New Roman" w:hAnsi="Times New Roman" w:cs="Times New Roman"/>
          <w:sz w:val="24"/>
          <w:szCs w:val="24"/>
        </w:rPr>
        <w:t xml:space="preserve">. Tomēr izstrādātais modelis var prognozēt nepieciešamās investīcijas, lai sasniegtu </w:t>
      </w:r>
      <w:proofErr w:type="spellStart"/>
      <w:r w:rsidRPr="009A05B5">
        <w:rPr>
          <w:rFonts w:ascii="Times New Roman" w:hAnsi="Times New Roman" w:cs="Times New Roman"/>
          <w:sz w:val="24"/>
          <w:szCs w:val="24"/>
        </w:rPr>
        <w:t>klimatneitralitāti</w:t>
      </w:r>
      <w:proofErr w:type="spellEnd"/>
      <w:r w:rsidRPr="009A05B5">
        <w:rPr>
          <w:rFonts w:ascii="Times New Roman" w:hAnsi="Times New Roman" w:cs="Times New Roman"/>
          <w:sz w:val="24"/>
          <w:szCs w:val="24"/>
        </w:rPr>
        <w:t>.</w:t>
      </w:r>
      <w:r w:rsidR="009A05B5" w:rsidRPr="00497710">
        <w:rPr>
          <w:rFonts w:ascii="Times New Roman" w:hAnsi="Times New Roman" w:cs="Times New Roman"/>
          <w:sz w:val="24"/>
          <w:szCs w:val="24"/>
        </w:rPr>
        <w:t xml:space="preserve"> </w:t>
      </w:r>
      <w:r w:rsidR="009A05B5" w:rsidRPr="0020713B">
        <w:rPr>
          <w:rFonts w:ascii="Times New Roman" w:hAnsi="Times New Roman" w:cs="Times New Roman"/>
          <w:sz w:val="24"/>
          <w:szCs w:val="24"/>
        </w:rPr>
        <w:t xml:space="preserve">Vienlaikus Ekonomikas ministrija atzīmē, ka identificējot nākotnes </w:t>
      </w:r>
      <w:proofErr w:type="spellStart"/>
      <w:r w:rsidR="009A05B5" w:rsidRPr="0020713B">
        <w:rPr>
          <w:rFonts w:ascii="Times New Roman" w:hAnsi="Times New Roman" w:cs="Times New Roman"/>
          <w:sz w:val="24"/>
          <w:szCs w:val="24"/>
        </w:rPr>
        <w:t>klimatneitralitātes</w:t>
      </w:r>
      <w:proofErr w:type="spellEnd"/>
      <w:r w:rsidR="009A05B5" w:rsidRPr="0020713B">
        <w:rPr>
          <w:rFonts w:ascii="Times New Roman" w:hAnsi="Times New Roman" w:cs="Times New Roman"/>
          <w:sz w:val="24"/>
          <w:szCs w:val="24"/>
        </w:rPr>
        <w:t xml:space="preserve"> pasākumu izmaksas, būs nepieciešami arī daudzi citi </w:t>
      </w:r>
      <w:proofErr w:type="spellStart"/>
      <w:r w:rsidR="009A05B5" w:rsidRPr="0020713B">
        <w:rPr>
          <w:rFonts w:ascii="Times New Roman" w:hAnsi="Times New Roman" w:cs="Times New Roman"/>
          <w:sz w:val="24"/>
          <w:szCs w:val="24"/>
        </w:rPr>
        <w:t>izvērtējumi</w:t>
      </w:r>
      <w:proofErr w:type="spellEnd"/>
      <w:r w:rsidR="009A05B5" w:rsidRPr="0020713B">
        <w:rPr>
          <w:rFonts w:ascii="Times New Roman" w:hAnsi="Times New Roman" w:cs="Times New Roman"/>
          <w:sz w:val="24"/>
          <w:szCs w:val="24"/>
        </w:rPr>
        <w:t xml:space="preserve"> un aprēķini, ne tikai secinājumos minētie.</w:t>
      </w:r>
    </w:p>
    <w:p w14:paraId="6E1BFDBB" w14:textId="22523CFE" w:rsidR="00510A24" w:rsidRDefault="00510A24" w:rsidP="002601DB">
      <w:pPr>
        <w:spacing w:after="0" w:line="240" w:lineRule="auto"/>
        <w:ind w:firstLine="720"/>
        <w:jc w:val="both"/>
        <w:rPr>
          <w:rFonts w:ascii="Times New Roman" w:hAnsi="Times New Roman" w:cs="Times New Roman"/>
          <w:sz w:val="24"/>
          <w:szCs w:val="24"/>
        </w:rPr>
      </w:pPr>
      <w:r w:rsidRPr="0058124B">
        <w:rPr>
          <w:rFonts w:ascii="Times New Roman" w:hAnsi="Times New Roman" w:cs="Times New Roman"/>
          <w:sz w:val="24"/>
          <w:szCs w:val="24"/>
        </w:rPr>
        <w:t>Latvijas Nacionālais enerģētikas un klimata plāns 2021.-2030.gadam</w:t>
      </w:r>
      <w:r w:rsidRPr="00323ED0">
        <w:rPr>
          <w:rFonts w:ascii="Times New Roman" w:hAnsi="Times New Roman" w:cs="Times New Roman"/>
          <w:sz w:val="24"/>
          <w:szCs w:val="24"/>
        </w:rPr>
        <w:t xml:space="preserve">, </w:t>
      </w:r>
      <w:r w:rsidR="001244A8" w:rsidRPr="0058124B">
        <w:rPr>
          <w:rFonts w:ascii="Times New Roman" w:hAnsi="Times New Roman" w:cs="Times New Roman"/>
          <w:sz w:val="24"/>
          <w:szCs w:val="24"/>
        </w:rPr>
        <w:t>(Ministru kabineta 2020.gada 4.februāra rīkojums Nr.46)</w:t>
      </w:r>
      <w:r w:rsidR="001244A8">
        <w:rPr>
          <w:rFonts w:ascii="Times New Roman" w:hAnsi="Times New Roman" w:cs="Times New Roman"/>
          <w:sz w:val="24"/>
          <w:szCs w:val="24"/>
        </w:rPr>
        <w:t xml:space="preserve">, </w:t>
      </w:r>
      <w:r w:rsidRPr="00323ED0">
        <w:rPr>
          <w:rFonts w:ascii="Times New Roman" w:hAnsi="Times New Roman" w:cs="Times New Roman"/>
          <w:sz w:val="24"/>
          <w:szCs w:val="24"/>
        </w:rPr>
        <w:t>sniedz indikatīvu novērtējumu par nepieciešamību pēc investīcijām aptuveni 8,2 mljrd.</w:t>
      </w:r>
      <w:r>
        <w:rPr>
          <w:rStyle w:val="FootnoteReference"/>
          <w:rFonts w:ascii="Times New Roman" w:hAnsi="Times New Roman" w:cs="Times New Roman"/>
          <w:sz w:val="24"/>
          <w:szCs w:val="24"/>
        </w:rPr>
        <w:footnoteReference w:id="38"/>
      </w:r>
      <w:r w:rsidRPr="00323ED0">
        <w:rPr>
          <w:rFonts w:ascii="Times New Roman" w:hAnsi="Times New Roman" w:cs="Times New Roman"/>
          <w:sz w:val="24"/>
          <w:szCs w:val="24"/>
        </w:rPr>
        <w:t xml:space="preserve"> </w:t>
      </w:r>
      <w:proofErr w:type="spellStart"/>
      <w:r w:rsidRPr="0058124B">
        <w:rPr>
          <w:rFonts w:ascii="Times New Roman" w:hAnsi="Times New Roman" w:cs="Times New Roman"/>
          <w:i/>
          <w:iCs/>
          <w:sz w:val="24"/>
          <w:szCs w:val="24"/>
        </w:rPr>
        <w:t>euro</w:t>
      </w:r>
      <w:proofErr w:type="spellEnd"/>
      <w:r w:rsidRPr="00323ED0">
        <w:rPr>
          <w:rFonts w:ascii="Times New Roman" w:hAnsi="Times New Roman" w:cs="Times New Roman"/>
          <w:sz w:val="24"/>
          <w:szCs w:val="24"/>
        </w:rPr>
        <w:t xml:space="preserve"> plāna īstenošanai līdz 2030.gadam, kas galvenokārt tiktu novirzīts </w:t>
      </w:r>
      <w:proofErr w:type="spellStart"/>
      <w:r w:rsidR="001244A8">
        <w:rPr>
          <w:rFonts w:ascii="Times New Roman" w:hAnsi="Times New Roman" w:cs="Times New Roman"/>
          <w:sz w:val="24"/>
          <w:szCs w:val="24"/>
        </w:rPr>
        <w:t>klimatneitralitātes</w:t>
      </w:r>
      <w:proofErr w:type="spellEnd"/>
      <w:r w:rsidR="001244A8">
        <w:rPr>
          <w:rFonts w:ascii="Times New Roman" w:hAnsi="Times New Roman" w:cs="Times New Roman"/>
          <w:sz w:val="24"/>
          <w:szCs w:val="24"/>
        </w:rPr>
        <w:t xml:space="preserve">, </w:t>
      </w:r>
      <w:r w:rsidRPr="0058124B">
        <w:rPr>
          <w:rFonts w:ascii="Times New Roman" w:hAnsi="Times New Roman" w:cs="Times New Roman"/>
          <w:color w:val="000000"/>
          <w:sz w:val="24"/>
          <w:szCs w:val="24"/>
        </w:rPr>
        <w:t>energoefektivitātes, atjaunojamās enerģijas, ne-emisiju tehnoloģiju izmantošanas, transporta jomai</w:t>
      </w:r>
      <w:r w:rsidR="00D368B6">
        <w:rPr>
          <w:rFonts w:ascii="Times New Roman" w:hAnsi="Times New Roman" w:cs="Times New Roman"/>
          <w:color w:val="000000"/>
          <w:sz w:val="24"/>
          <w:szCs w:val="24"/>
        </w:rPr>
        <w:t xml:space="preserve"> un zinātnei un pētniecībai</w:t>
      </w:r>
      <w:r w:rsidRPr="0058124B">
        <w:rPr>
          <w:rFonts w:ascii="Times New Roman" w:hAnsi="Times New Roman" w:cs="Times New Roman"/>
          <w:color w:val="000000"/>
          <w:sz w:val="24"/>
          <w:szCs w:val="24"/>
        </w:rPr>
        <w:t xml:space="preserve">. </w:t>
      </w:r>
      <w:r w:rsidRPr="00323ED0">
        <w:rPr>
          <w:rFonts w:ascii="Times New Roman" w:hAnsi="Times New Roman" w:cs="Times New Roman"/>
          <w:sz w:val="24"/>
          <w:szCs w:val="24"/>
        </w:rPr>
        <w:t xml:space="preserve">Plāna īstenošanai paredzēts izmantot </w:t>
      </w:r>
      <w:r w:rsidRPr="0058124B">
        <w:rPr>
          <w:rFonts w:ascii="Times New Roman" w:hAnsi="Times New Roman" w:cs="Times New Roman"/>
          <w:color w:val="000000"/>
          <w:sz w:val="24"/>
          <w:szCs w:val="24"/>
        </w:rPr>
        <w:t xml:space="preserve">gan valsts, pašvaldību budžeta finansējumu un nacionālo līdzfinansējumu ES struktūrfondu finansējumu projektiem, gan piesaistīt ES finanšu vai citu finansējuma avotu līdzekļus un privāto kapitālu, atkarībā no pasākuma rakstura. </w:t>
      </w:r>
      <w:r>
        <w:rPr>
          <w:rFonts w:ascii="Times New Roman" w:hAnsi="Times New Roman" w:cs="Times New Roman"/>
          <w:color w:val="000000"/>
          <w:sz w:val="24"/>
          <w:szCs w:val="24"/>
        </w:rPr>
        <w:t>Plānu ir paredzēts atjaunot</w:t>
      </w:r>
      <w:r w:rsidR="0049099E">
        <w:rPr>
          <w:rFonts w:ascii="Times New Roman" w:hAnsi="Times New Roman" w:cs="Times New Roman"/>
          <w:color w:val="000000"/>
          <w:sz w:val="24"/>
          <w:szCs w:val="24"/>
        </w:rPr>
        <w:t xml:space="preserve"> līdz</w:t>
      </w:r>
      <w:r>
        <w:rPr>
          <w:rFonts w:ascii="Times New Roman" w:hAnsi="Times New Roman" w:cs="Times New Roman"/>
          <w:color w:val="000000"/>
          <w:sz w:val="24"/>
          <w:szCs w:val="24"/>
        </w:rPr>
        <w:t xml:space="preserve"> 2023.gad</w:t>
      </w:r>
      <w:r w:rsidR="0049099E">
        <w:rPr>
          <w:rFonts w:ascii="Times New Roman" w:hAnsi="Times New Roman" w:cs="Times New Roman"/>
          <w:color w:val="000000"/>
          <w:sz w:val="24"/>
          <w:szCs w:val="24"/>
        </w:rPr>
        <w:t>a beigām</w:t>
      </w:r>
      <w:r>
        <w:rPr>
          <w:rFonts w:ascii="Times New Roman" w:hAnsi="Times New Roman" w:cs="Times New Roman"/>
          <w:color w:val="000000"/>
          <w:sz w:val="24"/>
          <w:szCs w:val="24"/>
        </w:rPr>
        <w:t>.</w:t>
      </w:r>
      <w:r w:rsidRPr="00777DA5">
        <w:rPr>
          <w:rFonts w:ascii="Times New Roman" w:hAnsi="Times New Roman" w:cs="Times New Roman"/>
          <w:sz w:val="24"/>
          <w:szCs w:val="24"/>
        </w:rPr>
        <w:t xml:space="preserve"> </w:t>
      </w:r>
      <w:r w:rsidRPr="00DF7A2C">
        <w:rPr>
          <w:rFonts w:ascii="Times New Roman" w:hAnsi="Times New Roman" w:cs="Times New Roman"/>
          <w:sz w:val="24"/>
          <w:szCs w:val="24"/>
        </w:rPr>
        <w:t xml:space="preserve">Arī </w:t>
      </w:r>
      <w:r w:rsidRPr="00CE7138">
        <w:rPr>
          <w:rFonts w:ascii="Times New Roman" w:hAnsi="Times New Roman" w:cs="Times New Roman"/>
          <w:sz w:val="24"/>
          <w:szCs w:val="24"/>
        </w:rPr>
        <w:t>F</w:t>
      </w:r>
      <w:r w:rsidR="00CE7138">
        <w:rPr>
          <w:rFonts w:ascii="Times New Roman" w:hAnsi="Times New Roman" w:cs="Times New Roman"/>
          <w:sz w:val="24"/>
          <w:szCs w:val="24"/>
        </w:rPr>
        <w:t>izikālās Enerģētikas Institūts</w:t>
      </w:r>
      <w:r w:rsidRPr="00DF7A2C">
        <w:rPr>
          <w:rFonts w:ascii="Times New Roman" w:hAnsi="Times New Roman" w:cs="Times New Roman"/>
          <w:sz w:val="24"/>
          <w:szCs w:val="24"/>
        </w:rPr>
        <w:t xml:space="preserve"> plāno atjaunot savus aprēķinus </w:t>
      </w:r>
      <w:r w:rsidR="0049099E">
        <w:rPr>
          <w:rFonts w:ascii="Times New Roman" w:hAnsi="Times New Roman" w:cs="Times New Roman"/>
          <w:sz w:val="24"/>
          <w:szCs w:val="24"/>
        </w:rPr>
        <w:t>līdz šī gada beigām</w:t>
      </w:r>
      <w:r w:rsidRPr="00DF7A2C">
        <w:rPr>
          <w:rFonts w:ascii="Times New Roman" w:hAnsi="Times New Roman" w:cs="Times New Roman"/>
          <w:sz w:val="24"/>
          <w:szCs w:val="24"/>
        </w:rPr>
        <w:t>.</w:t>
      </w:r>
    </w:p>
    <w:p w14:paraId="694896F3" w14:textId="0DF615C0" w:rsidR="00F14321" w:rsidRDefault="008F5B79" w:rsidP="002601DB">
      <w:pPr>
        <w:spacing w:after="0" w:line="240" w:lineRule="auto"/>
        <w:ind w:firstLine="720"/>
        <w:jc w:val="both"/>
        <w:rPr>
          <w:rFonts w:ascii="Times New Roman" w:hAnsi="Times New Roman" w:cs="Times New Roman"/>
          <w:color w:val="000000"/>
          <w:sz w:val="24"/>
          <w:szCs w:val="24"/>
        </w:rPr>
      </w:pPr>
      <w:r w:rsidRPr="0058124B">
        <w:rPr>
          <w:rFonts w:ascii="Times New Roman" w:hAnsi="Times New Roman" w:cs="Times New Roman"/>
          <w:color w:val="000000"/>
          <w:sz w:val="24"/>
          <w:szCs w:val="24"/>
        </w:rPr>
        <w:t>Kā minēts iepriekš</w:t>
      </w:r>
      <w:r>
        <w:rPr>
          <w:rFonts w:ascii="Times New Roman" w:hAnsi="Times New Roman" w:cs="Times New Roman"/>
          <w:color w:val="000000"/>
          <w:sz w:val="24"/>
          <w:szCs w:val="24"/>
        </w:rPr>
        <w:t>,</w:t>
      </w:r>
      <w:r w:rsidRPr="0058124B">
        <w:rPr>
          <w:rFonts w:ascii="Times New Roman" w:hAnsi="Times New Roman" w:cs="Times New Roman"/>
          <w:color w:val="000000"/>
          <w:sz w:val="24"/>
          <w:szCs w:val="24"/>
        </w:rPr>
        <w:t xml:space="preserve"> klimata pārmaiņu ietekme ekonomikas subjektiem rada ne tikai nepieciešamību pēc papildu investīcij</w:t>
      </w:r>
      <w:r>
        <w:rPr>
          <w:rFonts w:ascii="Times New Roman" w:hAnsi="Times New Roman" w:cs="Times New Roman"/>
          <w:color w:val="000000"/>
          <w:sz w:val="24"/>
          <w:szCs w:val="24"/>
        </w:rPr>
        <w:t>u īstenošanas</w:t>
      </w:r>
      <w:r w:rsidRPr="0058124B">
        <w:rPr>
          <w:rFonts w:ascii="Times New Roman" w:hAnsi="Times New Roman" w:cs="Times New Roman"/>
          <w:color w:val="000000"/>
          <w:sz w:val="24"/>
          <w:szCs w:val="24"/>
        </w:rPr>
        <w:t xml:space="preserve"> (ar investīcijām deklarācijas </w:t>
      </w:r>
      <w:r w:rsidR="007904FC">
        <w:rPr>
          <w:rFonts w:ascii="Times New Roman" w:hAnsi="Times New Roman" w:cs="Times New Roman"/>
          <w:color w:val="000000"/>
          <w:sz w:val="24"/>
          <w:szCs w:val="24"/>
        </w:rPr>
        <w:t>ietvaros</w:t>
      </w:r>
      <w:r w:rsidRPr="0058124B">
        <w:rPr>
          <w:rFonts w:ascii="Times New Roman" w:hAnsi="Times New Roman" w:cs="Times New Roman"/>
          <w:color w:val="000000"/>
          <w:sz w:val="24"/>
          <w:szCs w:val="24"/>
        </w:rPr>
        <w:t xml:space="preserve"> tiek saprastas ne tikai izmaksas, bet ieguldījumi, kas nākotnē nesīs finansiālo un/vai sociālekonomisko atdevi), bet sniedz </w:t>
      </w:r>
      <w:r>
        <w:rPr>
          <w:rFonts w:ascii="Times New Roman" w:hAnsi="Times New Roman" w:cs="Times New Roman"/>
          <w:color w:val="000000"/>
          <w:sz w:val="24"/>
          <w:szCs w:val="24"/>
        </w:rPr>
        <w:t xml:space="preserve">jaunas un iepriekš neesošas </w:t>
      </w:r>
      <w:r w:rsidRPr="0058124B">
        <w:rPr>
          <w:rFonts w:ascii="Times New Roman" w:hAnsi="Times New Roman" w:cs="Times New Roman"/>
          <w:color w:val="000000"/>
          <w:sz w:val="24"/>
          <w:szCs w:val="24"/>
        </w:rPr>
        <w:t>iespējas</w:t>
      </w:r>
      <w:r>
        <w:rPr>
          <w:rFonts w:ascii="Times New Roman" w:hAnsi="Times New Roman" w:cs="Times New Roman"/>
          <w:color w:val="000000"/>
          <w:sz w:val="24"/>
          <w:szCs w:val="24"/>
        </w:rPr>
        <w:t xml:space="preserve">, piemēram, piesaistot </w:t>
      </w:r>
      <w:r w:rsidR="000A725C">
        <w:rPr>
          <w:rFonts w:ascii="Times New Roman" w:hAnsi="Times New Roman" w:cs="Times New Roman"/>
          <w:color w:val="000000"/>
          <w:sz w:val="24"/>
          <w:szCs w:val="24"/>
        </w:rPr>
        <w:t xml:space="preserve">attīstībai vajadzīgo </w:t>
      </w:r>
      <w:r>
        <w:rPr>
          <w:rFonts w:ascii="Times New Roman" w:hAnsi="Times New Roman" w:cs="Times New Roman"/>
          <w:color w:val="000000"/>
          <w:sz w:val="24"/>
          <w:szCs w:val="24"/>
        </w:rPr>
        <w:t>finansējum</w:t>
      </w:r>
      <w:r w:rsidR="000A725C">
        <w:rPr>
          <w:rFonts w:ascii="Times New Roman" w:hAnsi="Times New Roman" w:cs="Times New Roman"/>
          <w:color w:val="000000"/>
          <w:sz w:val="24"/>
          <w:szCs w:val="24"/>
        </w:rPr>
        <w:t>u</w:t>
      </w:r>
      <w:r>
        <w:rPr>
          <w:rFonts w:ascii="Times New Roman" w:hAnsi="Times New Roman" w:cs="Times New Roman"/>
          <w:color w:val="000000"/>
          <w:sz w:val="24"/>
          <w:szCs w:val="24"/>
        </w:rPr>
        <w:t xml:space="preserve"> </w:t>
      </w:r>
      <w:r w:rsidR="000A725C">
        <w:rPr>
          <w:rFonts w:ascii="Times New Roman" w:hAnsi="Times New Roman" w:cs="Times New Roman"/>
          <w:color w:val="000000"/>
          <w:sz w:val="24"/>
          <w:szCs w:val="24"/>
        </w:rPr>
        <w:t>uz</w:t>
      </w:r>
      <w:r>
        <w:rPr>
          <w:rFonts w:ascii="Times New Roman" w:hAnsi="Times New Roman" w:cs="Times New Roman"/>
          <w:color w:val="000000"/>
          <w:sz w:val="24"/>
          <w:szCs w:val="24"/>
        </w:rPr>
        <w:t xml:space="preserve"> izdevīg</w:t>
      </w:r>
      <w:r w:rsidR="000A725C">
        <w:rPr>
          <w:rFonts w:ascii="Times New Roman" w:hAnsi="Times New Roman" w:cs="Times New Roman"/>
          <w:color w:val="000000"/>
          <w:sz w:val="24"/>
          <w:szCs w:val="24"/>
        </w:rPr>
        <w:t>ākiem</w:t>
      </w:r>
      <w:r>
        <w:rPr>
          <w:rFonts w:ascii="Times New Roman" w:hAnsi="Times New Roman" w:cs="Times New Roman"/>
          <w:color w:val="000000"/>
          <w:sz w:val="24"/>
          <w:szCs w:val="24"/>
        </w:rPr>
        <w:t xml:space="preserve"> nosacījumiem.</w:t>
      </w:r>
    </w:p>
    <w:bookmarkEnd w:id="312"/>
    <w:p w14:paraId="16AA0923" w14:textId="349E3759" w:rsidR="00D12C2F" w:rsidRDefault="00D12C2F" w:rsidP="00D21A2A">
      <w:pPr>
        <w:spacing w:after="0"/>
        <w:ind w:firstLine="720"/>
        <w:jc w:val="both"/>
      </w:pPr>
      <w:r>
        <w:br w:type="page"/>
      </w:r>
    </w:p>
    <w:p w14:paraId="27E321B0" w14:textId="682E47B6" w:rsidR="00334442" w:rsidRPr="00497710" w:rsidRDefault="00FF0550">
      <w:pPr>
        <w:pStyle w:val="Heading1"/>
        <w:numPr>
          <w:ilvl w:val="0"/>
          <w:numId w:val="0"/>
        </w:numPr>
        <w:ind w:left="426"/>
        <w:jc w:val="center"/>
        <w:rPr>
          <w:rFonts w:ascii="Times New Roman" w:hAnsi="Times New Roman" w:cs="Times New Roman"/>
          <w:sz w:val="24"/>
          <w:szCs w:val="24"/>
        </w:rPr>
      </w:pPr>
      <w:bookmarkStart w:id="313" w:name="_Toc142388051"/>
      <w:r w:rsidRPr="00497710">
        <w:rPr>
          <w:rFonts w:ascii="Times New Roman" w:hAnsi="Times New Roman" w:cs="Times New Roman"/>
          <w:sz w:val="24"/>
          <w:szCs w:val="24"/>
        </w:rPr>
        <w:lastRenderedPageBreak/>
        <w:t>7</w:t>
      </w:r>
      <w:r w:rsidR="00974C98" w:rsidRPr="00497710">
        <w:rPr>
          <w:rFonts w:ascii="Times New Roman" w:hAnsi="Times New Roman" w:cs="Times New Roman"/>
          <w:sz w:val="24"/>
          <w:szCs w:val="24"/>
        </w:rPr>
        <w:t xml:space="preserve">. </w:t>
      </w:r>
      <w:r w:rsidR="00E12711" w:rsidRPr="00497710">
        <w:rPr>
          <w:rFonts w:ascii="Times New Roman" w:hAnsi="Times New Roman" w:cs="Times New Roman"/>
          <w:sz w:val="24"/>
          <w:szCs w:val="24"/>
        </w:rPr>
        <w:t>Iepriekšējā laika perioda fiskālo rādītāju iznākumu un prognožu salīdzinājums</w:t>
      </w:r>
      <w:bookmarkEnd w:id="285"/>
      <w:bookmarkEnd w:id="286"/>
      <w:bookmarkEnd w:id="313"/>
    </w:p>
    <w:p w14:paraId="095135FF" w14:textId="77777777" w:rsidR="004C7742" w:rsidRDefault="004C7742" w:rsidP="004C774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Lai vērtētu fiskālo risku vadības sistēmas efektivitāti, nepieciešams novērtēt, cik lielā mērā fiskālo rādītāju iznākums atšķiras no to prognozēm. Būtisks faktors šo atšķirību veidošanā ir faktisko makroekonomisko rādītāju novirzēm no to prognozētajām vērtībām.</w:t>
      </w:r>
    </w:p>
    <w:p w14:paraId="0B911B15" w14:textId="77777777" w:rsidR="004C7742" w:rsidRDefault="004C7742" w:rsidP="004C774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Fiskālo risku vadības mērķis ir nodrošināt fiskālo rādītāju (plānotā vispārējās valdības budžeta strukturālā bilance, plānotā vispārējās valdības budžeta bilance, prognozētie valsts budžeta ieņēmumi un koriģētie maksimāli pieļaujamie valsts budžeta izdevumi) stabilitāti vidējā termiņā.</w:t>
      </w:r>
    </w:p>
    <w:p w14:paraId="58C8A4E2" w14:textId="77777777" w:rsidR="004C7742" w:rsidRDefault="004C7742" w:rsidP="004C774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Būtiskākie fiskālie rādītāji ir vispārējās valdības budžeta strukturālā bilance (skat. tabulu 7.1) un vispārējās valdības budžeta bilance (skat. tabulu Nr.7.2. – 7.6.).</w:t>
      </w:r>
    </w:p>
    <w:p w14:paraId="246A4B0B" w14:textId="77777777" w:rsidR="004C7742" w:rsidRPr="00BA58D9" w:rsidRDefault="004C7742" w:rsidP="004C7742">
      <w:pPr>
        <w:spacing w:before="240"/>
        <w:jc w:val="right"/>
        <w:rPr>
          <w:rFonts w:ascii="Times New Roman" w:hAnsi="Times New Roman" w:cs="Times New Roman"/>
          <w:b/>
          <w:sz w:val="23"/>
          <w:szCs w:val="23"/>
        </w:rPr>
      </w:pPr>
      <w:r w:rsidRPr="00BA58D9">
        <w:rPr>
          <w:rFonts w:ascii="Times New Roman" w:hAnsi="Times New Roman" w:cs="Times New Roman"/>
          <w:b/>
          <w:sz w:val="23"/>
          <w:szCs w:val="23"/>
        </w:rPr>
        <w:t>Tabula Nr.7.1 Vispārējās valdības budžeta strukturālā bilance (SB) un izlaižu starpība % no IKP</w:t>
      </w:r>
    </w:p>
    <w:tbl>
      <w:tblPr>
        <w:tblStyle w:val="GridTable6Colorful-Accent1"/>
        <w:tblW w:w="10035" w:type="dxa"/>
        <w:jc w:val="center"/>
        <w:tblLayout w:type="fixed"/>
        <w:tblLook w:val="04A0" w:firstRow="1" w:lastRow="0" w:firstColumn="1" w:lastColumn="0" w:noHBand="0" w:noVBand="1"/>
      </w:tblPr>
      <w:tblGrid>
        <w:gridCol w:w="1154"/>
        <w:gridCol w:w="909"/>
        <w:gridCol w:w="732"/>
        <w:gridCol w:w="907"/>
        <w:gridCol w:w="734"/>
        <w:gridCol w:w="908"/>
        <w:gridCol w:w="735"/>
        <w:gridCol w:w="735"/>
        <w:gridCol w:w="836"/>
        <w:gridCol w:w="807"/>
        <w:gridCol w:w="735"/>
        <w:gridCol w:w="843"/>
      </w:tblGrid>
      <w:tr w:rsidR="004C7742" w14:paraId="7666196A" w14:textId="77777777" w:rsidTr="00F04558">
        <w:trPr>
          <w:cnfStyle w:val="100000000000" w:firstRow="1" w:lastRow="0" w:firstColumn="0" w:lastColumn="0" w:oddVBand="0" w:evenVBand="0" w:oddHBand="0"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1154" w:type="dxa"/>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CCDAFC7" w14:textId="77777777" w:rsidR="004C7742" w:rsidRDefault="004C7742">
            <w:pPr>
              <w:jc w:val="both"/>
              <w:rPr>
                <w:rFonts w:ascii="Times New Roman" w:hAnsi="Times New Roman" w:cs="Times New Roman"/>
                <w:b w:val="0"/>
                <w:bCs w:val="0"/>
                <w:color w:val="000000" w:themeColor="text1"/>
                <w:highlight w:val="yellow"/>
              </w:rPr>
            </w:pPr>
            <w:r>
              <w:rPr>
                <w:rFonts w:ascii="Times New Roman" w:hAnsi="Times New Roman" w:cs="Times New Roman"/>
                <w:color w:val="000000" w:themeColor="text1"/>
                <w:szCs w:val="24"/>
              </w:rPr>
              <w:t> </w:t>
            </w:r>
          </w:p>
        </w:tc>
        <w:tc>
          <w:tcPr>
            <w:tcW w:w="1641"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19DD2369"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Pr>
                <w:rFonts w:ascii="Times New Roman" w:hAnsi="Times New Roman" w:cs="Times New Roman"/>
                <w:color w:val="000000" w:themeColor="text1"/>
                <w:sz w:val="18"/>
                <w:szCs w:val="24"/>
              </w:rPr>
              <w:t>2018</w:t>
            </w:r>
          </w:p>
        </w:tc>
        <w:tc>
          <w:tcPr>
            <w:tcW w:w="1641"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53A43CE0"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Pr>
                <w:rFonts w:ascii="Times New Roman" w:hAnsi="Times New Roman" w:cs="Times New Roman"/>
                <w:color w:val="000000" w:themeColor="text1"/>
                <w:sz w:val="18"/>
                <w:szCs w:val="24"/>
              </w:rPr>
              <w:t>2019</w:t>
            </w:r>
          </w:p>
        </w:tc>
        <w:tc>
          <w:tcPr>
            <w:tcW w:w="1643"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5EC02D06"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rPr>
            </w:pPr>
            <w:r>
              <w:rPr>
                <w:rFonts w:ascii="Times New Roman" w:hAnsi="Times New Roman" w:cs="Times New Roman"/>
                <w:color w:val="000000" w:themeColor="text1"/>
                <w:sz w:val="18"/>
                <w:szCs w:val="24"/>
              </w:rPr>
              <w:t>2020</w:t>
            </w:r>
          </w:p>
        </w:tc>
        <w:tc>
          <w:tcPr>
            <w:tcW w:w="1571"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0D8C1C3E"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2021</w:t>
            </w:r>
          </w:p>
        </w:tc>
        <w:tc>
          <w:tcPr>
            <w:tcW w:w="1542"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532440ED"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2022</w:t>
            </w:r>
          </w:p>
        </w:tc>
        <w:tc>
          <w:tcPr>
            <w:tcW w:w="843"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30DBAC19"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2023</w:t>
            </w:r>
          </w:p>
        </w:tc>
      </w:tr>
      <w:tr w:rsidR="004C7742" w14:paraId="55DBCD79" w14:textId="77777777" w:rsidTr="00F04558">
        <w:trPr>
          <w:cnfStyle w:val="000000100000" w:firstRow="0" w:lastRow="0" w:firstColumn="0" w:lastColumn="0" w:oddVBand="0" w:evenVBand="0" w:oddHBand="1" w:evenHBand="0" w:firstRowFirstColumn="0" w:firstRowLastColumn="0" w:lastRowFirstColumn="0" w:lastRowLastColumn="0"/>
          <w:trHeight w:val="815"/>
          <w:jc w:val="center"/>
        </w:trPr>
        <w:tc>
          <w:tcPr>
            <w:cnfStyle w:val="001000000000" w:firstRow="0" w:lastRow="0" w:firstColumn="1" w:lastColumn="0" w:oddVBand="0" w:evenVBand="0" w:oddHBand="0" w:evenHBand="0" w:firstRowFirstColumn="0" w:firstRowLastColumn="0" w:lastRowFirstColumn="0" w:lastRowLastColumn="0"/>
            <w:tcW w:w="1154" w:type="dxa"/>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E9EBA6" w14:textId="77777777" w:rsidR="004C7742" w:rsidRDefault="004C7742">
            <w:pPr>
              <w:rPr>
                <w:rFonts w:ascii="Times New Roman" w:hAnsi="Times New Roman" w:cs="Times New Roman"/>
                <w:color w:val="000000" w:themeColor="text1"/>
                <w:highlight w:val="yellow"/>
              </w:rPr>
            </w:pP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2A752EB" w14:textId="77777777" w:rsidR="00F04558"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VTBIL noteiktais mērķis/</w:t>
            </w:r>
          </w:p>
          <w:p w14:paraId="3A0207C3" w14:textId="7422B5DA"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izlaižu starpība</w:t>
            </w: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AF0901D"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Pr>
                <w:rFonts w:ascii="Times New Roman" w:hAnsi="Times New Roman" w:cs="Times New Roman"/>
                <w:color w:val="000000" w:themeColor="text1"/>
                <w:sz w:val="16"/>
                <w:szCs w:val="16"/>
              </w:rPr>
              <w:t>Fakts*</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C2F795E" w14:textId="77777777" w:rsidR="00F04558"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VTBIL noteiktais mērķis/</w:t>
            </w:r>
          </w:p>
          <w:p w14:paraId="79D5A54A" w14:textId="16F33B1D"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Pr>
                <w:rFonts w:ascii="Times New Roman" w:hAnsi="Times New Roman" w:cs="Times New Roman"/>
                <w:color w:val="000000" w:themeColor="text1"/>
                <w:sz w:val="16"/>
                <w:szCs w:val="16"/>
              </w:rPr>
              <w:t>izlaižu starpība</w:t>
            </w: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432F25C"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Pr>
                <w:rFonts w:ascii="Times New Roman" w:hAnsi="Times New Roman" w:cs="Times New Roman"/>
                <w:color w:val="000000" w:themeColor="text1"/>
                <w:sz w:val="16"/>
                <w:szCs w:val="16"/>
              </w:rPr>
              <w:t>Fakts*</w:t>
            </w: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F218D77" w14:textId="77777777" w:rsidR="00F04558"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VTBIL noteiktais mērķis/</w:t>
            </w:r>
          </w:p>
          <w:p w14:paraId="01886B3F" w14:textId="2E466F1E"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izlaižu starpība</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9870FB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Fakts*</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D73231E"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noteiktais SB mērķis/ izlaižu starpība</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172551" w14:textId="77777777" w:rsidR="004C7742" w:rsidRDefault="004C77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Fakts*</w:t>
            </w: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3FF722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noteiktais SB mērķis/ izlaižu starpība</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9CB71A7"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Fakts*</w:t>
            </w: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CD3D69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noteiktais SB mērķis/ izlaižu starpība</w:t>
            </w:r>
          </w:p>
        </w:tc>
      </w:tr>
      <w:tr w:rsidR="004C7742" w14:paraId="263A2C94" w14:textId="77777777" w:rsidTr="00F04558">
        <w:trPr>
          <w:trHeight w:val="402"/>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C666F66" w14:textId="77777777" w:rsidR="004C7742" w:rsidRDefault="004C7742">
            <w:pPr>
              <w:jc w:val="both"/>
              <w:rPr>
                <w:rFonts w:ascii="Times New Roman" w:hAnsi="Times New Roman" w:cs="Times New Roman"/>
                <w:b w:val="0"/>
                <w:bCs w:val="0"/>
                <w:color w:val="000000" w:themeColor="text1"/>
                <w:sz w:val="18"/>
                <w:szCs w:val="20"/>
              </w:rPr>
            </w:pPr>
            <w:r>
              <w:rPr>
                <w:rFonts w:ascii="Times New Roman" w:hAnsi="Times New Roman" w:cs="Times New Roman"/>
                <w:color w:val="000000" w:themeColor="text1"/>
                <w:sz w:val="18"/>
                <w:szCs w:val="20"/>
              </w:rPr>
              <w:t xml:space="preserve">VTBIL 2018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2020</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0CC911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-1,2/0,3</w:t>
            </w: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2E71512"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-2,2/3,6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62014BA" w14:textId="26DC8D35"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-0,6/</w:t>
            </w:r>
            <w:r w:rsidR="00FE7268">
              <w:rPr>
                <w:rFonts w:ascii="Times New Roman" w:hAnsi="Times New Roman" w:cs="Times New Roman"/>
                <w:color w:val="000000" w:themeColor="text1"/>
                <w:sz w:val="16"/>
                <w:szCs w:val="16"/>
              </w:rPr>
              <w:t>0,5</w:t>
            </w: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7C7FE7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E79B501"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-0,4/0,8</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E21D3C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2C6997D"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7FB379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B9053E6"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AEF99A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4E6D30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4C7742" w14:paraId="6A3CCC3A" w14:textId="77777777" w:rsidTr="00F0455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0CCE15D" w14:textId="77777777" w:rsidR="004C7742" w:rsidRDefault="004C7742">
            <w:pPr>
              <w:jc w:val="both"/>
              <w:rPr>
                <w:rFonts w:ascii="Times New Roman" w:hAnsi="Times New Roman" w:cs="Times New Roman"/>
                <w:b w:val="0"/>
                <w:bCs w:val="0"/>
                <w:color w:val="000000" w:themeColor="text1"/>
                <w:sz w:val="18"/>
                <w:szCs w:val="20"/>
              </w:rPr>
            </w:pPr>
            <w:r>
              <w:rPr>
                <w:rFonts w:ascii="Times New Roman" w:hAnsi="Times New Roman" w:cs="Times New Roman"/>
                <w:color w:val="000000" w:themeColor="text1"/>
                <w:sz w:val="18"/>
                <w:szCs w:val="20"/>
              </w:rPr>
              <w:t>Budžeta likums 2019.gadam</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EEE7E14"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E67C88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E8538F6"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-0,5/0,9</w:t>
            </w: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7E7259C" w14:textId="7621F7E0"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184CCC">
              <w:rPr>
                <w:rFonts w:ascii="Times New Roman" w:hAnsi="Times New Roman" w:cs="Times New Roman"/>
                <w:color w:val="000000" w:themeColor="text1"/>
                <w:sz w:val="16"/>
                <w:szCs w:val="16"/>
              </w:rPr>
              <w:t>4</w:t>
            </w:r>
            <w:r>
              <w:rPr>
                <w:rFonts w:ascii="Times New Roman" w:hAnsi="Times New Roman" w:cs="Times New Roman"/>
                <w:color w:val="000000" w:themeColor="text1"/>
                <w:sz w:val="16"/>
                <w:szCs w:val="16"/>
              </w:rPr>
              <w:t>/3,4</w:t>
            </w: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99AAF68" w14:textId="77777777" w:rsidR="004C7742" w:rsidRDefault="004C77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E480B8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CEF700B" w14:textId="77777777" w:rsidR="004C7742" w:rsidRDefault="004C77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8AA37B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527C8D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250886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68E4013"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4C7742" w14:paraId="54854A95" w14:textId="77777777" w:rsidTr="00F04558">
        <w:trPr>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973B72B"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2020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2022</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746CE41"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2636116"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9908227"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7DDE0FE"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60D4D6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-0,5/0,8</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75F8683" w14:textId="102F5379"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r w:rsidR="00184CCC">
              <w:rPr>
                <w:rFonts w:ascii="Times New Roman" w:hAnsi="Times New Roman" w:cs="Times New Roman"/>
                <w:color w:val="000000" w:themeColor="text1"/>
                <w:sz w:val="16"/>
                <w:szCs w:val="16"/>
              </w:rPr>
              <w:t>4</w:t>
            </w:r>
            <w:r>
              <w:rPr>
                <w:rFonts w:ascii="Times New Roman" w:hAnsi="Times New Roman" w:cs="Times New Roman"/>
                <w:color w:val="000000" w:themeColor="text1"/>
                <w:sz w:val="16"/>
                <w:szCs w:val="16"/>
              </w:rPr>
              <w:t>/-1,7</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6B859FC" w14:textId="02A20F9E"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w:t>
            </w:r>
            <w:r w:rsidR="00FE7268">
              <w:rPr>
                <w:rFonts w:ascii="Times New Roman" w:hAnsi="Times New Roman" w:cs="Times New Roman"/>
                <w:color w:val="000000" w:themeColor="text1"/>
                <w:sz w:val="16"/>
                <w:szCs w:val="16"/>
              </w:rPr>
              <w:t>4</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960DEE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4543342"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-0,5/0,0</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D3F680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486DAD0"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4C7742" w14:paraId="2B917C89" w14:textId="77777777" w:rsidTr="00F0455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88B1AFC"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2021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2023</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B96FBC2"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A44FC8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3985941"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6A4CB6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B1C48D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7236E2C"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5465073"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-2,0/-5,4</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8903AD" w14:textId="0F04FF80"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184CCC">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rPr>
              <w:t>4/0,2</w:t>
            </w: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45ECAA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-1,0/-4,8</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3915B76"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A6E7BD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-0,1/-4,1</w:t>
            </w:r>
          </w:p>
        </w:tc>
      </w:tr>
      <w:tr w:rsidR="004C7742" w14:paraId="68CF57FF" w14:textId="77777777" w:rsidTr="00F04558">
        <w:trPr>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7636BAA"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2022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2024</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C260EB6"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B0F0734"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A941A5F"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EC4AF77"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A8C32EE"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F8AD85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C9A291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1274D12"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BC46CBA"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-4,7/-0,5</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98BF676" w14:textId="779E71D4"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r w:rsidR="00184CCC">
              <w:rPr>
                <w:rFonts w:ascii="Times New Roman" w:hAnsi="Times New Roman" w:cs="Times New Roman"/>
                <w:color w:val="000000" w:themeColor="text1"/>
                <w:sz w:val="16"/>
                <w:szCs w:val="16"/>
              </w:rPr>
              <w:t>3</w:t>
            </w:r>
            <w:r>
              <w:rPr>
                <w:rFonts w:ascii="Times New Roman" w:hAnsi="Times New Roman" w:cs="Times New Roman"/>
                <w:color w:val="000000" w:themeColor="text1"/>
                <w:sz w:val="16"/>
                <w:szCs w:val="16"/>
              </w:rPr>
              <w:t>/0,4</w:t>
            </w: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97AD87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-2,1/-0,1</w:t>
            </w:r>
          </w:p>
        </w:tc>
      </w:tr>
      <w:tr w:rsidR="004C7742" w14:paraId="661461F6" w14:textId="77777777" w:rsidTr="00F0455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56FBAC2"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2023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2025</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A5C9E9C"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E3DA382"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DB68E1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F75D65B"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6AD3E4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F3AB56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A4E368B"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58F2B3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079CA14"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B4A26B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6BC6FA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-0,5/-2,1</w:t>
            </w:r>
          </w:p>
        </w:tc>
      </w:tr>
    </w:tbl>
    <w:p w14:paraId="36FF03B8" w14:textId="77777777" w:rsidR="004C7742" w:rsidRDefault="004C7742" w:rsidP="004C7742">
      <w:pPr>
        <w:ind w:left="-142"/>
        <w:rPr>
          <w:rFonts w:ascii="Times New Roman" w:hAnsi="Times New Roman" w:cs="Times New Roman"/>
          <w:bCs/>
          <w:sz w:val="24"/>
          <w:szCs w:val="24"/>
          <w:highlight w:val="yellow"/>
        </w:rPr>
      </w:pPr>
      <w:r>
        <w:rPr>
          <w:rFonts w:ascii="Times New Roman" w:hAnsi="Times New Roman" w:cs="Times New Roman"/>
          <w:i/>
          <w:sz w:val="20"/>
          <w:szCs w:val="24"/>
        </w:rPr>
        <w:t xml:space="preserve">* saskaņā ar </w:t>
      </w:r>
      <w:proofErr w:type="spellStart"/>
      <w:r>
        <w:rPr>
          <w:rFonts w:ascii="Times New Roman" w:hAnsi="Times New Roman" w:cs="Times New Roman"/>
          <w:i/>
          <w:sz w:val="20"/>
          <w:szCs w:val="24"/>
        </w:rPr>
        <w:t>Eurostat</w:t>
      </w:r>
      <w:proofErr w:type="spellEnd"/>
      <w:r>
        <w:rPr>
          <w:rFonts w:ascii="Times New Roman" w:hAnsi="Times New Roman" w:cs="Times New Roman"/>
          <w:i/>
          <w:sz w:val="20"/>
          <w:szCs w:val="24"/>
        </w:rPr>
        <w:t xml:space="preserve"> 2023.gada aprīļa vispārējās valdības budžeta notifikācijas datiem</w:t>
      </w:r>
      <w:r>
        <w:rPr>
          <w:rFonts w:ascii="Times New Roman" w:hAnsi="Times New Roman" w:cs="Times New Roman"/>
          <w:bCs/>
          <w:sz w:val="24"/>
          <w:szCs w:val="24"/>
          <w:highlight w:val="yellow"/>
        </w:rPr>
        <w:t xml:space="preserve"> </w:t>
      </w:r>
    </w:p>
    <w:p w14:paraId="11F2CD42" w14:textId="76C06AF3" w:rsidR="00431350" w:rsidRPr="00B603B9" w:rsidRDefault="00431350" w:rsidP="00431350">
      <w:pPr>
        <w:spacing w:after="0" w:line="240" w:lineRule="auto"/>
        <w:ind w:firstLine="720"/>
        <w:jc w:val="both"/>
        <w:rPr>
          <w:rFonts w:ascii="Times New Roman" w:hAnsi="Times New Roman" w:cs="Times New Roman"/>
          <w:bCs/>
          <w:sz w:val="24"/>
          <w:szCs w:val="24"/>
        </w:rPr>
      </w:pPr>
      <w:r w:rsidRPr="002D428D">
        <w:rPr>
          <w:rFonts w:ascii="Times New Roman" w:hAnsi="Times New Roman" w:cs="Times New Roman"/>
          <w:bCs/>
          <w:sz w:val="24"/>
          <w:szCs w:val="24"/>
        </w:rPr>
        <w:t xml:space="preserve">Analizējot atšķirības starp plānotajiem un faktiskajiem strukturālās budžeta bilances rādītājiem, jāsecina, ka </w:t>
      </w:r>
      <w:r>
        <w:rPr>
          <w:rFonts w:ascii="Times New Roman" w:hAnsi="Times New Roman" w:cs="Times New Roman"/>
          <w:bCs/>
          <w:sz w:val="24"/>
          <w:szCs w:val="24"/>
        </w:rPr>
        <w:t xml:space="preserve">izlaižu starpības un </w:t>
      </w:r>
      <w:r w:rsidRPr="002D428D">
        <w:rPr>
          <w:rFonts w:ascii="Times New Roman" w:hAnsi="Times New Roman" w:cs="Times New Roman"/>
          <w:bCs/>
          <w:sz w:val="24"/>
          <w:szCs w:val="24"/>
        </w:rPr>
        <w:t>budžeta bilances cikliskās komponentes ietekme arvien vairāk pieaug. 2018.gadā, salīdzinot 2018.</w:t>
      </w:r>
      <w:r w:rsidRPr="002D428D">
        <w:rPr>
          <w:rFonts w:ascii="Times New Roman" w:hAnsi="Times New Roman" w:cs="Times New Roman"/>
          <w:color w:val="000000"/>
          <w:sz w:val="24"/>
          <w:szCs w:val="24"/>
        </w:rPr>
        <w:t>–</w:t>
      </w:r>
      <w:r w:rsidRPr="002D428D">
        <w:rPr>
          <w:rFonts w:ascii="Times New Roman" w:hAnsi="Times New Roman" w:cs="Times New Roman"/>
          <w:bCs/>
          <w:sz w:val="24"/>
          <w:szCs w:val="24"/>
        </w:rPr>
        <w:t xml:space="preserve">2020.gada VTBIL prognozi ar faktisko izpildi, </w:t>
      </w:r>
      <w:r>
        <w:rPr>
          <w:rFonts w:ascii="Times New Roman" w:hAnsi="Times New Roman" w:cs="Times New Roman"/>
          <w:bCs/>
          <w:sz w:val="24"/>
          <w:szCs w:val="24"/>
        </w:rPr>
        <w:t xml:space="preserve">izlaižu starpība </w:t>
      </w:r>
      <w:r w:rsidRPr="002D428D">
        <w:rPr>
          <w:rFonts w:ascii="Times New Roman" w:hAnsi="Times New Roman" w:cs="Times New Roman"/>
          <w:bCs/>
          <w:sz w:val="24"/>
          <w:szCs w:val="24"/>
        </w:rPr>
        <w:t xml:space="preserve">ir palielinājusies par </w:t>
      </w:r>
      <w:r>
        <w:rPr>
          <w:rFonts w:ascii="Times New Roman" w:hAnsi="Times New Roman" w:cs="Times New Roman"/>
          <w:bCs/>
          <w:sz w:val="24"/>
          <w:szCs w:val="24"/>
        </w:rPr>
        <w:t>3</w:t>
      </w:r>
      <w:r w:rsidRPr="002D428D">
        <w:rPr>
          <w:rFonts w:ascii="Times New Roman" w:hAnsi="Times New Roman" w:cs="Times New Roman"/>
          <w:bCs/>
          <w:sz w:val="24"/>
          <w:szCs w:val="24"/>
        </w:rPr>
        <w:t xml:space="preserve">,2 procentpunktiem no IKP. Savukārt 2019.gadā šī novirze pret plānoto veido pieaugumu par </w:t>
      </w:r>
      <w:r>
        <w:rPr>
          <w:rFonts w:ascii="Times New Roman" w:hAnsi="Times New Roman" w:cs="Times New Roman"/>
          <w:bCs/>
          <w:sz w:val="24"/>
          <w:szCs w:val="24"/>
        </w:rPr>
        <w:t>2,5</w:t>
      </w:r>
      <w:r w:rsidRPr="002D428D">
        <w:rPr>
          <w:rFonts w:ascii="Times New Roman" w:hAnsi="Times New Roman" w:cs="Times New Roman"/>
          <w:bCs/>
          <w:sz w:val="24"/>
          <w:szCs w:val="24"/>
        </w:rPr>
        <w:t xml:space="preserve"> procentpunkt</w:t>
      </w:r>
      <w:r>
        <w:rPr>
          <w:rFonts w:ascii="Times New Roman" w:hAnsi="Times New Roman" w:cs="Times New Roman"/>
          <w:bCs/>
          <w:sz w:val="24"/>
          <w:szCs w:val="24"/>
        </w:rPr>
        <w:t>iem</w:t>
      </w:r>
      <w:r w:rsidRPr="002D428D">
        <w:rPr>
          <w:rFonts w:ascii="Times New Roman" w:hAnsi="Times New Roman" w:cs="Times New Roman"/>
          <w:bCs/>
          <w:sz w:val="24"/>
          <w:szCs w:val="24"/>
        </w:rPr>
        <w:t xml:space="preserve"> no IKP. 2020. gadā </w:t>
      </w:r>
      <w:r>
        <w:rPr>
          <w:rFonts w:ascii="Times New Roman" w:hAnsi="Times New Roman" w:cs="Times New Roman"/>
          <w:bCs/>
          <w:sz w:val="24"/>
          <w:szCs w:val="24"/>
        </w:rPr>
        <w:t>izlaižu starpība</w:t>
      </w:r>
      <w:r w:rsidRPr="002D428D">
        <w:rPr>
          <w:rFonts w:ascii="Times New Roman" w:hAnsi="Times New Roman" w:cs="Times New Roman"/>
          <w:bCs/>
          <w:sz w:val="24"/>
          <w:szCs w:val="24"/>
        </w:rPr>
        <w:t xml:space="preserve"> jau bija par </w:t>
      </w:r>
      <w:r>
        <w:rPr>
          <w:rFonts w:ascii="Times New Roman" w:hAnsi="Times New Roman" w:cs="Times New Roman"/>
          <w:bCs/>
          <w:sz w:val="24"/>
          <w:szCs w:val="24"/>
        </w:rPr>
        <w:t>2,5</w:t>
      </w:r>
      <w:r w:rsidRPr="002D428D">
        <w:rPr>
          <w:rFonts w:ascii="Times New Roman" w:hAnsi="Times New Roman" w:cs="Times New Roman"/>
          <w:bCs/>
          <w:sz w:val="24"/>
          <w:szCs w:val="24"/>
        </w:rPr>
        <w:t xml:space="preserve"> procentpunktiem zemāka kā tika prognozēts 2020. – 2022.gada VTBIL. Izstrādājot 2020.–2022.gada VTBIL vēl netika ņemta vērā Covid-19 pandēmijas ietekme. Savukārt 2021.gadā un 2022.gadā novirze bijusi attiecīgi </w:t>
      </w:r>
      <w:r>
        <w:rPr>
          <w:rFonts w:ascii="Times New Roman" w:hAnsi="Times New Roman" w:cs="Times New Roman"/>
          <w:bCs/>
          <w:sz w:val="24"/>
          <w:szCs w:val="24"/>
        </w:rPr>
        <w:t>5,5</w:t>
      </w:r>
      <w:r w:rsidRPr="002D428D">
        <w:rPr>
          <w:rFonts w:ascii="Times New Roman" w:hAnsi="Times New Roman" w:cs="Times New Roman"/>
          <w:bCs/>
          <w:sz w:val="24"/>
          <w:szCs w:val="24"/>
        </w:rPr>
        <w:t xml:space="preserve"> un 0,</w:t>
      </w:r>
      <w:r>
        <w:rPr>
          <w:rFonts w:ascii="Times New Roman" w:hAnsi="Times New Roman" w:cs="Times New Roman"/>
          <w:bCs/>
          <w:sz w:val="24"/>
          <w:szCs w:val="24"/>
        </w:rPr>
        <w:t>9</w:t>
      </w:r>
      <w:r w:rsidRPr="002D428D">
        <w:rPr>
          <w:rFonts w:ascii="Times New Roman" w:hAnsi="Times New Roman" w:cs="Times New Roman"/>
          <w:bCs/>
          <w:sz w:val="24"/>
          <w:szCs w:val="24"/>
        </w:rPr>
        <w:t xml:space="preserve"> procentpunkti no IKP pozitīvā virzienā. </w:t>
      </w:r>
      <w:r>
        <w:rPr>
          <w:rFonts w:ascii="Times New Roman" w:hAnsi="Times New Roman" w:cs="Times New Roman"/>
          <w:bCs/>
          <w:sz w:val="24"/>
          <w:szCs w:val="24"/>
        </w:rPr>
        <w:t>Izlaižu starpības</w:t>
      </w:r>
      <w:r w:rsidRPr="002D428D">
        <w:rPr>
          <w:rFonts w:ascii="Times New Roman" w:hAnsi="Times New Roman" w:cs="Times New Roman"/>
          <w:bCs/>
          <w:sz w:val="24"/>
          <w:szCs w:val="24"/>
        </w:rPr>
        <w:t xml:space="preserve"> izmaiņas liecina, ka laika periodā līdz 2019.gadam, tāpat arī 2021.gadā un 2022. gadā, faktiskais IKP pārsniedza potenciālā IKP vērtību, tādējādi nodrošinot papildus ieņēmumus vispārējās valdības budžetā. Taču, ņemot vērā Covid</w:t>
      </w:r>
      <w:r w:rsidRPr="002D428D">
        <w:rPr>
          <w:rFonts w:ascii="Times New Roman" w:hAnsi="Times New Roman" w:cs="Times New Roman"/>
          <w:color w:val="000000"/>
          <w:sz w:val="24"/>
          <w:szCs w:val="24"/>
        </w:rPr>
        <w:t>–</w:t>
      </w:r>
      <w:r w:rsidRPr="002D428D">
        <w:rPr>
          <w:rFonts w:ascii="Times New Roman" w:hAnsi="Times New Roman" w:cs="Times New Roman"/>
          <w:bCs/>
          <w:sz w:val="24"/>
          <w:szCs w:val="24"/>
        </w:rPr>
        <w:t xml:space="preserve">19 pandēmijas ietekmi 2020.gadā, faktiskais IKP bija būtiski zemāks kā potenciālā izlaide un </w:t>
      </w:r>
      <w:r>
        <w:rPr>
          <w:rFonts w:ascii="Times New Roman" w:hAnsi="Times New Roman" w:cs="Times New Roman"/>
          <w:bCs/>
          <w:sz w:val="24"/>
          <w:szCs w:val="24"/>
        </w:rPr>
        <w:t>izlaižu starpība</w:t>
      </w:r>
      <w:r w:rsidRPr="002D428D">
        <w:rPr>
          <w:rFonts w:ascii="Times New Roman" w:hAnsi="Times New Roman" w:cs="Times New Roman"/>
          <w:bCs/>
          <w:sz w:val="24"/>
          <w:szCs w:val="24"/>
        </w:rPr>
        <w:t xml:space="preserve"> kļuva izteikti negatīva.</w:t>
      </w:r>
      <w:r>
        <w:rPr>
          <w:rFonts w:ascii="Times New Roman" w:hAnsi="Times New Roman" w:cs="Times New Roman"/>
          <w:bCs/>
          <w:sz w:val="24"/>
          <w:szCs w:val="24"/>
        </w:rPr>
        <w:t xml:space="preserve"> </w:t>
      </w:r>
    </w:p>
    <w:p w14:paraId="1A80CB54" w14:textId="77777777" w:rsidR="00747EE9" w:rsidRPr="00564D59" w:rsidRDefault="00747EE9" w:rsidP="00747EE9">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Ja salīdzin</w:t>
      </w:r>
      <w:r>
        <w:rPr>
          <w:rFonts w:ascii="Times New Roman" w:hAnsi="Times New Roman" w:cs="Times New Roman"/>
          <w:bCs/>
          <w:sz w:val="24"/>
          <w:szCs w:val="24"/>
        </w:rPr>
        <w:t>a</w:t>
      </w:r>
      <w:r w:rsidRPr="00564D59">
        <w:rPr>
          <w:rFonts w:ascii="Times New Roman" w:hAnsi="Times New Roman" w:cs="Times New Roman"/>
          <w:bCs/>
          <w:sz w:val="24"/>
          <w:szCs w:val="24"/>
        </w:rPr>
        <w:t xml:space="preserve">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.gada </w:t>
      </w:r>
      <w:r w:rsidRPr="00564D59">
        <w:rPr>
          <w:rFonts w:ascii="Times New Roman" w:hAnsi="Times New Roman" w:cs="Times New Roman"/>
          <w:b/>
          <w:bCs/>
          <w:sz w:val="24"/>
          <w:szCs w:val="24"/>
        </w:rPr>
        <w:t>vispārējās valdības budžeta bilances</w:t>
      </w:r>
      <w:r w:rsidRPr="00564D59">
        <w:rPr>
          <w:rFonts w:ascii="Times New Roman" w:hAnsi="Times New Roman" w:cs="Times New Roman"/>
          <w:bCs/>
          <w:sz w:val="24"/>
          <w:szCs w:val="24"/>
        </w:rPr>
        <w:t xml:space="preserve"> prognozes, kas ir par pamatu 201</w:t>
      </w:r>
      <w:r>
        <w:rPr>
          <w:rFonts w:ascii="Times New Roman" w:hAnsi="Times New Roman" w:cs="Times New Roman"/>
          <w:bCs/>
          <w:sz w:val="24"/>
          <w:szCs w:val="24"/>
        </w:rPr>
        <w:t>8</w:t>
      </w:r>
      <w:r w:rsidRPr="00564D59">
        <w:rPr>
          <w:rFonts w:ascii="Times New Roman" w:hAnsi="Times New Roman" w:cs="Times New Roman"/>
          <w:bCs/>
          <w:sz w:val="24"/>
          <w:szCs w:val="24"/>
        </w:rPr>
        <w:t>.gada valsts budžetam, un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.gada </w:t>
      </w:r>
      <w:r>
        <w:rPr>
          <w:rFonts w:ascii="Times New Roman" w:hAnsi="Times New Roman" w:cs="Times New Roman"/>
          <w:bCs/>
          <w:sz w:val="24"/>
          <w:szCs w:val="24"/>
        </w:rPr>
        <w:t>faktisko budžeta izpildi</w:t>
      </w:r>
      <w:r w:rsidRPr="00564D59">
        <w:rPr>
          <w:rFonts w:ascii="Times New Roman" w:hAnsi="Times New Roman" w:cs="Times New Roman"/>
          <w:bCs/>
          <w:sz w:val="24"/>
          <w:szCs w:val="24"/>
        </w:rPr>
        <w:t>, var secināt, ka atšķirības izriet gan no izmaiņām makroekonomiskajā scenārijā, gan fiskālajā scenārijā.</w:t>
      </w:r>
    </w:p>
    <w:p w14:paraId="5A050BB0" w14:textId="77777777" w:rsidR="00747EE9" w:rsidRPr="00564D59" w:rsidRDefault="00747EE9" w:rsidP="00747EE9">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 xml:space="preserve">Vērtējot izmaiņas starp </w:t>
      </w:r>
      <w:r>
        <w:rPr>
          <w:rFonts w:ascii="Times New Roman" w:hAnsi="Times New Roman" w:cs="Times New Roman"/>
          <w:bCs/>
          <w:sz w:val="24"/>
          <w:szCs w:val="24"/>
        </w:rPr>
        <w:t>plānoto</w:t>
      </w:r>
      <w:r w:rsidRPr="00564D59">
        <w:rPr>
          <w:rFonts w:ascii="Times New Roman" w:hAnsi="Times New Roman" w:cs="Times New Roman"/>
          <w:bCs/>
          <w:sz w:val="24"/>
          <w:szCs w:val="24"/>
        </w:rPr>
        <w:t xml:space="preserve"> makroekonomisko scenāriju un pašreizējo novērtējumu, var secināt, ka izmaiņas ir vērojamas visos būtiskākajos elementos, kas raksturo ekonomisko aktivitāti valstī un ietekmē fiskālos rādītājus, proti, iekšzemes patēriņš, investīcijas, ārējās tirdzniecības rādītāji, atalgojuma līmeņa izmaiņas, nodarbinātības rādītāji u.c. Kopumā ekonomiskā izaugsme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.gadā </w:t>
      </w:r>
      <w:r>
        <w:rPr>
          <w:rFonts w:ascii="Times New Roman" w:hAnsi="Times New Roman" w:cs="Times New Roman"/>
          <w:bCs/>
          <w:sz w:val="24"/>
          <w:szCs w:val="24"/>
        </w:rPr>
        <w:t>bija</w:t>
      </w:r>
      <w:r w:rsidRPr="00564D59">
        <w:rPr>
          <w:rFonts w:ascii="Times New Roman" w:hAnsi="Times New Roman" w:cs="Times New Roman"/>
          <w:bCs/>
          <w:sz w:val="24"/>
          <w:szCs w:val="24"/>
        </w:rPr>
        <w:t xml:space="preserve"> </w:t>
      </w:r>
      <w:r>
        <w:rPr>
          <w:rFonts w:ascii="Times New Roman" w:hAnsi="Times New Roman" w:cs="Times New Roman"/>
          <w:bCs/>
          <w:sz w:val="24"/>
          <w:szCs w:val="24"/>
        </w:rPr>
        <w:t>augstāka kā prognozēts</w:t>
      </w:r>
      <w:r w:rsidRPr="00564D59">
        <w:rPr>
          <w:rFonts w:ascii="Times New Roman" w:hAnsi="Times New Roman" w:cs="Times New Roman"/>
          <w:bCs/>
          <w:sz w:val="24"/>
          <w:szCs w:val="24"/>
        </w:rPr>
        <w:t xml:space="preserve">. </w:t>
      </w:r>
      <w:r w:rsidRPr="001F1AD1">
        <w:rPr>
          <w:rFonts w:ascii="Times New Roman" w:hAnsi="Times New Roman" w:cs="Times New Roman"/>
          <w:bCs/>
          <w:sz w:val="24"/>
          <w:szCs w:val="24"/>
        </w:rPr>
        <w:t>Straujāku nekā iepriekš prognozēts IKP pieaugumu notei</w:t>
      </w:r>
      <w:r>
        <w:rPr>
          <w:rFonts w:ascii="Times New Roman" w:hAnsi="Times New Roman" w:cs="Times New Roman"/>
          <w:bCs/>
          <w:sz w:val="24"/>
          <w:szCs w:val="24"/>
        </w:rPr>
        <w:t>ca</w:t>
      </w:r>
      <w:r w:rsidRPr="001F1AD1">
        <w:rPr>
          <w:rFonts w:ascii="Times New Roman" w:hAnsi="Times New Roman" w:cs="Times New Roman"/>
          <w:bCs/>
          <w:sz w:val="24"/>
          <w:szCs w:val="24"/>
        </w:rPr>
        <w:t xml:space="preserve"> augstākas investīcijas</w:t>
      </w:r>
      <w:r>
        <w:rPr>
          <w:rFonts w:ascii="Times New Roman" w:hAnsi="Times New Roman" w:cs="Times New Roman"/>
          <w:bCs/>
          <w:sz w:val="24"/>
          <w:szCs w:val="24"/>
        </w:rPr>
        <w:t>,</w:t>
      </w:r>
      <w:r w:rsidRPr="001F1AD1">
        <w:rPr>
          <w:rFonts w:ascii="Times New Roman" w:hAnsi="Times New Roman" w:cs="Times New Roman"/>
          <w:bCs/>
          <w:sz w:val="24"/>
          <w:szCs w:val="24"/>
        </w:rPr>
        <w:t xml:space="preserve"> kā arī straujāks privātā patēriņa kāpums. Turklāt labvēlīgā ārējā vide nodrošinās ārējā pieprasījuma pieaugumu, kas pozitīvi ietekmē</w:t>
      </w:r>
      <w:r>
        <w:rPr>
          <w:rFonts w:ascii="Times New Roman" w:hAnsi="Times New Roman" w:cs="Times New Roman"/>
          <w:bCs/>
          <w:sz w:val="24"/>
          <w:szCs w:val="24"/>
        </w:rPr>
        <w:t>ja</w:t>
      </w:r>
      <w:r w:rsidRPr="001F1AD1">
        <w:rPr>
          <w:rFonts w:ascii="Times New Roman" w:hAnsi="Times New Roman" w:cs="Times New Roman"/>
          <w:bCs/>
          <w:sz w:val="24"/>
          <w:szCs w:val="24"/>
        </w:rPr>
        <w:t xml:space="preserve"> eksportu un Latvijas ekonomisko izaugsmi kopumā. </w:t>
      </w:r>
    </w:p>
    <w:p w14:paraId="0E9E454B" w14:textId="457E4F30" w:rsidR="00747EE9" w:rsidRPr="00762B0A" w:rsidRDefault="00747EE9" w:rsidP="00497710">
      <w:pPr>
        <w:spacing w:before="120"/>
        <w:jc w:val="center"/>
        <w:rPr>
          <w:rFonts w:ascii="Times New Roman" w:hAnsi="Times New Roman" w:cs="Times New Roman"/>
          <w:b/>
          <w:bCs/>
          <w:sz w:val="24"/>
          <w:szCs w:val="24"/>
        </w:rPr>
      </w:pPr>
      <w:r w:rsidRPr="00762B0A">
        <w:rPr>
          <w:rFonts w:ascii="Times New Roman" w:hAnsi="Times New Roman" w:cs="Times New Roman"/>
          <w:b/>
          <w:bCs/>
          <w:sz w:val="24"/>
          <w:szCs w:val="24"/>
        </w:rPr>
        <w:lastRenderedPageBreak/>
        <w:t>Tabula Nr.</w:t>
      </w:r>
      <w:r w:rsidR="00A1461C">
        <w:rPr>
          <w:rFonts w:ascii="Times New Roman" w:hAnsi="Times New Roman" w:cs="Times New Roman"/>
          <w:b/>
          <w:bCs/>
          <w:sz w:val="24"/>
          <w:szCs w:val="24"/>
        </w:rPr>
        <w:t>7.2</w:t>
      </w:r>
      <w:r w:rsidRPr="00762B0A">
        <w:rPr>
          <w:rFonts w:ascii="Times New Roman" w:hAnsi="Times New Roman" w:cs="Times New Roman"/>
          <w:b/>
          <w:bCs/>
          <w:sz w:val="24"/>
          <w:szCs w:val="24"/>
        </w:rPr>
        <w:t xml:space="preserve"> Izmaiņas vispārējās valdības sektora fiskālajā bilancē 2018.gadam,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762B0A" w14:paraId="2FA538C9"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68D5065D" w14:textId="77777777" w:rsidR="00747EE9" w:rsidRPr="00762B0A" w:rsidRDefault="00747EE9" w:rsidP="00620C70">
            <w:pPr>
              <w:jc w:val="center"/>
              <w:rPr>
                <w:rFonts w:eastAsia="Times New Roman" w:cs="Times New Roman"/>
                <w:color w:val="000000"/>
                <w:sz w:val="22"/>
                <w:lang w:eastAsia="lv-LV"/>
              </w:rPr>
            </w:pPr>
            <w:r w:rsidRPr="00762B0A">
              <w:rPr>
                <w:rFonts w:eastAsia="Times New Roman" w:cs="Times New Roman"/>
                <w:color w:val="000000"/>
                <w:sz w:val="22"/>
                <w:lang w:eastAsia="lv-LV"/>
              </w:rPr>
              <w:t>Iterācija</w:t>
            </w:r>
          </w:p>
        </w:tc>
        <w:tc>
          <w:tcPr>
            <w:tcW w:w="4594" w:type="dxa"/>
            <w:noWrap/>
            <w:hideMark/>
          </w:tcPr>
          <w:p w14:paraId="4F621FDC" w14:textId="77777777" w:rsidR="00747EE9" w:rsidRPr="00762B0A"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Raksturlielums</w:t>
            </w:r>
          </w:p>
        </w:tc>
        <w:tc>
          <w:tcPr>
            <w:tcW w:w="1817" w:type="dxa"/>
            <w:noWrap/>
            <w:vAlign w:val="center"/>
            <w:hideMark/>
          </w:tcPr>
          <w:p w14:paraId="026D215A" w14:textId="77777777" w:rsidR="00747EE9" w:rsidRPr="00762B0A"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2018</w:t>
            </w:r>
          </w:p>
        </w:tc>
      </w:tr>
      <w:tr w:rsidR="00747EE9" w:rsidRPr="00762B0A" w14:paraId="18B1261F"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0804E9C" w14:textId="77777777" w:rsidR="00747EE9" w:rsidRPr="00762B0A"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VTBIL</w:t>
            </w:r>
            <w:r w:rsidRPr="00762B0A">
              <w:rPr>
                <w:rFonts w:eastAsia="Times New Roman" w:cs="Times New Roman"/>
                <w:color w:val="000000"/>
                <w:sz w:val="22"/>
                <w:lang w:eastAsia="lv-LV"/>
              </w:rPr>
              <w:t xml:space="preserve"> 2018-2020</w:t>
            </w:r>
          </w:p>
        </w:tc>
        <w:tc>
          <w:tcPr>
            <w:tcW w:w="4594" w:type="dxa"/>
            <w:noWrap/>
            <w:hideMark/>
          </w:tcPr>
          <w:p w14:paraId="0554B47B"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Vispārējās valdības sektora B.9</w:t>
            </w:r>
          </w:p>
        </w:tc>
        <w:tc>
          <w:tcPr>
            <w:tcW w:w="1817" w:type="dxa"/>
            <w:noWrap/>
            <w:vAlign w:val="center"/>
            <w:hideMark/>
          </w:tcPr>
          <w:p w14:paraId="1D9C8543"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-1,0</w:t>
            </w:r>
          </w:p>
        </w:tc>
      </w:tr>
      <w:tr w:rsidR="00747EE9" w:rsidRPr="00762B0A" w14:paraId="396B60C8"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5F103160" w14:textId="77777777" w:rsidR="00747EE9" w:rsidRPr="00762B0A" w:rsidRDefault="00747EE9" w:rsidP="00620C70">
            <w:pPr>
              <w:jc w:val="center"/>
              <w:rPr>
                <w:rFonts w:eastAsia="Times New Roman" w:cs="Times New Roman"/>
                <w:color w:val="000000"/>
                <w:sz w:val="22"/>
                <w:lang w:eastAsia="lv-LV"/>
              </w:rPr>
            </w:pPr>
          </w:p>
          <w:p w14:paraId="0B431FF9" w14:textId="77777777" w:rsidR="00747EE9" w:rsidRPr="00762B0A" w:rsidRDefault="00747EE9" w:rsidP="00620C70">
            <w:pPr>
              <w:jc w:val="center"/>
              <w:rPr>
                <w:rFonts w:eastAsia="Times New Roman" w:cs="Times New Roman"/>
                <w:color w:val="000000"/>
                <w:sz w:val="22"/>
                <w:lang w:eastAsia="lv-LV"/>
              </w:rPr>
            </w:pPr>
          </w:p>
          <w:p w14:paraId="292E3CBF" w14:textId="77777777" w:rsidR="00747EE9" w:rsidRPr="00762B0A" w:rsidRDefault="00747EE9" w:rsidP="00620C70">
            <w:pPr>
              <w:jc w:val="center"/>
              <w:rPr>
                <w:rFonts w:eastAsia="Times New Roman" w:cs="Times New Roman"/>
                <w:color w:val="000000"/>
                <w:sz w:val="22"/>
                <w:lang w:eastAsia="lv-LV"/>
              </w:rPr>
            </w:pPr>
          </w:p>
          <w:p w14:paraId="6DDD2215" w14:textId="77777777" w:rsidR="00747EE9" w:rsidRPr="00762B0A" w:rsidRDefault="00747EE9" w:rsidP="00620C70">
            <w:pPr>
              <w:jc w:val="center"/>
              <w:rPr>
                <w:rFonts w:eastAsia="Times New Roman" w:cs="Times New Roman"/>
                <w:color w:val="000000"/>
                <w:sz w:val="22"/>
                <w:lang w:eastAsia="lv-LV"/>
              </w:rPr>
            </w:pPr>
          </w:p>
          <w:p w14:paraId="57717065" w14:textId="77777777" w:rsidR="00747EE9" w:rsidRPr="00762B0A" w:rsidRDefault="00747EE9" w:rsidP="00620C70">
            <w:pPr>
              <w:jc w:val="center"/>
              <w:rPr>
                <w:rFonts w:eastAsia="Times New Roman" w:cs="Times New Roman"/>
                <w:color w:val="000000"/>
                <w:sz w:val="22"/>
                <w:lang w:eastAsia="lv-LV"/>
              </w:rPr>
            </w:pPr>
          </w:p>
          <w:p w14:paraId="35F1BAC5" w14:textId="77777777" w:rsidR="00747EE9" w:rsidRPr="00762B0A" w:rsidRDefault="00747EE9" w:rsidP="00620C70">
            <w:pPr>
              <w:jc w:val="center"/>
              <w:rPr>
                <w:rFonts w:eastAsia="Times New Roman" w:cs="Times New Roman"/>
                <w:color w:val="000000"/>
                <w:sz w:val="22"/>
                <w:lang w:eastAsia="lv-LV"/>
              </w:rPr>
            </w:pPr>
            <w:r w:rsidRPr="00762B0A">
              <w:rPr>
                <w:rFonts w:eastAsia="Times New Roman" w:cs="Times New Roman"/>
                <w:color w:val="000000"/>
                <w:sz w:val="22"/>
                <w:lang w:eastAsia="lv-LV"/>
              </w:rPr>
              <w:t>Izmaiņu ietekme uz B.9</w:t>
            </w:r>
          </w:p>
        </w:tc>
        <w:tc>
          <w:tcPr>
            <w:tcW w:w="4594" w:type="dxa"/>
            <w:noWrap/>
            <w:hideMark/>
          </w:tcPr>
          <w:p w14:paraId="1596D682"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Nodokļu ieņēmumi</w:t>
            </w:r>
          </w:p>
        </w:tc>
        <w:tc>
          <w:tcPr>
            <w:tcW w:w="1817" w:type="dxa"/>
            <w:noWrap/>
            <w:vAlign w:val="center"/>
            <w:hideMark/>
          </w:tcPr>
          <w:p w14:paraId="56B002E1"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0,42</w:t>
            </w:r>
          </w:p>
        </w:tc>
      </w:tr>
      <w:tr w:rsidR="00747EE9" w:rsidRPr="00762B0A" w14:paraId="1CA3A3F4"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76CB9D6"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51223722"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CE7A9A">
              <w:rPr>
                <w:rFonts w:eastAsia="Times New Roman" w:cs="Times New Roman"/>
                <w:color w:val="000000"/>
                <w:sz w:val="22"/>
                <w:lang w:eastAsia="lv-LV"/>
              </w:rPr>
              <w:t>Nenodokļu</w:t>
            </w:r>
            <w:proofErr w:type="spellEnd"/>
            <w:r w:rsidRPr="00CE7A9A">
              <w:rPr>
                <w:rFonts w:eastAsia="Times New Roman" w:cs="Times New Roman"/>
                <w:color w:val="000000"/>
                <w:sz w:val="22"/>
                <w:lang w:eastAsia="lv-LV"/>
              </w:rPr>
              <w:t xml:space="preserve"> ieņēmumi</w:t>
            </w:r>
          </w:p>
        </w:tc>
        <w:tc>
          <w:tcPr>
            <w:tcW w:w="1817" w:type="dxa"/>
            <w:noWrap/>
            <w:vAlign w:val="center"/>
            <w:hideMark/>
          </w:tcPr>
          <w:p w14:paraId="28A9FEE0"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0,35</w:t>
            </w:r>
          </w:p>
        </w:tc>
      </w:tr>
      <w:tr w:rsidR="00747EE9" w:rsidRPr="00762B0A" w14:paraId="3370354A"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CD5938B"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388A1569"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Pašu ieņēmumi un maksas pakalpojumi</w:t>
            </w:r>
          </w:p>
        </w:tc>
        <w:tc>
          <w:tcPr>
            <w:tcW w:w="1817" w:type="dxa"/>
            <w:noWrap/>
            <w:vAlign w:val="center"/>
            <w:hideMark/>
          </w:tcPr>
          <w:p w14:paraId="246435C9"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0,11</w:t>
            </w:r>
          </w:p>
        </w:tc>
      </w:tr>
      <w:tr w:rsidR="00747EE9" w:rsidRPr="00762B0A" w14:paraId="7B67BDCC"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2B9267B"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44062B47"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Pamatbudžeta pamatfunkciju primārie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3BB72087"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0,20</w:t>
            </w:r>
          </w:p>
        </w:tc>
      </w:tr>
      <w:tr w:rsidR="00747EE9" w:rsidRPr="00762B0A" w14:paraId="5A107001"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5E92462"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6C25A561"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Speciālā budžeta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7B467C03"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0,24</w:t>
            </w:r>
          </w:p>
        </w:tc>
      </w:tr>
      <w:tr w:rsidR="00747EE9" w:rsidRPr="00762B0A" w14:paraId="1D0418DC"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3A5CC60"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4A9E5BF0"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Pašvaldību budžeta pamatfunkciju primārie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3839D098"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-0,40</w:t>
            </w:r>
          </w:p>
        </w:tc>
      </w:tr>
      <w:tr w:rsidR="00747EE9" w:rsidRPr="00762B0A" w14:paraId="34EDA8D6"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13A67E5"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78B089F7"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Atvasināto publisko personu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27A9B767"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0,04</w:t>
            </w:r>
          </w:p>
        </w:tc>
      </w:tr>
      <w:tr w:rsidR="00747EE9" w:rsidRPr="00762B0A" w14:paraId="5FB42DAD"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1C72D8FC" w14:textId="77777777" w:rsidR="00747EE9" w:rsidRPr="00762B0A" w:rsidRDefault="00747EE9" w:rsidP="00620C70">
            <w:pPr>
              <w:rPr>
                <w:rFonts w:eastAsia="Times New Roman" w:cs="Times New Roman"/>
                <w:color w:val="000000"/>
                <w:sz w:val="22"/>
                <w:lang w:eastAsia="lv-LV"/>
              </w:rPr>
            </w:pPr>
          </w:p>
        </w:tc>
        <w:tc>
          <w:tcPr>
            <w:tcW w:w="4594" w:type="dxa"/>
            <w:noWrap/>
          </w:tcPr>
          <w:p w14:paraId="7CFAFAB5"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Procentu izdevumi </w:t>
            </w:r>
          </w:p>
        </w:tc>
        <w:tc>
          <w:tcPr>
            <w:tcW w:w="1817" w:type="dxa"/>
            <w:noWrap/>
            <w:vAlign w:val="center"/>
          </w:tcPr>
          <w:p w14:paraId="4370F6AD"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-0,16</w:t>
            </w:r>
          </w:p>
        </w:tc>
      </w:tr>
      <w:tr w:rsidR="00747EE9" w:rsidRPr="00762B0A" w14:paraId="468E06AA"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E493618"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79ACEDF0"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Pieklasificēto komersantu bilance</w:t>
            </w:r>
          </w:p>
        </w:tc>
        <w:tc>
          <w:tcPr>
            <w:tcW w:w="1817" w:type="dxa"/>
            <w:noWrap/>
            <w:vAlign w:val="center"/>
            <w:hideMark/>
          </w:tcPr>
          <w:p w14:paraId="7A310B5E"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-0,26</w:t>
            </w:r>
          </w:p>
        </w:tc>
      </w:tr>
      <w:tr w:rsidR="00747EE9" w:rsidRPr="00762B0A" w14:paraId="1D525F0E"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1A288CA"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63668FD6"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ĀFP nacionālā līdzfinansējuma izdevumi</w:t>
            </w:r>
          </w:p>
        </w:tc>
        <w:tc>
          <w:tcPr>
            <w:tcW w:w="1817" w:type="dxa"/>
            <w:noWrap/>
            <w:vAlign w:val="center"/>
            <w:hideMark/>
          </w:tcPr>
          <w:p w14:paraId="70A8F881"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-0,56</w:t>
            </w:r>
          </w:p>
        </w:tc>
      </w:tr>
      <w:tr w:rsidR="00747EE9" w:rsidRPr="00762B0A" w14:paraId="25A99E51"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C156F07"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5D5162AB"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Pārējās izmaiņas</w:t>
            </w:r>
          </w:p>
        </w:tc>
        <w:tc>
          <w:tcPr>
            <w:tcW w:w="1817" w:type="dxa"/>
            <w:noWrap/>
            <w:vAlign w:val="center"/>
            <w:hideMark/>
          </w:tcPr>
          <w:p w14:paraId="16430F2B"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0,19</w:t>
            </w:r>
          </w:p>
        </w:tc>
      </w:tr>
      <w:tr w:rsidR="00747EE9" w:rsidRPr="00762B0A" w14:paraId="29C15DBC"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72B5E04" w14:textId="77777777" w:rsidR="00747EE9" w:rsidRPr="00762B0A" w:rsidRDefault="00747EE9" w:rsidP="00620C70">
            <w:pPr>
              <w:jc w:val="center"/>
              <w:rPr>
                <w:rFonts w:eastAsia="Times New Roman" w:cs="Times New Roman"/>
                <w:color w:val="000000"/>
                <w:sz w:val="22"/>
                <w:lang w:eastAsia="lv-LV"/>
              </w:rPr>
            </w:pPr>
            <w:r w:rsidRPr="00762B0A">
              <w:rPr>
                <w:rFonts w:eastAsia="Times New Roman" w:cs="Times New Roman"/>
                <w:color w:val="000000"/>
                <w:sz w:val="22"/>
                <w:lang w:eastAsia="lv-LV"/>
              </w:rPr>
              <w:t>2018.gada izpilde</w:t>
            </w:r>
          </w:p>
        </w:tc>
        <w:tc>
          <w:tcPr>
            <w:tcW w:w="4594" w:type="dxa"/>
            <w:noWrap/>
            <w:hideMark/>
          </w:tcPr>
          <w:p w14:paraId="55C2C26D"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Vispārējās valdības sektora B.9</w:t>
            </w:r>
          </w:p>
        </w:tc>
        <w:tc>
          <w:tcPr>
            <w:tcW w:w="1817" w:type="dxa"/>
            <w:noWrap/>
            <w:vAlign w:val="center"/>
            <w:hideMark/>
          </w:tcPr>
          <w:p w14:paraId="2BA9BCEB"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-0,8</w:t>
            </w:r>
          </w:p>
        </w:tc>
      </w:tr>
    </w:tbl>
    <w:p w14:paraId="7A35D161" w14:textId="77777777" w:rsidR="00747EE9" w:rsidRPr="00B14FC9" w:rsidRDefault="00747EE9" w:rsidP="00747EE9">
      <w:pPr>
        <w:spacing w:before="120" w:after="0" w:line="240" w:lineRule="auto"/>
        <w:ind w:firstLine="720"/>
        <w:jc w:val="both"/>
        <w:rPr>
          <w:rFonts w:ascii="Times New Roman" w:hAnsi="Times New Roman" w:cs="Times New Roman"/>
          <w:bCs/>
          <w:sz w:val="16"/>
          <w:szCs w:val="16"/>
        </w:rPr>
      </w:pPr>
    </w:p>
    <w:p w14:paraId="7DAE7F81" w14:textId="77777777" w:rsidR="00747EE9" w:rsidRPr="0010758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Atbilstoši faktiskajai izpildei </w:t>
      </w:r>
      <w:r w:rsidRPr="00107589">
        <w:rPr>
          <w:rFonts w:ascii="Times New Roman" w:hAnsi="Times New Roman" w:cs="Times New Roman"/>
          <w:b/>
          <w:bCs/>
          <w:sz w:val="24"/>
          <w:szCs w:val="24"/>
        </w:rPr>
        <w:t xml:space="preserve">2018.gada vispārējās valdības budžeta deficīts </w:t>
      </w:r>
      <w:r>
        <w:rPr>
          <w:rFonts w:ascii="Times New Roman" w:hAnsi="Times New Roman" w:cs="Times New Roman"/>
          <w:b/>
          <w:bCs/>
          <w:sz w:val="24"/>
          <w:szCs w:val="24"/>
        </w:rPr>
        <w:t>bija</w:t>
      </w:r>
      <w:r w:rsidRPr="00107589">
        <w:rPr>
          <w:rFonts w:ascii="Times New Roman" w:hAnsi="Times New Roman" w:cs="Times New Roman"/>
          <w:b/>
          <w:bCs/>
          <w:sz w:val="24"/>
          <w:szCs w:val="24"/>
        </w:rPr>
        <w:t xml:space="preserve"> </w:t>
      </w:r>
      <w:r>
        <w:rPr>
          <w:rFonts w:ascii="Times New Roman" w:hAnsi="Times New Roman" w:cs="Times New Roman"/>
          <w:b/>
          <w:bCs/>
          <w:sz w:val="24"/>
          <w:szCs w:val="24"/>
        </w:rPr>
        <w:t>0,8</w:t>
      </w:r>
      <w:r w:rsidRPr="00107589">
        <w:rPr>
          <w:rFonts w:ascii="Times New Roman" w:hAnsi="Times New Roman" w:cs="Times New Roman"/>
          <w:b/>
          <w:bCs/>
          <w:sz w:val="24"/>
          <w:szCs w:val="24"/>
        </w:rPr>
        <w:t xml:space="preserve">% no IKP apjomā, </w:t>
      </w:r>
      <w:r>
        <w:rPr>
          <w:rFonts w:ascii="Times New Roman" w:hAnsi="Times New Roman" w:cs="Times New Roman"/>
          <w:b/>
          <w:bCs/>
          <w:sz w:val="24"/>
          <w:szCs w:val="24"/>
        </w:rPr>
        <w:t>kas ir zemāks kā</w:t>
      </w:r>
      <w:r w:rsidRPr="001C4DDC">
        <w:rPr>
          <w:rFonts w:ascii="Times New Roman" w:hAnsi="Times New Roman" w:cs="Times New Roman"/>
          <w:b/>
          <w:bCs/>
          <w:sz w:val="24"/>
          <w:szCs w:val="24"/>
        </w:rPr>
        <w:t xml:space="preserve"> likumā</w:t>
      </w:r>
      <w:r>
        <w:rPr>
          <w:rFonts w:ascii="Times New Roman" w:hAnsi="Times New Roman" w:cs="Times New Roman"/>
          <w:b/>
          <w:bCs/>
          <w:sz w:val="24"/>
          <w:szCs w:val="24"/>
        </w:rPr>
        <w:t xml:space="preserve"> plānotais</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vispārējās valdības</w:t>
      </w:r>
      <w:r w:rsidRPr="001C4DDC">
        <w:rPr>
          <w:rFonts w:ascii="Times New Roman" w:hAnsi="Times New Roman" w:cs="Times New Roman"/>
          <w:b/>
          <w:bCs/>
          <w:sz w:val="24"/>
          <w:szCs w:val="24"/>
        </w:rPr>
        <w:t xml:space="preserve"> budžeta </w:t>
      </w:r>
      <w:r>
        <w:rPr>
          <w:rFonts w:ascii="Times New Roman" w:hAnsi="Times New Roman" w:cs="Times New Roman"/>
          <w:b/>
          <w:bCs/>
          <w:sz w:val="24"/>
          <w:szCs w:val="24"/>
        </w:rPr>
        <w:t>deficīta</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līmenis</w:t>
      </w:r>
      <w:r>
        <w:rPr>
          <w:rFonts w:ascii="Times New Roman" w:hAnsi="Times New Roman" w:cs="Times New Roman"/>
          <w:bCs/>
          <w:sz w:val="24"/>
          <w:szCs w:val="24"/>
        </w:rPr>
        <w:t>.</w:t>
      </w:r>
    </w:p>
    <w:p w14:paraId="2A5E6F13" w14:textId="77777777" w:rsidR="00747EE9" w:rsidRDefault="00747EE9" w:rsidP="00747EE9">
      <w:pPr>
        <w:spacing w:after="0" w:line="240" w:lineRule="auto"/>
        <w:ind w:firstLine="720"/>
        <w:jc w:val="both"/>
        <w:rPr>
          <w:rFonts w:ascii="Times New Roman" w:hAnsi="Times New Roman" w:cs="Times New Roman"/>
          <w:bCs/>
          <w:sz w:val="24"/>
          <w:szCs w:val="24"/>
        </w:rPr>
      </w:pPr>
      <w:r w:rsidRPr="00D25EF5">
        <w:rPr>
          <w:rFonts w:ascii="Times New Roman" w:hAnsi="Times New Roman" w:cs="Times New Roman"/>
          <w:bCs/>
          <w:sz w:val="24"/>
          <w:szCs w:val="24"/>
        </w:rPr>
        <w:t>Nodo</w:t>
      </w:r>
      <w:r>
        <w:rPr>
          <w:rFonts w:ascii="Times New Roman" w:hAnsi="Times New Roman" w:cs="Times New Roman"/>
          <w:bCs/>
          <w:sz w:val="24"/>
          <w:szCs w:val="24"/>
        </w:rPr>
        <w:t xml:space="preserve">kļu ieņēmumi un </w:t>
      </w:r>
      <w:proofErr w:type="spellStart"/>
      <w:r>
        <w:rPr>
          <w:rFonts w:ascii="Times New Roman" w:hAnsi="Times New Roman" w:cs="Times New Roman"/>
          <w:bCs/>
          <w:sz w:val="24"/>
          <w:szCs w:val="24"/>
        </w:rPr>
        <w:t>nenodokļu</w:t>
      </w:r>
      <w:proofErr w:type="spellEnd"/>
      <w:r>
        <w:rPr>
          <w:rFonts w:ascii="Times New Roman" w:hAnsi="Times New Roman" w:cs="Times New Roman"/>
          <w:bCs/>
          <w:sz w:val="24"/>
          <w:szCs w:val="24"/>
        </w:rPr>
        <w:t xml:space="preserve"> ieņēmumi bija par 0,42% un 0,35% no IKP lielāki kā plānots budžeta likumā 2018.gadam. Būtisku nodokļu pieaugumu nodrošināja uzņēmumu ienākuma nodoklis (UIN), kura faktiskā izpilde ir par 0,25% no IKP augstāka kā budžeta likumā prognozētā. UIN pieauguši ņemot vērā strauju iemaksu kāpumu pēc deklarāciju par 2017.gadu iesniegšanas. Atbilstoši uzņēmumu iesniegtajām deklarācijām uzņēmumu saimnieciskās darbības rādītāji bija labāki kā iepriekš prognozēts. Savukārt </w:t>
      </w:r>
      <w:proofErr w:type="spellStart"/>
      <w:r>
        <w:rPr>
          <w:rFonts w:ascii="Times New Roman" w:hAnsi="Times New Roman" w:cs="Times New Roman"/>
          <w:bCs/>
          <w:sz w:val="24"/>
          <w:szCs w:val="24"/>
        </w:rPr>
        <w:t>nenodokļu</w:t>
      </w:r>
      <w:proofErr w:type="spellEnd"/>
      <w:r>
        <w:rPr>
          <w:rFonts w:ascii="Times New Roman" w:hAnsi="Times New Roman" w:cs="Times New Roman"/>
          <w:bCs/>
          <w:sz w:val="24"/>
          <w:szCs w:val="24"/>
        </w:rPr>
        <w:t xml:space="preserve"> izpilde ir augstāka kā prognozēts ņemot vērā AS “Latvenergo” virspeļņas dividendes 0,21% apmērā no IKP. Jāpiebilst, </w:t>
      </w:r>
      <w:r w:rsidRPr="00BA6351">
        <w:rPr>
          <w:rFonts w:ascii="Times New Roman" w:hAnsi="Times New Roman" w:cs="Times New Roman"/>
          <w:bCs/>
          <w:sz w:val="24"/>
          <w:szCs w:val="24"/>
        </w:rPr>
        <w:t xml:space="preserve">ka virspeļņas dividendēm </w:t>
      </w:r>
      <w:r>
        <w:rPr>
          <w:rFonts w:ascii="Times New Roman" w:hAnsi="Times New Roman" w:cs="Times New Roman"/>
          <w:bCs/>
          <w:sz w:val="24"/>
          <w:szCs w:val="24"/>
        </w:rPr>
        <w:t>ir</w:t>
      </w:r>
      <w:r w:rsidRPr="00BA6351">
        <w:rPr>
          <w:rFonts w:ascii="Times New Roman" w:hAnsi="Times New Roman" w:cs="Times New Roman"/>
          <w:bCs/>
          <w:sz w:val="24"/>
          <w:szCs w:val="24"/>
        </w:rPr>
        <w:t xml:space="preserve"> neitrāla ietekme uz vispārējās valdības budžeta bilanci, jo </w:t>
      </w:r>
      <w:r>
        <w:rPr>
          <w:rFonts w:ascii="Times New Roman" w:hAnsi="Times New Roman" w:cs="Times New Roman"/>
          <w:bCs/>
          <w:sz w:val="24"/>
          <w:szCs w:val="24"/>
        </w:rPr>
        <w:t>tika</w:t>
      </w:r>
      <w:r w:rsidRPr="00BA6351">
        <w:rPr>
          <w:rFonts w:ascii="Times New Roman" w:hAnsi="Times New Roman" w:cs="Times New Roman"/>
          <w:bCs/>
          <w:sz w:val="24"/>
          <w:szCs w:val="24"/>
        </w:rPr>
        <w:t xml:space="preserve"> </w:t>
      </w:r>
      <w:r w:rsidRPr="00BA6351">
        <w:rPr>
          <w:rFonts w:ascii="Times New Roman" w:hAnsi="Times New Roman" w:cs="Times New Roman"/>
          <w:sz w:val="24"/>
          <w:szCs w:val="24"/>
        </w:rPr>
        <w:t xml:space="preserve">atzīti atbilstoši izdevumi, lai mazinātu </w:t>
      </w:r>
      <w:r>
        <w:rPr>
          <w:rFonts w:ascii="Times New Roman" w:hAnsi="Times New Roman" w:cs="Times New Roman"/>
          <w:sz w:val="24"/>
          <w:szCs w:val="24"/>
        </w:rPr>
        <w:t>OIK</w:t>
      </w:r>
      <w:r w:rsidRPr="00BA6351">
        <w:rPr>
          <w:rFonts w:ascii="Times New Roman" w:hAnsi="Times New Roman" w:cs="Times New Roman"/>
          <w:sz w:val="24"/>
          <w:szCs w:val="24"/>
        </w:rPr>
        <w:t xml:space="preserve"> apjomu elektroenerģijas gala lietotājiem</w:t>
      </w:r>
      <w:r>
        <w:rPr>
          <w:rFonts w:ascii="Times New Roman" w:hAnsi="Times New Roman" w:cs="Times New Roman"/>
          <w:sz w:val="24"/>
          <w:szCs w:val="24"/>
        </w:rPr>
        <w:t xml:space="preserve"> (atbilstoši izdevumi ir atzīti pieklasificēto uzņēmumu bilancē</w:t>
      </w:r>
      <w:r>
        <w:rPr>
          <w:rFonts w:ascii="Times New Roman" w:hAnsi="Times New Roman" w:cs="Times New Roman"/>
          <w:bCs/>
          <w:sz w:val="24"/>
          <w:szCs w:val="24"/>
        </w:rPr>
        <w:t>).</w:t>
      </w:r>
      <w:r>
        <w:rPr>
          <w:rFonts w:ascii="Times New Roman" w:hAnsi="Times New Roman" w:cs="Times New Roman"/>
          <w:sz w:val="24"/>
          <w:szCs w:val="24"/>
        </w:rPr>
        <w:t xml:space="preserve"> </w:t>
      </w:r>
    </w:p>
    <w:p w14:paraId="03D80572" w14:textId="77777777"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Pamatbudžeta pamatfunkciju primārie izdevumi ir zemākā apjomā kā sākotnēji plānots, kā rezultātā vispārējā valdības budžeta bilancē veidojas ietaupījums 0,20% apmērā no IKP. Ietaupījumu 0,09% apmērā no IKP nodrošināja iemaksu samazinājums ES budžetā. Speciālā budžeta izdevumi ir zemāki kā sākotnēji plānots, kā rezultātā vispārējā valdības budžeta bilancē veidojas ietaupījums 0,24% apmērā no IKP, ko nodrošina zemākas sociālo pabalstu izmaksas (0,18%) un zemāki izdevumi pensijām (0,06%).</w:t>
      </w:r>
    </w:p>
    <w:p w14:paraId="11559C37" w14:textId="3E0B48DD"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Pašvaldību budžeta pamatfunkciju primārie izdevumi ir par 0,40% no IKP augstāki kā plānots. Būtisk</w:t>
      </w:r>
      <w:r w:rsidR="00E76685">
        <w:rPr>
          <w:rFonts w:ascii="Times New Roman" w:hAnsi="Times New Roman" w:cs="Times New Roman"/>
          <w:bCs/>
          <w:sz w:val="24"/>
          <w:szCs w:val="24"/>
        </w:rPr>
        <w:t>u</w:t>
      </w:r>
      <w:r>
        <w:rPr>
          <w:rFonts w:ascii="Times New Roman" w:hAnsi="Times New Roman" w:cs="Times New Roman"/>
          <w:bCs/>
          <w:sz w:val="24"/>
          <w:szCs w:val="24"/>
        </w:rPr>
        <w:t xml:space="preserve"> pieaugumu nodrošina pamatfunkciju kapitālie izdevumi, kas pieauga par 0,32% no IKP un augstāki izdevumi precēm un pakalpojumiem, kas veicināja kopējo uzturēšanas izdevumu pieaugumu par 0,08% no IKP. </w:t>
      </w:r>
    </w:p>
    <w:p w14:paraId="1C56AD7E" w14:textId="469812A2"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Lielāko ietekmi uz vispārējās valdības budžeta bilances deficītu veidoja lielāki nacionālie līdzfinansējuma izdevumi ĀFP projektu realizācijai, tostarp ES fondu projektu realizācijai. Izdevumi </w:t>
      </w:r>
      <w:r w:rsidRPr="0020713B">
        <w:rPr>
          <w:rFonts w:ascii="Times New Roman" w:hAnsi="Times New Roman" w:cs="Times New Roman"/>
          <w:bCs/>
          <w:sz w:val="24"/>
          <w:szCs w:val="24"/>
        </w:rPr>
        <w:t xml:space="preserve">ĀFP projektiem pieaug gan valsts pamatbudžetā, </w:t>
      </w:r>
      <w:r w:rsidR="0020713B" w:rsidRPr="0020713B">
        <w:rPr>
          <w:rFonts w:ascii="Times New Roman" w:hAnsi="Times New Roman" w:cs="Times New Roman"/>
          <w:bCs/>
          <w:sz w:val="24"/>
          <w:szCs w:val="24"/>
        </w:rPr>
        <w:t xml:space="preserve">gan </w:t>
      </w:r>
      <w:r w:rsidRPr="0020713B">
        <w:rPr>
          <w:rFonts w:ascii="Times New Roman" w:hAnsi="Times New Roman" w:cs="Times New Roman"/>
          <w:bCs/>
          <w:sz w:val="24"/>
          <w:szCs w:val="24"/>
        </w:rPr>
        <w:t>pašvaldību budžetā.</w:t>
      </w:r>
      <w:r>
        <w:rPr>
          <w:rFonts w:ascii="Times New Roman" w:hAnsi="Times New Roman" w:cs="Times New Roman"/>
          <w:bCs/>
          <w:sz w:val="24"/>
          <w:szCs w:val="24"/>
        </w:rPr>
        <w:t xml:space="preserve"> </w:t>
      </w:r>
    </w:p>
    <w:p w14:paraId="444A8780" w14:textId="77777777" w:rsidR="00747EE9" w:rsidRDefault="00747EE9" w:rsidP="00747EE9">
      <w:pPr>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Pārējās izmaiņas veidoja 0,19% no IKP, no kurām debitoru un kreditoru plūsmas ietekme uz vispārējās valdības budžeta bilanci vērtējama 0,04% no IKP apmērā. Līdzīgi kā 2017.gadā, 2018.gadā fiskālā nodrošinājuma rezerve nodrošināja ietaupījumu 0,1% apmērā no IKP. </w:t>
      </w:r>
    </w:p>
    <w:p w14:paraId="6C8A01C9" w14:textId="77777777" w:rsidR="003E61EE" w:rsidRDefault="003E61EE" w:rsidP="00747EE9">
      <w:pPr>
        <w:spacing w:before="120"/>
        <w:jc w:val="right"/>
        <w:rPr>
          <w:rFonts w:ascii="Times New Roman" w:hAnsi="Times New Roman" w:cs="Times New Roman"/>
          <w:b/>
          <w:bCs/>
          <w:sz w:val="24"/>
          <w:szCs w:val="24"/>
        </w:rPr>
      </w:pPr>
    </w:p>
    <w:p w14:paraId="28BECE23" w14:textId="77777777" w:rsidR="003E61EE" w:rsidRDefault="003E61EE" w:rsidP="00747EE9">
      <w:pPr>
        <w:spacing w:before="120"/>
        <w:jc w:val="right"/>
        <w:rPr>
          <w:rFonts w:ascii="Times New Roman" w:hAnsi="Times New Roman" w:cs="Times New Roman"/>
          <w:b/>
          <w:bCs/>
          <w:sz w:val="24"/>
          <w:szCs w:val="24"/>
        </w:rPr>
      </w:pPr>
    </w:p>
    <w:p w14:paraId="0F711671" w14:textId="77777777" w:rsidR="003E61EE" w:rsidRDefault="003E61EE" w:rsidP="00747EE9">
      <w:pPr>
        <w:spacing w:before="120"/>
        <w:jc w:val="right"/>
        <w:rPr>
          <w:rFonts w:ascii="Times New Roman" w:hAnsi="Times New Roman" w:cs="Times New Roman"/>
          <w:b/>
          <w:bCs/>
          <w:sz w:val="24"/>
          <w:szCs w:val="24"/>
        </w:rPr>
      </w:pPr>
    </w:p>
    <w:p w14:paraId="7A3D1356" w14:textId="2C107BFB"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lastRenderedPageBreak/>
        <w:t>Tabula Nr.</w:t>
      </w:r>
      <w:r w:rsidR="00A1461C">
        <w:rPr>
          <w:rFonts w:ascii="Times New Roman" w:hAnsi="Times New Roman" w:cs="Times New Roman"/>
          <w:b/>
          <w:bCs/>
          <w:sz w:val="24"/>
          <w:szCs w:val="24"/>
        </w:rPr>
        <w:t>7.3</w:t>
      </w:r>
      <w:r w:rsidRPr="000E5816">
        <w:rPr>
          <w:rFonts w:ascii="Times New Roman" w:hAnsi="Times New Roman" w:cs="Times New Roman"/>
          <w:b/>
          <w:bCs/>
          <w:sz w:val="24"/>
          <w:szCs w:val="24"/>
        </w:rPr>
        <w:t xml:space="preserve"> Izmaiņas vispārējās valdības sektora fiskālajā bilancē 201</w:t>
      </w:r>
      <w:r>
        <w:rPr>
          <w:rFonts w:ascii="Times New Roman" w:hAnsi="Times New Roman" w:cs="Times New Roman"/>
          <w:b/>
          <w:bCs/>
          <w:sz w:val="24"/>
          <w:szCs w:val="24"/>
        </w:rPr>
        <w:t>9</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19E5ED82"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41BC248"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07F8F756"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7535540A"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p>
        </w:tc>
      </w:tr>
      <w:tr w:rsidR="00747EE9" w:rsidRPr="00120DF9" w14:paraId="127A26A7"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4D56108"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2019.gadam</w:t>
            </w:r>
          </w:p>
        </w:tc>
        <w:tc>
          <w:tcPr>
            <w:tcW w:w="4594" w:type="dxa"/>
            <w:noWrap/>
            <w:hideMark/>
          </w:tcPr>
          <w:p w14:paraId="28F82A5A"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537D8C3F"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-0,5</w:t>
            </w:r>
          </w:p>
        </w:tc>
      </w:tr>
      <w:tr w:rsidR="00747EE9" w:rsidRPr="00120DF9" w14:paraId="27F69B1E"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73299F5E" w14:textId="77777777" w:rsidR="00747EE9" w:rsidRPr="00120DF9" w:rsidRDefault="00747EE9" w:rsidP="00620C70">
            <w:pPr>
              <w:jc w:val="center"/>
              <w:rPr>
                <w:rFonts w:eastAsia="Times New Roman" w:cs="Times New Roman"/>
                <w:color w:val="000000"/>
                <w:sz w:val="22"/>
                <w:lang w:eastAsia="lv-LV"/>
              </w:rPr>
            </w:pPr>
          </w:p>
          <w:p w14:paraId="1ED3DD06" w14:textId="77777777" w:rsidR="00747EE9" w:rsidRPr="00120DF9" w:rsidRDefault="00747EE9" w:rsidP="00620C70">
            <w:pPr>
              <w:jc w:val="center"/>
              <w:rPr>
                <w:rFonts w:eastAsia="Times New Roman" w:cs="Times New Roman"/>
                <w:color w:val="000000"/>
                <w:sz w:val="22"/>
                <w:lang w:eastAsia="lv-LV"/>
              </w:rPr>
            </w:pPr>
          </w:p>
          <w:p w14:paraId="40D2FD08" w14:textId="77777777" w:rsidR="00747EE9" w:rsidRPr="00120DF9" w:rsidRDefault="00747EE9" w:rsidP="00620C70">
            <w:pPr>
              <w:jc w:val="center"/>
              <w:rPr>
                <w:rFonts w:eastAsia="Times New Roman" w:cs="Times New Roman"/>
                <w:color w:val="000000"/>
                <w:sz w:val="22"/>
                <w:lang w:eastAsia="lv-LV"/>
              </w:rPr>
            </w:pPr>
          </w:p>
          <w:p w14:paraId="7941EB2D" w14:textId="77777777" w:rsidR="00747EE9" w:rsidRPr="00120DF9" w:rsidRDefault="00747EE9" w:rsidP="00620C70">
            <w:pPr>
              <w:jc w:val="center"/>
              <w:rPr>
                <w:rFonts w:eastAsia="Times New Roman" w:cs="Times New Roman"/>
                <w:color w:val="000000"/>
                <w:sz w:val="22"/>
                <w:lang w:eastAsia="lv-LV"/>
              </w:rPr>
            </w:pPr>
          </w:p>
          <w:p w14:paraId="70E8244A" w14:textId="77777777" w:rsidR="00747EE9" w:rsidRPr="00120DF9" w:rsidRDefault="00747EE9" w:rsidP="00620C70">
            <w:pPr>
              <w:jc w:val="center"/>
              <w:rPr>
                <w:rFonts w:eastAsia="Times New Roman" w:cs="Times New Roman"/>
                <w:color w:val="000000"/>
                <w:sz w:val="22"/>
                <w:lang w:eastAsia="lv-LV"/>
              </w:rPr>
            </w:pPr>
          </w:p>
          <w:p w14:paraId="14C53055"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6BDBF3A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1817" w:type="dxa"/>
            <w:noWrap/>
            <w:vAlign w:val="center"/>
            <w:hideMark/>
          </w:tcPr>
          <w:p w14:paraId="7020735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0,17</w:t>
            </w:r>
          </w:p>
        </w:tc>
      </w:tr>
      <w:tr w:rsidR="00747EE9" w:rsidRPr="00120DF9" w14:paraId="7C12D92E"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AA989C4"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15170311"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1817" w:type="dxa"/>
            <w:noWrap/>
            <w:vAlign w:val="center"/>
            <w:hideMark/>
          </w:tcPr>
          <w:p w14:paraId="2EDD5501"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-0,34</w:t>
            </w:r>
          </w:p>
        </w:tc>
      </w:tr>
      <w:tr w:rsidR="00747EE9" w:rsidRPr="00120DF9" w14:paraId="4DE95B6E"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A22C766"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348807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1817" w:type="dxa"/>
            <w:noWrap/>
            <w:vAlign w:val="center"/>
            <w:hideMark/>
          </w:tcPr>
          <w:p w14:paraId="2F759BDE"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0FA93CD3"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C656541"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8EA1D5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875862D"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263AC2C3"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A8F2146"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FFC643B"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609DF13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6C0C33E1"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74E842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A300FA0"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00D44FF6"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2D728580"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B2F42B1"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F1E3A5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55B21F95"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0,00</w:t>
            </w:r>
          </w:p>
        </w:tc>
      </w:tr>
      <w:tr w:rsidR="00747EE9" w:rsidRPr="00120DF9" w14:paraId="395CD446"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1D784855" w14:textId="77777777" w:rsidR="00747EE9" w:rsidRPr="00120DF9" w:rsidRDefault="00747EE9" w:rsidP="00620C70">
            <w:pPr>
              <w:rPr>
                <w:rFonts w:eastAsia="Times New Roman" w:cs="Times New Roman"/>
                <w:color w:val="000000"/>
                <w:sz w:val="22"/>
                <w:lang w:eastAsia="lv-LV"/>
              </w:rPr>
            </w:pPr>
          </w:p>
        </w:tc>
        <w:tc>
          <w:tcPr>
            <w:tcW w:w="4594" w:type="dxa"/>
            <w:noWrap/>
          </w:tcPr>
          <w:p w14:paraId="2A7BADA3"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65C1080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73FB04FF"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94846F7"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4D73AC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1817" w:type="dxa"/>
            <w:noWrap/>
            <w:vAlign w:val="center"/>
            <w:hideMark/>
          </w:tcPr>
          <w:p w14:paraId="6FF70EA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0C8780F3"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FFB981A"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2072C2E"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1817" w:type="dxa"/>
            <w:noWrap/>
            <w:vAlign w:val="center"/>
            <w:hideMark/>
          </w:tcPr>
          <w:p w14:paraId="1836E1F7"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-0,24</w:t>
            </w:r>
          </w:p>
        </w:tc>
      </w:tr>
      <w:tr w:rsidR="00747EE9" w:rsidRPr="00120DF9" w14:paraId="5A9A85B2"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56A90F1"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4473CE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1817" w:type="dxa"/>
            <w:noWrap/>
            <w:vAlign w:val="center"/>
            <w:hideMark/>
          </w:tcPr>
          <w:p w14:paraId="5BF82B1B"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0,16</w:t>
            </w:r>
          </w:p>
        </w:tc>
      </w:tr>
      <w:tr w:rsidR="00747EE9" w:rsidRPr="00120DF9" w14:paraId="18680B43"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507E42A"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4AC90BAE"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1DD1E5C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-0,6</w:t>
            </w:r>
          </w:p>
        </w:tc>
      </w:tr>
    </w:tbl>
    <w:p w14:paraId="6A84BD43" w14:textId="51F71230" w:rsidR="00747EE9" w:rsidRDefault="00747EE9" w:rsidP="00747EE9">
      <w:pPr>
        <w:spacing w:before="240" w:after="0" w:line="240" w:lineRule="auto"/>
        <w:ind w:firstLine="720"/>
        <w:jc w:val="both"/>
        <w:rPr>
          <w:rFonts w:ascii="Times New Roman" w:hAnsi="Times New Roman" w:cs="Times New Roman"/>
          <w:b/>
          <w:bCs/>
          <w:sz w:val="24"/>
          <w:szCs w:val="24"/>
        </w:rPr>
      </w:pPr>
      <w:r>
        <w:rPr>
          <w:rFonts w:ascii="Times New Roman" w:hAnsi="Times New Roman" w:cs="Times New Roman"/>
          <w:bCs/>
          <w:sz w:val="24"/>
          <w:szCs w:val="24"/>
        </w:rPr>
        <w:t>Pieļaujamais vispārējās valdības budžeta deficīts, atbilstoši 2019.gada budžeta likumam tika noteik</w:t>
      </w:r>
      <w:r w:rsidR="00B55065">
        <w:rPr>
          <w:rFonts w:ascii="Times New Roman" w:hAnsi="Times New Roman" w:cs="Times New Roman"/>
          <w:bCs/>
          <w:sz w:val="24"/>
          <w:szCs w:val="24"/>
        </w:rPr>
        <w:t>t</w:t>
      </w:r>
      <w:r>
        <w:rPr>
          <w:rFonts w:ascii="Times New Roman" w:hAnsi="Times New Roman" w:cs="Times New Roman"/>
          <w:bCs/>
          <w:sz w:val="24"/>
          <w:szCs w:val="24"/>
        </w:rPr>
        <w:t xml:space="preserve">s 0,5% apmērā no IKP. Ņemot vērā fiskālā nodrošinājuma rezervi, vispārējās valdības budžeta deficīts veidoja 0,6% no IKP. Atbilstoši CSP 2023.gada aprīļa vispārējās valdības budžeta notifikācijas datiem </w:t>
      </w:r>
      <w:r w:rsidRPr="008C4DD4">
        <w:rPr>
          <w:rFonts w:ascii="Times New Roman" w:hAnsi="Times New Roman" w:cs="Times New Roman"/>
          <w:b/>
          <w:bCs/>
          <w:sz w:val="24"/>
          <w:szCs w:val="24"/>
        </w:rPr>
        <w:t>v</w:t>
      </w:r>
      <w:r w:rsidRPr="00F7750E">
        <w:rPr>
          <w:rFonts w:ascii="Times New Roman" w:hAnsi="Times New Roman" w:cs="Times New Roman"/>
          <w:b/>
          <w:bCs/>
          <w:sz w:val="24"/>
          <w:szCs w:val="24"/>
        </w:rPr>
        <w:t xml:space="preserve">ispārējās </w:t>
      </w:r>
      <w:r>
        <w:rPr>
          <w:rFonts w:ascii="Times New Roman" w:hAnsi="Times New Roman" w:cs="Times New Roman"/>
          <w:b/>
          <w:bCs/>
          <w:sz w:val="24"/>
          <w:szCs w:val="24"/>
        </w:rPr>
        <w:t>valdības budžeta deficīts 2019.</w:t>
      </w:r>
      <w:r w:rsidRPr="00F7750E">
        <w:rPr>
          <w:rFonts w:ascii="Times New Roman" w:hAnsi="Times New Roman" w:cs="Times New Roman"/>
          <w:b/>
          <w:bCs/>
          <w:sz w:val="24"/>
          <w:szCs w:val="24"/>
        </w:rPr>
        <w:t>gadā bija 0,</w:t>
      </w:r>
      <w:r>
        <w:rPr>
          <w:rFonts w:ascii="Times New Roman" w:hAnsi="Times New Roman" w:cs="Times New Roman"/>
          <w:b/>
          <w:bCs/>
          <w:sz w:val="24"/>
          <w:szCs w:val="24"/>
        </w:rPr>
        <w:t>6</w:t>
      </w:r>
      <w:r w:rsidRPr="00F7750E">
        <w:rPr>
          <w:rFonts w:ascii="Times New Roman" w:hAnsi="Times New Roman" w:cs="Times New Roman"/>
          <w:b/>
          <w:bCs/>
          <w:sz w:val="24"/>
          <w:szCs w:val="24"/>
        </w:rPr>
        <w:t xml:space="preserve">% no IKP, kas </w:t>
      </w:r>
      <w:r>
        <w:rPr>
          <w:rFonts w:ascii="Times New Roman" w:hAnsi="Times New Roman" w:cs="Times New Roman"/>
          <w:b/>
          <w:bCs/>
          <w:sz w:val="24"/>
          <w:szCs w:val="24"/>
        </w:rPr>
        <w:t>atbilst</w:t>
      </w:r>
      <w:r w:rsidRPr="00F7750E">
        <w:rPr>
          <w:rFonts w:ascii="Times New Roman" w:hAnsi="Times New Roman" w:cs="Times New Roman"/>
          <w:b/>
          <w:bCs/>
          <w:sz w:val="24"/>
          <w:szCs w:val="24"/>
        </w:rPr>
        <w:t xml:space="preserve"> likumā plānota</w:t>
      </w:r>
      <w:r>
        <w:rPr>
          <w:rFonts w:ascii="Times New Roman" w:hAnsi="Times New Roman" w:cs="Times New Roman"/>
          <w:b/>
          <w:bCs/>
          <w:sz w:val="24"/>
          <w:szCs w:val="24"/>
        </w:rPr>
        <w:t>jam</w:t>
      </w:r>
      <w:r w:rsidRPr="00F7750E">
        <w:rPr>
          <w:rFonts w:ascii="Times New Roman" w:hAnsi="Times New Roman" w:cs="Times New Roman"/>
          <w:b/>
          <w:bCs/>
          <w:sz w:val="24"/>
          <w:szCs w:val="24"/>
        </w:rPr>
        <w:t xml:space="preserve"> vispārējās valdības budžeta deficīta līmeni</w:t>
      </w:r>
      <w:r>
        <w:rPr>
          <w:rFonts w:ascii="Times New Roman" w:hAnsi="Times New Roman" w:cs="Times New Roman"/>
          <w:b/>
          <w:bCs/>
          <w:sz w:val="24"/>
          <w:szCs w:val="24"/>
        </w:rPr>
        <w:t>m</w:t>
      </w:r>
      <w:r w:rsidRPr="00F7750E">
        <w:rPr>
          <w:rFonts w:ascii="Times New Roman" w:hAnsi="Times New Roman" w:cs="Times New Roman"/>
          <w:b/>
          <w:bCs/>
          <w:sz w:val="24"/>
          <w:szCs w:val="24"/>
        </w:rPr>
        <w:t>.</w:t>
      </w:r>
    </w:p>
    <w:p w14:paraId="015DAED3" w14:textId="77777777" w:rsidR="00747EE9" w:rsidRDefault="00747EE9" w:rsidP="00747EE9">
      <w:pPr>
        <w:spacing w:after="0" w:line="240" w:lineRule="auto"/>
        <w:ind w:firstLine="720"/>
        <w:jc w:val="both"/>
        <w:rPr>
          <w:rFonts w:ascii="Times New Roman" w:hAnsi="Times New Roman"/>
          <w:sz w:val="24"/>
          <w:szCs w:val="24"/>
        </w:rPr>
      </w:pPr>
      <w:r>
        <w:rPr>
          <w:rFonts w:ascii="Times New Roman" w:hAnsi="Times New Roman" w:cs="Times New Roman"/>
          <w:bCs/>
          <w:sz w:val="24"/>
          <w:szCs w:val="24"/>
        </w:rPr>
        <w:t xml:space="preserve">Lai arī kopējie nodokļu ieņēmumi uzlaboja vispārējās valdības budžeta bilanci tikai par 0,17% no IKP, tomēr vairākiem nodokļiem faktiskie izpildes rādītāji būtiski atšķīrās no plānotā apjoma. 2019.gadā, pieaugot nodarbinātībai un bruto darba samaksai, IIN ieņēmumi bija par 0,65% no IKP augstāki kā plānots budžeta likumā. Pateicoties situācijai darba tirgū, arī sociālās apdrošināšanas iemaksas bija par 0,23% no IKP augstākas kā plānots. Turpretim UIN ieņēmumi izrādījās par 0,52% no IKP zemāki kā plānots. UIN sakarā jāatzīmē sarežģītā ieņēmumu noprognozēšana, ņemot vērā nodokļu reformas efektu, kas stājās spēkā 2018.gada 1.janvārī. Ar UIN reformu tika noteikts, </w:t>
      </w:r>
      <w:r w:rsidRPr="00F7750E">
        <w:rPr>
          <w:rFonts w:ascii="Times New Roman" w:eastAsia="Calibri" w:hAnsi="Times New Roman"/>
          <w:sz w:val="24"/>
          <w:szCs w:val="24"/>
        </w:rPr>
        <w:t xml:space="preserve">ka </w:t>
      </w:r>
      <w:r w:rsidRPr="00F7750E">
        <w:rPr>
          <w:rFonts w:ascii="Times New Roman" w:hAnsi="Times New Roman"/>
          <w:sz w:val="24"/>
          <w:szCs w:val="24"/>
        </w:rPr>
        <w:t xml:space="preserve">2018.gada pirmajā pusgadā bija veicami avansa maksājumi saskaņā ar iepriekšējo nodokļa </w:t>
      </w:r>
      <w:r>
        <w:rPr>
          <w:rFonts w:ascii="Times New Roman" w:hAnsi="Times New Roman"/>
          <w:sz w:val="24"/>
          <w:szCs w:val="24"/>
        </w:rPr>
        <w:t>maksāšanas kārtību, taču 2019.</w:t>
      </w:r>
      <w:r w:rsidRPr="00F7750E">
        <w:rPr>
          <w:rFonts w:ascii="Times New Roman" w:hAnsi="Times New Roman"/>
          <w:sz w:val="24"/>
          <w:szCs w:val="24"/>
        </w:rPr>
        <w:t>gadā avansa maksājumi nebija jāveic</w:t>
      </w:r>
      <w:r>
        <w:rPr>
          <w:rFonts w:ascii="Times New Roman" w:hAnsi="Times New Roman"/>
          <w:sz w:val="24"/>
          <w:szCs w:val="24"/>
        </w:rPr>
        <w:t xml:space="preserve"> un UIN nodokli maksāja pie peļņas sadales</w:t>
      </w:r>
      <w:r w:rsidRPr="00F7750E">
        <w:rPr>
          <w:rFonts w:ascii="Times New Roman" w:hAnsi="Times New Roman"/>
          <w:sz w:val="24"/>
          <w:szCs w:val="24"/>
        </w:rPr>
        <w:t xml:space="preserve">, </w:t>
      </w:r>
      <w:r>
        <w:rPr>
          <w:rFonts w:ascii="Times New Roman" w:hAnsi="Times New Roman"/>
          <w:sz w:val="24"/>
          <w:szCs w:val="24"/>
        </w:rPr>
        <w:t>tādējādi</w:t>
      </w:r>
      <w:r w:rsidRPr="00F7750E">
        <w:rPr>
          <w:rFonts w:ascii="Times New Roman" w:hAnsi="Times New Roman"/>
          <w:sz w:val="24"/>
          <w:szCs w:val="24"/>
        </w:rPr>
        <w:t xml:space="preserve"> UIN atmaksas </w:t>
      </w:r>
      <w:r>
        <w:rPr>
          <w:rFonts w:ascii="Times New Roman" w:hAnsi="Times New Roman"/>
          <w:sz w:val="24"/>
          <w:szCs w:val="24"/>
        </w:rPr>
        <w:t xml:space="preserve">2019.gadā pieauga līdz </w:t>
      </w:r>
      <w:r w:rsidRPr="00F7750E">
        <w:rPr>
          <w:rFonts w:ascii="Times New Roman" w:hAnsi="Times New Roman"/>
          <w:sz w:val="24"/>
          <w:szCs w:val="24"/>
        </w:rPr>
        <w:t xml:space="preserve">125,1 milj. </w:t>
      </w:r>
      <w:proofErr w:type="spellStart"/>
      <w:r w:rsidRPr="003063F3">
        <w:rPr>
          <w:rFonts w:ascii="Times New Roman" w:hAnsi="Times New Roman"/>
          <w:i/>
          <w:sz w:val="24"/>
          <w:szCs w:val="24"/>
        </w:rPr>
        <w:t>euro</w:t>
      </w:r>
      <w:proofErr w:type="spellEnd"/>
      <w:r w:rsidRPr="00F7750E">
        <w:rPr>
          <w:rFonts w:ascii="Times New Roman" w:hAnsi="Times New Roman"/>
          <w:sz w:val="24"/>
          <w:szCs w:val="24"/>
        </w:rPr>
        <w:t>, k</w:t>
      </w:r>
      <w:r>
        <w:rPr>
          <w:rFonts w:ascii="Times New Roman" w:hAnsi="Times New Roman"/>
          <w:sz w:val="24"/>
          <w:szCs w:val="24"/>
        </w:rPr>
        <w:t>as ir 2,1 reizi vairāk kā 2018.</w:t>
      </w:r>
      <w:r w:rsidRPr="00F7750E">
        <w:rPr>
          <w:rFonts w:ascii="Times New Roman" w:hAnsi="Times New Roman"/>
          <w:sz w:val="24"/>
          <w:szCs w:val="24"/>
        </w:rPr>
        <w:t>gadā.</w:t>
      </w:r>
    </w:p>
    <w:p w14:paraId="02089552" w14:textId="77777777" w:rsidR="00747EE9" w:rsidRDefault="00747EE9" w:rsidP="00747EE9">
      <w:pPr>
        <w:spacing w:after="0"/>
        <w:ind w:firstLine="720"/>
        <w:jc w:val="both"/>
        <w:rPr>
          <w:rFonts w:ascii="Times New Roman" w:hAnsi="Times New Roman"/>
          <w:sz w:val="24"/>
          <w:szCs w:val="24"/>
        </w:rPr>
      </w:pPr>
      <w:proofErr w:type="spellStart"/>
      <w:r>
        <w:rPr>
          <w:rFonts w:ascii="Times New Roman" w:hAnsi="Times New Roman"/>
          <w:sz w:val="24"/>
          <w:szCs w:val="24"/>
        </w:rPr>
        <w:t>Nenodokļu</w:t>
      </w:r>
      <w:proofErr w:type="spellEnd"/>
      <w:r>
        <w:rPr>
          <w:rFonts w:ascii="Times New Roman" w:hAnsi="Times New Roman"/>
          <w:sz w:val="24"/>
          <w:szCs w:val="24"/>
        </w:rPr>
        <w:t xml:space="preserve"> ieņēmumi bija par 0,34% no IKP zemāki kā plānots. Būtiskākā ietekme skaidrojama ar AS “Latvenergo” </w:t>
      </w:r>
      <w:proofErr w:type="spellStart"/>
      <w:r>
        <w:rPr>
          <w:rFonts w:ascii="Times New Roman" w:hAnsi="Times New Roman"/>
          <w:sz w:val="24"/>
          <w:szCs w:val="24"/>
        </w:rPr>
        <w:t>superdividendēm</w:t>
      </w:r>
      <w:proofErr w:type="spellEnd"/>
      <w:r>
        <w:rPr>
          <w:rFonts w:ascii="Times New Roman" w:hAnsi="Times New Roman"/>
          <w:sz w:val="24"/>
          <w:szCs w:val="24"/>
        </w:rPr>
        <w:t xml:space="preserve"> un vienreizējiem emisijas kvotu ieņēmumiem, kas atbilstoši EKS uzskaites metodoloģijai tikai daļēji tika uzskaitīti 2019. gada vispārējās valdības budžeta ieņēmumos.</w:t>
      </w:r>
    </w:p>
    <w:p w14:paraId="1E5514E7" w14:textId="77777777" w:rsidR="00747EE9" w:rsidRPr="00115358" w:rsidRDefault="00747EE9" w:rsidP="00747EE9">
      <w:pPr>
        <w:spacing w:after="0"/>
        <w:ind w:firstLine="720"/>
        <w:jc w:val="both"/>
        <w:rPr>
          <w:rFonts w:ascii="Times New Roman" w:hAnsi="Times New Roman"/>
          <w:sz w:val="24"/>
          <w:szCs w:val="24"/>
        </w:rPr>
      </w:pPr>
      <w:r>
        <w:rPr>
          <w:rFonts w:ascii="Times New Roman" w:hAnsi="Times New Roman" w:cs="Times New Roman"/>
          <w:bCs/>
          <w:sz w:val="24"/>
          <w:szCs w:val="24"/>
        </w:rPr>
        <w:t>Būtisku ietekmi uz vispārējās valdības budžeta bilances deficītu veidoja lielāki nacionālie līdzfinansējuma izdevumi ĀFP projektu realizācijai, tostarp ES fondu projektu realizācijai. Izdevumi ĀFP projektiem pieaug gan valsts pamatbudžetā, pašvaldību budžetā.</w:t>
      </w:r>
    </w:p>
    <w:p w14:paraId="410FA40A" w14:textId="77777777"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Pārējās izmaiņas veidoja 0,25% no IKP pozitīvu ietekmi uz vispārējās valdības budžeta bilanci, kur ir jāizceļ debitoru un kreditoru plūsmas ietekme, kas bilanci uzlaboja 0,22% no IKP apmērā pret plānoto. Pamatbudžeta pamatfunkciju primārie izdevumi, pašvaldību pamatfunkciju primārie izdevumi, speciāla budžeta izdevumi un atvasināto publisko personu izdevumi neveidoja lielāku ietekmi uz vispārējās valdības budžeta bilanci kā +/- 0,1% no IKP.</w:t>
      </w:r>
    </w:p>
    <w:p w14:paraId="4500CEB4" w14:textId="77777777" w:rsidR="003E61EE" w:rsidRDefault="003E61EE" w:rsidP="00747EE9">
      <w:pPr>
        <w:spacing w:before="120"/>
        <w:jc w:val="right"/>
        <w:rPr>
          <w:rFonts w:ascii="Times New Roman" w:hAnsi="Times New Roman" w:cs="Times New Roman"/>
          <w:b/>
          <w:bCs/>
          <w:sz w:val="24"/>
          <w:szCs w:val="24"/>
        </w:rPr>
      </w:pPr>
    </w:p>
    <w:p w14:paraId="17B92E74" w14:textId="77777777" w:rsidR="003E61EE" w:rsidRDefault="003E61EE" w:rsidP="00747EE9">
      <w:pPr>
        <w:spacing w:before="120"/>
        <w:jc w:val="right"/>
        <w:rPr>
          <w:rFonts w:ascii="Times New Roman" w:hAnsi="Times New Roman" w:cs="Times New Roman"/>
          <w:b/>
          <w:bCs/>
          <w:sz w:val="24"/>
          <w:szCs w:val="24"/>
        </w:rPr>
      </w:pPr>
    </w:p>
    <w:p w14:paraId="493480F1" w14:textId="77777777" w:rsidR="003E61EE" w:rsidRDefault="003E61EE" w:rsidP="00747EE9">
      <w:pPr>
        <w:spacing w:before="120"/>
        <w:jc w:val="right"/>
        <w:rPr>
          <w:rFonts w:ascii="Times New Roman" w:hAnsi="Times New Roman" w:cs="Times New Roman"/>
          <w:b/>
          <w:bCs/>
          <w:sz w:val="24"/>
          <w:szCs w:val="24"/>
        </w:rPr>
      </w:pPr>
    </w:p>
    <w:p w14:paraId="3033D8B2" w14:textId="77777777" w:rsidR="003E61EE" w:rsidRDefault="003E61EE" w:rsidP="00747EE9">
      <w:pPr>
        <w:spacing w:before="120"/>
        <w:jc w:val="right"/>
        <w:rPr>
          <w:rFonts w:ascii="Times New Roman" w:hAnsi="Times New Roman" w:cs="Times New Roman"/>
          <w:b/>
          <w:bCs/>
          <w:sz w:val="24"/>
          <w:szCs w:val="24"/>
        </w:rPr>
      </w:pPr>
    </w:p>
    <w:p w14:paraId="1014F515" w14:textId="71AA600D"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lastRenderedPageBreak/>
        <w:t>Tabula Nr.</w:t>
      </w:r>
      <w:r w:rsidR="00A1461C">
        <w:rPr>
          <w:rFonts w:ascii="Times New Roman" w:hAnsi="Times New Roman" w:cs="Times New Roman"/>
          <w:b/>
          <w:bCs/>
          <w:sz w:val="24"/>
          <w:szCs w:val="24"/>
        </w:rPr>
        <w:t>7.4</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20</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53016989"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0F0ACF8B"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2CC8C1B8"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2CBC687E"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2020</w:t>
            </w:r>
          </w:p>
        </w:tc>
      </w:tr>
      <w:tr w:rsidR="00747EE9" w:rsidRPr="00120DF9" w14:paraId="78030868"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83A9CB6"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2020.gadam</w:t>
            </w:r>
          </w:p>
        </w:tc>
        <w:tc>
          <w:tcPr>
            <w:tcW w:w="4594" w:type="dxa"/>
            <w:noWrap/>
            <w:hideMark/>
          </w:tcPr>
          <w:p w14:paraId="7B9ADA3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7EB16F2D"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-0,3</w:t>
            </w:r>
          </w:p>
        </w:tc>
      </w:tr>
      <w:tr w:rsidR="00747EE9" w:rsidRPr="00120DF9" w14:paraId="2B09ED7F"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27666FC0" w14:textId="77777777" w:rsidR="00747EE9" w:rsidRPr="00120DF9" w:rsidRDefault="00747EE9" w:rsidP="00620C70">
            <w:pPr>
              <w:jc w:val="center"/>
              <w:rPr>
                <w:rFonts w:eastAsia="Times New Roman" w:cs="Times New Roman"/>
                <w:color w:val="000000"/>
                <w:sz w:val="22"/>
                <w:lang w:eastAsia="lv-LV"/>
              </w:rPr>
            </w:pPr>
          </w:p>
          <w:p w14:paraId="1FD9D6DE" w14:textId="77777777" w:rsidR="00747EE9" w:rsidRPr="00120DF9" w:rsidRDefault="00747EE9" w:rsidP="00620C70">
            <w:pPr>
              <w:jc w:val="center"/>
              <w:rPr>
                <w:rFonts w:eastAsia="Times New Roman" w:cs="Times New Roman"/>
                <w:color w:val="000000"/>
                <w:sz w:val="22"/>
                <w:lang w:eastAsia="lv-LV"/>
              </w:rPr>
            </w:pPr>
          </w:p>
          <w:p w14:paraId="0314CC62" w14:textId="77777777" w:rsidR="00747EE9" w:rsidRPr="00120DF9" w:rsidRDefault="00747EE9" w:rsidP="00620C70">
            <w:pPr>
              <w:jc w:val="center"/>
              <w:rPr>
                <w:rFonts w:eastAsia="Times New Roman" w:cs="Times New Roman"/>
                <w:color w:val="000000"/>
                <w:sz w:val="22"/>
                <w:lang w:eastAsia="lv-LV"/>
              </w:rPr>
            </w:pPr>
          </w:p>
          <w:p w14:paraId="4FF174E3" w14:textId="77777777" w:rsidR="00747EE9" w:rsidRPr="00120DF9" w:rsidRDefault="00747EE9" w:rsidP="00620C70">
            <w:pPr>
              <w:jc w:val="center"/>
              <w:rPr>
                <w:rFonts w:eastAsia="Times New Roman" w:cs="Times New Roman"/>
                <w:color w:val="000000"/>
                <w:sz w:val="22"/>
                <w:lang w:eastAsia="lv-LV"/>
              </w:rPr>
            </w:pPr>
          </w:p>
          <w:p w14:paraId="7D1E0586" w14:textId="77777777" w:rsidR="00747EE9" w:rsidRPr="00120DF9" w:rsidRDefault="00747EE9" w:rsidP="00620C70">
            <w:pPr>
              <w:jc w:val="center"/>
              <w:rPr>
                <w:rFonts w:eastAsia="Times New Roman" w:cs="Times New Roman"/>
                <w:color w:val="000000"/>
                <w:sz w:val="22"/>
                <w:lang w:eastAsia="lv-LV"/>
              </w:rPr>
            </w:pPr>
          </w:p>
          <w:p w14:paraId="03C6ED74"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019033B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1817" w:type="dxa"/>
            <w:noWrap/>
            <w:vAlign w:val="center"/>
            <w:hideMark/>
          </w:tcPr>
          <w:p w14:paraId="141CAC47"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-2,23</w:t>
            </w:r>
          </w:p>
        </w:tc>
      </w:tr>
      <w:tr w:rsidR="00747EE9" w:rsidRPr="00120DF9" w14:paraId="04A4873E"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6E8EDFA"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0FE60E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1817" w:type="dxa"/>
            <w:noWrap/>
            <w:vAlign w:val="center"/>
            <w:hideMark/>
          </w:tcPr>
          <w:p w14:paraId="59D9692B"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0,04</w:t>
            </w:r>
          </w:p>
        </w:tc>
      </w:tr>
      <w:tr w:rsidR="00747EE9" w:rsidRPr="00120DF9" w14:paraId="4C935935"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6E5093A"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B9FB64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1817" w:type="dxa"/>
            <w:noWrap/>
            <w:vAlign w:val="center"/>
            <w:hideMark/>
          </w:tcPr>
          <w:p w14:paraId="0920DB8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-0,03</w:t>
            </w:r>
          </w:p>
        </w:tc>
      </w:tr>
      <w:tr w:rsidR="00747EE9" w:rsidRPr="00120DF9" w14:paraId="69AFF12C"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BD22DCE"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93412B9"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DBF29B6"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-1,66</w:t>
            </w:r>
          </w:p>
        </w:tc>
      </w:tr>
      <w:tr w:rsidR="00747EE9" w:rsidRPr="00120DF9" w14:paraId="7648D44D"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DC41ED2"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7DF1F1B"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15B906DC"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0AD973AA"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3057885"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63ED6B8B"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26439C8C"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-0,04</w:t>
            </w:r>
          </w:p>
        </w:tc>
      </w:tr>
      <w:tr w:rsidR="00747EE9" w:rsidRPr="00120DF9" w14:paraId="353C03C8"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336FB3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F4FC770"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2A313D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-0,01</w:t>
            </w:r>
          </w:p>
        </w:tc>
      </w:tr>
      <w:tr w:rsidR="00747EE9" w:rsidRPr="00120DF9" w14:paraId="2EC43AEA"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5A69D4BD" w14:textId="77777777" w:rsidR="00747EE9" w:rsidRPr="00120DF9" w:rsidRDefault="00747EE9" w:rsidP="00620C70">
            <w:pPr>
              <w:rPr>
                <w:rFonts w:eastAsia="Times New Roman" w:cs="Times New Roman"/>
                <w:color w:val="000000"/>
                <w:sz w:val="22"/>
                <w:lang w:eastAsia="lv-LV"/>
              </w:rPr>
            </w:pPr>
          </w:p>
        </w:tc>
        <w:tc>
          <w:tcPr>
            <w:tcW w:w="4594" w:type="dxa"/>
            <w:noWrap/>
          </w:tcPr>
          <w:p w14:paraId="291342A2"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62F010E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52386A20"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914FF2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58DFE7E"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1817" w:type="dxa"/>
            <w:noWrap/>
            <w:vAlign w:val="center"/>
            <w:hideMark/>
          </w:tcPr>
          <w:p w14:paraId="63691AD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0,26</w:t>
            </w:r>
          </w:p>
        </w:tc>
      </w:tr>
      <w:tr w:rsidR="00747EE9" w:rsidRPr="00120DF9" w14:paraId="4715D2D3"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94C1F4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8597FF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1817" w:type="dxa"/>
            <w:noWrap/>
            <w:vAlign w:val="center"/>
            <w:hideMark/>
          </w:tcPr>
          <w:p w14:paraId="7C904E39"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057CD2C2" w14:textId="77777777" w:rsidTr="00620C70">
        <w:trPr>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2B45B4B5" w14:textId="77777777" w:rsidR="00747EE9" w:rsidRPr="00120DF9" w:rsidRDefault="00747EE9" w:rsidP="00620C70">
            <w:pPr>
              <w:rPr>
                <w:rFonts w:eastAsia="Times New Roman" w:cs="Times New Roman"/>
                <w:color w:val="000000"/>
                <w:lang w:eastAsia="lv-LV"/>
              </w:rPr>
            </w:pPr>
          </w:p>
        </w:tc>
        <w:tc>
          <w:tcPr>
            <w:tcW w:w="4594" w:type="dxa"/>
            <w:noWrap/>
          </w:tcPr>
          <w:p w14:paraId="2C32453E"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Kapitālie </w:t>
            </w:r>
            <w:proofErr w:type="spellStart"/>
            <w:r w:rsidRPr="001F3606">
              <w:rPr>
                <w:rFonts w:eastAsia="Times New Roman" w:cs="Times New Roman"/>
                <w:color w:val="000000"/>
                <w:sz w:val="22"/>
                <w:lang w:eastAsia="lv-LV"/>
              </w:rPr>
              <w:t>transferti</w:t>
            </w:r>
            <w:proofErr w:type="spellEnd"/>
          </w:p>
        </w:tc>
        <w:tc>
          <w:tcPr>
            <w:tcW w:w="1817" w:type="dxa"/>
            <w:noWrap/>
            <w:vAlign w:val="center"/>
          </w:tcPr>
          <w:p w14:paraId="1F972BEC"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-0,96</w:t>
            </w:r>
          </w:p>
        </w:tc>
      </w:tr>
      <w:tr w:rsidR="00747EE9" w:rsidRPr="00120DF9" w14:paraId="6769B9E4" w14:textId="77777777" w:rsidTr="00620C7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0ADFDA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DE974DE"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1817" w:type="dxa"/>
            <w:noWrap/>
            <w:vAlign w:val="center"/>
            <w:hideMark/>
          </w:tcPr>
          <w:p w14:paraId="10354A2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0,59</w:t>
            </w:r>
          </w:p>
        </w:tc>
      </w:tr>
      <w:tr w:rsidR="00747EE9" w:rsidRPr="00120DF9" w14:paraId="4232F72F" w14:textId="77777777" w:rsidTr="00620C70">
        <w:trPr>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5E0D3ADD"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20</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3C9824B9"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33C5B163"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-4,4</w:t>
            </w:r>
          </w:p>
        </w:tc>
      </w:tr>
    </w:tbl>
    <w:p w14:paraId="3841A635" w14:textId="77777777" w:rsidR="00747EE9" w:rsidRPr="00B672ED" w:rsidRDefault="00747EE9" w:rsidP="00747EE9">
      <w:pPr>
        <w:pStyle w:val="teksts"/>
        <w:spacing w:after="0"/>
        <w:ind w:firstLine="720"/>
        <w:rPr>
          <w:rFonts w:ascii="Times New Roman" w:hAnsi="Times New Roman"/>
          <w:bCs/>
          <w:szCs w:val="24"/>
        </w:rPr>
      </w:pPr>
    </w:p>
    <w:p w14:paraId="49921AD1" w14:textId="0E81955B" w:rsidR="00747EE9" w:rsidRPr="00F42440" w:rsidRDefault="00747EE9" w:rsidP="00747EE9">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2020.gada budžeta likumam tika noteikts 0,3% apmērā no IKP. Ņemot vērā budžeta likumā iestrādāto fiskālā nodrošinājuma rezervi, vispārējās valdības budžeta deficīts tika plānots 0,4% apmērā no IKP. </w:t>
      </w:r>
      <w:r w:rsidRPr="008C4DD4">
        <w:rPr>
          <w:rFonts w:ascii="Times New Roman" w:hAnsi="Times New Roman"/>
          <w:b/>
          <w:bCs/>
          <w:szCs w:val="24"/>
        </w:rPr>
        <w:t>Atbilstoši CSP 202</w:t>
      </w:r>
      <w:r>
        <w:rPr>
          <w:rFonts w:ascii="Times New Roman" w:hAnsi="Times New Roman"/>
          <w:b/>
          <w:bCs/>
          <w:szCs w:val="24"/>
        </w:rPr>
        <w:t>3</w:t>
      </w:r>
      <w:r w:rsidRPr="008C4DD4">
        <w:rPr>
          <w:rFonts w:ascii="Times New Roman" w:hAnsi="Times New Roman"/>
          <w:b/>
          <w:bCs/>
          <w:szCs w:val="24"/>
        </w:rPr>
        <w:t xml:space="preserve">.gada </w:t>
      </w:r>
      <w:r>
        <w:rPr>
          <w:rFonts w:ascii="Times New Roman" w:hAnsi="Times New Roman"/>
          <w:b/>
          <w:bCs/>
          <w:szCs w:val="24"/>
        </w:rPr>
        <w:t>aprīļa</w:t>
      </w:r>
      <w:r w:rsidRPr="008C4DD4">
        <w:rPr>
          <w:rFonts w:ascii="Times New Roman" w:hAnsi="Times New Roman"/>
          <w:b/>
          <w:bCs/>
          <w:szCs w:val="24"/>
        </w:rPr>
        <w:t xml:space="preserve"> vispārējās valdības budžeta notifikācijas datiem </w:t>
      </w:r>
      <w:r w:rsidRPr="008C4DD4">
        <w:rPr>
          <w:rFonts w:ascii="Times New Roman" w:eastAsia="Calibri" w:hAnsi="Times New Roman"/>
          <w:b/>
          <w:szCs w:val="24"/>
        </w:rPr>
        <w:t>vispārējās valdības budžetā 2020.gadā bija deficīts 4,</w:t>
      </w:r>
      <w:r>
        <w:rPr>
          <w:rFonts w:ascii="Times New Roman" w:eastAsia="Calibri" w:hAnsi="Times New Roman"/>
          <w:b/>
          <w:szCs w:val="24"/>
        </w:rPr>
        <w:t>4</w:t>
      </w:r>
      <w:r w:rsidRPr="008C4DD4">
        <w:rPr>
          <w:rFonts w:ascii="Times New Roman" w:eastAsia="Calibri" w:hAnsi="Times New Roman"/>
          <w:b/>
          <w:szCs w:val="24"/>
        </w:rPr>
        <w:t xml:space="preserve">% apmērā no IKP, kas ir būtiski augstāks </w:t>
      </w:r>
      <w:r>
        <w:rPr>
          <w:rFonts w:ascii="Times New Roman" w:eastAsia="Calibri" w:hAnsi="Times New Roman"/>
          <w:b/>
          <w:szCs w:val="24"/>
        </w:rPr>
        <w:t xml:space="preserve">deficīta līmenis </w:t>
      </w:r>
      <w:r w:rsidRPr="008C4DD4">
        <w:rPr>
          <w:rFonts w:ascii="Times New Roman" w:hAnsi="Times New Roman"/>
          <w:b/>
          <w:szCs w:val="24"/>
        </w:rPr>
        <w:t>kā likumā “Par valsts budžetu 2020.gadam”</w:t>
      </w:r>
      <w:r w:rsidRPr="00F42440">
        <w:rPr>
          <w:rFonts w:ascii="Times New Roman" w:hAnsi="Times New Roman"/>
          <w:szCs w:val="24"/>
        </w:rPr>
        <w:t xml:space="preserve"> </w:t>
      </w:r>
      <w:r w:rsidRPr="008C4DD4">
        <w:rPr>
          <w:rFonts w:ascii="Times New Roman" w:hAnsi="Times New Roman"/>
          <w:b/>
          <w:szCs w:val="24"/>
        </w:rPr>
        <w:t>noteiktais deficīta apjoms</w:t>
      </w:r>
      <w:r w:rsidRPr="00F42440">
        <w:rPr>
          <w:rFonts w:ascii="Times New Roman" w:eastAsia="Calibri" w:hAnsi="Times New Roman"/>
          <w:szCs w:val="24"/>
        </w:rPr>
        <w:t xml:space="preserve">, taču jāņem vērā, ka likums par </w:t>
      </w:r>
      <w:r w:rsidRPr="00F42440">
        <w:rPr>
          <w:rFonts w:ascii="Times New Roman" w:hAnsi="Times New Roman"/>
          <w:szCs w:val="24"/>
        </w:rPr>
        <w:t xml:space="preserve">“Par valsts budžetu 2020.gadam” tika pieņemts </w:t>
      </w:r>
      <w:r>
        <w:rPr>
          <w:rFonts w:ascii="Times New Roman" w:hAnsi="Times New Roman"/>
          <w:szCs w:val="24"/>
        </w:rPr>
        <w:t>2019.gada 14.</w:t>
      </w:r>
      <w:r w:rsidRPr="00F42440">
        <w:rPr>
          <w:rFonts w:ascii="Times New Roman" w:hAnsi="Times New Roman"/>
          <w:szCs w:val="24"/>
        </w:rPr>
        <w:t>novembrī, kad vēl nebija sākusies Covid-19 pandēmija.</w:t>
      </w:r>
      <w:r w:rsidRPr="00F42440">
        <w:rPr>
          <w:rFonts w:ascii="Times New Roman" w:eastAsia="Calibri" w:hAnsi="Times New Roman"/>
          <w:szCs w:val="24"/>
        </w:rPr>
        <w:t xml:space="preserve"> Tajā pašā laikā jāatzīmē, ka vispārējās valdības budžeta deficīts ir būtiski zemāks kā prognozētais Latvijas Stabilitātes programmā 2020.</w:t>
      </w:r>
      <w:r w:rsidRPr="00F42440">
        <w:rPr>
          <w:rFonts w:ascii="Times New Roman" w:hAnsi="Times New Roman"/>
          <w:noProof/>
          <w:color w:val="000000"/>
          <w:szCs w:val="24"/>
        </w:rPr>
        <w:t>–</w:t>
      </w:r>
      <w:r w:rsidRPr="00F42440">
        <w:rPr>
          <w:rFonts w:ascii="Times New Roman" w:eastAsia="Calibri" w:hAnsi="Times New Roman"/>
          <w:szCs w:val="24"/>
        </w:rPr>
        <w:t>2023.gadam, k</w:t>
      </w:r>
      <w:r>
        <w:rPr>
          <w:rFonts w:ascii="Times New Roman" w:eastAsia="Calibri" w:hAnsi="Times New Roman"/>
          <w:szCs w:val="24"/>
        </w:rPr>
        <w:t xml:space="preserve">ad, </w:t>
      </w:r>
      <w:r w:rsidRPr="00F42440">
        <w:rPr>
          <w:rFonts w:ascii="Times New Roman" w:eastAsia="Calibri" w:hAnsi="Times New Roman"/>
          <w:szCs w:val="24"/>
        </w:rPr>
        <w:t xml:space="preserve">ņemot vērā augsto nenoteiktību saistībā ar Covid-19 pandēmijas attīstību, vispārējās valdības budžeta deficīts </w:t>
      </w:r>
      <w:r>
        <w:rPr>
          <w:rFonts w:ascii="Times New Roman" w:eastAsia="Calibri" w:hAnsi="Times New Roman"/>
          <w:szCs w:val="24"/>
        </w:rPr>
        <w:t xml:space="preserve">2020.gadam </w:t>
      </w:r>
      <w:r w:rsidRPr="00F42440">
        <w:rPr>
          <w:rFonts w:ascii="Times New Roman" w:eastAsia="Calibri" w:hAnsi="Times New Roman"/>
          <w:szCs w:val="24"/>
        </w:rPr>
        <w:t>tika prognozēts 9,4% no IK</w:t>
      </w:r>
      <w:r>
        <w:rPr>
          <w:rFonts w:ascii="Times New Roman" w:eastAsia="Calibri" w:hAnsi="Times New Roman"/>
          <w:szCs w:val="24"/>
        </w:rPr>
        <w:t>P.</w:t>
      </w:r>
    </w:p>
    <w:p w14:paraId="051B9C6C" w14:textId="1C4B7657" w:rsidR="00747EE9" w:rsidRDefault="00747EE9" w:rsidP="00747EE9">
      <w:pPr>
        <w:pStyle w:val="teksts"/>
        <w:spacing w:after="0"/>
        <w:ind w:firstLine="720"/>
        <w:rPr>
          <w:rFonts w:ascii="Times New Roman" w:eastAsia="Calibri" w:hAnsi="Times New Roman"/>
          <w:color w:val="000000"/>
          <w:szCs w:val="24"/>
        </w:rPr>
      </w:pPr>
      <w:r>
        <w:rPr>
          <w:rFonts w:ascii="Times New Roman" w:eastAsia="Calibri" w:hAnsi="Times New Roman"/>
          <w:szCs w:val="24"/>
        </w:rPr>
        <w:t xml:space="preserve">Covid-19 pandēmija atstāja būtisku ietekmi uz nodokļu ieņēmumiem 2020.gadā, kas, salīdzinot ar plānoto apjomu, palielināja vispārējās valdības budžeta deficītu par 2,23% no IKP. Būtiskākā plāna neizpilde tika novērota PVN, kas palielināja vispārējās valdības budžeta deficītu par aptuveni 1 procentpunktu. </w:t>
      </w:r>
      <w:r w:rsidRPr="00F42440">
        <w:rPr>
          <w:rFonts w:ascii="Times New Roman" w:eastAsia="Calibri" w:hAnsi="Times New Roman"/>
          <w:color w:val="000000"/>
          <w:szCs w:val="24"/>
        </w:rPr>
        <w:t xml:space="preserve">Ja </w:t>
      </w:r>
      <w:r>
        <w:rPr>
          <w:rFonts w:ascii="Times New Roman" w:eastAsia="Calibri" w:hAnsi="Times New Roman"/>
          <w:color w:val="000000"/>
          <w:szCs w:val="24"/>
        </w:rPr>
        <w:t xml:space="preserve">vēl </w:t>
      </w:r>
      <w:r w:rsidRPr="00F42440">
        <w:rPr>
          <w:rFonts w:ascii="Times New Roman" w:eastAsia="Calibri" w:hAnsi="Times New Roman"/>
          <w:color w:val="000000"/>
          <w:szCs w:val="24"/>
        </w:rPr>
        <w:t>2020.gada janvārī un februārī PVN nodokļu ieņēmumi pieauga</w:t>
      </w:r>
      <w:r w:rsidR="00E76685">
        <w:rPr>
          <w:rFonts w:ascii="Times New Roman" w:eastAsia="Calibri" w:hAnsi="Times New Roman"/>
          <w:color w:val="000000"/>
          <w:szCs w:val="24"/>
        </w:rPr>
        <w:t>,</w:t>
      </w:r>
      <w:r w:rsidRPr="00F42440">
        <w:rPr>
          <w:rFonts w:ascii="Times New Roman" w:eastAsia="Calibri" w:hAnsi="Times New Roman"/>
          <w:color w:val="000000"/>
          <w:szCs w:val="24"/>
        </w:rPr>
        <w:t xml:space="preserve"> salīdzinot pret 2019.gadu, tad 2020.gada martā</w:t>
      </w:r>
      <w:r>
        <w:rPr>
          <w:rFonts w:ascii="Times New Roman" w:eastAsia="Calibri" w:hAnsi="Times New Roman"/>
          <w:color w:val="000000"/>
          <w:szCs w:val="24"/>
        </w:rPr>
        <w:t>,</w:t>
      </w:r>
      <w:r w:rsidRPr="00F42440">
        <w:rPr>
          <w:rFonts w:ascii="Times New Roman" w:eastAsia="Calibri" w:hAnsi="Times New Roman"/>
          <w:color w:val="000000"/>
          <w:szCs w:val="24"/>
        </w:rPr>
        <w:t xml:space="preserve"> </w:t>
      </w:r>
      <w:r>
        <w:rPr>
          <w:rFonts w:ascii="Times New Roman" w:eastAsia="Calibri" w:hAnsi="Times New Roman"/>
          <w:color w:val="000000"/>
          <w:szCs w:val="24"/>
        </w:rPr>
        <w:t xml:space="preserve">stājoties spēkā ārkārtas situācijai, </w:t>
      </w:r>
      <w:r w:rsidRPr="00F42440">
        <w:rPr>
          <w:rFonts w:ascii="Times New Roman" w:eastAsia="Calibri" w:hAnsi="Times New Roman"/>
          <w:color w:val="000000"/>
          <w:szCs w:val="24"/>
        </w:rPr>
        <w:t>PVN ieņēmumi sāka būtiski samazināties. Atbilstoši VID sniegtajai informācijai ārkārtas situācijā visvairāk skartajās nozarēs – izmitināšanas un ēdināšanas pakalpojumu nozarē</w:t>
      </w:r>
      <w:r>
        <w:rPr>
          <w:rFonts w:ascii="Times New Roman" w:eastAsia="Calibri" w:hAnsi="Times New Roman"/>
          <w:color w:val="000000"/>
          <w:szCs w:val="24"/>
        </w:rPr>
        <w:t>,</w:t>
      </w:r>
      <w:r w:rsidRPr="00F42440">
        <w:rPr>
          <w:rFonts w:ascii="Times New Roman" w:eastAsia="Calibri" w:hAnsi="Times New Roman"/>
          <w:color w:val="000000"/>
          <w:szCs w:val="24"/>
        </w:rPr>
        <w:t xml:space="preserve"> kā arī mākslas, izklaides un atpūtas nozarē samaksātie PVN nodokļi samazinājās vairāk </w:t>
      </w:r>
      <w:r>
        <w:rPr>
          <w:rFonts w:ascii="Times New Roman" w:eastAsia="Calibri" w:hAnsi="Times New Roman"/>
          <w:color w:val="000000"/>
          <w:szCs w:val="24"/>
        </w:rPr>
        <w:t>kā par 50%, salīdzinot ar 2019.</w:t>
      </w:r>
      <w:r w:rsidRPr="00F42440">
        <w:rPr>
          <w:rFonts w:ascii="Times New Roman" w:eastAsia="Calibri" w:hAnsi="Times New Roman"/>
          <w:color w:val="000000"/>
          <w:szCs w:val="24"/>
        </w:rPr>
        <w:t xml:space="preserve">gadu. </w:t>
      </w:r>
      <w:r>
        <w:rPr>
          <w:rFonts w:ascii="Times New Roman" w:eastAsia="Calibri" w:hAnsi="Times New Roman"/>
          <w:color w:val="000000"/>
          <w:szCs w:val="24"/>
        </w:rPr>
        <w:t>Līdzīgi kā PVN ieņēmumi, arī akcīzes nodokļa ieņēmumi un sociālās apdrošināšanas iemaksas bija zem plānotā apjoma kā rezultātā vispārējās valdības budžeta deficīts palielinājās par 0,47% no IKP un 0,48% no IKP attiecīgi.</w:t>
      </w:r>
    </w:p>
    <w:p w14:paraId="0F4C7C35" w14:textId="77777777" w:rsidR="00747EE9" w:rsidRPr="008C4DD4" w:rsidRDefault="00747EE9" w:rsidP="00747EE9">
      <w:pPr>
        <w:pStyle w:val="teksts"/>
        <w:spacing w:after="0"/>
        <w:ind w:firstLine="720"/>
        <w:rPr>
          <w:rFonts w:ascii="Times New Roman" w:eastAsia="Calibri" w:hAnsi="Times New Roman"/>
          <w:szCs w:val="24"/>
        </w:rPr>
      </w:pPr>
      <w:r>
        <w:rPr>
          <w:rFonts w:ascii="Times New Roman" w:eastAsia="Calibri" w:hAnsi="Times New Roman"/>
          <w:color w:val="000000"/>
          <w:szCs w:val="24"/>
        </w:rPr>
        <w:t xml:space="preserve">Lai mazinātu Covid-19 negatīvo ietekmi uz tautsaimniecību, valdība lēma par atbalsta pasākumiem tautsaimniecībai kā rezultātā pieauga pamatbudžeta pamatfunkciju primārie izdevumi. </w:t>
      </w:r>
      <w:r w:rsidRPr="00F9065A">
        <w:rPr>
          <w:rFonts w:ascii="Times New Roman" w:eastAsia="Calibri" w:hAnsi="Times New Roman"/>
          <w:color w:val="000000"/>
          <w:szCs w:val="24"/>
        </w:rPr>
        <w:t xml:space="preserve">Pateicoties sniegtajam atbalstam tika nodrošināti dīkstāves pabalsti, piešķirts papildus finansējums veselības nozarei (atalgojumam, medicīnisko iekārtu un vakcīnu iegādei u.c.), nodrošinātas subsīdijas lauksaimniekiem, piešķirts papildus finansējums </w:t>
      </w:r>
      <w:r w:rsidRPr="008C4DD4">
        <w:rPr>
          <w:rFonts w:ascii="Times New Roman" w:hAnsi="Times New Roman"/>
          <w:color w:val="000000" w:themeColor="text1"/>
          <w:szCs w:val="24"/>
        </w:rPr>
        <w:t>ceļu infrastruktūras uzlabošanai</w:t>
      </w:r>
      <w:r>
        <w:rPr>
          <w:rFonts w:ascii="Times New Roman" w:hAnsi="Times New Roman"/>
          <w:color w:val="000000" w:themeColor="text1"/>
          <w:szCs w:val="24"/>
        </w:rPr>
        <w:t>, piešķirts finansējums</w:t>
      </w:r>
      <w:r w:rsidRPr="00F9065A">
        <w:rPr>
          <w:rFonts w:ascii="Times New Roman" w:hAnsi="Times New Roman"/>
          <w:color w:val="000000" w:themeColor="text1"/>
          <w:szCs w:val="24"/>
        </w:rPr>
        <w:t xml:space="preserve"> </w:t>
      </w:r>
      <w:proofErr w:type="spellStart"/>
      <w:r>
        <w:rPr>
          <w:rFonts w:ascii="Times New Roman" w:hAnsi="Times New Roman"/>
          <w:color w:val="000000" w:themeColor="text1"/>
          <w:szCs w:val="24"/>
        </w:rPr>
        <w:t>Altum</w:t>
      </w:r>
      <w:proofErr w:type="spellEnd"/>
      <w:r>
        <w:rPr>
          <w:rFonts w:ascii="Times New Roman" w:hAnsi="Times New Roman"/>
          <w:color w:val="000000" w:themeColor="text1"/>
          <w:szCs w:val="24"/>
        </w:rPr>
        <w:t xml:space="preserve"> atbalsta programmu realizācijai, u.c.</w:t>
      </w:r>
    </w:p>
    <w:p w14:paraId="0445ADBD" w14:textId="6E10E923" w:rsidR="00747EE9" w:rsidRPr="00837FD1" w:rsidRDefault="00747EE9" w:rsidP="00747EE9">
      <w:pPr>
        <w:spacing w:after="0" w:line="240" w:lineRule="auto"/>
        <w:ind w:firstLine="720"/>
        <w:jc w:val="both"/>
        <w:rPr>
          <w:rFonts w:ascii="Times New Roman" w:eastAsia="Calibri" w:hAnsi="Times New Roman"/>
          <w:szCs w:val="24"/>
        </w:rPr>
      </w:pPr>
      <w:r w:rsidRPr="00BB69DC">
        <w:rPr>
          <w:rFonts w:ascii="Times New Roman" w:eastAsia="Calibri" w:hAnsi="Times New Roman"/>
          <w:sz w:val="24"/>
          <w:szCs w:val="24"/>
        </w:rPr>
        <w:t xml:space="preserve"> </w:t>
      </w:r>
      <w:r w:rsidRPr="00BB69DC">
        <w:rPr>
          <w:rFonts w:ascii="Times New Roman" w:hAnsi="Times New Roman"/>
          <w:sz w:val="24"/>
          <w:szCs w:val="24"/>
          <w:highlight w:val="white"/>
        </w:rPr>
        <w:t>Vispārējās valdības budžeta deficītu par 0,9</w:t>
      </w:r>
      <w:r>
        <w:rPr>
          <w:rFonts w:ascii="Times New Roman" w:hAnsi="Times New Roman"/>
          <w:sz w:val="24"/>
          <w:szCs w:val="24"/>
          <w:highlight w:val="white"/>
        </w:rPr>
        <w:t>6</w:t>
      </w:r>
      <w:r w:rsidRPr="00BB69DC">
        <w:rPr>
          <w:rFonts w:ascii="Times New Roman" w:hAnsi="Times New Roman"/>
          <w:sz w:val="24"/>
          <w:szCs w:val="24"/>
          <w:highlight w:val="white"/>
        </w:rPr>
        <w:t xml:space="preserve">% no IKP palielināja kapitālie </w:t>
      </w:r>
      <w:proofErr w:type="spellStart"/>
      <w:r w:rsidRPr="00BB69DC">
        <w:rPr>
          <w:rFonts w:ascii="Times New Roman" w:hAnsi="Times New Roman"/>
          <w:sz w:val="24"/>
          <w:szCs w:val="24"/>
          <w:highlight w:val="white"/>
        </w:rPr>
        <w:t>transferti</w:t>
      </w:r>
      <w:proofErr w:type="spellEnd"/>
      <w:r w:rsidRPr="00BB69DC">
        <w:rPr>
          <w:rFonts w:ascii="Times New Roman" w:hAnsi="Times New Roman"/>
          <w:sz w:val="24"/>
          <w:szCs w:val="24"/>
          <w:highlight w:val="white"/>
        </w:rPr>
        <w:t xml:space="preserve">, kas ir saistīti ar valdības lēmumu sniegt atbalstu  </w:t>
      </w:r>
      <w:proofErr w:type="spellStart"/>
      <w:r w:rsidR="00AD72F1" w:rsidRPr="002D428D">
        <w:rPr>
          <w:rFonts w:ascii="Times New Roman" w:hAnsi="Times New Roman"/>
          <w:sz w:val="24"/>
          <w:szCs w:val="24"/>
        </w:rPr>
        <w:t>airBaltic</w:t>
      </w:r>
      <w:proofErr w:type="spellEnd"/>
      <w:r w:rsidR="00AD72F1" w:rsidRPr="002D428D">
        <w:rPr>
          <w:rFonts w:ascii="Times New Roman" w:hAnsi="Times New Roman"/>
          <w:sz w:val="24"/>
          <w:szCs w:val="24"/>
        </w:rPr>
        <w:t xml:space="preserve"> </w:t>
      </w:r>
      <w:r w:rsidRPr="00BB69DC">
        <w:rPr>
          <w:rFonts w:ascii="Times New Roman" w:hAnsi="Times New Roman"/>
          <w:sz w:val="24"/>
          <w:szCs w:val="24"/>
          <w:highlight w:val="white"/>
        </w:rPr>
        <w:t>250 milj</w:t>
      </w:r>
      <w:r w:rsidRPr="00BB69DC">
        <w:rPr>
          <w:rFonts w:ascii="Times New Roman" w:hAnsi="Times New Roman"/>
          <w:noProof/>
          <w:sz w:val="24"/>
          <w:szCs w:val="24"/>
          <w:highlight w:val="white"/>
        </w:rPr>
        <w:t>.</w:t>
      </w:r>
      <w:r w:rsidRPr="00BB69DC">
        <w:rPr>
          <w:rFonts w:ascii="Times New Roman" w:eastAsia="Calibri" w:hAnsi="Times New Roman"/>
          <w:i/>
          <w:sz w:val="24"/>
          <w:szCs w:val="24"/>
        </w:rPr>
        <w:t xml:space="preserve"> </w:t>
      </w:r>
      <w:proofErr w:type="spellStart"/>
      <w:r w:rsidRPr="00BB69DC">
        <w:rPr>
          <w:rFonts w:ascii="Times New Roman" w:eastAsia="Calibri" w:hAnsi="Times New Roman"/>
          <w:i/>
          <w:sz w:val="24"/>
          <w:szCs w:val="24"/>
        </w:rPr>
        <w:t>euro</w:t>
      </w:r>
      <w:proofErr w:type="spellEnd"/>
      <w:r w:rsidRPr="00BB69DC">
        <w:rPr>
          <w:rFonts w:ascii="Times New Roman" w:eastAsia="Calibri" w:hAnsi="Times New Roman"/>
          <w:i/>
          <w:sz w:val="24"/>
          <w:szCs w:val="24"/>
        </w:rPr>
        <w:t xml:space="preserve"> </w:t>
      </w:r>
      <w:r w:rsidRPr="00BB69DC">
        <w:rPr>
          <w:rFonts w:ascii="Times New Roman" w:eastAsia="Calibri" w:hAnsi="Times New Roman"/>
          <w:sz w:val="24"/>
          <w:szCs w:val="24"/>
        </w:rPr>
        <w:t>apmērā, AS “Latvijas gaisa satiksme” 6 milj.</w:t>
      </w:r>
      <w:r w:rsidRPr="00BB69DC">
        <w:rPr>
          <w:rFonts w:ascii="Times New Roman" w:eastAsia="Calibri" w:hAnsi="Times New Roman"/>
          <w:i/>
          <w:sz w:val="24"/>
          <w:szCs w:val="24"/>
        </w:rPr>
        <w:t xml:space="preserve"> </w:t>
      </w:r>
      <w:proofErr w:type="spellStart"/>
      <w:r w:rsidRPr="00BB69DC">
        <w:rPr>
          <w:rFonts w:ascii="Times New Roman" w:eastAsia="Calibri" w:hAnsi="Times New Roman"/>
          <w:i/>
          <w:sz w:val="24"/>
          <w:szCs w:val="24"/>
        </w:rPr>
        <w:t>euro</w:t>
      </w:r>
      <w:proofErr w:type="spellEnd"/>
      <w:r w:rsidRPr="00BB69DC">
        <w:rPr>
          <w:rFonts w:ascii="Times New Roman" w:eastAsia="Calibri" w:hAnsi="Times New Roman"/>
          <w:i/>
          <w:sz w:val="24"/>
          <w:szCs w:val="24"/>
        </w:rPr>
        <w:t xml:space="preserve"> </w:t>
      </w:r>
      <w:r w:rsidRPr="00BB69DC">
        <w:rPr>
          <w:rFonts w:ascii="Times New Roman" w:eastAsia="Calibri" w:hAnsi="Times New Roman"/>
          <w:sz w:val="24"/>
          <w:szCs w:val="24"/>
        </w:rPr>
        <w:t xml:space="preserve">apmērā un </w:t>
      </w:r>
      <w:proofErr w:type="spellStart"/>
      <w:r>
        <w:rPr>
          <w:rFonts w:ascii="Times New Roman" w:eastAsia="Calibri" w:hAnsi="Times New Roman"/>
          <w:sz w:val="24"/>
          <w:szCs w:val="24"/>
        </w:rPr>
        <w:t>LDz</w:t>
      </w:r>
      <w:proofErr w:type="spellEnd"/>
      <w:r w:rsidRPr="00BB69DC">
        <w:rPr>
          <w:rFonts w:ascii="Times New Roman" w:eastAsia="Calibri" w:hAnsi="Times New Roman"/>
          <w:sz w:val="24"/>
          <w:szCs w:val="24"/>
        </w:rPr>
        <w:t xml:space="preserve"> 32,4 milj.</w:t>
      </w:r>
      <w:r w:rsidRPr="00BB69DC">
        <w:rPr>
          <w:rFonts w:ascii="Times New Roman" w:eastAsia="Calibri" w:hAnsi="Times New Roman"/>
          <w:i/>
          <w:sz w:val="24"/>
          <w:szCs w:val="24"/>
        </w:rPr>
        <w:t xml:space="preserve"> </w:t>
      </w:r>
      <w:proofErr w:type="spellStart"/>
      <w:r w:rsidRPr="00BB69DC">
        <w:rPr>
          <w:rFonts w:ascii="Times New Roman" w:eastAsia="Calibri" w:hAnsi="Times New Roman"/>
          <w:i/>
          <w:sz w:val="24"/>
          <w:szCs w:val="24"/>
        </w:rPr>
        <w:t>euro</w:t>
      </w:r>
      <w:proofErr w:type="spellEnd"/>
      <w:r w:rsidRPr="00BB69DC">
        <w:rPr>
          <w:rFonts w:ascii="Times New Roman" w:eastAsia="Calibri" w:hAnsi="Times New Roman"/>
          <w:i/>
          <w:sz w:val="24"/>
          <w:szCs w:val="24"/>
        </w:rPr>
        <w:t xml:space="preserve"> </w:t>
      </w:r>
      <w:r w:rsidRPr="00BB69DC">
        <w:rPr>
          <w:rFonts w:ascii="Times New Roman" w:eastAsia="Calibri" w:hAnsi="Times New Roman"/>
          <w:sz w:val="24"/>
          <w:szCs w:val="24"/>
        </w:rPr>
        <w:t xml:space="preserve">apmērā Covid-19 krīzes pārvarēšanai. </w:t>
      </w:r>
    </w:p>
    <w:p w14:paraId="0026CCC8" w14:textId="77777777" w:rsidR="00747EE9" w:rsidRDefault="00747EE9" w:rsidP="00747EE9">
      <w:pPr>
        <w:spacing w:after="0" w:line="240" w:lineRule="auto"/>
        <w:ind w:right="28" w:firstLine="567"/>
        <w:jc w:val="both"/>
        <w:rPr>
          <w:rFonts w:ascii="Times New Roman" w:eastAsia="Calibri" w:hAnsi="Times New Roman" w:cs="Times New Roman"/>
          <w:color w:val="FF0000"/>
          <w:sz w:val="24"/>
          <w:szCs w:val="24"/>
        </w:rPr>
      </w:pPr>
      <w:r w:rsidRPr="008C4DD4">
        <w:rPr>
          <w:rFonts w:ascii="Times New Roman" w:eastAsia="Calibri" w:hAnsi="Times New Roman" w:cs="Times New Roman"/>
          <w:color w:val="000000" w:themeColor="text1"/>
          <w:sz w:val="24"/>
          <w:szCs w:val="24"/>
        </w:rPr>
        <w:lastRenderedPageBreak/>
        <w:t>Vispārējās valdības budžeta deficītu par 0,2</w:t>
      </w:r>
      <w:r>
        <w:rPr>
          <w:rFonts w:ascii="Times New Roman" w:eastAsia="Calibri" w:hAnsi="Times New Roman" w:cs="Times New Roman"/>
          <w:color w:val="000000" w:themeColor="text1"/>
          <w:sz w:val="24"/>
          <w:szCs w:val="24"/>
        </w:rPr>
        <w:t>6</w:t>
      </w:r>
      <w:r w:rsidRPr="008C4DD4">
        <w:rPr>
          <w:rFonts w:ascii="Times New Roman" w:eastAsia="Calibri" w:hAnsi="Times New Roman" w:cs="Times New Roman"/>
          <w:color w:val="000000" w:themeColor="text1"/>
          <w:sz w:val="24"/>
          <w:szCs w:val="24"/>
        </w:rPr>
        <w:t xml:space="preserve">% no IKP samazināja pieklasificēto komersantu saimnieciskās darbības rezultāti, kur lielākās izmaiņas ir saistītas ar SIA “Rīgas satiksme” sabiedriskā transporta vienību iegādi. Izstrādājot vispārējās valdības budžeta prognozes 2020.gadam, SIA “Rīgas satiksme” sniedza informāciju, ka 2020.gadā SIA “Rīgas satiksme” saimnieciskās darbības rezultāts palielinās vispārējas valdības budžeta deficītu par 71,9 milj. </w:t>
      </w:r>
      <w:proofErr w:type="spellStart"/>
      <w:r w:rsidRPr="008C4DD4">
        <w:rPr>
          <w:rFonts w:ascii="Times New Roman" w:eastAsia="Calibri" w:hAnsi="Times New Roman" w:cs="Times New Roman"/>
          <w:i/>
          <w:color w:val="000000" w:themeColor="text1"/>
          <w:sz w:val="24"/>
          <w:szCs w:val="24"/>
        </w:rPr>
        <w:t>eur</w:t>
      </w:r>
      <w:r w:rsidRPr="008C4DD4">
        <w:rPr>
          <w:rFonts w:ascii="Times New Roman" w:eastAsia="Calibri" w:hAnsi="Times New Roman" w:cs="Times New Roman"/>
          <w:color w:val="000000" w:themeColor="text1"/>
          <w:sz w:val="24"/>
          <w:szCs w:val="24"/>
        </w:rPr>
        <w:t>o</w:t>
      </w:r>
      <w:proofErr w:type="spellEnd"/>
      <w:r w:rsidRPr="008C4DD4">
        <w:rPr>
          <w:rFonts w:ascii="Times New Roman" w:eastAsia="Calibri" w:hAnsi="Times New Roman" w:cs="Times New Roman"/>
          <w:color w:val="000000" w:themeColor="text1"/>
          <w:sz w:val="24"/>
          <w:szCs w:val="24"/>
        </w:rPr>
        <w:t xml:space="preserve">, saistībā ar infrastruktūras projektu realizāciju un sabiedriskā transporta vienību iegādi. Tomēr, ņemot vērā ekonomisko situāciju Covid-19 </w:t>
      </w:r>
      <w:r>
        <w:rPr>
          <w:rFonts w:ascii="Times New Roman" w:eastAsia="Calibri" w:hAnsi="Times New Roman" w:cs="Times New Roman"/>
          <w:color w:val="000000" w:themeColor="text1"/>
          <w:sz w:val="24"/>
          <w:szCs w:val="24"/>
        </w:rPr>
        <w:t>pandēmijas rezultātā</w:t>
      </w:r>
      <w:r w:rsidRPr="008C4DD4">
        <w:rPr>
          <w:rFonts w:ascii="Times New Roman" w:eastAsia="Calibri" w:hAnsi="Times New Roman" w:cs="Times New Roman"/>
          <w:color w:val="000000" w:themeColor="text1"/>
          <w:sz w:val="24"/>
          <w:szCs w:val="24"/>
        </w:rPr>
        <w:t xml:space="preserve">, tika mainīts 2020.gada SIA “Rīgas satiksme” investīciju plāns – galvenās izmaiņas ietvēra </w:t>
      </w:r>
      <w:r>
        <w:rPr>
          <w:rFonts w:ascii="Times New Roman" w:eastAsia="Calibri" w:hAnsi="Times New Roman" w:cs="Times New Roman"/>
          <w:color w:val="000000" w:themeColor="text1"/>
          <w:sz w:val="24"/>
          <w:szCs w:val="24"/>
        </w:rPr>
        <w:t>sabiedriskā transporta vienību piegāžu nobīdes</w:t>
      </w:r>
      <w:r w:rsidRPr="008C4DD4">
        <w:rPr>
          <w:rFonts w:ascii="Times New Roman" w:eastAsia="Calibri" w:hAnsi="Times New Roman" w:cs="Times New Roman"/>
          <w:color w:val="000000" w:themeColor="text1"/>
          <w:sz w:val="24"/>
          <w:szCs w:val="24"/>
        </w:rPr>
        <w:t xml:space="preserve"> sakarā ar piegādātāja </w:t>
      </w:r>
      <w:r>
        <w:rPr>
          <w:rFonts w:ascii="Times New Roman" w:eastAsia="Calibri" w:hAnsi="Times New Roman" w:cs="Times New Roman"/>
          <w:color w:val="000000" w:themeColor="text1"/>
          <w:sz w:val="24"/>
          <w:szCs w:val="24"/>
        </w:rPr>
        <w:t>nespēju</w:t>
      </w:r>
      <w:r w:rsidRPr="008C4DD4">
        <w:rPr>
          <w:rFonts w:ascii="Times New Roman" w:eastAsia="Calibri" w:hAnsi="Times New Roman" w:cs="Times New Roman"/>
          <w:color w:val="000000" w:themeColor="text1"/>
          <w:sz w:val="24"/>
          <w:szCs w:val="24"/>
        </w:rPr>
        <w:t xml:space="preserve"> saražot un nofinansēt plānoto </w:t>
      </w:r>
      <w:r>
        <w:rPr>
          <w:rFonts w:ascii="Times New Roman" w:eastAsia="Calibri" w:hAnsi="Times New Roman" w:cs="Times New Roman"/>
          <w:color w:val="000000" w:themeColor="text1"/>
          <w:sz w:val="24"/>
          <w:szCs w:val="24"/>
        </w:rPr>
        <w:t>sabiedriskā transporta vienību</w:t>
      </w:r>
      <w:r w:rsidRPr="008C4DD4">
        <w:rPr>
          <w:rFonts w:ascii="Times New Roman" w:eastAsia="Calibri" w:hAnsi="Times New Roman" w:cs="Times New Roman"/>
          <w:color w:val="000000" w:themeColor="text1"/>
          <w:sz w:val="24"/>
          <w:szCs w:val="24"/>
        </w:rPr>
        <w:t xml:space="preserve"> apjomu</w:t>
      </w:r>
      <w:r w:rsidRPr="006D34EE">
        <w:rPr>
          <w:rFonts w:ascii="Times New Roman" w:eastAsia="Calibri" w:hAnsi="Times New Roman" w:cs="Times New Roman"/>
          <w:color w:val="000000" w:themeColor="text1"/>
          <w:sz w:val="24"/>
          <w:szCs w:val="24"/>
        </w:rPr>
        <w:t xml:space="preserve"> noteiktaj</w:t>
      </w:r>
      <w:r>
        <w:rPr>
          <w:rFonts w:ascii="Times New Roman" w:eastAsia="Calibri" w:hAnsi="Times New Roman" w:cs="Times New Roman"/>
          <w:color w:val="000000" w:themeColor="text1"/>
          <w:sz w:val="24"/>
          <w:szCs w:val="24"/>
        </w:rPr>
        <w:t>ā termiņā.</w:t>
      </w:r>
      <w:r w:rsidRPr="008C4DD4">
        <w:rPr>
          <w:rFonts w:ascii="Times New Roman" w:eastAsia="Calibri" w:hAnsi="Times New Roman" w:cs="Times New Roman"/>
          <w:color w:val="000000" w:themeColor="text1"/>
          <w:sz w:val="24"/>
          <w:szCs w:val="24"/>
        </w:rPr>
        <w:t xml:space="preserve"> </w:t>
      </w:r>
    </w:p>
    <w:p w14:paraId="6B8AD312" w14:textId="77777777" w:rsidR="00747EE9" w:rsidRPr="008C4DD4" w:rsidRDefault="00747EE9" w:rsidP="00747EE9">
      <w:pPr>
        <w:spacing w:after="0" w:line="240" w:lineRule="auto"/>
        <w:ind w:right="28" w:firstLine="567"/>
        <w:jc w:val="both"/>
        <w:rPr>
          <w:rFonts w:ascii="Times New Roman" w:eastAsia="Calibri" w:hAnsi="Times New Roman" w:cs="Times New Roman"/>
          <w:color w:val="000000" w:themeColor="text1"/>
          <w:sz w:val="24"/>
          <w:szCs w:val="24"/>
        </w:rPr>
      </w:pPr>
      <w:r w:rsidRPr="008C4DD4">
        <w:rPr>
          <w:rFonts w:ascii="Times New Roman" w:eastAsia="Calibri" w:hAnsi="Times New Roman" w:cs="Times New Roman"/>
          <w:color w:val="000000" w:themeColor="text1"/>
          <w:sz w:val="24"/>
          <w:szCs w:val="24"/>
        </w:rPr>
        <w:t>Pārējās izmaiņas samazināja vispārējās valdības budžeta deficītu par 0,</w:t>
      </w:r>
      <w:r>
        <w:rPr>
          <w:rFonts w:ascii="Times New Roman" w:eastAsia="Calibri" w:hAnsi="Times New Roman" w:cs="Times New Roman"/>
          <w:color w:val="000000" w:themeColor="text1"/>
          <w:sz w:val="24"/>
          <w:szCs w:val="24"/>
        </w:rPr>
        <w:t>59</w:t>
      </w:r>
      <w:r w:rsidRPr="008C4DD4">
        <w:rPr>
          <w:rFonts w:ascii="Times New Roman" w:eastAsia="Calibri" w:hAnsi="Times New Roman" w:cs="Times New Roman"/>
          <w:color w:val="000000" w:themeColor="text1"/>
          <w:sz w:val="24"/>
          <w:szCs w:val="24"/>
        </w:rPr>
        <w:t xml:space="preserve">% no IKP, kur ietekmi 0,47% no IKP veidoja metodoloģiskās izmaiņas </w:t>
      </w:r>
      <w:proofErr w:type="spellStart"/>
      <w:r w:rsidRPr="008C4DD4">
        <w:rPr>
          <w:rFonts w:ascii="Times New Roman" w:eastAsia="Calibri" w:hAnsi="Times New Roman" w:cs="Times New Roman"/>
          <w:color w:val="000000" w:themeColor="text1"/>
          <w:sz w:val="24"/>
          <w:szCs w:val="24"/>
        </w:rPr>
        <w:t>Altum</w:t>
      </w:r>
      <w:proofErr w:type="spellEnd"/>
      <w:r w:rsidRPr="008C4DD4">
        <w:rPr>
          <w:rFonts w:ascii="Times New Roman" w:eastAsia="Calibri" w:hAnsi="Times New Roman" w:cs="Times New Roman"/>
          <w:color w:val="000000" w:themeColor="text1"/>
          <w:sz w:val="24"/>
          <w:szCs w:val="24"/>
        </w:rPr>
        <w:t xml:space="preserve"> atbalsta programmu Covid-19 pandēmijas seku mazināšanai uzskaitē. Ja sākotnēji plānotā ietekme uz vispārējās valdības budžeta bilanci no </w:t>
      </w:r>
      <w:proofErr w:type="spellStart"/>
      <w:r w:rsidRPr="008C4DD4">
        <w:rPr>
          <w:rFonts w:ascii="Times New Roman" w:eastAsia="Calibri" w:hAnsi="Times New Roman" w:cs="Times New Roman"/>
          <w:color w:val="000000" w:themeColor="text1"/>
          <w:sz w:val="24"/>
          <w:szCs w:val="24"/>
        </w:rPr>
        <w:t>Altum</w:t>
      </w:r>
      <w:proofErr w:type="spellEnd"/>
      <w:r w:rsidRPr="008C4DD4">
        <w:rPr>
          <w:rFonts w:ascii="Times New Roman" w:eastAsia="Calibri" w:hAnsi="Times New Roman" w:cs="Times New Roman"/>
          <w:color w:val="000000" w:themeColor="text1"/>
          <w:sz w:val="24"/>
          <w:szCs w:val="24"/>
        </w:rPr>
        <w:t xml:space="preserve"> atbalsta programmām tika prognozēta ņemot vērā sagaidāmos zaudējumus no plānotā atbalsta apjoma, tad pēc </w:t>
      </w:r>
      <w:proofErr w:type="spellStart"/>
      <w:r w:rsidRPr="008C4DD4">
        <w:rPr>
          <w:rFonts w:ascii="Times New Roman" w:eastAsia="Calibri" w:hAnsi="Times New Roman" w:cs="Times New Roman"/>
          <w:i/>
          <w:color w:val="000000" w:themeColor="text1"/>
          <w:sz w:val="24"/>
          <w:szCs w:val="24"/>
        </w:rPr>
        <w:t>Eurostat</w:t>
      </w:r>
      <w:proofErr w:type="spellEnd"/>
      <w:r w:rsidRPr="008C4DD4">
        <w:rPr>
          <w:rFonts w:ascii="Times New Roman" w:eastAsia="Calibri" w:hAnsi="Times New Roman" w:cs="Times New Roman"/>
          <w:color w:val="000000" w:themeColor="text1"/>
          <w:sz w:val="24"/>
          <w:szCs w:val="24"/>
        </w:rPr>
        <w:t xml:space="preserve"> sniegtajām rekomendācijām, ietekme uz vispārējās valdības budžeta bilanci tika novērtēta ņemot vērā sagaidāmos zaudējumos no faktiski piešķirtā atbalsta. </w:t>
      </w:r>
    </w:p>
    <w:p w14:paraId="47D03F25" w14:textId="77777777" w:rsidR="00747EE9" w:rsidRDefault="00747EE9" w:rsidP="00747EE9">
      <w:pPr>
        <w:spacing w:after="0" w:line="240" w:lineRule="auto"/>
        <w:ind w:firstLine="720"/>
        <w:jc w:val="both"/>
        <w:rPr>
          <w:rFonts w:ascii="Times New Roman" w:eastAsia="Calibri" w:hAnsi="Times New Roman" w:cs="Times New Roman"/>
          <w:color w:val="000000" w:themeColor="text1"/>
          <w:sz w:val="24"/>
          <w:szCs w:val="24"/>
        </w:rPr>
      </w:pPr>
      <w:r w:rsidRPr="008C4DD4">
        <w:rPr>
          <w:rFonts w:ascii="Times New Roman" w:eastAsia="Calibri" w:hAnsi="Times New Roman" w:cs="Times New Roman"/>
          <w:color w:val="000000" w:themeColor="text1"/>
          <w:sz w:val="24"/>
          <w:szCs w:val="24"/>
        </w:rPr>
        <w:t xml:space="preserve">Citu izmaiņu ietekme uz vispārējās valdības budžeta bilanci nepārsniedza </w:t>
      </w:r>
      <w:r>
        <w:rPr>
          <w:rFonts w:ascii="Times New Roman" w:hAnsi="Times New Roman" w:cs="Times New Roman"/>
          <w:bCs/>
          <w:sz w:val="24"/>
          <w:szCs w:val="24"/>
        </w:rPr>
        <w:t xml:space="preserve">+/- </w:t>
      </w:r>
      <w:r w:rsidRPr="008C4DD4">
        <w:rPr>
          <w:rFonts w:ascii="Times New Roman" w:eastAsia="Calibri" w:hAnsi="Times New Roman" w:cs="Times New Roman"/>
          <w:color w:val="000000" w:themeColor="text1"/>
          <w:sz w:val="24"/>
          <w:szCs w:val="24"/>
        </w:rPr>
        <w:t xml:space="preserve">0,1% no IKP.  </w:t>
      </w:r>
    </w:p>
    <w:p w14:paraId="1B133BFF" w14:textId="4B69BF30"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A1461C">
        <w:rPr>
          <w:rFonts w:ascii="Times New Roman" w:hAnsi="Times New Roman" w:cs="Times New Roman"/>
          <w:b/>
          <w:bCs/>
          <w:sz w:val="24"/>
          <w:szCs w:val="24"/>
        </w:rPr>
        <w:t>7.5</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21</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2B1D50F7"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4BF1590A"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04F19F57"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447A83C1"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2021</w:t>
            </w:r>
          </w:p>
        </w:tc>
      </w:tr>
      <w:tr w:rsidR="00747EE9" w:rsidRPr="00120DF9" w14:paraId="77ACC2DC"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EB7E302"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2021.gadam</w:t>
            </w:r>
          </w:p>
        </w:tc>
        <w:tc>
          <w:tcPr>
            <w:tcW w:w="4594" w:type="dxa"/>
            <w:noWrap/>
            <w:hideMark/>
          </w:tcPr>
          <w:p w14:paraId="0F8C7DF3"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1BC88BED"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-3,9</w:t>
            </w:r>
          </w:p>
        </w:tc>
      </w:tr>
      <w:tr w:rsidR="00747EE9" w:rsidRPr="00120DF9" w14:paraId="3A5A1A58"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39BC61DE" w14:textId="77777777" w:rsidR="00747EE9" w:rsidRPr="00120DF9" w:rsidRDefault="00747EE9" w:rsidP="00620C70">
            <w:pPr>
              <w:jc w:val="center"/>
              <w:rPr>
                <w:rFonts w:eastAsia="Times New Roman" w:cs="Times New Roman"/>
                <w:color w:val="000000"/>
                <w:sz w:val="22"/>
                <w:lang w:eastAsia="lv-LV"/>
              </w:rPr>
            </w:pPr>
          </w:p>
          <w:p w14:paraId="0B034384" w14:textId="77777777" w:rsidR="00747EE9" w:rsidRPr="00120DF9" w:rsidRDefault="00747EE9" w:rsidP="00620C70">
            <w:pPr>
              <w:jc w:val="center"/>
              <w:rPr>
                <w:rFonts w:eastAsia="Times New Roman" w:cs="Times New Roman"/>
                <w:color w:val="000000"/>
                <w:sz w:val="22"/>
                <w:lang w:eastAsia="lv-LV"/>
              </w:rPr>
            </w:pPr>
          </w:p>
          <w:p w14:paraId="1741C578" w14:textId="77777777" w:rsidR="00747EE9" w:rsidRPr="00120DF9" w:rsidRDefault="00747EE9" w:rsidP="00620C70">
            <w:pPr>
              <w:jc w:val="center"/>
              <w:rPr>
                <w:rFonts w:eastAsia="Times New Roman" w:cs="Times New Roman"/>
                <w:color w:val="000000"/>
                <w:sz w:val="22"/>
                <w:lang w:eastAsia="lv-LV"/>
              </w:rPr>
            </w:pPr>
          </w:p>
          <w:p w14:paraId="51414E01" w14:textId="77777777" w:rsidR="00747EE9" w:rsidRPr="00120DF9" w:rsidRDefault="00747EE9" w:rsidP="00620C70">
            <w:pPr>
              <w:jc w:val="center"/>
              <w:rPr>
                <w:rFonts w:eastAsia="Times New Roman" w:cs="Times New Roman"/>
                <w:color w:val="000000"/>
                <w:sz w:val="22"/>
                <w:lang w:eastAsia="lv-LV"/>
              </w:rPr>
            </w:pPr>
          </w:p>
          <w:p w14:paraId="515A6C28" w14:textId="77777777" w:rsidR="00747EE9" w:rsidRPr="00120DF9" w:rsidRDefault="00747EE9" w:rsidP="00620C70">
            <w:pPr>
              <w:jc w:val="center"/>
              <w:rPr>
                <w:rFonts w:eastAsia="Times New Roman" w:cs="Times New Roman"/>
                <w:color w:val="000000"/>
                <w:sz w:val="22"/>
                <w:lang w:eastAsia="lv-LV"/>
              </w:rPr>
            </w:pPr>
          </w:p>
          <w:p w14:paraId="14F414AC"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72C9D1A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1817" w:type="dxa"/>
            <w:noWrap/>
            <w:vAlign w:val="center"/>
            <w:hideMark/>
          </w:tcPr>
          <w:p w14:paraId="437D5607"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2,95</w:t>
            </w:r>
          </w:p>
        </w:tc>
      </w:tr>
      <w:tr w:rsidR="00747EE9" w:rsidRPr="00120DF9" w14:paraId="7D9EB542"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DB1669B"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9BA0A79"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1817" w:type="dxa"/>
            <w:noWrap/>
            <w:vAlign w:val="center"/>
            <w:hideMark/>
          </w:tcPr>
          <w:p w14:paraId="41308658"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0,47</w:t>
            </w:r>
          </w:p>
        </w:tc>
      </w:tr>
      <w:tr w:rsidR="00747EE9" w:rsidRPr="00120DF9" w14:paraId="72E00D25"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C9C9645"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E3DA11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1817" w:type="dxa"/>
            <w:noWrap/>
            <w:vAlign w:val="center"/>
            <w:hideMark/>
          </w:tcPr>
          <w:p w14:paraId="0D5AE3C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159380A2"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86540D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F74A635"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9192B0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-5,95</w:t>
            </w:r>
          </w:p>
        </w:tc>
      </w:tr>
      <w:tr w:rsidR="00747EE9" w:rsidRPr="00120DF9" w14:paraId="730FF599"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6BA9454"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ED92D50"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7CAC24E2"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-0,11</w:t>
            </w:r>
          </w:p>
        </w:tc>
      </w:tr>
      <w:tr w:rsidR="00747EE9" w:rsidRPr="00120DF9" w14:paraId="50CE40B5"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64DE664"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358C7540"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687AF9CE"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-0,30</w:t>
            </w:r>
          </w:p>
        </w:tc>
      </w:tr>
      <w:tr w:rsidR="00747EE9" w:rsidRPr="00120DF9" w14:paraId="64BDE3A9"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39536A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E5F32E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0531DB7C"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369076E0"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63D3AC66" w14:textId="77777777" w:rsidR="00747EE9" w:rsidRPr="00120DF9" w:rsidRDefault="00747EE9" w:rsidP="00620C70">
            <w:pPr>
              <w:rPr>
                <w:rFonts w:eastAsia="Times New Roman" w:cs="Times New Roman"/>
                <w:color w:val="000000"/>
                <w:sz w:val="22"/>
                <w:lang w:eastAsia="lv-LV"/>
              </w:rPr>
            </w:pPr>
          </w:p>
        </w:tc>
        <w:tc>
          <w:tcPr>
            <w:tcW w:w="4594" w:type="dxa"/>
            <w:noWrap/>
          </w:tcPr>
          <w:p w14:paraId="4A89B55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1FFFE211"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09A7CAF3"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tcPr>
          <w:p w14:paraId="5F2D3AE7" w14:textId="77777777" w:rsidR="00747EE9" w:rsidRPr="00120DF9" w:rsidRDefault="00747EE9" w:rsidP="00620C70">
            <w:pPr>
              <w:rPr>
                <w:rFonts w:eastAsia="Times New Roman" w:cs="Times New Roman"/>
                <w:color w:val="000000"/>
                <w:lang w:eastAsia="lv-LV"/>
              </w:rPr>
            </w:pPr>
          </w:p>
        </w:tc>
        <w:tc>
          <w:tcPr>
            <w:tcW w:w="4594" w:type="dxa"/>
            <w:noWrap/>
          </w:tcPr>
          <w:p w14:paraId="65398D5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Iemaksas ES budžetā</w:t>
            </w:r>
          </w:p>
        </w:tc>
        <w:tc>
          <w:tcPr>
            <w:tcW w:w="1817" w:type="dxa"/>
            <w:noWrap/>
            <w:vAlign w:val="center"/>
          </w:tcPr>
          <w:p w14:paraId="6BF0A2F0"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-0,13</w:t>
            </w:r>
          </w:p>
        </w:tc>
      </w:tr>
      <w:tr w:rsidR="00747EE9" w:rsidRPr="00120DF9" w14:paraId="0F5973E3" w14:textId="77777777" w:rsidTr="00620C70">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521863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22615A9"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1817" w:type="dxa"/>
            <w:noWrap/>
            <w:vAlign w:val="center"/>
            <w:hideMark/>
          </w:tcPr>
          <w:p w14:paraId="3A19EB0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0,22</w:t>
            </w:r>
          </w:p>
        </w:tc>
      </w:tr>
      <w:tr w:rsidR="00747EE9" w:rsidRPr="00120DF9" w14:paraId="238405DE" w14:textId="77777777" w:rsidTr="00620C70">
        <w:trPr>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5BF7BDE"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DFFDA86"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1817" w:type="dxa"/>
            <w:noWrap/>
            <w:vAlign w:val="center"/>
            <w:hideMark/>
          </w:tcPr>
          <w:p w14:paraId="6B6F2FA7"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-0,08</w:t>
            </w:r>
          </w:p>
        </w:tc>
      </w:tr>
      <w:tr w:rsidR="00747EE9" w:rsidRPr="00120DF9" w14:paraId="6F35873B"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1AE1D437" w14:textId="77777777" w:rsidR="00747EE9" w:rsidRPr="00120DF9" w:rsidRDefault="00747EE9" w:rsidP="00620C70">
            <w:pPr>
              <w:rPr>
                <w:rFonts w:eastAsia="Times New Roman" w:cs="Times New Roman"/>
                <w:color w:val="000000"/>
                <w:lang w:eastAsia="lv-LV"/>
              </w:rPr>
            </w:pPr>
          </w:p>
        </w:tc>
        <w:tc>
          <w:tcPr>
            <w:tcW w:w="4594" w:type="dxa"/>
            <w:noWrap/>
          </w:tcPr>
          <w:p w14:paraId="64970F28"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Kapitālie </w:t>
            </w:r>
            <w:proofErr w:type="spellStart"/>
            <w:r w:rsidRPr="001F3606">
              <w:rPr>
                <w:rFonts w:eastAsia="Times New Roman" w:cs="Times New Roman"/>
                <w:color w:val="000000"/>
                <w:sz w:val="22"/>
                <w:lang w:eastAsia="lv-LV"/>
              </w:rPr>
              <w:t>transferti</w:t>
            </w:r>
            <w:proofErr w:type="spellEnd"/>
          </w:p>
        </w:tc>
        <w:tc>
          <w:tcPr>
            <w:tcW w:w="1817" w:type="dxa"/>
            <w:noWrap/>
            <w:vAlign w:val="center"/>
          </w:tcPr>
          <w:p w14:paraId="122D4ED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-0,22</w:t>
            </w:r>
          </w:p>
        </w:tc>
      </w:tr>
      <w:tr w:rsidR="00747EE9" w:rsidRPr="00120DF9" w14:paraId="3EDFCF69"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391E46E"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3EF555DC"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1817" w:type="dxa"/>
            <w:noWrap/>
            <w:vAlign w:val="center"/>
            <w:hideMark/>
          </w:tcPr>
          <w:p w14:paraId="64EBA32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-1,49</w:t>
            </w:r>
          </w:p>
        </w:tc>
      </w:tr>
      <w:tr w:rsidR="00747EE9" w:rsidRPr="00120DF9" w14:paraId="134B4AFF"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B24D5B9"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21</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3F27E73C"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78DEB825"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-7,1</w:t>
            </w:r>
          </w:p>
        </w:tc>
      </w:tr>
    </w:tbl>
    <w:p w14:paraId="4A88CD50" w14:textId="77777777" w:rsidR="00747EE9" w:rsidRDefault="00747EE9" w:rsidP="00747EE9">
      <w:pPr>
        <w:spacing w:after="0" w:line="240" w:lineRule="auto"/>
        <w:ind w:firstLine="720"/>
        <w:jc w:val="both"/>
        <w:rPr>
          <w:rFonts w:ascii="Times New Roman" w:hAnsi="Times New Roman" w:cs="Times New Roman"/>
          <w:bCs/>
          <w:sz w:val="24"/>
          <w:szCs w:val="24"/>
        </w:rPr>
      </w:pPr>
    </w:p>
    <w:p w14:paraId="7D394422" w14:textId="391F4D58" w:rsidR="00747EE9" w:rsidRPr="00F42440" w:rsidRDefault="00747EE9" w:rsidP="00747EE9">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2021.gada budžeta likumam tika noteikts 3,9% apmērā no IKP, paredzot plašu atbalstu tautsaimniecībai, lai mazinātu Covid-19 pandēmijas izraisītās sekas uz ekonomiku un tās nozarēm. </w:t>
      </w:r>
      <w:r w:rsidRPr="008C4DD4">
        <w:rPr>
          <w:rFonts w:ascii="Times New Roman" w:hAnsi="Times New Roman"/>
          <w:b/>
          <w:bCs/>
          <w:szCs w:val="24"/>
        </w:rPr>
        <w:t>Atbilstoši CSP 202</w:t>
      </w:r>
      <w:r>
        <w:rPr>
          <w:rFonts w:ascii="Times New Roman" w:hAnsi="Times New Roman"/>
          <w:b/>
          <w:bCs/>
          <w:szCs w:val="24"/>
        </w:rPr>
        <w:t>3</w:t>
      </w:r>
      <w:r w:rsidRPr="008C4DD4">
        <w:rPr>
          <w:rFonts w:ascii="Times New Roman" w:hAnsi="Times New Roman"/>
          <w:b/>
          <w:bCs/>
          <w:szCs w:val="24"/>
        </w:rPr>
        <w:t xml:space="preserve">.gada </w:t>
      </w:r>
      <w:r>
        <w:rPr>
          <w:rFonts w:ascii="Times New Roman" w:hAnsi="Times New Roman"/>
          <w:b/>
          <w:bCs/>
          <w:szCs w:val="24"/>
        </w:rPr>
        <w:t>aprīļa</w:t>
      </w:r>
      <w:r w:rsidRPr="008C4DD4">
        <w:rPr>
          <w:rFonts w:ascii="Times New Roman" w:hAnsi="Times New Roman"/>
          <w:b/>
          <w:bCs/>
          <w:szCs w:val="24"/>
        </w:rPr>
        <w:t xml:space="preserve"> vispārējās valdības budžeta notifikācijas datiem </w:t>
      </w:r>
      <w:r w:rsidRPr="008C4DD4">
        <w:rPr>
          <w:rFonts w:ascii="Times New Roman" w:eastAsia="Calibri" w:hAnsi="Times New Roman"/>
          <w:b/>
          <w:szCs w:val="24"/>
        </w:rPr>
        <w:t>vispārējās valdības budžetā 202</w:t>
      </w:r>
      <w:r>
        <w:rPr>
          <w:rFonts w:ascii="Times New Roman" w:eastAsia="Calibri" w:hAnsi="Times New Roman"/>
          <w:b/>
          <w:szCs w:val="24"/>
        </w:rPr>
        <w:t>1</w:t>
      </w:r>
      <w:r w:rsidRPr="008C4DD4">
        <w:rPr>
          <w:rFonts w:ascii="Times New Roman" w:eastAsia="Calibri" w:hAnsi="Times New Roman"/>
          <w:b/>
          <w:szCs w:val="24"/>
        </w:rPr>
        <w:t xml:space="preserve">.gadā bija deficīts </w:t>
      </w:r>
      <w:r>
        <w:rPr>
          <w:rFonts w:ascii="Times New Roman" w:eastAsia="Calibri" w:hAnsi="Times New Roman"/>
          <w:b/>
          <w:szCs w:val="24"/>
        </w:rPr>
        <w:t>7,1</w:t>
      </w:r>
      <w:r w:rsidRPr="008C4DD4">
        <w:rPr>
          <w:rFonts w:ascii="Times New Roman" w:eastAsia="Calibri" w:hAnsi="Times New Roman"/>
          <w:b/>
          <w:szCs w:val="24"/>
        </w:rPr>
        <w:t xml:space="preserve">% apmērā no IKP, kas ir būtiski augstāks </w:t>
      </w:r>
      <w:r>
        <w:rPr>
          <w:rFonts w:ascii="Times New Roman" w:eastAsia="Calibri" w:hAnsi="Times New Roman"/>
          <w:b/>
          <w:szCs w:val="24"/>
        </w:rPr>
        <w:t xml:space="preserve">deficīta līmenis </w:t>
      </w:r>
      <w:r w:rsidRPr="008C4DD4">
        <w:rPr>
          <w:rFonts w:ascii="Times New Roman" w:hAnsi="Times New Roman"/>
          <w:b/>
          <w:szCs w:val="24"/>
        </w:rPr>
        <w:t>kā likumā “Par valsts budžetu 202</w:t>
      </w:r>
      <w:r>
        <w:rPr>
          <w:rFonts w:ascii="Times New Roman" w:hAnsi="Times New Roman"/>
          <w:b/>
          <w:szCs w:val="24"/>
        </w:rPr>
        <w:t>1</w:t>
      </w:r>
      <w:r w:rsidRPr="008C4DD4">
        <w:rPr>
          <w:rFonts w:ascii="Times New Roman" w:hAnsi="Times New Roman"/>
          <w:b/>
          <w:szCs w:val="24"/>
        </w:rPr>
        <w:t>.gadam”</w:t>
      </w:r>
      <w:r w:rsidRPr="00F42440">
        <w:rPr>
          <w:rFonts w:ascii="Times New Roman" w:hAnsi="Times New Roman"/>
          <w:szCs w:val="24"/>
        </w:rPr>
        <w:t xml:space="preserve"> </w:t>
      </w:r>
      <w:r w:rsidRPr="008C4DD4">
        <w:rPr>
          <w:rFonts w:ascii="Times New Roman" w:hAnsi="Times New Roman"/>
          <w:b/>
          <w:szCs w:val="24"/>
        </w:rPr>
        <w:t>noteiktais deficīta apjoms</w:t>
      </w:r>
      <w:r w:rsidRPr="00F42440">
        <w:rPr>
          <w:rFonts w:ascii="Times New Roman" w:eastAsia="Calibri" w:hAnsi="Times New Roman"/>
          <w:szCs w:val="24"/>
        </w:rPr>
        <w:t xml:space="preserve">, </w:t>
      </w:r>
      <w:r>
        <w:rPr>
          <w:rFonts w:ascii="Times New Roman" w:eastAsia="Calibri" w:hAnsi="Times New Roman"/>
          <w:szCs w:val="24"/>
        </w:rPr>
        <w:t>kas saistīts ar valdības plašo atbalstu iedzīvotājiem Covid-19 ietekmes mazināšanai</w:t>
      </w:r>
      <w:r w:rsidRPr="00F42440">
        <w:rPr>
          <w:rFonts w:ascii="Times New Roman" w:hAnsi="Times New Roman"/>
          <w:szCs w:val="24"/>
        </w:rPr>
        <w:t>.</w:t>
      </w:r>
      <w:r w:rsidRPr="00F42440">
        <w:rPr>
          <w:rFonts w:ascii="Times New Roman" w:eastAsia="Calibri" w:hAnsi="Times New Roman"/>
          <w:szCs w:val="24"/>
        </w:rPr>
        <w:t xml:space="preserve"> Tajā pašā laikā jāatzīmē, ka vispārējās valdības budžeta deficīts ir būtiski zemāks kā prognozētais Latvijas Stabilitātes programmā 202</w:t>
      </w:r>
      <w:r>
        <w:rPr>
          <w:rFonts w:ascii="Times New Roman" w:eastAsia="Calibri" w:hAnsi="Times New Roman"/>
          <w:szCs w:val="24"/>
        </w:rPr>
        <w:t>1</w:t>
      </w:r>
      <w:r w:rsidRPr="00F42440">
        <w:rPr>
          <w:rFonts w:ascii="Times New Roman" w:eastAsia="Calibri" w:hAnsi="Times New Roman"/>
          <w:szCs w:val="24"/>
        </w:rPr>
        <w:t>.</w:t>
      </w:r>
      <w:r w:rsidRPr="00F42440">
        <w:rPr>
          <w:rFonts w:ascii="Times New Roman" w:hAnsi="Times New Roman"/>
          <w:noProof/>
          <w:color w:val="000000"/>
          <w:szCs w:val="24"/>
        </w:rPr>
        <w:t>–</w:t>
      </w:r>
      <w:r w:rsidRPr="00F42440">
        <w:rPr>
          <w:rFonts w:ascii="Times New Roman" w:eastAsia="Calibri" w:hAnsi="Times New Roman"/>
          <w:szCs w:val="24"/>
        </w:rPr>
        <w:t>202</w:t>
      </w:r>
      <w:r>
        <w:rPr>
          <w:rFonts w:ascii="Times New Roman" w:eastAsia="Calibri" w:hAnsi="Times New Roman"/>
          <w:szCs w:val="24"/>
        </w:rPr>
        <w:t>4</w:t>
      </w:r>
      <w:r w:rsidRPr="00F42440">
        <w:rPr>
          <w:rFonts w:ascii="Times New Roman" w:eastAsia="Calibri" w:hAnsi="Times New Roman"/>
          <w:szCs w:val="24"/>
        </w:rPr>
        <w:t>.gadam, k</w:t>
      </w:r>
      <w:r>
        <w:rPr>
          <w:rFonts w:ascii="Times New Roman" w:eastAsia="Calibri" w:hAnsi="Times New Roman"/>
          <w:szCs w:val="24"/>
        </w:rPr>
        <w:t xml:space="preserve">ad, </w:t>
      </w:r>
      <w:r w:rsidRPr="00F42440">
        <w:rPr>
          <w:rFonts w:ascii="Times New Roman" w:eastAsia="Calibri" w:hAnsi="Times New Roman"/>
          <w:szCs w:val="24"/>
        </w:rPr>
        <w:t xml:space="preserve">ņemot vērā augsto nenoteiktību saistībā ar Covid-19 pandēmijas attīstību, vispārējās valdības budžeta deficīts </w:t>
      </w:r>
      <w:r>
        <w:rPr>
          <w:rFonts w:ascii="Times New Roman" w:eastAsia="Calibri" w:hAnsi="Times New Roman"/>
          <w:szCs w:val="24"/>
        </w:rPr>
        <w:t xml:space="preserve">2021.gadam </w:t>
      </w:r>
      <w:r w:rsidRPr="00F42440">
        <w:rPr>
          <w:rFonts w:ascii="Times New Roman" w:eastAsia="Calibri" w:hAnsi="Times New Roman"/>
          <w:szCs w:val="24"/>
        </w:rPr>
        <w:t>tika prognozēts 9,</w:t>
      </w:r>
      <w:r>
        <w:rPr>
          <w:rFonts w:ascii="Times New Roman" w:eastAsia="Calibri" w:hAnsi="Times New Roman"/>
          <w:szCs w:val="24"/>
        </w:rPr>
        <w:t>3</w:t>
      </w:r>
      <w:r w:rsidRPr="00F42440">
        <w:rPr>
          <w:rFonts w:ascii="Times New Roman" w:eastAsia="Calibri" w:hAnsi="Times New Roman"/>
          <w:szCs w:val="24"/>
        </w:rPr>
        <w:t>% no IK</w:t>
      </w:r>
      <w:r>
        <w:rPr>
          <w:rFonts w:ascii="Times New Roman" w:eastAsia="Calibri" w:hAnsi="Times New Roman"/>
          <w:szCs w:val="24"/>
        </w:rPr>
        <w:t>P.</w:t>
      </w:r>
    </w:p>
    <w:p w14:paraId="18F7D6E6" w14:textId="58D5AED1" w:rsidR="00747EE9"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Covid-19 pandēmija līdzīgi kā 2020.gadā būtiski ietekmēja nodokļu ieņēmumus, tomēr</w:t>
      </w:r>
      <w:r w:rsidR="00F163BB">
        <w:rPr>
          <w:rFonts w:ascii="Times New Roman" w:eastAsia="Calibri" w:hAnsi="Times New Roman"/>
          <w:szCs w:val="24"/>
        </w:rPr>
        <w:t>,</w:t>
      </w:r>
      <w:r>
        <w:rPr>
          <w:rFonts w:ascii="Times New Roman" w:eastAsia="Calibri" w:hAnsi="Times New Roman"/>
          <w:szCs w:val="24"/>
        </w:rPr>
        <w:t xml:space="preserve"> uzņēmumiem un iedzīvotājiem pielāgojoties situācijai</w:t>
      </w:r>
      <w:r w:rsidR="00F163BB">
        <w:rPr>
          <w:rFonts w:ascii="Times New Roman" w:eastAsia="Calibri" w:hAnsi="Times New Roman"/>
          <w:szCs w:val="24"/>
        </w:rPr>
        <w:t>,</w:t>
      </w:r>
      <w:r>
        <w:rPr>
          <w:rFonts w:ascii="Times New Roman" w:eastAsia="Calibri" w:hAnsi="Times New Roman"/>
          <w:szCs w:val="24"/>
        </w:rPr>
        <w:t xml:space="preserve"> nodokļu ieņēmumi bija par 2,95 procentpunktiem no IKP augstāki kā budžetā plānots, pamatā augstāk</w:t>
      </w:r>
      <w:r w:rsidR="00F163BB">
        <w:rPr>
          <w:rFonts w:ascii="Times New Roman" w:eastAsia="Calibri" w:hAnsi="Times New Roman"/>
          <w:szCs w:val="24"/>
        </w:rPr>
        <w:t xml:space="preserve">o </w:t>
      </w:r>
      <w:r>
        <w:rPr>
          <w:rFonts w:ascii="Times New Roman" w:eastAsia="Calibri" w:hAnsi="Times New Roman"/>
          <w:szCs w:val="24"/>
        </w:rPr>
        <w:t>ieņēmum</w:t>
      </w:r>
      <w:r w:rsidR="00F163BB">
        <w:rPr>
          <w:rFonts w:ascii="Times New Roman" w:eastAsia="Calibri" w:hAnsi="Times New Roman"/>
          <w:szCs w:val="24"/>
        </w:rPr>
        <w:t>u dēļ</w:t>
      </w:r>
      <w:r>
        <w:rPr>
          <w:rFonts w:ascii="Times New Roman" w:eastAsia="Calibri" w:hAnsi="Times New Roman"/>
          <w:szCs w:val="24"/>
        </w:rPr>
        <w:t xml:space="preserve"> no darbaspēka nodokļiem. Jāatzīmē, ka ar 2021.gada 1.janvāri Latvijā stājās spēkā jauna nodokļu samaksas kārtība, </w:t>
      </w:r>
      <w:r>
        <w:rPr>
          <w:rFonts w:ascii="Times New Roman" w:eastAsia="Calibri" w:hAnsi="Times New Roman"/>
          <w:szCs w:val="24"/>
        </w:rPr>
        <w:lastRenderedPageBreak/>
        <w:t>kad maksājumus Valsts ieņēmumu dienestam jāveic vienā nodokļu kontā un to attiecināšana uz atbilstīgajiem nodokļiem tiek veikta atbilstoši iesniegto deklarāciju datiem, kas ietekmēja nodokļu uzskaiti 2021.gada ietvaros (skaidro 1 procentpunktu no IKP samazinājumu pret prognozēto pārējās bilances izmaiņās, skat. Tabulu Nr.</w:t>
      </w:r>
      <w:r w:rsidR="00A1461C">
        <w:rPr>
          <w:rFonts w:ascii="Times New Roman" w:eastAsia="Calibri" w:hAnsi="Times New Roman"/>
          <w:szCs w:val="24"/>
        </w:rPr>
        <w:t>7.5</w:t>
      </w:r>
      <w:r>
        <w:rPr>
          <w:rFonts w:ascii="Times New Roman" w:eastAsia="Calibri" w:hAnsi="Times New Roman"/>
          <w:szCs w:val="24"/>
        </w:rPr>
        <w:t xml:space="preserve">).  </w:t>
      </w:r>
    </w:p>
    <w:p w14:paraId="76FBE37C" w14:textId="6DAE7FCC" w:rsidR="00747EE9"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 xml:space="preserve">Valdības plašais atbalsts dažādu pabalstu veidā iedzīvotājiem, tāpat arī būtiska apmēra līdzekļu novirzīšana veselības nozarei un arī citām nozarēm veicināja būtiski augstāku izdevumu līmeni valsts pamatbudžetā. </w:t>
      </w:r>
      <w:r w:rsidRPr="008021D6">
        <w:rPr>
          <w:rFonts w:ascii="Times New Roman" w:eastAsia="Calibri" w:hAnsi="Times New Roman"/>
          <w:szCs w:val="24"/>
        </w:rPr>
        <w:t xml:space="preserve">Atbilstoši FM aplēsēm </w:t>
      </w:r>
      <w:r>
        <w:rPr>
          <w:rFonts w:ascii="Times New Roman" w:eastAsia="Calibri" w:hAnsi="Times New Roman"/>
          <w:szCs w:val="24"/>
        </w:rPr>
        <w:t>2021.gadā</w:t>
      </w:r>
      <w:r w:rsidRPr="008021D6">
        <w:rPr>
          <w:rFonts w:ascii="Times New Roman" w:eastAsia="Calibri" w:hAnsi="Times New Roman"/>
          <w:szCs w:val="24"/>
        </w:rPr>
        <w:t xml:space="preserve"> sniegtā atbalsta apmērs Covid-19 seku mazināšanai kopumā sasniedza 2,3 miljardus eiro jeb 6,</w:t>
      </w:r>
      <w:r>
        <w:rPr>
          <w:rFonts w:ascii="Times New Roman" w:eastAsia="Calibri" w:hAnsi="Times New Roman"/>
          <w:szCs w:val="24"/>
        </w:rPr>
        <w:t>8</w:t>
      </w:r>
      <w:r w:rsidRPr="008021D6">
        <w:rPr>
          <w:rFonts w:ascii="Times New Roman" w:eastAsia="Calibri" w:hAnsi="Times New Roman"/>
          <w:szCs w:val="24"/>
        </w:rPr>
        <w:t>% no IKP, palielinot vispārējās valdības budžeta deficītu par 6,</w:t>
      </w:r>
      <w:r>
        <w:rPr>
          <w:rFonts w:ascii="Times New Roman" w:eastAsia="Calibri" w:hAnsi="Times New Roman"/>
          <w:szCs w:val="24"/>
        </w:rPr>
        <w:t>3</w:t>
      </w:r>
      <w:r w:rsidRPr="008021D6">
        <w:rPr>
          <w:rFonts w:ascii="Times New Roman" w:eastAsia="Calibri" w:hAnsi="Times New Roman"/>
          <w:szCs w:val="24"/>
        </w:rPr>
        <w:t>% no IKP.</w:t>
      </w:r>
    </w:p>
    <w:p w14:paraId="3852F326" w14:textId="77777777" w:rsidR="00747EE9" w:rsidRDefault="00747EE9" w:rsidP="00747EE9">
      <w:pPr>
        <w:pStyle w:val="teksts"/>
        <w:spacing w:after="0"/>
        <w:ind w:firstLine="720"/>
        <w:rPr>
          <w:rFonts w:ascii="Times New Roman" w:eastAsia="Calibri" w:hAnsi="Times New Roman"/>
          <w:szCs w:val="24"/>
        </w:rPr>
      </w:pPr>
    </w:p>
    <w:p w14:paraId="6146D03F" w14:textId="36B1CCF2"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A1461C">
        <w:rPr>
          <w:rFonts w:ascii="Times New Roman" w:hAnsi="Times New Roman" w:cs="Times New Roman"/>
          <w:b/>
          <w:bCs/>
          <w:sz w:val="24"/>
          <w:szCs w:val="24"/>
        </w:rPr>
        <w:t>7.6</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22</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54EE9E77"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4AFD9C0"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194184ED"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01953A6A"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2022</w:t>
            </w:r>
          </w:p>
        </w:tc>
      </w:tr>
      <w:tr w:rsidR="00747EE9" w:rsidRPr="00120DF9" w14:paraId="388C48D8"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614230A4"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2022.gadam</w:t>
            </w:r>
          </w:p>
        </w:tc>
        <w:tc>
          <w:tcPr>
            <w:tcW w:w="4594" w:type="dxa"/>
            <w:noWrap/>
            <w:hideMark/>
          </w:tcPr>
          <w:p w14:paraId="43510115"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Vispārējās valdības sektora B.9</w:t>
            </w:r>
          </w:p>
        </w:tc>
        <w:tc>
          <w:tcPr>
            <w:tcW w:w="1817" w:type="dxa"/>
            <w:noWrap/>
            <w:vAlign w:val="center"/>
            <w:hideMark/>
          </w:tcPr>
          <w:p w14:paraId="15A365FD"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-4,8</w:t>
            </w:r>
          </w:p>
        </w:tc>
      </w:tr>
      <w:tr w:rsidR="00747EE9" w:rsidRPr="00120DF9" w14:paraId="6A3807FD"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8D34734" w14:textId="77777777" w:rsidR="00747EE9" w:rsidRPr="00120DF9" w:rsidRDefault="00747EE9" w:rsidP="00620C70">
            <w:pPr>
              <w:jc w:val="center"/>
              <w:rPr>
                <w:rFonts w:eastAsia="Times New Roman" w:cs="Times New Roman"/>
                <w:color w:val="000000"/>
                <w:sz w:val="22"/>
                <w:lang w:eastAsia="lv-LV"/>
              </w:rPr>
            </w:pPr>
          </w:p>
          <w:p w14:paraId="5C5F93B2" w14:textId="77777777" w:rsidR="00747EE9" w:rsidRPr="00120DF9" w:rsidRDefault="00747EE9" w:rsidP="00620C70">
            <w:pPr>
              <w:jc w:val="center"/>
              <w:rPr>
                <w:rFonts w:eastAsia="Times New Roman" w:cs="Times New Roman"/>
                <w:color w:val="000000"/>
                <w:sz w:val="22"/>
                <w:lang w:eastAsia="lv-LV"/>
              </w:rPr>
            </w:pPr>
          </w:p>
          <w:p w14:paraId="59B1EC9A" w14:textId="77777777" w:rsidR="00747EE9" w:rsidRPr="00120DF9" w:rsidRDefault="00747EE9" w:rsidP="00620C70">
            <w:pPr>
              <w:jc w:val="center"/>
              <w:rPr>
                <w:rFonts w:eastAsia="Times New Roman" w:cs="Times New Roman"/>
                <w:color w:val="000000"/>
                <w:sz w:val="22"/>
                <w:lang w:eastAsia="lv-LV"/>
              </w:rPr>
            </w:pPr>
          </w:p>
          <w:p w14:paraId="19CEC117" w14:textId="77777777" w:rsidR="00747EE9" w:rsidRPr="00120DF9" w:rsidRDefault="00747EE9" w:rsidP="00620C70">
            <w:pPr>
              <w:jc w:val="center"/>
              <w:rPr>
                <w:rFonts w:eastAsia="Times New Roman" w:cs="Times New Roman"/>
                <w:color w:val="000000"/>
                <w:sz w:val="22"/>
                <w:lang w:eastAsia="lv-LV"/>
              </w:rPr>
            </w:pPr>
          </w:p>
          <w:p w14:paraId="2BD24D79" w14:textId="77777777" w:rsidR="00747EE9" w:rsidRPr="00120DF9" w:rsidRDefault="00747EE9" w:rsidP="00620C70">
            <w:pPr>
              <w:jc w:val="center"/>
              <w:rPr>
                <w:rFonts w:eastAsia="Times New Roman" w:cs="Times New Roman"/>
                <w:color w:val="000000"/>
                <w:sz w:val="22"/>
                <w:lang w:eastAsia="lv-LV"/>
              </w:rPr>
            </w:pPr>
          </w:p>
          <w:p w14:paraId="3DF2E4B0"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0" w:type="dxa"/>
            <w:noWrap/>
            <w:hideMark/>
          </w:tcPr>
          <w:p w14:paraId="2A3C039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0" w:type="dxa"/>
            <w:noWrap/>
            <w:vAlign w:val="center"/>
          </w:tcPr>
          <w:p w14:paraId="5B626E8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3,69</w:t>
            </w:r>
          </w:p>
        </w:tc>
      </w:tr>
      <w:tr w:rsidR="00747EE9" w:rsidRPr="00120DF9" w14:paraId="703F12AA"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dxa"/>
            <w:vMerge/>
            <w:hideMark/>
          </w:tcPr>
          <w:p w14:paraId="02975CEA"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03D434FC"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0" w:type="dxa"/>
            <w:noWrap/>
            <w:vAlign w:val="center"/>
          </w:tcPr>
          <w:p w14:paraId="7F014EF5"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0,36</w:t>
            </w:r>
          </w:p>
        </w:tc>
      </w:tr>
      <w:tr w:rsidR="00747EE9" w:rsidRPr="00120DF9" w14:paraId="61EA2534"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0" w:type="dxa"/>
            <w:vMerge/>
            <w:hideMark/>
          </w:tcPr>
          <w:p w14:paraId="3EBBF6A0"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4BF11D22"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0" w:type="dxa"/>
            <w:noWrap/>
            <w:vAlign w:val="center"/>
          </w:tcPr>
          <w:p w14:paraId="7BF7865A"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0,16</w:t>
            </w:r>
          </w:p>
        </w:tc>
      </w:tr>
      <w:tr w:rsidR="00747EE9" w:rsidRPr="00120DF9" w14:paraId="3315FE5F"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0" w:type="dxa"/>
            <w:vMerge/>
            <w:hideMark/>
          </w:tcPr>
          <w:p w14:paraId="6EA21521"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5B1179A4"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48745CB9"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-3,26</w:t>
            </w:r>
          </w:p>
        </w:tc>
      </w:tr>
      <w:tr w:rsidR="00747EE9" w:rsidRPr="00120DF9" w14:paraId="7ABFC92C"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0" w:type="dxa"/>
            <w:vMerge/>
            <w:hideMark/>
          </w:tcPr>
          <w:p w14:paraId="6DCC6231"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54DFF04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2E11C503"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-0,53</w:t>
            </w:r>
          </w:p>
        </w:tc>
      </w:tr>
      <w:tr w:rsidR="00747EE9" w:rsidRPr="00120DF9" w14:paraId="5040A0AE"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0" w:type="dxa"/>
            <w:vMerge/>
            <w:hideMark/>
          </w:tcPr>
          <w:p w14:paraId="2A9588F5"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45B3EF1A"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22E898F4"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-0,34</w:t>
            </w:r>
          </w:p>
        </w:tc>
      </w:tr>
      <w:tr w:rsidR="00747EE9" w:rsidRPr="00120DF9" w14:paraId="1C444143"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0" w:type="dxa"/>
            <w:vMerge/>
            <w:hideMark/>
          </w:tcPr>
          <w:p w14:paraId="5A611D75"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5AB40112"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4699FB23"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0,07</w:t>
            </w:r>
          </w:p>
        </w:tc>
      </w:tr>
      <w:tr w:rsidR="00747EE9" w:rsidRPr="00120DF9" w14:paraId="08D63C19"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01886F20" w14:textId="77777777" w:rsidR="00747EE9" w:rsidRPr="00120DF9" w:rsidRDefault="00747EE9" w:rsidP="00620C70">
            <w:pPr>
              <w:rPr>
                <w:rFonts w:eastAsia="Times New Roman" w:cs="Times New Roman"/>
                <w:color w:val="000000"/>
                <w:sz w:val="22"/>
                <w:lang w:eastAsia="lv-LV"/>
              </w:rPr>
            </w:pPr>
          </w:p>
        </w:tc>
        <w:tc>
          <w:tcPr>
            <w:tcW w:w="4594" w:type="dxa"/>
            <w:noWrap/>
          </w:tcPr>
          <w:p w14:paraId="6A1BD28C"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48694058"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-0,11</w:t>
            </w:r>
          </w:p>
        </w:tc>
      </w:tr>
      <w:tr w:rsidR="00747EE9" w:rsidRPr="00120DF9" w14:paraId="5B5EE52B"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tcPr>
          <w:p w14:paraId="1DCC538A" w14:textId="77777777" w:rsidR="00747EE9" w:rsidRPr="00120DF9" w:rsidRDefault="00747EE9" w:rsidP="00620C70">
            <w:pPr>
              <w:rPr>
                <w:rFonts w:eastAsia="Times New Roman" w:cs="Times New Roman"/>
                <w:color w:val="000000"/>
                <w:lang w:eastAsia="lv-LV"/>
              </w:rPr>
            </w:pPr>
          </w:p>
        </w:tc>
        <w:tc>
          <w:tcPr>
            <w:tcW w:w="4594" w:type="dxa"/>
            <w:noWrap/>
          </w:tcPr>
          <w:p w14:paraId="42ADA169"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Iemaksas ES budžetā</w:t>
            </w:r>
          </w:p>
        </w:tc>
        <w:tc>
          <w:tcPr>
            <w:tcW w:w="1817" w:type="dxa"/>
            <w:noWrap/>
            <w:vAlign w:val="center"/>
          </w:tcPr>
          <w:p w14:paraId="1A160F8A"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-0,03</w:t>
            </w:r>
          </w:p>
        </w:tc>
      </w:tr>
      <w:tr w:rsidR="00747EE9" w:rsidRPr="00120DF9" w14:paraId="1AA492AF" w14:textId="77777777" w:rsidTr="00620C70">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0" w:type="dxa"/>
            <w:vMerge/>
            <w:hideMark/>
          </w:tcPr>
          <w:p w14:paraId="628A79C3"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756E1131"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0" w:type="dxa"/>
            <w:noWrap/>
            <w:vAlign w:val="center"/>
          </w:tcPr>
          <w:p w14:paraId="1A967F76"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0,13</w:t>
            </w:r>
          </w:p>
        </w:tc>
      </w:tr>
      <w:tr w:rsidR="00747EE9" w:rsidRPr="00120DF9" w14:paraId="45215339" w14:textId="77777777" w:rsidTr="00620C70">
        <w:trPr>
          <w:trHeight w:val="130"/>
        </w:trPr>
        <w:tc>
          <w:tcPr>
            <w:cnfStyle w:val="001000000000" w:firstRow="0" w:lastRow="0" w:firstColumn="1" w:lastColumn="0" w:oddVBand="0" w:evenVBand="0" w:oddHBand="0" w:evenHBand="0" w:firstRowFirstColumn="0" w:firstRowLastColumn="0" w:lastRowFirstColumn="0" w:lastRowLastColumn="0"/>
            <w:tcW w:w="0" w:type="dxa"/>
            <w:vMerge/>
            <w:hideMark/>
          </w:tcPr>
          <w:p w14:paraId="369BFB9F"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1910D782"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0" w:type="dxa"/>
            <w:noWrap/>
            <w:vAlign w:val="center"/>
          </w:tcPr>
          <w:p w14:paraId="36285A6A"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-0,12</w:t>
            </w:r>
          </w:p>
        </w:tc>
      </w:tr>
      <w:tr w:rsidR="00747EE9" w:rsidRPr="00120DF9" w14:paraId="7434A8EE"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2A828CD2" w14:textId="77777777" w:rsidR="00747EE9" w:rsidRPr="00120DF9" w:rsidRDefault="00747EE9" w:rsidP="00620C70">
            <w:pPr>
              <w:rPr>
                <w:rFonts w:eastAsia="Times New Roman" w:cs="Times New Roman"/>
                <w:color w:val="000000"/>
                <w:lang w:eastAsia="lv-LV"/>
              </w:rPr>
            </w:pPr>
          </w:p>
        </w:tc>
        <w:tc>
          <w:tcPr>
            <w:tcW w:w="4594" w:type="dxa"/>
            <w:noWrap/>
          </w:tcPr>
          <w:p w14:paraId="6D612955"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Kapitālie </w:t>
            </w:r>
            <w:proofErr w:type="spellStart"/>
            <w:r w:rsidRPr="001F3606">
              <w:rPr>
                <w:rFonts w:eastAsia="Times New Roman" w:cs="Times New Roman"/>
                <w:color w:val="000000"/>
                <w:sz w:val="22"/>
                <w:lang w:eastAsia="lv-LV"/>
              </w:rPr>
              <w:t>transferti</w:t>
            </w:r>
            <w:proofErr w:type="spellEnd"/>
          </w:p>
        </w:tc>
        <w:tc>
          <w:tcPr>
            <w:tcW w:w="1817" w:type="dxa"/>
            <w:noWrap/>
            <w:vAlign w:val="center"/>
          </w:tcPr>
          <w:p w14:paraId="437B81F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378ED21A"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0" w:type="dxa"/>
            <w:vMerge/>
            <w:hideMark/>
          </w:tcPr>
          <w:p w14:paraId="23419D03"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27313AF5"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0" w:type="dxa"/>
            <w:noWrap/>
            <w:vAlign w:val="center"/>
          </w:tcPr>
          <w:p w14:paraId="26AF8BB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0,06</w:t>
            </w:r>
          </w:p>
        </w:tc>
      </w:tr>
      <w:tr w:rsidR="00747EE9" w:rsidRPr="00120DF9" w14:paraId="4CF074C1"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D1F1040"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22</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2BBF5B2A"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67193418"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-4,4</w:t>
            </w:r>
          </w:p>
        </w:tc>
      </w:tr>
    </w:tbl>
    <w:p w14:paraId="3FBBE981" w14:textId="77777777" w:rsidR="00747EE9" w:rsidRDefault="00747EE9" w:rsidP="00747EE9">
      <w:pPr>
        <w:spacing w:after="0" w:line="240" w:lineRule="auto"/>
        <w:ind w:firstLine="720"/>
        <w:jc w:val="both"/>
        <w:rPr>
          <w:rFonts w:ascii="Times New Roman" w:hAnsi="Times New Roman" w:cs="Times New Roman"/>
          <w:bCs/>
          <w:sz w:val="24"/>
          <w:szCs w:val="24"/>
        </w:rPr>
      </w:pPr>
    </w:p>
    <w:p w14:paraId="26F9C817" w14:textId="7A8973F2" w:rsidR="00747EE9" w:rsidRPr="00F42440" w:rsidRDefault="00747EE9" w:rsidP="00747EE9">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2022.gada budžeta likumam tika noteikts 4,8% apmērā no IKP, paredzot atbalstu tautsaimniecībai, lai mazinātu Covid-19 pandēmijas izraisītās sekas uz ekonomiku un tās nozarēm. </w:t>
      </w:r>
      <w:r w:rsidRPr="008C4DD4">
        <w:rPr>
          <w:rFonts w:ascii="Times New Roman" w:hAnsi="Times New Roman"/>
          <w:b/>
          <w:bCs/>
          <w:szCs w:val="24"/>
        </w:rPr>
        <w:t>Atbilstoši CSP 202</w:t>
      </w:r>
      <w:r>
        <w:rPr>
          <w:rFonts w:ascii="Times New Roman" w:hAnsi="Times New Roman"/>
          <w:b/>
          <w:bCs/>
          <w:szCs w:val="24"/>
        </w:rPr>
        <w:t>3</w:t>
      </w:r>
      <w:r w:rsidRPr="008C4DD4">
        <w:rPr>
          <w:rFonts w:ascii="Times New Roman" w:hAnsi="Times New Roman"/>
          <w:b/>
          <w:bCs/>
          <w:szCs w:val="24"/>
        </w:rPr>
        <w:t xml:space="preserve">.gada </w:t>
      </w:r>
      <w:r>
        <w:rPr>
          <w:rFonts w:ascii="Times New Roman" w:hAnsi="Times New Roman"/>
          <w:b/>
          <w:bCs/>
          <w:szCs w:val="24"/>
        </w:rPr>
        <w:t>aprīļa</w:t>
      </w:r>
      <w:r w:rsidRPr="008C4DD4">
        <w:rPr>
          <w:rFonts w:ascii="Times New Roman" w:hAnsi="Times New Roman"/>
          <w:b/>
          <w:bCs/>
          <w:szCs w:val="24"/>
        </w:rPr>
        <w:t xml:space="preserve"> vispārējās valdības budžeta notifikācijas datiem </w:t>
      </w:r>
      <w:r w:rsidRPr="008C4DD4">
        <w:rPr>
          <w:rFonts w:ascii="Times New Roman" w:eastAsia="Calibri" w:hAnsi="Times New Roman"/>
          <w:b/>
          <w:szCs w:val="24"/>
        </w:rPr>
        <w:t>vispārējās valdības budžetā 202</w:t>
      </w:r>
      <w:r>
        <w:rPr>
          <w:rFonts w:ascii="Times New Roman" w:eastAsia="Calibri" w:hAnsi="Times New Roman"/>
          <w:b/>
          <w:szCs w:val="24"/>
        </w:rPr>
        <w:t>2</w:t>
      </w:r>
      <w:r w:rsidRPr="008C4DD4">
        <w:rPr>
          <w:rFonts w:ascii="Times New Roman" w:eastAsia="Calibri" w:hAnsi="Times New Roman"/>
          <w:b/>
          <w:szCs w:val="24"/>
        </w:rPr>
        <w:t xml:space="preserve">.gadā bija deficīts </w:t>
      </w:r>
      <w:r>
        <w:rPr>
          <w:rFonts w:ascii="Times New Roman" w:eastAsia="Calibri" w:hAnsi="Times New Roman"/>
          <w:b/>
          <w:szCs w:val="24"/>
        </w:rPr>
        <w:t>4,4</w:t>
      </w:r>
      <w:r w:rsidRPr="008C4DD4">
        <w:rPr>
          <w:rFonts w:ascii="Times New Roman" w:eastAsia="Calibri" w:hAnsi="Times New Roman"/>
          <w:b/>
          <w:szCs w:val="24"/>
        </w:rPr>
        <w:t xml:space="preserve">% apmērā no IKP, kas ir </w:t>
      </w:r>
      <w:r>
        <w:rPr>
          <w:rFonts w:ascii="Times New Roman" w:eastAsia="Calibri" w:hAnsi="Times New Roman"/>
          <w:b/>
          <w:szCs w:val="24"/>
        </w:rPr>
        <w:t>tuvu</w:t>
      </w:r>
      <w:r w:rsidRPr="008C4DD4">
        <w:rPr>
          <w:rFonts w:ascii="Times New Roman" w:hAnsi="Times New Roman"/>
          <w:b/>
          <w:szCs w:val="24"/>
        </w:rPr>
        <w:t xml:space="preserve"> likumā “Par valsts budžetu 202</w:t>
      </w:r>
      <w:r>
        <w:rPr>
          <w:rFonts w:ascii="Times New Roman" w:hAnsi="Times New Roman"/>
          <w:b/>
          <w:szCs w:val="24"/>
        </w:rPr>
        <w:t>2</w:t>
      </w:r>
      <w:r w:rsidRPr="008C4DD4">
        <w:rPr>
          <w:rFonts w:ascii="Times New Roman" w:hAnsi="Times New Roman"/>
          <w:b/>
          <w:szCs w:val="24"/>
        </w:rPr>
        <w:t>.gadam”</w:t>
      </w:r>
      <w:r w:rsidRPr="00F42440">
        <w:rPr>
          <w:rFonts w:ascii="Times New Roman" w:hAnsi="Times New Roman"/>
          <w:szCs w:val="24"/>
        </w:rPr>
        <w:t xml:space="preserve"> </w:t>
      </w:r>
      <w:r w:rsidRPr="008C4DD4">
        <w:rPr>
          <w:rFonts w:ascii="Times New Roman" w:hAnsi="Times New Roman"/>
          <w:b/>
          <w:szCs w:val="24"/>
        </w:rPr>
        <w:t>noteikta</w:t>
      </w:r>
      <w:r>
        <w:rPr>
          <w:rFonts w:ascii="Times New Roman" w:hAnsi="Times New Roman"/>
          <w:b/>
          <w:szCs w:val="24"/>
        </w:rPr>
        <w:t>jam</w:t>
      </w:r>
      <w:r w:rsidRPr="008C4DD4">
        <w:rPr>
          <w:rFonts w:ascii="Times New Roman" w:hAnsi="Times New Roman"/>
          <w:b/>
          <w:szCs w:val="24"/>
        </w:rPr>
        <w:t xml:space="preserve"> deficīta </w:t>
      </w:r>
      <w:r>
        <w:rPr>
          <w:rFonts w:ascii="Times New Roman" w:hAnsi="Times New Roman"/>
          <w:b/>
          <w:szCs w:val="24"/>
        </w:rPr>
        <w:t>līmenim</w:t>
      </w:r>
      <w:r w:rsidRPr="00F42440">
        <w:rPr>
          <w:rFonts w:ascii="Times New Roman" w:hAnsi="Times New Roman"/>
          <w:szCs w:val="24"/>
        </w:rPr>
        <w:t>.</w:t>
      </w:r>
      <w:r w:rsidRPr="00F42440">
        <w:rPr>
          <w:rFonts w:ascii="Times New Roman" w:eastAsia="Calibri" w:hAnsi="Times New Roman"/>
          <w:szCs w:val="24"/>
        </w:rPr>
        <w:t xml:space="preserve"> </w:t>
      </w:r>
    </w:p>
    <w:p w14:paraId="577DE61B" w14:textId="5188F504" w:rsidR="00747EE9"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 xml:space="preserve">2022.gadā Krievijas pastiprinātā karadarbība Ukrainā un sekojošais energoresursu cenu un inflācijas kāpums iezīmēja nepieciešamību pēc papildus atbalstiem sabiedrībai, lai mazinātu iedzīvotāju nespēju veikt norēķinus par komunālajiem pakalpojumiem. Tāpat plašs atbalsts tika sniegts Ukrainas civiliedzīvotājiem, kas devās bēgļu gaitās un patvērās Latvijā. </w:t>
      </w:r>
      <w:r w:rsidRPr="008021D6">
        <w:rPr>
          <w:rFonts w:ascii="Times New Roman" w:eastAsia="Calibri" w:hAnsi="Times New Roman"/>
          <w:szCs w:val="24"/>
        </w:rPr>
        <w:t xml:space="preserve">Atbilstoši FM aplēsēm </w:t>
      </w:r>
      <w:r>
        <w:rPr>
          <w:rFonts w:ascii="Times New Roman" w:eastAsia="Calibri" w:hAnsi="Times New Roman"/>
          <w:szCs w:val="24"/>
        </w:rPr>
        <w:t>2022.gadā</w:t>
      </w:r>
      <w:r w:rsidRPr="008021D6">
        <w:rPr>
          <w:rFonts w:ascii="Times New Roman" w:eastAsia="Calibri" w:hAnsi="Times New Roman"/>
          <w:szCs w:val="24"/>
        </w:rPr>
        <w:t xml:space="preserve"> sniegtā atbalsta apmērs Covid-19 seku mazināšanai</w:t>
      </w:r>
      <w:r>
        <w:rPr>
          <w:rFonts w:ascii="Times New Roman" w:eastAsia="Calibri" w:hAnsi="Times New Roman"/>
          <w:szCs w:val="24"/>
        </w:rPr>
        <w:t xml:space="preserve">, </w:t>
      </w:r>
      <w:proofErr w:type="spellStart"/>
      <w:r>
        <w:rPr>
          <w:rFonts w:ascii="Times New Roman" w:eastAsia="Calibri" w:hAnsi="Times New Roman"/>
          <w:szCs w:val="24"/>
        </w:rPr>
        <w:t>energoatbalsta</w:t>
      </w:r>
      <w:proofErr w:type="spellEnd"/>
      <w:r>
        <w:rPr>
          <w:rFonts w:ascii="Times New Roman" w:eastAsia="Calibri" w:hAnsi="Times New Roman"/>
          <w:szCs w:val="24"/>
        </w:rPr>
        <w:t xml:space="preserve"> pasākumiem un Ukrainas civiliedzīvotājiem</w:t>
      </w:r>
      <w:r w:rsidRPr="008021D6">
        <w:rPr>
          <w:rFonts w:ascii="Times New Roman" w:eastAsia="Calibri" w:hAnsi="Times New Roman"/>
          <w:szCs w:val="24"/>
        </w:rPr>
        <w:t xml:space="preserve"> kopumā sasniedza </w:t>
      </w:r>
      <w:r>
        <w:rPr>
          <w:rFonts w:ascii="Times New Roman" w:eastAsia="Calibri" w:hAnsi="Times New Roman"/>
          <w:szCs w:val="24"/>
        </w:rPr>
        <w:t>4,2</w:t>
      </w:r>
      <w:r w:rsidRPr="008021D6">
        <w:rPr>
          <w:rFonts w:ascii="Times New Roman" w:eastAsia="Calibri" w:hAnsi="Times New Roman"/>
          <w:szCs w:val="24"/>
        </w:rPr>
        <w:t xml:space="preserve">% no IKP, palielinot vispārējās valdības budžeta deficītu par </w:t>
      </w:r>
      <w:r>
        <w:rPr>
          <w:rFonts w:ascii="Times New Roman" w:eastAsia="Calibri" w:hAnsi="Times New Roman"/>
          <w:szCs w:val="24"/>
        </w:rPr>
        <w:t>3,8</w:t>
      </w:r>
      <w:r w:rsidRPr="008021D6">
        <w:rPr>
          <w:rFonts w:ascii="Times New Roman" w:eastAsia="Calibri" w:hAnsi="Times New Roman"/>
          <w:szCs w:val="24"/>
        </w:rPr>
        <w:t>% no IKP.</w:t>
      </w:r>
    </w:p>
    <w:p w14:paraId="13F18C27" w14:textId="77777777" w:rsidR="00747EE9" w:rsidRPr="00397774"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 xml:space="preserve">Nodokļu ieņēmumi 2022.gadā saņemti 3,69% no IKP virs plānotā, bet </w:t>
      </w:r>
      <w:proofErr w:type="spellStart"/>
      <w:r>
        <w:rPr>
          <w:rFonts w:ascii="Times New Roman" w:eastAsia="Calibri" w:hAnsi="Times New Roman"/>
          <w:szCs w:val="24"/>
        </w:rPr>
        <w:t>nenodokļu</w:t>
      </w:r>
      <w:proofErr w:type="spellEnd"/>
      <w:r>
        <w:rPr>
          <w:rFonts w:ascii="Times New Roman" w:eastAsia="Calibri" w:hAnsi="Times New Roman"/>
          <w:szCs w:val="24"/>
        </w:rPr>
        <w:t xml:space="preserve"> ieņēmumi plānu pārsniedza par 0,36% no IKP. Lielā mērā noteicošais faktors bija Covid-19 ierobežojumu atcelšana un negaidīti augstā inflācija. Izdevumu pieaugumu noteica valdības papildus apstiprinātais </w:t>
      </w:r>
      <w:proofErr w:type="spellStart"/>
      <w:r>
        <w:rPr>
          <w:rFonts w:ascii="Times New Roman" w:eastAsia="Calibri" w:hAnsi="Times New Roman"/>
          <w:szCs w:val="24"/>
        </w:rPr>
        <w:t>energoatbalsts</w:t>
      </w:r>
      <w:proofErr w:type="spellEnd"/>
      <w:r>
        <w:rPr>
          <w:rFonts w:ascii="Times New Roman" w:eastAsia="Calibri" w:hAnsi="Times New Roman"/>
          <w:szCs w:val="24"/>
        </w:rPr>
        <w:t xml:space="preserve"> inflācijas seku mazināšanai, tostarp divus mēnešus ātrāk kā ierasts indeksējot pensijas, tāpat arī stratēģisko gāzes rezervju iegāde.</w:t>
      </w:r>
    </w:p>
    <w:p w14:paraId="349A6EB0" w14:textId="77777777" w:rsidR="00747EE9" w:rsidRDefault="00747EE9" w:rsidP="00747EE9">
      <w:pPr>
        <w:pStyle w:val="teksts"/>
        <w:spacing w:after="0"/>
        <w:ind w:firstLine="720"/>
        <w:rPr>
          <w:rFonts w:ascii="Times New Roman" w:eastAsia="Calibri" w:hAnsi="Times New Roman"/>
          <w:color w:val="000000"/>
          <w:szCs w:val="24"/>
        </w:rPr>
      </w:pPr>
    </w:p>
    <w:p w14:paraId="221E1673" w14:textId="77777777" w:rsidR="00C37396" w:rsidRDefault="00C37396" w:rsidP="00B672ED">
      <w:pPr>
        <w:spacing w:after="0" w:line="240" w:lineRule="auto"/>
        <w:ind w:firstLine="720"/>
        <w:jc w:val="both"/>
        <w:rPr>
          <w:rFonts w:ascii="Times New Roman" w:hAnsi="Times New Roman" w:cs="Times New Roman"/>
          <w:bCs/>
          <w:sz w:val="24"/>
          <w:szCs w:val="24"/>
        </w:rPr>
      </w:pPr>
    </w:p>
    <w:p w14:paraId="3A4365B8" w14:textId="46D982C1" w:rsidR="00334442" w:rsidRPr="001054F7" w:rsidRDefault="00334442" w:rsidP="0058124B">
      <w:pPr>
        <w:spacing w:after="0" w:line="240" w:lineRule="auto"/>
        <w:ind w:firstLine="720"/>
        <w:jc w:val="both"/>
        <w:rPr>
          <w:rFonts w:ascii="Times New Roman" w:eastAsiaTheme="majorEastAsia" w:hAnsi="Times New Roman" w:cs="Times New Roman"/>
          <w:b/>
          <w:bCs/>
          <w:smallCaps/>
          <w:color w:val="000000" w:themeColor="text1"/>
          <w:sz w:val="32"/>
          <w:szCs w:val="36"/>
          <w:highlight w:val="yellow"/>
        </w:rPr>
      </w:pPr>
      <w:r w:rsidRPr="001054F7">
        <w:rPr>
          <w:rFonts w:ascii="Times New Roman" w:hAnsi="Times New Roman" w:cs="Times New Roman"/>
          <w:sz w:val="32"/>
          <w:highlight w:val="yellow"/>
        </w:rPr>
        <w:br w:type="page"/>
      </w:r>
    </w:p>
    <w:p w14:paraId="46A20B1A" w14:textId="405D858D" w:rsidR="00B95E92" w:rsidRPr="00D64BA9" w:rsidRDefault="00FF0550" w:rsidP="00367D2C">
      <w:pPr>
        <w:pStyle w:val="Heading1"/>
        <w:numPr>
          <w:ilvl w:val="0"/>
          <w:numId w:val="0"/>
        </w:numPr>
        <w:jc w:val="center"/>
        <w:rPr>
          <w:rFonts w:ascii="Times New Roman" w:hAnsi="Times New Roman" w:cs="Times New Roman"/>
          <w:sz w:val="24"/>
          <w:szCs w:val="24"/>
        </w:rPr>
      </w:pPr>
      <w:bookmarkStart w:id="314" w:name="_Toc536779074"/>
      <w:bookmarkStart w:id="315" w:name="_Toc142388052"/>
      <w:r w:rsidRPr="00D64BA9">
        <w:rPr>
          <w:rFonts w:ascii="Times New Roman" w:hAnsi="Times New Roman" w:cs="Times New Roman"/>
          <w:sz w:val="24"/>
          <w:szCs w:val="24"/>
        </w:rPr>
        <w:lastRenderedPageBreak/>
        <w:t>8</w:t>
      </w:r>
      <w:r w:rsidR="007924D4" w:rsidRPr="00D64BA9">
        <w:rPr>
          <w:rFonts w:ascii="Times New Roman" w:hAnsi="Times New Roman" w:cs="Times New Roman"/>
          <w:sz w:val="24"/>
          <w:szCs w:val="24"/>
        </w:rPr>
        <w:t xml:space="preserve">. </w:t>
      </w:r>
      <w:r w:rsidR="00B95E92" w:rsidRPr="00D64BA9">
        <w:rPr>
          <w:rFonts w:ascii="Times New Roman" w:hAnsi="Times New Roman" w:cs="Times New Roman"/>
          <w:sz w:val="24"/>
          <w:szCs w:val="24"/>
        </w:rPr>
        <w:t>Fiskālā nodrošinājuma rezerves aprēķins</w:t>
      </w:r>
      <w:bookmarkEnd w:id="287"/>
      <w:bookmarkEnd w:id="314"/>
      <w:r w:rsidR="00D9742C" w:rsidRPr="00D64BA9">
        <w:rPr>
          <w:rFonts w:ascii="Times New Roman" w:hAnsi="Times New Roman" w:cs="Times New Roman"/>
          <w:sz w:val="24"/>
          <w:szCs w:val="24"/>
        </w:rPr>
        <w:t xml:space="preserve"> un papildu nepieciešamie pasākumi fiskālo risku mazināšanai</w:t>
      </w:r>
      <w:bookmarkEnd w:id="315"/>
      <w:r w:rsidR="00D9742C" w:rsidRPr="00D64BA9">
        <w:rPr>
          <w:rFonts w:ascii="Times New Roman" w:hAnsi="Times New Roman" w:cs="Times New Roman"/>
          <w:sz w:val="24"/>
          <w:szCs w:val="24"/>
        </w:rPr>
        <w:t xml:space="preserve"> </w:t>
      </w:r>
      <w:r w:rsidR="00D9742C" w:rsidRPr="00D64BA9">
        <w:rPr>
          <w:rFonts w:ascii="Times New Roman" w:hAnsi="Times New Roman" w:cs="Times New Roman"/>
          <w:sz w:val="24"/>
          <w:szCs w:val="24"/>
        </w:rPr>
        <w:tab/>
      </w:r>
    </w:p>
    <w:p w14:paraId="22147780" w14:textId="77777777" w:rsidR="00367D2C" w:rsidRDefault="00367D2C" w:rsidP="00E36452">
      <w:pPr>
        <w:spacing w:after="0" w:line="240" w:lineRule="auto"/>
        <w:ind w:firstLine="720"/>
        <w:jc w:val="both"/>
        <w:rPr>
          <w:rFonts w:ascii="Times New Roman" w:hAnsi="Times New Roman" w:cs="Times New Roman"/>
          <w:sz w:val="24"/>
          <w:szCs w:val="24"/>
        </w:rPr>
      </w:pPr>
    </w:p>
    <w:p w14:paraId="5190B451" w14:textId="1C025F73" w:rsidR="00E36452" w:rsidRPr="00035848" w:rsidRDefault="00E36452"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Fiskālās nodrošinājuma rezerves aprēķina metodoloģiju nosaka MK noteikumi Nr.229. Nosakot fiskālās nodrošinājuma rezerves apjomu, nekvantificējamie fiskālie riski netiek iekļauti šajos aprēķinos. Tāpat aprēķini neiekļauj fiskālos riskus ar iestāšanās varbūtību 1 un 5. Fiskālajiem riskiem ar zemu varbūtību tiek izmantota minimālā fiskālā nodrošinājuma rezerve 0,1% no IKP, bet fiskālos riskus ar augstu varbūtību (ar iestāšanās varbūtību 5) fiskālajās prognozēs ņem vērā kā notikumus, kas attiecīgajā periodā notiks, respektīvi, to fiskālo ietekmi iekļauj izdevumu vai ieņēmumu prognozēs, sagatavojot vispārējās valdības budžeta finansiālās bilances aprēķinus. Fiskālā nodrošinājumu rezerve tiek aprēķināta fiskālajiem riskiem ar iestāšanās varbūtību 2, 3 un 4. Fiskālā nodrošinājuma rezerves apjomu aprēķina, summējot visus kvantificējamo fiskālos riskus, kuriem:</w:t>
      </w:r>
    </w:p>
    <w:p w14:paraId="37627964" w14:textId="77777777" w:rsidR="00E36452" w:rsidRPr="00035848" w:rsidRDefault="00E36452" w:rsidP="002052AB">
      <w:pPr>
        <w:pStyle w:val="ListParagraph"/>
        <w:numPr>
          <w:ilvl w:val="0"/>
          <w:numId w:val="6"/>
        </w:numPr>
        <w:ind w:left="1134" w:hanging="357"/>
        <w:contextualSpacing w:val="0"/>
        <w:rPr>
          <w:rFonts w:ascii="Times New Roman" w:hAnsi="Times New Roman"/>
          <w:sz w:val="24"/>
          <w:szCs w:val="24"/>
        </w:rPr>
      </w:pPr>
      <w:r w:rsidRPr="00035848">
        <w:rPr>
          <w:rFonts w:ascii="Times New Roman" w:hAnsi="Times New Roman"/>
          <w:sz w:val="24"/>
          <w:szCs w:val="24"/>
        </w:rPr>
        <w:t>iestāšanās varbūtība novērtēta ar 2, fiskālo ietekmi procentos no IKP reizinot ar koeficientu 0,1;</w:t>
      </w:r>
    </w:p>
    <w:p w14:paraId="57D7D5BB" w14:textId="77777777" w:rsidR="00E36452" w:rsidRPr="00035848" w:rsidRDefault="00E36452" w:rsidP="00D64BA9">
      <w:pPr>
        <w:pStyle w:val="ListParagraph"/>
        <w:numPr>
          <w:ilvl w:val="0"/>
          <w:numId w:val="6"/>
        </w:numPr>
        <w:ind w:left="1134" w:hanging="357"/>
        <w:rPr>
          <w:rFonts w:ascii="Times New Roman" w:hAnsi="Times New Roman"/>
          <w:sz w:val="24"/>
          <w:szCs w:val="24"/>
        </w:rPr>
      </w:pPr>
      <w:r w:rsidRPr="00035848">
        <w:rPr>
          <w:rFonts w:ascii="Times New Roman" w:hAnsi="Times New Roman"/>
          <w:sz w:val="24"/>
          <w:szCs w:val="24"/>
        </w:rPr>
        <w:t>iestāšanās varbūtība novērtēta ar 3, fiskālo ietekmi procentos no IKP reizinot ar koeficientu 0,3;</w:t>
      </w:r>
    </w:p>
    <w:p w14:paraId="0E2F5010" w14:textId="77777777" w:rsidR="00E36452" w:rsidRPr="00035848" w:rsidRDefault="00E36452" w:rsidP="00D64BA9">
      <w:pPr>
        <w:pStyle w:val="ListParagraph"/>
        <w:numPr>
          <w:ilvl w:val="0"/>
          <w:numId w:val="6"/>
        </w:numPr>
        <w:ind w:left="1134" w:hanging="357"/>
        <w:rPr>
          <w:rFonts w:ascii="Times New Roman" w:hAnsi="Times New Roman"/>
          <w:sz w:val="24"/>
          <w:szCs w:val="24"/>
        </w:rPr>
      </w:pPr>
      <w:r w:rsidRPr="00035848">
        <w:rPr>
          <w:rFonts w:ascii="Times New Roman" w:hAnsi="Times New Roman"/>
          <w:sz w:val="24"/>
          <w:szCs w:val="24"/>
        </w:rPr>
        <w:t>iestāšanās varbūtība novērtēta ar 4, fiskālo ietekmi procentos no IKP reizinot ar koeficientu 0,6.</w:t>
      </w:r>
    </w:p>
    <w:p w14:paraId="481F2338" w14:textId="680D641C" w:rsidR="00E36452" w:rsidRPr="00035848" w:rsidRDefault="00123748"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w:t>
      </w:r>
      <w:r w:rsidR="00E36452" w:rsidRPr="00035848">
        <w:rPr>
          <w:rFonts w:ascii="Times New Roman" w:hAnsi="Times New Roman" w:cs="Times New Roman"/>
          <w:sz w:val="24"/>
          <w:szCs w:val="24"/>
        </w:rPr>
        <w:t>iskālā nodrošinājuma rezerve tiek aprēķināta</w:t>
      </w:r>
      <w:r w:rsidR="002E002F">
        <w:rPr>
          <w:rFonts w:ascii="Times New Roman" w:hAnsi="Times New Roman" w:cs="Times New Roman"/>
          <w:sz w:val="24"/>
          <w:szCs w:val="24"/>
        </w:rPr>
        <w:t>,</w:t>
      </w:r>
      <w:r w:rsidR="00E36452" w:rsidRPr="00035848">
        <w:rPr>
          <w:rFonts w:ascii="Times New Roman" w:hAnsi="Times New Roman" w:cs="Times New Roman"/>
          <w:sz w:val="24"/>
          <w:szCs w:val="24"/>
        </w:rPr>
        <w:t xml:space="preserve"> ņemot vērā šādus galvenos šīs deklarācijas secinājumus</w:t>
      </w:r>
      <w:r w:rsidR="00040B11">
        <w:rPr>
          <w:rFonts w:ascii="Times New Roman" w:hAnsi="Times New Roman" w:cs="Times New Roman"/>
          <w:sz w:val="24"/>
          <w:szCs w:val="24"/>
        </w:rPr>
        <w:t xml:space="preserve"> un identificētos papildu nepieciešamos pasākumus fiskālo risku mazināšanai</w:t>
      </w:r>
      <w:r w:rsidR="00E36452" w:rsidRPr="00035848">
        <w:rPr>
          <w:rFonts w:ascii="Times New Roman" w:hAnsi="Times New Roman" w:cs="Times New Roman"/>
          <w:sz w:val="24"/>
          <w:szCs w:val="24"/>
        </w:rPr>
        <w:t>:</w:t>
      </w:r>
    </w:p>
    <w:p w14:paraId="249AAD05" w14:textId="4FCD3060" w:rsidR="00F86A0B" w:rsidRPr="003C1EA1" w:rsidRDefault="00F86A0B" w:rsidP="00D64BA9">
      <w:pPr>
        <w:pStyle w:val="ListParagraph"/>
        <w:numPr>
          <w:ilvl w:val="0"/>
          <w:numId w:val="7"/>
        </w:numPr>
        <w:ind w:left="1134"/>
        <w:rPr>
          <w:rFonts w:ascii="Times New Roman" w:hAnsi="Times New Roman"/>
          <w:bCs/>
          <w:sz w:val="24"/>
          <w:szCs w:val="24"/>
        </w:rPr>
      </w:pPr>
      <w:bookmarkStart w:id="316" w:name="_Hlk142384416"/>
      <w:r w:rsidRPr="002D428D">
        <w:rPr>
          <w:rFonts w:ascii="Times New Roman" w:hAnsi="Times New Roman"/>
          <w:bCs/>
          <w:sz w:val="24"/>
          <w:szCs w:val="24"/>
        </w:rPr>
        <w:t xml:space="preserve">Kvantificējamam nesimetriskajam fiskālajam riskam, kas rodas no iespējamās </w:t>
      </w:r>
      <w:proofErr w:type="spellStart"/>
      <w:r w:rsidRPr="002D428D">
        <w:rPr>
          <w:rFonts w:ascii="Times New Roman" w:hAnsi="Times New Roman"/>
          <w:bCs/>
          <w:sz w:val="24"/>
          <w:szCs w:val="24"/>
        </w:rPr>
        <w:t>LDz</w:t>
      </w:r>
      <w:proofErr w:type="spellEnd"/>
      <w:r w:rsidRPr="002D428D">
        <w:rPr>
          <w:rFonts w:ascii="Times New Roman" w:hAnsi="Times New Roman"/>
          <w:bCs/>
          <w:sz w:val="24"/>
          <w:szCs w:val="24"/>
        </w:rPr>
        <w:t xml:space="preserve"> </w:t>
      </w:r>
      <w:proofErr w:type="spellStart"/>
      <w:r w:rsidRPr="002D428D">
        <w:rPr>
          <w:rFonts w:ascii="Times New Roman" w:hAnsi="Times New Roman"/>
          <w:bCs/>
          <w:sz w:val="24"/>
          <w:szCs w:val="24"/>
        </w:rPr>
        <w:t>pārklasifikācijas</w:t>
      </w:r>
      <w:proofErr w:type="spellEnd"/>
      <w:r w:rsidRPr="002D428D">
        <w:rPr>
          <w:rFonts w:ascii="Times New Roman" w:hAnsi="Times New Roman"/>
          <w:bCs/>
          <w:sz w:val="24"/>
          <w:szCs w:val="24"/>
        </w:rPr>
        <w:t xml:space="preserve"> vispārējās valdības sektorā, tiek novērtēta fiskālā nodrošinājuma rezerve</w:t>
      </w:r>
      <w:r w:rsidR="00016A28" w:rsidRPr="00AA59DE">
        <w:rPr>
          <w:rFonts w:ascii="Times New Roman" w:hAnsi="Times New Roman"/>
          <w:bCs/>
          <w:sz w:val="24"/>
          <w:szCs w:val="24"/>
        </w:rPr>
        <w:t xml:space="preserve"> 0,172 milj. </w:t>
      </w:r>
      <w:proofErr w:type="spellStart"/>
      <w:r w:rsidR="00016A28" w:rsidRPr="002D428D">
        <w:rPr>
          <w:rFonts w:ascii="Times New Roman" w:hAnsi="Times New Roman"/>
          <w:bCs/>
          <w:i/>
          <w:iCs/>
          <w:sz w:val="24"/>
          <w:szCs w:val="24"/>
        </w:rPr>
        <w:t>euro</w:t>
      </w:r>
      <w:proofErr w:type="spellEnd"/>
      <w:r w:rsidR="00016A28" w:rsidRPr="00AA59DE">
        <w:rPr>
          <w:rFonts w:ascii="Times New Roman" w:hAnsi="Times New Roman"/>
          <w:bCs/>
          <w:sz w:val="24"/>
          <w:szCs w:val="24"/>
        </w:rPr>
        <w:t xml:space="preserve"> 2024.gadam, 17,095 milj. </w:t>
      </w:r>
      <w:proofErr w:type="spellStart"/>
      <w:r w:rsidR="00016A28" w:rsidRPr="002D428D">
        <w:rPr>
          <w:rFonts w:ascii="Times New Roman" w:hAnsi="Times New Roman"/>
          <w:bCs/>
          <w:i/>
          <w:iCs/>
          <w:sz w:val="24"/>
          <w:szCs w:val="24"/>
        </w:rPr>
        <w:t>euro</w:t>
      </w:r>
      <w:proofErr w:type="spellEnd"/>
      <w:r w:rsidR="00016A28" w:rsidRPr="00AA59DE">
        <w:rPr>
          <w:rFonts w:ascii="Times New Roman" w:hAnsi="Times New Roman"/>
          <w:bCs/>
          <w:sz w:val="24"/>
          <w:szCs w:val="24"/>
        </w:rPr>
        <w:t xml:space="preserve"> 2025.gadam un 7,286 milj. </w:t>
      </w:r>
      <w:proofErr w:type="spellStart"/>
      <w:r w:rsidR="00016A28" w:rsidRPr="002D428D">
        <w:rPr>
          <w:rFonts w:ascii="Times New Roman" w:hAnsi="Times New Roman"/>
          <w:bCs/>
          <w:i/>
          <w:iCs/>
          <w:sz w:val="24"/>
          <w:szCs w:val="24"/>
        </w:rPr>
        <w:t>euro</w:t>
      </w:r>
      <w:proofErr w:type="spellEnd"/>
      <w:r w:rsidR="00016A28" w:rsidRPr="00AA59DE">
        <w:rPr>
          <w:rFonts w:ascii="Times New Roman" w:hAnsi="Times New Roman"/>
          <w:bCs/>
          <w:sz w:val="24"/>
          <w:szCs w:val="24"/>
        </w:rPr>
        <w:t xml:space="preserve"> 2026. </w:t>
      </w:r>
      <w:r w:rsidR="00016A28" w:rsidRPr="003C1EA1">
        <w:rPr>
          <w:rFonts w:ascii="Times New Roman" w:hAnsi="Times New Roman"/>
          <w:bCs/>
          <w:sz w:val="24"/>
          <w:szCs w:val="24"/>
        </w:rPr>
        <w:t>gadam</w:t>
      </w:r>
      <w:r w:rsidRPr="002D428D">
        <w:rPr>
          <w:rFonts w:ascii="Times New Roman" w:hAnsi="Times New Roman"/>
          <w:bCs/>
          <w:sz w:val="24"/>
          <w:szCs w:val="24"/>
        </w:rPr>
        <w:t>;</w:t>
      </w:r>
    </w:p>
    <w:bookmarkEnd w:id="316"/>
    <w:p w14:paraId="64124A35" w14:textId="72C71D56" w:rsidR="00A11874" w:rsidRPr="00F04558" w:rsidRDefault="003C1EA1" w:rsidP="00D64BA9">
      <w:pPr>
        <w:pStyle w:val="ListParagraph"/>
        <w:numPr>
          <w:ilvl w:val="0"/>
          <w:numId w:val="7"/>
        </w:numPr>
        <w:ind w:left="1134"/>
        <w:rPr>
          <w:rFonts w:ascii="Times New Roman" w:hAnsi="Times New Roman"/>
          <w:bCs/>
          <w:sz w:val="24"/>
          <w:szCs w:val="24"/>
        </w:rPr>
      </w:pPr>
      <w:r w:rsidRPr="00F04558">
        <w:rPr>
          <w:rFonts w:ascii="Times New Roman" w:hAnsi="Times New Roman"/>
          <w:bCs/>
          <w:sz w:val="24"/>
          <w:szCs w:val="24"/>
        </w:rPr>
        <w:t xml:space="preserve">Kvantificējamam nesimetriskajam fiskālajam riskam, kas rodas no valsts aizdevumiem, tiek novērtēta fiskālā nodrošinājuma rezerve 5,49 milj. </w:t>
      </w:r>
      <w:proofErr w:type="spellStart"/>
      <w:r w:rsidRPr="00F04558">
        <w:rPr>
          <w:rFonts w:ascii="Times New Roman" w:hAnsi="Times New Roman"/>
          <w:bCs/>
          <w:i/>
          <w:iCs/>
          <w:sz w:val="24"/>
          <w:szCs w:val="24"/>
        </w:rPr>
        <w:t>euro</w:t>
      </w:r>
      <w:proofErr w:type="spellEnd"/>
      <w:r w:rsidRPr="00F04558">
        <w:rPr>
          <w:rFonts w:ascii="Times New Roman" w:hAnsi="Times New Roman"/>
          <w:bCs/>
          <w:sz w:val="24"/>
          <w:szCs w:val="24"/>
        </w:rPr>
        <w:t xml:space="preserve"> 2024.gadam, 5,83 </w:t>
      </w:r>
      <w:proofErr w:type="spellStart"/>
      <w:r w:rsidRPr="00F04558">
        <w:rPr>
          <w:rFonts w:ascii="Times New Roman" w:hAnsi="Times New Roman"/>
          <w:bCs/>
          <w:i/>
          <w:iCs/>
          <w:sz w:val="24"/>
          <w:szCs w:val="24"/>
        </w:rPr>
        <w:t>euro</w:t>
      </w:r>
      <w:proofErr w:type="spellEnd"/>
      <w:r w:rsidRPr="00F04558">
        <w:rPr>
          <w:rFonts w:ascii="Times New Roman" w:hAnsi="Times New Roman"/>
          <w:bCs/>
          <w:i/>
          <w:iCs/>
          <w:sz w:val="24"/>
          <w:szCs w:val="24"/>
        </w:rPr>
        <w:t xml:space="preserve"> </w:t>
      </w:r>
      <w:r w:rsidRPr="00F04558">
        <w:rPr>
          <w:rFonts w:ascii="Times New Roman" w:hAnsi="Times New Roman"/>
          <w:bCs/>
          <w:sz w:val="24"/>
          <w:szCs w:val="24"/>
        </w:rPr>
        <w:t xml:space="preserve">2025.gadam un 27,23 milj. </w:t>
      </w:r>
      <w:proofErr w:type="spellStart"/>
      <w:r w:rsidRPr="00F04558">
        <w:rPr>
          <w:rFonts w:ascii="Times New Roman" w:hAnsi="Times New Roman"/>
          <w:bCs/>
          <w:i/>
          <w:iCs/>
          <w:sz w:val="24"/>
          <w:szCs w:val="24"/>
        </w:rPr>
        <w:t>euro</w:t>
      </w:r>
      <w:proofErr w:type="spellEnd"/>
      <w:r w:rsidRPr="00F04558">
        <w:rPr>
          <w:rFonts w:ascii="Times New Roman" w:hAnsi="Times New Roman"/>
          <w:bCs/>
          <w:sz w:val="24"/>
          <w:szCs w:val="24"/>
        </w:rPr>
        <w:t xml:space="preserve"> 2026.gadam.</w:t>
      </w:r>
    </w:p>
    <w:p w14:paraId="6D96F807" w14:textId="2FCBB1ED" w:rsidR="00E36452" w:rsidRPr="002D428D" w:rsidRDefault="00FD2E84" w:rsidP="00D64BA9">
      <w:pPr>
        <w:pStyle w:val="ListParagraph"/>
        <w:numPr>
          <w:ilvl w:val="0"/>
          <w:numId w:val="7"/>
        </w:numPr>
        <w:ind w:left="1134"/>
        <w:rPr>
          <w:rFonts w:ascii="Times New Roman" w:hAnsi="Times New Roman"/>
          <w:bCs/>
          <w:sz w:val="24"/>
        </w:rPr>
      </w:pPr>
      <w:r w:rsidRPr="002D428D">
        <w:rPr>
          <w:rFonts w:ascii="Times New Roman" w:hAnsi="Times New Roman"/>
          <w:bCs/>
          <w:sz w:val="24"/>
        </w:rPr>
        <w:t>Pārējie k</w:t>
      </w:r>
      <w:r w:rsidR="00E36452" w:rsidRPr="002D428D">
        <w:rPr>
          <w:rFonts w:ascii="Times New Roman" w:hAnsi="Times New Roman"/>
          <w:bCs/>
          <w:sz w:val="24"/>
        </w:rPr>
        <w:t>vantificējamie nesimetriskie fiskālie riski ir ar zemu fiskālo ietekmi</w:t>
      </w:r>
      <w:r w:rsidRPr="002D428D">
        <w:rPr>
          <w:rFonts w:ascii="Times New Roman" w:hAnsi="Times New Roman"/>
          <w:bCs/>
          <w:sz w:val="24"/>
        </w:rPr>
        <w:t xml:space="preserve"> un kopā ar </w:t>
      </w:r>
      <w:r w:rsidR="00F86A0B" w:rsidRPr="002D428D">
        <w:rPr>
          <w:rFonts w:ascii="Times New Roman" w:hAnsi="Times New Roman"/>
          <w:bCs/>
          <w:sz w:val="24"/>
        </w:rPr>
        <w:t>iepriekšējos punktos novērtēto fiskālās ietekmes un attiecīgo koeficientu reizinājumu</w:t>
      </w:r>
      <w:r w:rsidR="00E36452" w:rsidRPr="002D428D">
        <w:rPr>
          <w:rFonts w:ascii="Times New Roman" w:hAnsi="Times New Roman"/>
          <w:bCs/>
          <w:sz w:val="24"/>
        </w:rPr>
        <w:t xml:space="preserve"> nepārsniedz </w:t>
      </w:r>
      <w:r w:rsidRPr="002D428D">
        <w:rPr>
          <w:rFonts w:ascii="Times New Roman" w:hAnsi="Times New Roman"/>
          <w:bCs/>
          <w:sz w:val="24"/>
        </w:rPr>
        <w:t xml:space="preserve">fiskālā nodrošinājuma rezerves apjomu </w:t>
      </w:r>
      <w:r w:rsidR="00E36452" w:rsidRPr="002D428D">
        <w:rPr>
          <w:rFonts w:ascii="Times New Roman" w:hAnsi="Times New Roman"/>
          <w:bCs/>
          <w:sz w:val="24"/>
        </w:rPr>
        <w:t>0,1% no IKP</w:t>
      </w:r>
      <w:r w:rsidR="00161605" w:rsidRPr="002D428D">
        <w:rPr>
          <w:rFonts w:ascii="Times New Roman" w:hAnsi="Times New Roman"/>
          <w:bCs/>
          <w:sz w:val="24"/>
        </w:rPr>
        <w:t>;</w:t>
      </w:r>
    </w:p>
    <w:p w14:paraId="7EACBEFC" w14:textId="34759BA7" w:rsidR="00040B11" w:rsidRPr="002D428D" w:rsidRDefault="00E36452" w:rsidP="00D64BA9">
      <w:pPr>
        <w:pStyle w:val="ListParagraph"/>
        <w:numPr>
          <w:ilvl w:val="0"/>
          <w:numId w:val="7"/>
        </w:numPr>
        <w:ind w:left="1134"/>
        <w:rPr>
          <w:rFonts w:ascii="Times New Roman" w:hAnsi="Times New Roman"/>
          <w:b/>
          <w:sz w:val="24"/>
        </w:rPr>
      </w:pPr>
      <w:r w:rsidRPr="002D428D">
        <w:rPr>
          <w:rFonts w:ascii="Times New Roman" w:hAnsi="Times New Roman"/>
          <w:bCs/>
          <w:sz w:val="24"/>
        </w:rPr>
        <w:t>Liela daļa no kvantificējamiem fiskālajiem riskiem ir</w:t>
      </w:r>
      <w:r w:rsidR="005B4098" w:rsidRPr="002D428D">
        <w:rPr>
          <w:rFonts w:ascii="Times New Roman" w:hAnsi="Times New Roman"/>
          <w:bCs/>
          <w:sz w:val="24"/>
        </w:rPr>
        <w:t xml:space="preserve"> </w:t>
      </w:r>
      <w:r w:rsidRPr="002D428D">
        <w:rPr>
          <w:rFonts w:ascii="Times New Roman" w:hAnsi="Times New Roman"/>
          <w:bCs/>
          <w:sz w:val="24"/>
        </w:rPr>
        <w:t>simetriski fiskālie riski</w:t>
      </w:r>
      <w:r w:rsidR="005B4098" w:rsidRPr="002D428D">
        <w:rPr>
          <w:rFonts w:ascii="Times New Roman" w:hAnsi="Times New Roman"/>
          <w:bCs/>
          <w:sz w:val="24"/>
        </w:rPr>
        <w:t xml:space="preserve"> vai ar zemu iestāšanās varbūtību,</w:t>
      </w:r>
      <w:r w:rsidRPr="002D428D">
        <w:rPr>
          <w:rFonts w:ascii="Times New Roman" w:hAnsi="Times New Roman"/>
          <w:bCs/>
          <w:sz w:val="24"/>
        </w:rPr>
        <w:t xml:space="preserve"> un tāpēc fiskālā nodrošinājuma rezerve šiem riskiem netiek veidota</w:t>
      </w:r>
      <w:r w:rsidR="00F86A0B" w:rsidRPr="002D428D">
        <w:rPr>
          <w:rFonts w:ascii="Times New Roman" w:hAnsi="Times New Roman"/>
          <w:bCs/>
          <w:sz w:val="24"/>
        </w:rPr>
        <w:t>.</w:t>
      </w:r>
    </w:p>
    <w:p w14:paraId="04DE1EC5" w14:textId="732AE551" w:rsidR="00A95824" w:rsidRPr="00A95824" w:rsidRDefault="00A95824" w:rsidP="00A95824">
      <w:pPr>
        <w:ind w:firstLine="720"/>
        <w:rPr>
          <w:rFonts w:ascii="Times New Roman" w:hAnsi="Times New Roman"/>
          <w:b/>
          <w:sz w:val="24"/>
          <w:szCs w:val="24"/>
        </w:rPr>
      </w:pPr>
      <w:r w:rsidRPr="00A95824">
        <w:rPr>
          <w:rFonts w:ascii="Times New Roman" w:hAnsi="Times New Roman"/>
          <w:b/>
          <w:sz w:val="24"/>
        </w:rPr>
        <w:t>Ņemot vērā minēto, no šīs deklarācijas izriet, ka fiskālā nodrošinājuma rezerve 202</w:t>
      </w:r>
      <w:r w:rsidR="0013367A">
        <w:rPr>
          <w:rFonts w:ascii="Times New Roman" w:hAnsi="Times New Roman"/>
          <w:b/>
          <w:sz w:val="24"/>
        </w:rPr>
        <w:t>4</w:t>
      </w:r>
      <w:r w:rsidRPr="00A95824">
        <w:rPr>
          <w:rFonts w:ascii="Times New Roman" w:hAnsi="Times New Roman"/>
          <w:b/>
          <w:sz w:val="24"/>
        </w:rPr>
        <w:t>., 202</w:t>
      </w:r>
      <w:r w:rsidR="0013367A">
        <w:rPr>
          <w:rFonts w:ascii="Times New Roman" w:hAnsi="Times New Roman"/>
          <w:b/>
          <w:sz w:val="24"/>
        </w:rPr>
        <w:t>5</w:t>
      </w:r>
      <w:r w:rsidRPr="00A95824">
        <w:rPr>
          <w:rFonts w:ascii="Times New Roman" w:hAnsi="Times New Roman"/>
          <w:b/>
          <w:sz w:val="24"/>
        </w:rPr>
        <w:t>. un 202</w:t>
      </w:r>
      <w:r w:rsidR="0013367A">
        <w:rPr>
          <w:rFonts w:ascii="Times New Roman" w:hAnsi="Times New Roman"/>
          <w:b/>
          <w:sz w:val="24"/>
        </w:rPr>
        <w:t>6</w:t>
      </w:r>
      <w:r w:rsidRPr="00A95824">
        <w:rPr>
          <w:rFonts w:ascii="Times New Roman" w:hAnsi="Times New Roman"/>
          <w:b/>
          <w:sz w:val="24"/>
        </w:rPr>
        <w:t xml:space="preserve">.gadā ir jāveido 0,1% no IKP apmērā. </w:t>
      </w:r>
    </w:p>
    <w:p w14:paraId="024B63F7" w14:textId="77777777" w:rsidR="0040451F" w:rsidRPr="001054F7" w:rsidRDefault="0040451F" w:rsidP="00AF78B3">
      <w:pPr>
        <w:spacing w:after="0"/>
        <w:jc w:val="both"/>
        <w:rPr>
          <w:rFonts w:ascii="Times New Roman" w:hAnsi="Times New Roman" w:cs="Times New Roman"/>
          <w:sz w:val="24"/>
          <w:szCs w:val="24"/>
          <w:highlight w:val="yellow"/>
        </w:rPr>
      </w:pPr>
    </w:p>
    <w:p w14:paraId="32DD7615" w14:textId="2068D79B" w:rsidR="00746F79" w:rsidRDefault="00746F79" w:rsidP="00AF78B3">
      <w:pPr>
        <w:spacing w:after="0"/>
        <w:jc w:val="both"/>
        <w:rPr>
          <w:rFonts w:ascii="Times New Roman" w:hAnsi="Times New Roman" w:cs="Times New Roman"/>
          <w:sz w:val="24"/>
          <w:szCs w:val="24"/>
          <w:highlight w:val="yellow"/>
        </w:rPr>
      </w:pPr>
    </w:p>
    <w:p w14:paraId="46C9DA18" w14:textId="77777777" w:rsidR="00746F79" w:rsidRPr="001054F7" w:rsidRDefault="00746F79" w:rsidP="00AF78B3">
      <w:pPr>
        <w:spacing w:after="0"/>
        <w:jc w:val="both"/>
        <w:rPr>
          <w:rFonts w:ascii="Times New Roman" w:hAnsi="Times New Roman" w:cs="Times New Roman"/>
          <w:sz w:val="24"/>
          <w:szCs w:val="24"/>
          <w:highlight w:val="yellow"/>
        </w:rPr>
      </w:pPr>
    </w:p>
    <w:p w14:paraId="5741AAC8" w14:textId="0ED976C9" w:rsidR="00A7020A" w:rsidRDefault="003510C2" w:rsidP="00AF78B3">
      <w:pPr>
        <w:spacing w:after="0"/>
        <w:jc w:val="both"/>
        <w:rPr>
          <w:rFonts w:ascii="Times New Roman" w:hAnsi="Times New Roman" w:cs="Times New Roman"/>
          <w:sz w:val="24"/>
          <w:szCs w:val="24"/>
        </w:rPr>
      </w:pPr>
      <w:r w:rsidRPr="00035848">
        <w:rPr>
          <w:rFonts w:ascii="Times New Roman" w:hAnsi="Times New Roman" w:cs="Times New Roman"/>
          <w:sz w:val="24"/>
          <w:szCs w:val="24"/>
        </w:rPr>
        <w:t>Finanšu ministrs</w:t>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123748" w:rsidRPr="00035848">
        <w:rPr>
          <w:rFonts w:ascii="Times New Roman" w:hAnsi="Times New Roman" w:cs="Times New Roman"/>
          <w:sz w:val="24"/>
          <w:szCs w:val="24"/>
        </w:rPr>
        <w:tab/>
      </w:r>
      <w:proofErr w:type="spellStart"/>
      <w:r w:rsidR="00E8195D">
        <w:rPr>
          <w:rFonts w:ascii="Times New Roman" w:hAnsi="Times New Roman" w:cs="Times New Roman"/>
          <w:sz w:val="24"/>
          <w:szCs w:val="24"/>
        </w:rPr>
        <w:t>A.Ašeradens</w:t>
      </w:r>
      <w:proofErr w:type="spellEnd"/>
    </w:p>
    <w:p w14:paraId="0D419074" w14:textId="77777777" w:rsidR="007F2B6B" w:rsidRPr="0016240A" w:rsidRDefault="007F2B6B" w:rsidP="00AF78B3">
      <w:pPr>
        <w:spacing w:after="0"/>
        <w:jc w:val="both"/>
        <w:rPr>
          <w:rFonts w:ascii="Times New Roman" w:hAnsi="Times New Roman" w:cs="Times New Roman"/>
          <w:sz w:val="24"/>
          <w:szCs w:val="24"/>
        </w:rPr>
      </w:pPr>
    </w:p>
    <w:sectPr w:rsidR="007F2B6B" w:rsidRPr="0016240A" w:rsidSect="00F72DE0">
      <w:footerReference w:type="default" r:id="rId20"/>
      <w:pgSz w:w="11906" w:h="16838"/>
      <w:pgMar w:top="1134" w:right="566" w:bottom="1134" w:left="153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BF2C" w14:textId="77777777" w:rsidR="00DA5B8C" w:rsidRDefault="00DA5B8C" w:rsidP="00B95E92">
      <w:pPr>
        <w:spacing w:after="0" w:line="240" w:lineRule="auto"/>
      </w:pPr>
      <w:r>
        <w:separator/>
      </w:r>
    </w:p>
  </w:endnote>
  <w:endnote w:type="continuationSeparator" w:id="0">
    <w:p w14:paraId="5F7C85F8" w14:textId="77777777" w:rsidR="00DA5B8C" w:rsidRDefault="00DA5B8C" w:rsidP="00B95E92">
      <w:pPr>
        <w:spacing w:after="0" w:line="240" w:lineRule="auto"/>
      </w:pPr>
      <w:r>
        <w:continuationSeparator/>
      </w:r>
    </w:p>
  </w:endnote>
  <w:endnote w:type="continuationNotice" w:id="1">
    <w:p w14:paraId="0B22023B" w14:textId="77777777" w:rsidR="00DA5B8C" w:rsidRDefault="00DA5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067287"/>
      <w:docPartObj>
        <w:docPartGallery w:val="Page Numbers (Bottom of Page)"/>
        <w:docPartUnique/>
      </w:docPartObj>
    </w:sdtPr>
    <w:sdtEndPr>
      <w:rPr>
        <w:rFonts w:ascii="Times New Roman" w:hAnsi="Times New Roman" w:cs="Times New Roman"/>
        <w:noProof/>
      </w:rPr>
    </w:sdtEndPr>
    <w:sdtContent>
      <w:p w14:paraId="1931FB71" w14:textId="75121B0E" w:rsidR="00CA7612" w:rsidRPr="0008255A" w:rsidRDefault="00CA7612" w:rsidP="003D3613">
        <w:pPr>
          <w:pStyle w:val="Footer"/>
          <w:rPr>
            <w:rFonts w:ascii="Times New Roman" w:hAnsi="Times New Roman"/>
            <w:sz w:val="20"/>
          </w:rPr>
        </w:pPr>
      </w:p>
      <w:p w14:paraId="74A8D41E" w14:textId="2F4773CA" w:rsidR="00CA7612" w:rsidRPr="007C05CF" w:rsidRDefault="00CA7612">
        <w:pPr>
          <w:pStyle w:val="Footer"/>
          <w:jc w:val="right"/>
          <w:rPr>
            <w:rFonts w:ascii="Times New Roman" w:hAnsi="Times New Roman" w:cs="Times New Roman"/>
          </w:rPr>
        </w:pPr>
        <w:r w:rsidRPr="007C05CF">
          <w:rPr>
            <w:rFonts w:ascii="Times New Roman" w:hAnsi="Times New Roman" w:cs="Times New Roman"/>
          </w:rPr>
          <w:fldChar w:fldCharType="begin"/>
        </w:r>
        <w:r w:rsidRPr="007C05CF">
          <w:rPr>
            <w:rFonts w:ascii="Times New Roman" w:hAnsi="Times New Roman" w:cs="Times New Roman"/>
          </w:rPr>
          <w:instrText xml:space="preserve"> PAGE   \* MERGEFORMAT </w:instrText>
        </w:r>
        <w:r w:rsidRPr="007C05CF">
          <w:rPr>
            <w:rFonts w:ascii="Times New Roman" w:hAnsi="Times New Roman" w:cs="Times New Roman"/>
          </w:rPr>
          <w:fldChar w:fldCharType="separate"/>
        </w:r>
        <w:r w:rsidR="008B1F6F">
          <w:rPr>
            <w:rFonts w:ascii="Times New Roman" w:hAnsi="Times New Roman" w:cs="Times New Roman"/>
            <w:noProof/>
          </w:rPr>
          <w:t>3</w:t>
        </w:r>
        <w:r w:rsidR="008B1F6F">
          <w:rPr>
            <w:rFonts w:ascii="Times New Roman" w:hAnsi="Times New Roman" w:cs="Times New Roman"/>
            <w:noProof/>
          </w:rPr>
          <w:t>9</w:t>
        </w:r>
        <w:r w:rsidRPr="007C05CF">
          <w:rPr>
            <w:rFonts w:ascii="Times New Roman" w:hAnsi="Times New Roman" w:cs="Times New Roman"/>
            <w:noProof/>
          </w:rPr>
          <w:fldChar w:fldCharType="end"/>
        </w:r>
      </w:p>
    </w:sdtContent>
  </w:sdt>
  <w:p w14:paraId="7CAFF498" w14:textId="79E58193" w:rsidR="00CA7612" w:rsidRPr="00D50D85" w:rsidRDefault="00CA7612">
    <w:pPr>
      <w:pStyle w:val="Foo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07B47" w14:textId="77777777" w:rsidR="00DA5B8C" w:rsidRDefault="00DA5B8C" w:rsidP="00B95E92">
      <w:pPr>
        <w:spacing w:after="0" w:line="240" w:lineRule="auto"/>
      </w:pPr>
      <w:r>
        <w:separator/>
      </w:r>
    </w:p>
  </w:footnote>
  <w:footnote w:type="continuationSeparator" w:id="0">
    <w:p w14:paraId="059C9A38" w14:textId="77777777" w:rsidR="00DA5B8C" w:rsidRDefault="00DA5B8C" w:rsidP="00B95E92">
      <w:pPr>
        <w:spacing w:after="0" w:line="240" w:lineRule="auto"/>
      </w:pPr>
      <w:r>
        <w:continuationSeparator/>
      </w:r>
    </w:p>
  </w:footnote>
  <w:footnote w:type="continuationNotice" w:id="1">
    <w:p w14:paraId="7D42E1D7" w14:textId="77777777" w:rsidR="00DA5B8C" w:rsidRDefault="00DA5B8C">
      <w:pPr>
        <w:spacing w:after="0" w:line="240" w:lineRule="auto"/>
      </w:pPr>
    </w:p>
  </w:footnote>
  <w:footnote w:id="2">
    <w:p w14:paraId="1B8BAC79" w14:textId="77777777" w:rsidR="003C7117" w:rsidRDefault="003C7117" w:rsidP="003C7117">
      <w:pPr>
        <w:pStyle w:val="FootnoteText"/>
        <w:jc w:val="both"/>
      </w:pPr>
      <w:r>
        <w:rPr>
          <w:rStyle w:val="FootnoteReference"/>
        </w:rPr>
        <w:footnoteRef/>
      </w:r>
      <w:r>
        <w:t xml:space="preserve"> </w:t>
      </w:r>
      <w:r w:rsidRPr="0058124B">
        <w:rPr>
          <w:rFonts w:cs="Times New Roman"/>
          <w:color w:val="000000" w:themeColor="text1"/>
          <w:lang w:eastAsia="lv-LV"/>
        </w:rPr>
        <w:t>2022.gada 3.novembrī stāj</w:t>
      </w:r>
      <w:r>
        <w:rPr>
          <w:rFonts w:cs="Times New Roman"/>
          <w:color w:val="000000" w:themeColor="text1"/>
          <w:lang w:eastAsia="lv-LV"/>
        </w:rPr>
        <w:t>ā</w:t>
      </w:r>
      <w:r w:rsidRPr="0058124B">
        <w:rPr>
          <w:rFonts w:cs="Times New Roman"/>
          <w:color w:val="000000" w:themeColor="text1"/>
          <w:lang w:eastAsia="lv-LV"/>
        </w:rPr>
        <w:t>s spēkā grozījumi Likumā par budžeta un finanšu vadību, paredzot, ka turpmāk vidēja termiņa budžeta ietvara likumprojektu un gadskārtējā valsts budžeta likumprojektu sagatavo kā vienu likumprojektu.</w:t>
      </w:r>
      <w:r w:rsidRPr="0058124B">
        <w:rPr>
          <w:rFonts w:ascii="Verdana" w:hAnsi="Verdana"/>
          <w:color w:val="525252"/>
          <w:lang w:eastAsia="lv-LV"/>
        </w:rPr>
        <w:br/>
      </w:r>
    </w:p>
  </w:footnote>
  <w:footnote w:id="3">
    <w:p w14:paraId="31B23080" w14:textId="77777777" w:rsidR="003C7117" w:rsidRDefault="003C7117" w:rsidP="003C7117">
      <w:pPr>
        <w:pStyle w:val="FootnoteText"/>
      </w:pPr>
      <w:r w:rsidRPr="003C7117">
        <w:rPr>
          <w:rStyle w:val="FootnoteReference"/>
        </w:rPr>
        <w:footnoteRef/>
      </w:r>
      <w:r w:rsidRPr="003C7117">
        <w:t xml:space="preserve"> </w:t>
      </w:r>
      <w:r w:rsidRPr="003C7117">
        <w:t xml:space="preserve">Sākot </w:t>
      </w:r>
      <w:r w:rsidRPr="0020713B">
        <w:rPr>
          <w:rFonts w:cs="Times New Roman"/>
          <w:color w:val="000000"/>
        </w:rPr>
        <w:t xml:space="preserve">ar 2023.gadu likumu par valsts budžetu kārtējam gadam un vidēja termiņa </w:t>
      </w:r>
      <w:r w:rsidRPr="0020713B">
        <w:rPr>
          <w:rFonts w:cs="Times New Roman"/>
        </w:rPr>
        <w:t>budžeta ietvaru</w:t>
      </w:r>
    </w:p>
  </w:footnote>
  <w:footnote w:id="4">
    <w:p w14:paraId="618BF431" w14:textId="77777777" w:rsidR="00CA7612" w:rsidRDefault="00CA7612" w:rsidP="00821D16">
      <w:pPr>
        <w:pStyle w:val="FootnoteText"/>
        <w:jc w:val="both"/>
      </w:pPr>
      <w:r>
        <w:rPr>
          <w:rStyle w:val="FootnoteReference"/>
        </w:rPr>
        <w:footnoteRef/>
      </w:r>
      <w:r>
        <w:t xml:space="preserve"> </w:t>
      </w:r>
      <w:r>
        <w:t xml:space="preserve">Saskaņā ar Starptautiskās Standartu organizācijas izstrādāto standartu risku vadībā </w:t>
      </w:r>
      <w:r w:rsidRPr="0058124B">
        <w:rPr>
          <w:i/>
          <w:iCs/>
        </w:rPr>
        <w:t xml:space="preserve">ISO </w:t>
      </w:r>
      <w:proofErr w:type="spellStart"/>
      <w:r w:rsidRPr="0058124B">
        <w:rPr>
          <w:i/>
          <w:iCs/>
        </w:rPr>
        <w:t>Guide</w:t>
      </w:r>
      <w:proofErr w:type="spellEnd"/>
      <w:r w:rsidRPr="0058124B">
        <w:rPr>
          <w:i/>
          <w:iCs/>
        </w:rPr>
        <w:t xml:space="preserve"> 73:2009</w:t>
      </w:r>
      <w:r>
        <w:t xml:space="preserve"> risks tiek definēts kā nenoteiktības ietekme uz mērķiem (</w:t>
      </w:r>
      <w:r>
        <w:rPr>
          <w:i/>
          <w:lang w:val="en-US"/>
        </w:rPr>
        <w:t xml:space="preserve">effect of </w:t>
      </w:r>
      <w:proofErr w:type="spellStart"/>
      <w:r>
        <w:rPr>
          <w:i/>
          <w:lang w:val="en-US"/>
        </w:rPr>
        <w:t>uncertainity</w:t>
      </w:r>
      <w:proofErr w:type="spellEnd"/>
      <w:r>
        <w:rPr>
          <w:i/>
          <w:lang w:val="en-US"/>
        </w:rPr>
        <w:t xml:space="preserve"> on objectives</w:t>
      </w:r>
      <w:r>
        <w:t xml:space="preserve"> – angļu valodā).</w:t>
      </w:r>
    </w:p>
  </w:footnote>
  <w:footnote w:id="5">
    <w:p w14:paraId="7E3584F2" w14:textId="77777777" w:rsidR="00D15612" w:rsidRDefault="00D15612" w:rsidP="00D15612">
      <w:pPr>
        <w:pStyle w:val="FootnoteText"/>
        <w:jc w:val="both"/>
      </w:pPr>
      <w:r>
        <w:rPr>
          <w:rStyle w:val="FootnoteReference"/>
        </w:rPr>
        <w:footnoteRef/>
      </w:r>
      <w:r>
        <w:t xml:space="preserve"> </w:t>
      </w:r>
      <w:r>
        <w:t>Norādītā summa nesatur informāciju par valsts galvoto studiju un studējošo kredītu summām.</w:t>
      </w:r>
    </w:p>
  </w:footnote>
  <w:footnote w:id="6">
    <w:p w14:paraId="74D24D87" w14:textId="77777777" w:rsidR="00E66C88" w:rsidRPr="0076162F" w:rsidRDefault="00E66C88" w:rsidP="00E66C88">
      <w:pPr>
        <w:pStyle w:val="FootnoteText"/>
        <w:jc w:val="both"/>
      </w:pPr>
      <w:r w:rsidRPr="00460559">
        <w:rPr>
          <w:rStyle w:val="FootnoteReference"/>
        </w:rPr>
        <w:footnoteRef/>
      </w:r>
      <w:r w:rsidRPr="00460559">
        <w:t xml:space="preserve"> </w:t>
      </w:r>
      <w:r>
        <w:t>Riska ietekmes</w:t>
      </w:r>
      <w:r w:rsidRPr="00460559">
        <w:t xml:space="preserve"> aprēķinā nav iekļauti </w:t>
      </w:r>
      <w:r>
        <w:t>valsts galvotie aizdevumu atlikumi darījumu partneriem</w:t>
      </w:r>
      <w:r w:rsidRPr="00460559">
        <w:t xml:space="preserve">, kuru kredītspēja tiek vērtēta kā </w:t>
      </w:r>
      <w:r>
        <w:t>“</w:t>
      </w:r>
      <w:r w:rsidRPr="00460559">
        <w:t>spēcīga” saskaņā ar V</w:t>
      </w:r>
      <w:r>
        <w:t xml:space="preserve">K </w:t>
      </w:r>
      <w:r w:rsidRPr="00460559">
        <w:t>iekšējiem noteikumiem, kā arī valsts galvot</w:t>
      </w:r>
      <w:r>
        <w:t>ā</w:t>
      </w:r>
      <w:r w:rsidRPr="00460559">
        <w:t xml:space="preserve"> aizdevum</w:t>
      </w:r>
      <w:r>
        <w:t>a atlikums</w:t>
      </w:r>
      <w:r w:rsidRPr="00460559">
        <w:t xml:space="preserve"> Latvijas Olimpiskai Komitejai, jo,</w:t>
      </w:r>
      <w:r>
        <w:t xml:space="preserve"> </w:t>
      </w:r>
      <w:r w:rsidRPr="00753542">
        <w:t xml:space="preserve">saskaņā ar </w:t>
      </w:r>
      <w:r w:rsidRPr="00D65FC3">
        <w:t>likuma “Par valsts budžetu 202</w:t>
      </w:r>
      <w:r>
        <w:t>3</w:t>
      </w:r>
      <w:r w:rsidRPr="00D65FC3">
        <w:t>.gadam</w:t>
      </w:r>
      <w:r>
        <w:t xml:space="preserve"> </w:t>
      </w:r>
      <w:r w:rsidRPr="002E4A45">
        <w:t>un budžeta ietvaru 2023., 2024. un 2025.gadam</w:t>
      </w:r>
      <w:r w:rsidRPr="00D65FC3">
        <w:t>” 11. pielikumu</w:t>
      </w:r>
      <w:r>
        <w:t xml:space="preserve"> “</w:t>
      </w:r>
      <w:r w:rsidRPr="00FA5008">
        <w:t>Valsts budžeta ilgtermiņa saistību maksimāli pieļaujamais apjoms</w:t>
      </w:r>
      <w:r>
        <w:t>”</w:t>
      </w:r>
      <w:r w:rsidRPr="00D65FC3">
        <w:t>,</w:t>
      </w:r>
      <w:r w:rsidRPr="00753542">
        <w:t xml:space="preserve"> saistības ir iekļautas valsts budžeta ilgtermiņa saistībās</w:t>
      </w:r>
      <w:r w:rsidRPr="0051444C">
        <w:t>, paredzot valsts budžeta dotāciju to izpildei</w:t>
      </w:r>
      <w:r w:rsidRPr="00460559">
        <w:t>.</w:t>
      </w:r>
    </w:p>
  </w:footnote>
  <w:footnote w:id="7">
    <w:p w14:paraId="42F53C56" w14:textId="77777777" w:rsidR="00E66C88" w:rsidRDefault="00E66C88" w:rsidP="00E66C88">
      <w:pPr>
        <w:pStyle w:val="FootnoteText"/>
        <w:jc w:val="both"/>
      </w:pPr>
      <w:r>
        <w:rPr>
          <w:rStyle w:val="FootnoteReference"/>
        </w:rPr>
        <w:footnoteRef/>
      </w:r>
      <w:r>
        <w:t xml:space="preserve"> </w:t>
      </w:r>
      <w:r>
        <w:t>Līdz 2023.gada 01.jūnijam uzņemto saistību p</w:t>
      </w:r>
      <w:r w:rsidRPr="003E1372">
        <w:t xml:space="preserve">lānotās pamatsummas un procentu maksājumi valsts </w:t>
      </w:r>
      <w:r>
        <w:t xml:space="preserve">galvotā </w:t>
      </w:r>
      <w:r w:rsidRPr="003E1372">
        <w:t>aizņēmuma ņēmējiem, kuri klasificējas ārpus vispārējās valdības sektora un kuru kredītspēja nav noteikta kā “spēcīga”.</w:t>
      </w:r>
    </w:p>
  </w:footnote>
  <w:footnote w:id="8">
    <w:p w14:paraId="2B5876A8" w14:textId="77777777" w:rsidR="00607A86" w:rsidRDefault="00607A86" w:rsidP="00607A86">
      <w:pPr>
        <w:pStyle w:val="FootnoteText"/>
        <w:jc w:val="both"/>
      </w:pPr>
      <w:r>
        <w:rPr>
          <w:rStyle w:val="FootnoteReference"/>
        </w:rPr>
        <w:footnoteRef/>
      </w:r>
      <w:r>
        <w:t xml:space="preserve"> </w:t>
      </w:r>
      <w:r>
        <w:t>Šajā aprēķinā nav iekļauti tie valsts aizdevumi, kuru kredītspēja tiek vērtēta kā „spēcīga” saskaņā ar VK iekšējiem noteikumiem, kā arī tie aizdevumi, kuru saistības ir pilnībā nodrošinātas ar pašvaldības galvojumu</w:t>
      </w:r>
      <w:r w:rsidRPr="001A0B08">
        <w:t xml:space="preserve">. </w:t>
      </w:r>
    </w:p>
  </w:footnote>
  <w:footnote w:id="9">
    <w:p w14:paraId="42B5F97B" w14:textId="77777777" w:rsidR="000138D9" w:rsidRDefault="000138D9" w:rsidP="000138D9">
      <w:pPr>
        <w:pStyle w:val="FootnoteText"/>
        <w:jc w:val="both"/>
      </w:pPr>
      <w:r>
        <w:rPr>
          <w:rStyle w:val="FootnoteReference"/>
        </w:rPr>
        <w:footnoteRef/>
      </w:r>
      <w:r>
        <w:t xml:space="preserve"> </w:t>
      </w:r>
      <w:r>
        <w:t>Līdz 2023.gada 01.jūnijam uzņemto saistību p</w:t>
      </w:r>
      <w:r w:rsidRPr="001A0B08">
        <w:t xml:space="preserve">lānotās pamatsummas un procentu </w:t>
      </w:r>
      <w:r>
        <w:t>maksājumi</w:t>
      </w:r>
      <w:r w:rsidRPr="001A0B08">
        <w:t xml:space="preserve"> valsts aizņēmuma ņēmējiem, kuri klasificējas ārpus vispārējās valdības sektora un kuru kredītspēja nav noteikta kā “spēcīga”.</w:t>
      </w:r>
    </w:p>
  </w:footnote>
  <w:footnote w:id="10">
    <w:p w14:paraId="30845498" w14:textId="4D728D47" w:rsidR="00D41016" w:rsidRPr="004D5E75" w:rsidRDefault="00D41016" w:rsidP="00D41016">
      <w:pPr>
        <w:pStyle w:val="FootnoteText"/>
      </w:pPr>
      <w:r>
        <w:rPr>
          <w:rStyle w:val="FootnoteReference"/>
        </w:rPr>
        <w:footnoteRef/>
      </w:r>
      <w:r>
        <w:t xml:space="preserve"> </w:t>
      </w:r>
      <w:r w:rsidRPr="004D5E75">
        <w:t>PADOMES LĒMUMS (ES, Euratom) 2020/2053 (2020.gada 14.decembra) par Eiropas Savienības pašu resursu sistēmu un ar ko atceļ Lēmumu 2014/335/ES, Euratom</w:t>
      </w:r>
      <w:r>
        <w:t>.</w:t>
      </w:r>
    </w:p>
    <w:p w14:paraId="5FAE1180" w14:textId="77777777" w:rsidR="00D41016" w:rsidRDefault="00D41016" w:rsidP="00D41016">
      <w:pPr>
        <w:pStyle w:val="FootnoteText"/>
      </w:pPr>
    </w:p>
  </w:footnote>
  <w:footnote w:id="11">
    <w:p w14:paraId="359F254C" w14:textId="1ED005E3" w:rsidR="0043659D" w:rsidRPr="0043659D" w:rsidRDefault="0043659D">
      <w:pPr>
        <w:pStyle w:val="FootnoteText"/>
        <w:rPr>
          <w:rFonts w:cs="Times New Roman"/>
        </w:rPr>
      </w:pPr>
      <w:r w:rsidRPr="0043659D">
        <w:rPr>
          <w:rStyle w:val="FootnoteReference"/>
          <w:rFonts w:cs="Times New Roman"/>
        </w:rPr>
        <w:footnoteRef/>
      </w:r>
      <w:r w:rsidRPr="0043659D">
        <w:rPr>
          <w:rFonts w:cs="Times New Roman"/>
        </w:rPr>
        <w:t xml:space="preserve"> </w:t>
      </w:r>
      <w:r w:rsidRPr="0043659D">
        <w:rPr>
          <w:rStyle w:val="cf01"/>
          <w:rFonts w:ascii="Times New Roman" w:hAnsi="Times New Roman" w:cs="Times New Roman"/>
        </w:rPr>
        <w:t>Šo apropriāciju atļauj veikt FDL 7.panta 3.daļa</w:t>
      </w:r>
    </w:p>
  </w:footnote>
  <w:footnote w:id="12">
    <w:p w14:paraId="6172181D" w14:textId="77777777" w:rsidR="00D736A2" w:rsidRPr="009943A6" w:rsidRDefault="00D736A2" w:rsidP="00D736A2">
      <w:pPr>
        <w:pStyle w:val="FootnoteText"/>
        <w:jc w:val="both"/>
        <w:rPr>
          <w:rFonts w:cs="Times New Roman"/>
        </w:rPr>
      </w:pPr>
      <w:r w:rsidRPr="009943A6">
        <w:rPr>
          <w:rStyle w:val="FootnoteReference"/>
          <w:rFonts w:cs="Times New Roman"/>
        </w:rPr>
        <w:footnoteRef/>
      </w:r>
      <w:r w:rsidRPr="009943A6">
        <w:rPr>
          <w:rFonts w:cs="Times New Roman"/>
        </w:rPr>
        <w:t xml:space="preserve"> </w:t>
      </w:r>
      <w:r w:rsidRPr="00B61892">
        <w:rPr>
          <w:rFonts w:cs="Times New Roman"/>
        </w:rPr>
        <w:t xml:space="preserve">Vadlīnijas par finanšu korekciju piemērošanu, ziņošanu par </w:t>
      </w:r>
      <w:r>
        <w:rPr>
          <w:rFonts w:cs="Times New Roman"/>
        </w:rPr>
        <w:t>ES</w:t>
      </w:r>
      <w:r w:rsidRPr="00B61892">
        <w:rPr>
          <w:rFonts w:cs="Times New Roman"/>
        </w:rPr>
        <w:t xml:space="preserve"> fondu ieviešanā konstatētajām neatbilstībām, neatbilstoši veikto izdevumu atgūšanu 2014.-2020.gada plānošanas periodā; pieejamas: </w:t>
      </w:r>
      <w:r w:rsidRPr="009943A6">
        <w:rPr>
          <w:rFonts w:cs="Times New Roman"/>
        </w:rPr>
        <w:t>EK vadlīnijas par akreditācijas procesu (20.11.2014.); 13.EK finanšu korekciju vadlīnijas par iepirkumu pārkāpumiem un to pielikums.</w:t>
      </w:r>
    </w:p>
  </w:footnote>
  <w:footnote w:id="13">
    <w:p w14:paraId="4C55F022" w14:textId="20E41A10" w:rsidR="00DB2A78" w:rsidRDefault="00DB2A78" w:rsidP="00DB2A78">
      <w:pPr>
        <w:pStyle w:val="FootnoteText"/>
        <w:jc w:val="both"/>
      </w:pPr>
      <w:r>
        <w:rPr>
          <w:rStyle w:val="FootnoteReference"/>
        </w:rPr>
        <w:footnoteRef/>
      </w:r>
      <w:r>
        <w:t xml:space="preserve"> </w:t>
      </w:r>
      <w:r>
        <w:t xml:space="preserve">Atbilstoši MK 15.11.2022 lemtajam Latvijas parakstītā kapitāla daļa Eiropas Padomes Attīstības bankā palielināsies par 9 938 000 </w:t>
      </w:r>
      <w:proofErr w:type="spellStart"/>
      <w:r w:rsidRPr="00464DE1">
        <w:rPr>
          <w:i/>
          <w:iCs/>
        </w:rPr>
        <w:t>euro</w:t>
      </w:r>
      <w:proofErr w:type="spellEnd"/>
      <w:r>
        <w:t xml:space="preserve">, bet kopējais kapitāls uz pieprasījumu pieaugs līdz 18 518 509 </w:t>
      </w:r>
      <w:proofErr w:type="spellStart"/>
      <w:r w:rsidRPr="00464DE1">
        <w:rPr>
          <w:i/>
          <w:iCs/>
        </w:rPr>
        <w:t>euro</w:t>
      </w:r>
      <w:proofErr w:type="spellEnd"/>
      <w:r>
        <w:t xml:space="preserve">. Atbilstoši Eiropas Padomes Attīstības bankas Pilnvarnieku valdes rosinājumam katrai dalībvalstij būs jāiemaksā četrās vienādās ikgadējās daļās atbilstoši dalībvalsts kapitāla daļai no kopējā parakstītā kapitāla apjoma (Latvijai kopā 2 806 491 </w:t>
      </w:r>
      <w:proofErr w:type="spellStart"/>
      <w:r w:rsidRPr="00D46273">
        <w:rPr>
          <w:i/>
          <w:iCs/>
        </w:rPr>
        <w:t>euro</w:t>
      </w:r>
      <w:proofErr w:type="spellEnd"/>
      <w:r>
        <w:t>). Pieteikšanās periods paredzēts līdz 2023.gada 31.decembrim. Lēmums par bankas kapitāla palielināšanu stāsies spēkā tā kalendārā mēneša beigās, kurā tiks parakstīti vismaz 67% no piedāvātajiem dalības sertifikātiem.</w:t>
      </w:r>
    </w:p>
  </w:footnote>
  <w:footnote w:id="14">
    <w:p w14:paraId="69AD5438" w14:textId="77777777" w:rsidR="00DB2A78" w:rsidRDefault="00DB2A78" w:rsidP="00DB2A78">
      <w:pPr>
        <w:pStyle w:val="FootnoteText"/>
        <w:jc w:val="both"/>
      </w:pPr>
      <w:r>
        <w:rPr>
          <w:rStyle w:val="FootnoteReference"/>
        </w:rPr>
        <w:footnoteRef/>
      </w:r>
      <w:r>
        <w:t xml:space="preserve"> </w:t>
      </w:r>
      <w:r>
        <w:t xml:space="preserve">Zaudējumi galvenokārt saistīti ar ERAB investīcijām Ukrainā, Krievijā un Baltkrievijā, ņemot vērā Krievijas uzsākto agresiju Ukrainā un ERAB darbības pārtraukšanu Krievijā un Baltkrievijā. Kā būtisks faktors jāmin, </w:t>
      </w:r>
      <w:r w:rsidRPr="00A706B9">
        <w:t>ka operācijas Ukrainā ir ar paaugstinātu risku</w:t>
      </w:r>
      <w:r>
        <w:t>.</w:t>
      </w:r>
    </w:p>
  </w:footnote>
  <w:footnote w:id="15">
    <w:p w14:paraId="3984E21A" w14:textId="69C89D32" w:rsidR="00DB2A78" w:rsidRDefault="00DB2A78" w:rsidP="00DB2A78">
      <w:pPr>
        <w:pStyle w:val="FootnoteText"/>
        <w:jc w:val="both"/>
      </w:pPr>
      <w:r>
        <w:rPr>
          <w:rStyle w:val="FootnoteReference"/>
        </w:rPr>
        <w:footnoteRef/>
      </w:r>
      <w:r>
        <w:t xml:space="preserve"> </w:t>
      </w:r>
      <w:r>
        <w:t>Zaudējumi</w:t>
      </w:r>
      <w:r w:rsidRPr="00860AD3">
        <w:t xml:space="preserve"> lielākoties saistīt</w:t>
      </w:r>
      <w:r>
        <w:t>i</w:t>
      </w:r>
      <w:r w:rsidRPr="00860AD3">
        <w:t xml:space="preserve"> ar ienākumu kritumu no finanšu darījumiem, pozīcijas "Finanšu operāciju neto peļņa vai neto zaudējumi" samazinājums par 1,5 mljrd. </w:t>
      </w:r>
      <w:proofErr w:type="spellStart"/>
      <w:r w:rsidRPr="00264264">
        <w:rPr>
          <w:i/>
          <w:iCs/>
        </w:rPr>
        <w:t>euro</w:t>
      </w:r>
      <w:proofErr w:type="spellEnd"/>
      <w:r w:rsidRPr="00860AD3">
        <w:t xml:space="preserve"> līdz negatīviem 1,3 </w:t>
      </w:r>
      <w:r w:rsidRPr="00264264">
        <w:t>mljrd</w:t>
      </w:r>
      <w:r w:rsidRPr="00860AD3">
        <w:t xml:space="preserve">. </w:t>
      </w:r>
      <w:proofErr w:type="spellStart"/>
      <w:r w:rsidRPr="00264264">
        <w:rPr>
          <w:i/>
          <w:iCs/>
        </w:rPr>
        <w:t>euro</w:t>
      </w:r>
      <w:proofErr w:type="spellEnd"/>
      <w:r w:rsidRPr="00860AD3">
        <w:t xml:space="preserve"> 2022.gadā.</w:t>
      </w:r>
    </w:p>
  </w:footnote>
  <w:footnote w:id="16">
    <w:p w14:paraId="286EF361" w14:textId="52A4DB8D" w:rsidR="00CA7612" w:rsidRDefault="00CA7612" w:rsidP="001D3D94">
      <w:pPr>
        <w:pStyle w:val="FootnoteText"/>
      </w:pPr>
      <w:r>
        <w:rPr>
          <w:rStyle w:val="FootnoteReference"/>
        </w:rPr>
        <w:footnoteRef/>
      </w:r>
      <w:r>
        <w:t xml:space="preserve"> </w:t>
      </w:r>
      <w:proofErr w:type="spellStart"/>
      <w:r w:rsidR="009D4691">
        <w:t>LDz</w:t>
      </w:r>
      <w:proofErr w:type="spellEnd"/>
      <w:r>
        <w:t xml:space="preserve"> meitas uzņēmums AS “</w:t>
      </w:r>
      <w:proofErr w:type="spellStart"/>
      <w:r>
        <w:t>LatRailNet</w:t>
      </w:r>
      <w:proofErr w:type="spellEnd"/>
      <w:r>
        <w:t xml:space="preserve">” ir klasificēts vispārējās valdības sektorā. </w:t>
      </w:r>
    </w:p>
  </w:footnote>
  <w:footnote w:id="17">
    <w:p w14:paraId="6DAD0700" w14:textId="4C3CC060" w:rsidR="00CA7612" w:rsidRDefault="00CA7612" w:rsidP="005B7184">
      <w:pPr>
        <w:spacing w:after="0" w:line="240" w:lineRule="auto"/>
        <w:jc w:val="both"/>
        <w:rPr>
          <w:rFonts w:ascii="Times New Roman" w:eastAsiaTheme="minorHAnsi" w:hAnsi="Times New Roman" w:cs="Times New Roman"/>
          <w:sz w:val="24"/>
        </w:rPr>
      </w:pPr>
      <w:r>
        <w:rPr>
          <w:rStyle w:val="FootnoteReference"/>
        </w:rPr>
        <w:footnoteRef/>
      </w:r>
      <w:r>
        <w:t xml:space="preserve"> </w:t>
      </w:r>
      <w:proofErr w:type="spellStart"/>
      <w:r w:rsidRPr="00F27F2F">
        <w:rPr>
          <w:rFonts w:ascii="Times New Roman" w:eastAsiaTheme="minorHAnsi" w:hAnsi="Times New Roman" w:cs="Times New Roman"/>
          <w:sz w:val="20"/>
          <w:szCs w:val="20"/>
        </w:rPr>
        <w:t>Altum</w:t>
      </w:r>
      <w:proofErr w:type="spellEnd"/>
      <w:r w:rsidRPr="00F27F2F">
        <w:rPr>
          <w:rFonts w:ascii="Times New Roman" w:eastAsiaTheme="minorHAnsi" w:hAnsi="Times New Roman" w:cs="Times New Roman"/>
          <w:sz w:val="20"/>
          <w:szCs w:val="20"/>
        </w:rPr>
        <w:t xml:space="preserve"> izveide norisinājās divos posmos. Pi</w:t>
      </w:r>
      <w:r w:rsidRPr="00F27F2F">
        <w:rPr>
          <w:rFonts w:ascii="Times New Roman" w:eastAsiaTheme="minorHAnsi" w:hAnsi="Times New Roman"/>
          <w:sz w:val="20"/>
          <w:szCs w:val="20"/>
        </w:rPr>
        <w:t xml:space="preserve">rmais posms ietvēra </w:t>
      </w:r>
      <w:proofErr w:type="spellStart"/>
      <w:r w:rsidRPr="00F27F2F">
        <w:rPr>
          <w:rFonts w:ascii="Times New Roman" w:eastAsiaTheme="minorHAnsi" w:hAnsi="Times New Roman"/>
          <w:sz w:val="20"/>
          <w:szCs w:val="20"/>
        </w:rPr>
        <w:t>Altu</w:t>
      </w:r>
      <w:r>
        <w:rPr>
          <w:rFonts w:ascii="Times New Roman" w:eastAsiaTheme="minorHAnsi" w:hAnsi="Times New Roman"/>
          <w:sz w:val="20"/>
          <w:szCs w:val="20"/>
        </w:rPr>
        <w:t>m</w:t>
      </w:r>
      <w:proofErr w:type="spellEnd"/>
      <w:r w:rsidRPr="00F27F2F">
        <w:rPr>
          <w:rFonts w:ascii="Times New Roman" w:eastAsiaTheme="minorHAnsi" w:hAnsi="Times New Roman"/>
          <w:sz w:val="20"/>
          <w:szCs w:val="20"/>
        </w:rPr>
        <w:t xml:space="preserve">, SIA “Latvijas Garantiju aģentūra” (LGA) un VAS “Lauku attīstības fonds” (LAF) kapitāldaļu nodošanu AFI, izveidojot attīstības finanšu institūciju koncernu. Otrajā posmā norisinājās AFI, </w:t>
      </w:r>
      <w:proofErr w:type="spellStart"/>
      <w:r w:rsidRPr="00F27F2F">
        <w:rPr>
          <w:rFonts w:ascii="Times New Roman" w:eastAsiaTheme="minorHAnsi" w:hAnsi="Times New Roman"/>
          <w:sz w:val="20"/>
          <w:szCs w:val="20"/>
        </w:rPr>
        <w:t>Altum</w:t>
      </w:r>
      <w:proofErr w:type="spellEnd"/>
      <w:r w:rsidRPr="00F27F2F">
        <w:rPr>
          <w:rFonts w:ascii="Times New Roman" w:eastAsiaTheme="minorHAnsi" w:hAnsi="Times New Roman"/>
          <w:sz w:val="20"/>
          <w:szCs w:val="20"/>
        </w:rPr>
        <w:t>, LGA un LAF reorganizācija. Šis posms noslēdzās 2015.gada</w:t>
      </w:r>
      <w:r w:rsidR="00620A69">
        <w:rPr>
          <w:rFonts w:ascii="Times New Roman" w:eastAsiaTheme="minorHAnsi" w:hAnsi="Times New Roman"/>
          <w:sz w:val="20"/>
          <w:szCs w:val="20"/>
        </w:rPr>
        <w:t xml:space="preserve"> </w:t>
      </w:r>
      <w:r w:rsidRPr="00F27F2F">
        <w:rPr>
          <w:rFonts w:ascii="Times New Roman" w:eastAsiaTheme="minorHAnsi" w:hAnsi="Times New Roman"/>
          <w:sz w:val="20"/>
          <w:szCs w:val="20"/>
        </w:rPr>
        <w:t>15.aprīlī, izveidojot vienotu sabiedrību.</w:t>
      </w:r>
      <w:r>
        <w:rPr>
          <w:rFonts w:ascii="Times New Roman" w:eastAsiaTheme="minorHAnsi" w:hAnsi="Times New Roman"/>
          <w:sz w:val="20"/>
          <w:szCs w:val="20"/>
        </w:rPr>
        <w:t xml:space="preserve"> </w:t>
      </w:r>
      <w:r w:rsidRPr="00FF7343">
        <w:rPr>
          <w:rFonts w:ascii="Times New Roman" w:eastAsiaTheme="minorHAnsi" w:hAnsi="Times New Roman"/>
          <w:sz w:val="20"/>
          <w:szCs w:val="20"/>
        </w:rPr>
        <w:t>Visa</w:t>
      </w:r>
      <w:r>
        <w:rPr>
          <w:rFonts w:ascii="Times New Roman" w:eastAsiaTheme="minorHAnsi" w:hAnsi="Times New Roman"/>
          <w:sz w:val="20"/>
          <w:szCs w:val="20"/>
        </w:rPr>
        <w:t>s</w:t>
      </w:r>
      <w:r w:rsidRPr="00F27F2F">
        <w:rPr>
          <w:rFonts w:ascii="Times New Roman" w:eastAsiaTheme="minorHAnsi" w:hAnsi="Times New Roman" w:cs="Times New Roman"/>
          <w:sz w:val="20"/>
          <w:szCs w:val="20"/>
        </w:rPr>
        <w:t xml:space="preserve"> </w:t>
      </w:r>
      <w:proofErr w:type="spellStart"/>
      <w:r w:rsidRPr="00F27F2F">
        <w:rPr>
          <w:rFonts w:ascii="Times New Roman" w:eastAsiaTheme="minorHAnsi" w:hAnsi="Times New Roman" w:cs="Times New Roman"/>
          <w:sz w:val="20"/>
          <w:szCs w:val="20"/>
        </w:rPr>
        <w:t>Altum</w:t>
      </w:r>
      <w:proofErr w:type="spellEnd"/>
      <w:r w:rsidRPr="00F27F2F">
        <w:rPr>
          <w:rFonts w:ascii="Times New Roman" w:eastAsiaTheme="minorHAnsi" w:hAnsi="Times New Roman" w:cs="Times New Roman"/>
          <w:sz w:val="20"/>
          <w:szCs w:val="20"/>
        </w:rPr>
        <w:t xml:space="preserve"> balsstiesīgās akcijas pieder Latvijas valstij – akciju turētāji ir </w:t>
      </w:r>
      <w:r>
        <w:rPr>
          <w:rFonts w:ascii="Times New Roman" w:eastAsiaTheme="minorHAnsi" w:hAnsi="Times New Roman" w:cs="Times New Roman"/>
          <w:sz w:val="20"/>
          <w:szCs w:val="20"/>
        </w:rPr>
        <w:t>FM</w:t>
      </w:r>
      <w:r w:rsidRPr="00F27F2F">
        <w:rPr>
          <w:rFonts w:ascii="Times New Roman" w:eastAsiaTheme="minorHAnsi" w:hAnsi="Times New Roman" w:cs="Times New Roman"/>
          <w:sz w:val="20"/>
          <w:szCs w:val="20"/>
        </w:rPr>
        <w:t xml:space="preserve"> (40 %), Ekonomikas ministrija (30 %) un Zemkopības ministrija (30 %).</w:t>
      </w:r>
    </w:p>
    <w:p w14:paraId="21F26E48" w14:textId="77777777" w:rsidR="00CA7612" w:rsidRDefault="00CA7612" w:rsidP="005B7184">
      <w:pPr>
        <w:pStyle w:val="FootnoteText"/>
      </w:pPr>
    </w:p>
  </w:footnote>
  <w:footnote w:id="18">
    <w:p w14:paraId="4D362F1A" w14:textId="77777777" w:rsidR="00CA7612" w:rsidRDefault="00CA7612" w:rsidP="00261582">
      <w:pPr>
        <w:pStyle w:val="FootnoteText"/>
      </w:pPr>
      <w:r>
        <w:rPr>
          <w:rStyle w:val="FootnoteReference"/>
        </w:rPr>
        <w:footnoteRef/>
      </w:r>
      <w:r>
        <w:t xml:space="preserve"> </w:t>
      </w:r>
      <w:proofErr w:type="spellStart"/>
      <w:r w:rsidRPr="008C4DD4">
        <w:rPr>
          <w:i/>
        </w:rPr>
        <w:t>Eurostat</w:t>
      </w:r>
      <w:proofErr w:type="spellEnd"/>
      <w:r>
        <w:t xml:space="preserve"> viedoklis, https://</w:t>
      </w:r>
      <w:r w:rsidRPr="00B41B12">
        <w:t>ec.europa.eu/eurostat/documents/1015035/12427511/Latvia_2021-advice.pdf/62ad8817-23f0-53c7-ed94-f10a6d83ce86?t=1625821196085</w:t>
      </w:r>
    </w:p>
  </w:footnote>
  <w:footnote w:id="19">
    <w:p w14:paraId="604C0E3F" w14:textId="7376BC77" w:rsidR="005962CD" w:rsidRPr="00544ECA" w:rsidRDefault="005962CD" w:rsidP="005962CD">
      <w:pPr>
        <w:pStyle w:val="FootnoteText"/>
        <w:jc w:val="both"/>
      </w:pPr>
      <w:r w:rsidRPr="00544ECA">
        <w:footnoteRef/>
      </w:r>
      <w:r w:rsidRPr="00544ECA">
        <w:t xml:space="preserve"> </w:t>
      </w:r>
      <w:r w:rsidRPr="00544ECA">
        <w:t xml:space="preserve">Atbilstoši </w:t>
      </w:r>
      <w:hyperlink r:id="rId1" w:tgtFrame="_blank" w:history="1">
        <w:r>
          <w:t>MK</w:t>
        </w:r>
        <w:r w:rsidRPr="00544ECA">
          <w:t xml:space="preserve"> noteikumiem Nr.262  no 2010.gada 16.marta Noteikumi par elektroenerģijas ražošanu, izmantojot atjaunojamos energoresursus</w:t>
        </w:r>
      </w:hyperlink>
      <w:r w:rsidRPr="00544ECA">
        <w:t xml:space="preserve">, </w:t>
      </w:r>
      <w:r w:rsidR="00652AD8">
        <w:t>29.</w:t>
      </w:r>
      <w:r w:rsidRPr="00544ECA">
        <w:t xml:space="preserve">punktam – “sistēmas operatori uzskaita to sistēmām pieslēgto galalietotāju – tirgus dalībnieku – elektroenerģijas patēriņam atbilstošo </w:t>
      </w:r>
      <w:r w:rsidR="00D93E3A">
        <w:t>OIK</w:t>
      </w:r>
      <w:r w:rsidRPr="00544ECA">
        <w:t xml:space="preserve"> katrā norēķinu periodā, sniedz publiskajam tirgotājam </w:t>
      </w:r>
      <w:r w:rsidR="00652AD8" w:rsidRPr="00544ECA">
        <w:t xml:space="preserve">nepieciešamo informāciju </w:t>
      </w:r>
      <w:r w:rsidRPr="00544ECA">
        <w:t>norēķinu veikšanai un norēķinās ar publisko tirgotāju par to sistēmām pieslēgto galalietotāju – tirgus dalībnieku – elektroenerģijas patēriņam atbilstošo komponenti.”</w:t>
      </w:r>
    </w:p>
  </w:footnote>
  <w:footnote w:id="20">
    <w:p w14:paraId="352DB24A" w14:textId="77777777" w:rsidR="001C210B" w:rsidRPr="008874A0" w:rsidRDefault="001C210B" w:rsidP="001C210B">
      <w:pPr>
        <w:pStyle w:val="FootnoteText"/>
      </w:pPr>
      <w:r>
        <w:rPr>
          <w:rStyle w:val="FootnoteReference"/>
        </w:rPr>
        <w:footnoteRef/>
      </w:r>
      <w:r>
        <w:t xml:space="preserve"> </w:t>
      </w:r>
      <w:r w:rsidRPr="008874A0">
        <w:t>atjaunojamā kredītlīnija</w:t>
      </w:r>
      <w:r>
        <w:t>.</w:t>
      </w:r>
    </w:p>
  </w:footnote>
  <w:footnote w:id="21">
    <w:p w14:paraId="1110DC19" w14:textId="24CF386F" w:rsidR="004C40B7" w:rsidRDefault="004C40B7" w:rsidP="0058124B">
      <w:pPr>
        <w:pStyle w:val="FootnoteText"/>
        <w:jc w:val="both"/>
      </w:pPr>
      <w:r>
        <w:rPr>
          <w:rStyle w:val="FootnoteReference"/>
        </w:rPr>
        <w:footnoteRef/>
      </w:r>
      <w:r>
        <w:t xml:space="preserve"> </w:t>
      </w:r>
      <w:r>
        <w:t xml:space="preserve">No 2023.gada FKTK ir integrēta Latvijas Bankas struktūrā, kā rezultātā </w:t>
      </w:r>
      <w:r w:rsidRPr="0058124B">
        <w:t>finanšu un kapitāla tirgus uzraudzība un finanšu sektora noregulējums, kā arī finanšu sektora klientu aizsardzība būs Latvijas Bankas uzdevumi</w:t>
      </w:r>
      <w:r>
        <w:t>.</w:t>
      </w:r>
    </w:p>
  </w:footnote>
  <w:footnote w:id="22">
    <w:p w14:paraId="03B107CB" w14:textId="45802683" w:rsidR="00775590" w:rsidRPr="0058124B" w:rsidRDefault="00775590">
      <w:pPr>
        <w:pStyle w:val="FootnoteText"/>
        <w:rPr>
          <w:i/>
          <w:iCs/>
        </w:rPr>
      </w:pPr>
      <w:r>
        <w:rPr>
          <w:rStyle w:val="FootnoteReference"/>
        </w:rPr>
        <w:footnoteRef/>
      </w:r>
      <w:r>
        <w:t xml:space="preserve"> </w:t>
      </w:r>
      <w:r>
        <w:t xml:space="preserve">Informācija par NGF bilanci un pieejamajiem resursiem ir pieejama Latvijas Bankas tīmekļa vietnē - </w:t>
      </w:r>
      <w:hyperlink r:id="rId2" w:history="1">
        <w:r w:rsidRPr="0058124B">
          <w:rPr>
            <w:rStyle w:val="Hyperlink"/>
            <w:i/>
            <w:iCs/>
          </w:rPr>
          <w:t>https://www.bank.lv/darbibas-jomas/klientu-aizsardziba/kompensaciju-izmaksas-sistemas/noguldijumu-garantiju-fonds</w:t>
        </w:r>
      </w:hyperlink>
    </w:p>
  </w:footnote>
  <w:footnote w:id="23">
    <w:p w14:paraId="1D6F5487" w14:textId="6E26A481" w:rsidR="00CA7612" w:rsidRPr="00C05E9A" w:rsidRDefault="00CA7612" w:rsidP="00626E14">
      <w:pPr>
        <w:pStyle w:val="FootnoteText"/>
        <w:jc w:val="both"/>
      </w:pPr>
      <w:r w:rsidRPr="00C05E9A">
        <w:rPr>
          <w:rStyle w:val="FootnoteReference"/>
        </w:rPr>
        <w:footnoteRef/>
      </w:r>
      <w:r w:rsidRPr="00C05E9A">
        <w:t xml:space="preserve"> </w:t>
      </w:r>
      <w:r w:rsidRPr="00C05E9A">
        <w:rPr>
          <w:rFonts w:cs="Times New Roman"/>
          <w:shd w:val="clear" w:color="auto" w:fill="FFFFFF"/>
        </w:rPr>
        <w:t>"No 2009.gada 1.jūlija līdz 2012.gada 31</w:t>
      </w:r>
      <w:r w:rsidR="00620A69">
        <w:rPr>
          <w:rFonts w:cs="Times New Roman"/>
          <w:shd w:val="clear" w:color="auto" w:fill="FFFFFF"/>
        </w:rPr>
        <w:t>.</w:t>
      </w:r>
      <w:r w:rsidRPr="00C05E9A">
        <w:rPr>
          <w:rFonts w:cs="Times New Roman"/>
          <w:shd w:val="clear" w:color="auto" w:fill="FFFFFF"/>
        </w:rPr>
        <w:t>decembrim izdienas pensijas saņēmējam, kurš 2009.gada 1</w:t>
      </w:r>
      <w:r w:rsidR="00620A69">
        <w:rPr>
          <w:rFonts w:cs="Times New Roman"/>
          <w:shd w:val="clear" w:color="auto" w:fill="FFFFFF"/>
        </w:rPr>
        <w:t>.</w:t>
      </w:r>
      <w:r w:rsidRPr="00C05E9A">
        <w:rPr>
          <w:rFonts w:cs="Times New Roman"/>
          <w:shd w:val="clear" w:color="auto" w:fill="FFFFFF"/>
        </w:rPr>
        <w:t xml:space="preserve">jūlijā ir obligāti sociāli apdrošinātā persona (darba ņēmējs vai </w:t>
      </w:r>
      <w:proofErr w:type="spellStart"/>
      <w:r w:rsidRPr="00C05E9A">
        <w:rPr>
          <w:rFonts w:cs="Times New Roman"/>
          <w:shd w:val="clear" w:color="auto" w:fill="FFFFFF"/>
        </w:rPr>
        <w:t>pašnodarbinātais</w:t>
      </w:r>
      <w:proofErr w:type="spellEnd"/>
      <w:r w:rsidRPr="00C05E9A">
        <w:rPr>
          <w:rFonts w:cs="Times New Roman"/>
          <w:shd w:val="clear" w:color="auto" w:fill="FFFFFF"/>
        </w:rPr>
        <w:t>), izdienas pensiju pārrēķina un samazina par 70% no aprēķinātā izdienas pensijas apmēra. Izdienas pensijas apmērs atjaunojams ar tā mēneša pirmo datumu, kas seko mēnesim, kurā zaudēts obligāti sociāli apdrošinātās personas statuss."</w:t>
      </w:r>
    </w:p>
  </w:footnote>
  <w:footnote w:id="24">
    <w:p w14:paraId="382824AA" w14:textId="549E5982" w:rsidR="00404DE0" w:rsidRDefault="00404DE0" w:rsidP="0058124B">
      <w:pPr>
        <w:pStyle w:val="FootnoteText"/>
        <w:jc w:val="both"/>
      </w:pPr>
      <w:r>
        <w:rPr>
          <w:rStyle w:val="FootnoteReference"/>
        </w:rPr>
        <w:footnoteRef/>
      </w:r>
      <w:r>
        <w:t xml:space="preserve"> </w:t>
      </w:r>
      <w:r w:rsidR="00B35FD4">
        <w:t xml:space="preserve">Ar Valsts kontroles revīzijas rezultātiem par Satiksmes ministrijas ieguldīto līdzekļu pamatotību un faktisko izlietojumu iespējams iepazīties, atverot </w:t>
      </w:r>
      <w:r w:rsidR="00241782">
        <w:t xml:space="preserve">elektronisko adresi: </w:t>
      </w:r>
      <w:hyperlink r:id="rId3" w:history="1">
        <w:r w:rsidR="00F97936">
          <w:rPr>
            <w:rStyle w:val="Hyperlink"/>
          </w:rPr>
          <w:t>Ieguldījumi Satiksmes ministrijas aviācijas nozares kapitālsabiedrībās Covid-19 krīzes seku mazināšanai (lrvk.gov.lv)</w:t>
        </w:r>
      </w:hyperlink>
    </w:p>
  </w:footnote>
  <w:footnote w:id="25">
    <w:p w14:paraId="236F525A" w14:textId="77777777" w:rsidR="00497710" w:rsidRDefault="00497710" w:rsidP="00497710">
      <w:pPr>
        <w:pStyle w:val="FootnoteText"/>
        <w:jc w:val="both"/>
      </w:pPr>
      <w:r>
        <w:rPr>
          <w:rStyle w:val="FootnoteReference"/>
        </w:rPr>
        <w:footnoteRef/>
      </w:r>
      <w:r>
        <w:t xml:space="preserve"> </w:t>
      </w:r>
      <w:proofErr w:type="spellStart"/>
      <w:r w:rsidRPr="00C06F8A">
        <w:rPr>
          <w:rFonts w:cs="Times New Roman"/>
          <w:color w:val="000000" w:themeColor="text1"/>
          <w:shd w:val="clear" w:color="auto" w:fill="FFFFFF"/>
        </w:rPr>
        <w:t>Willems</w:t>
      </w:r>
      <w:proofErr w:type="spellEnd"/>
      <w:r w:rsidRPr="00C06F8A">
        <w:rPr>
          <w:rFonts w:cs="Times New Roman"/>
          <w:color w:val="000000" w:themeColor="text1"/>
          <w:shd w:val="clear" w:color="auto" w:fill="FFFFFF"/>
        </w:rPr>
        <w:t xml:space="preserve"> T., </w:t>
      </w:r>
      <w:proofErr w:type="spellStart"/>
      <w:r w:rsidRPr="00C06F8A">
        <w:rPr>
          <w:rFonts w:cs="Times New Roman"/>
          <w:color w:val="000000" w:themeColor="text1"/>
          <w:shd w:val="clear" w:color="auto" w:fill="FFFFFF"/>
        </w:rPr>
        <w:t>Zettelmeyer</w:t>
      </w:r>
      <w:proofErr w:type="spellEnd"/>
      <w:r w:rsidRPr="00C06F8A">
        <w:rPr>
          <w:rFonts w:cs="Times New Roman"/>
          <w:color w:val="000000" w:themeColor="text1"/>
          <w:shd w:val="clear" w:color="auto" w:fill="FFFFFF"/>
        </w:rPr>
        <w:t xml:space="preserve"> J., 2022. </w:t>
      </w:r>
      <w:proofErr w:type="spellStart"/>
      <w:r w:rsidRPr="00C06F8A">
        <w:rPr>
          <w:rFonts w:cs="Times New Roman"/>
          <w:i/>
          <w:iCs/>
          <w:color w:val="000000" w:themeColor="text1"/>
          <w:shd w:val="clear" w:color="auto" w:fill="FFFFFF"/>
        </w:rPr>
        <w:t>Sovereign</w:t>
      </w:r>
      <w:proofErr w:type="spellEnd"/>
      <w:r w:rsidRPr="00C06F8A">
        <w:rPr>
          <w:rFonts w:cs="Times New Roman"/>
          <w:i/>
          <w:iCs/>
          <w:color w:val="000000" w:themeColor="text1"/>
          <w:shd w:val="clear" w:color="auto" w:fill="FFFFFF"/>
        </w:rPr>
        <w:t xml:space="preserve"> </w:t>
      </w:r>
      <w:proofErr w:type="spellStart"/>
      <w:r w:rsidRPr="00C06F8A">
        <w:rPr>
          <w:rFonts w:cs="Times New Roman"/>
          <w:i/>
          <w:iCs/>
          <w:color w:val="000000" w:themeColor="text1"/>
          <w:shd w:val="clear" w:color="auto" w:fill="FFFFFF"/>
        </w:rPr>
        <w:t>Debt</w:t>
      </w:r>
      <w:proofErr w:type="spellEnd"/>
      <w:r w:rsidRPr="00C06F8A">
        <w:rPr>
          <w:rFonts w:cs="Times New Roman"/>
          <w:i/>
          <w:iCs/>
          <w:color w:val="000000" w:themeColor="text1"/>
          <w:shd w:val="clear" w:color="auto" w:fill="FFFFFF"/>
        </w:rPr>
        <w:t xml:space="preserve"> </w:t>
      </w:r>
      <w:proofErr w:type="spellStart"/>
      <w:r w:rsidRPr="00C06F8A">
        <w:rPr>
          <w:rFonts w:cs="Times New Roman"/>
          <w:i/>
          <w:iCs/>
          <w:color w:val="000000" w:themeColor="text1"/>
          <w:shd w:val="clear" w:color="auto" w:fill="FFFFFF"/>
        </w:rPr>
        <w:t>Sustainability</w:t>
      </w:r>
      <w:proofErr w:type="spellEnd"/>
      <w:r w:rsidRPr="00C06F8A">
        <w:rPr>
          <w:rFonts w:cs="Times New Roman"/>
          <w:i/>
          <w:iCs/>
          <w:color w:val="000000" w:themeColor="text1"/>
          <w:shd w:val="clear" w:color="auto" w:fill="FFFFFF"/>
        </w:rPr>
        <w:t xml:space="preserve"> </w:t>
      </w:r>
      <w:proofErr w:type="spellStart"/>
      <w:r w:rsidRPr="00C06F8A">
        <w:rPr>
          <w:rFonts w:cs="Times New Roman"/>
          <w:i/>
          <w:iCs/>
          <w:color w:val="000000" w:themeColor="text1"/>
          <w:shd w:val="clear" w:color="auto" w:fill="FFFFFF"/>
        </w:rPr>
        <w:t>and</w:t>
      </w:r>
      <w:proofErr w:type="spellEnd"/>
      <w:r w:rsidRPr="00C06F8A">
        <w:rPr>
          <w:rFonts w:cs="Times New Roman"/>
          <w:i/>
          <w:iCs/>
          <w:color w:val="000000" w:themeColor="text1"/>
          <w:shd w:val="clear" w:color="auto" w:fill="FFFFFF"/>
        </w:rPr>
        <w:t xml:space="preserve"> </w:t>
      </w:r>
      <w:proofErr w:type="spellStart"/>
      <w:r w:rsidRPr="00C06F8A">
        <w:rPr>
          <w:rFonts w:cs="Times New Roman"/>
          <w:i/>
          <w:iCs/>
          <w:color w:val="000000" w:themeColor="text1"/>
          <w:shd w:val="clear" w:color="auto" w:fill="FFFFFF"/>
        </w:rPr>
        <w:t>Central</w:t>
      </w:r>
      <w:proofErr w:type="spellEnd"/>
      <w:r w:rsidRPr="00C06F8A">
        <w:rPr>
          <w:rFonts w:cs="Times New Roman"/>
          <w:i/>
          <w:iCs/>
          <w:color w:val="000000" w:themeColor="text1"/>
          <w:shd w:val="clear" w:color="auto" w:fill="FFFFFF"/>
        </w:rPr>
        <w:t xml:space="preserve"> </w:t>
      </w:r>
      <w:proofErr w:type="spellStart"/>
      <w:r w:rsidRPr="00C06F8A">
        <w:rPr>
          <w:rFonts w:cs="Times New Roman"/>
          <w:i/>
          <w:iCs/>
          <w:color w:val="000000" w:themeColor="text1"/>
          <w:shd w:val="clear" w:color="auto" w:fill="FFFFFF"/>
        </w:rPr>
        <w:t>Bank</w:t>
      </w:r>
      <w:proofErr w:type="spellEnd"/>
      <w:r w:rsidRPr="00C06F8A">
        <w:rPr>
          <w:rFonts w:cs="Times New Roman"/>
          <w:i/>
          <w:iCs/>
          <w:color w:val="000000" w:themeColor="text1"/>
          <w:shd w:val="clear" w:color="auto" w:fill="FFFFFF"/>
        </w:rPr>
        <w:t xml:space="preserve"> </w:t>
      </w:r>
      <w:proofErr w:type="spellStart"/>
      <w:r w:rsidRPr="00C06F8A">
        <w:rPr>
          <w:rFonts w:cs="Times New Roman"/>
          <w:i/>
          <w:iCs/>
          <w:color w:val="000000" w:themeColor="text1"/>
          <w:shd w:val="clear" w:color="auto" w:fill="FFFFFF"/>
        </w:rPr>
        <w:t>Credibility</w:t>
      </w:r>
      <w:proofErr w:type="spellEnd"/>
      <w:r w:rsidRPr="00C06F8A">
        <w:rPr>
          <w:rFonts w:cs="Times New Roman"/>
          <w:i/>
          <w:iCs/>
          <w:color w:val="000000" w:themeColor="text1"/>
          <w:shd w:val="clear" w:color="auto" w:fill="FFFFFF"/>
        </w:rPr>
        <w:t xml:space="preserve">. </w:t>
      </w:r>
      <w:proofErr w:type="spellStart"/>
      <w:r w:rsidRPr="00C06F8A">
        <w:rPr>
          <w:rFonts w:cs="Times New Roman"/>
          <w:color w:val="000000" w:themeColor="text1"/>
          <w:shd w:val="clear" w:color="auto" w:fill="FFFFFF"/>
        </w:rPr>
        <w:t>International</w:t>
      </w:r>
      <w:proofErr w:type="spellEnd"/>
      <w:r w:rsidRPr="00C06F8A">
        <w:rPr>
          <w:rFonts w:cs="Times New Roman"/>
          <w:i/>
          <w:iCs/>
          <w:color w:val="000000" w:themeColor="text1"/>
          <w:shd w:val="clear" w:color="auto" w:fill="FFFFFF"/>
        </w:rPr>
        <w:t xml:space="preserve"> </w:t>
      </w:r>
      <w:proofErr w:type="spellStart"/>
      <w:r w:rsidRPr="00C06F8A">
        <w:rPr>
          <w:rFonts w:cs="Times New Roman"/>
          <w:color w:val="000000" w:themeColor="text1"/>
          <w:shd w:val="clear" w:color="auto" w:fill="FFFFFF"/>
        </w:rPr>
        <w:t>Monetary</w:t>
      </w:r>
      <w:proofErr w:type="spellEnd"/>
      <w:r w:rsidRPr="00C06F8A">
        <w:rPr>
          <w:rFonts w:cs="Times New Roman"/>
          <w:color w:val="000000" w:themeColor="text1"/>
          <w:shd w:val="clear" w:color="auto" w:fill="FFFFFF"/>
        </w:rPr>
        <w:t xml:space="preserve"> </w:t>
      </w:r>
      <w:proofErr w:type="spellStart"/>
      <w:r w:rsidRPr="00C06F8A">
        <w:rPr>
          <w:rFonts w:cs="Times New Roman"/>
          <w:color w:val="000000" w:themeColor="text1"/>
          <w:shd w:val="clear" w:color="auto" w:fill="FFFFFF"/>
        </w:rPr>
        <w:t>Fund</w:t>
      </w:r>
      <w:proofErr w:type="spellEnd"/>
      <w:r w:rsidRPr="00C06F8A">
        <w:rPr>
          <w:rFonts w:cs="Times New Roman"/>
          <w:color w:val="000000" w:themeColor="text1"/>
          <w:shd w:val="clear" w:color="auto" w:fill="FFFFFF"/>
        </w:rPr>
        <w:t xml:space="preserve">, Vol.2022, </w:t>
      </w:r>
      <w:proofErr w:type="spellStart"/>
      <w:r w:rsidRPr="00C06F8A">
        <w:rPr>
          <w:rFonts w:cs="Times New Roman"/>
          <w:color w:val="000000" w:themeColor="text1"/>
          <w:shd w:val="clear" w:color="auto" w:fill="FFFFFF"/>
        </w:rPr>
        <w:t>Issue</w:t>
      </w:r>
      <w:proofErr w:type="spellEnd"/>
      <w:r w:rsidRPr="00C06F8A">
        <w:rPr>
          <w:rFonts w:cs="Times New Roman"/>
          <w:color w:val="000000" w:themeColor="text1"/>
          <w:shd w:val="clear" w:color="auto" w:fill="FFFFFF"/>
        </w:rPr>
        <w:t xml:space="preserve"> 016</w:t>
      </w:r>
    </w:p>
  </w:footnote>
  <w:footnote w:id="26">
    <w:p w14:paraId="00B71719" w14:textId="77777777" w:rsidR="00497710" w:rsidRDefault="00497710" w:rsidP="00497710">
      <w:pPr>
        <w:pStyle w:val="FootnoteText"/>
        <w:jc w:val="both"/>
      </w:pPr>
      <w:r>
        <w:rPr>
          <w:rStyle w:val="FootnoteReference"/>
        </w:rPr>
        <w:footnoteRef/>
      </w:r>
      <w:r>
        <w:t xml:space="preserve"> </w:t>
      </w:r>
      <w:proofErr w:type="spellStart"/>
      <w:r w:rsidRPr="003F1C6A">
        <w:t>Blanchard</w:t>
      </w:r>
      <w:proofErr w:type="spellEnd"/>
      <w:r w:rsidRPr="003F1C6A">
        <w:t xml:space="preserve"> O.J., </w:t>
      </w:r>
      <w:proofErr w:type="spellStart"/>
      <w:r w:rsidRPr="003F1C6A">
        <w:t>Leandro</w:t>
      </w:r>
      <w:proofErr w:type="spellEnd"/>
      <w:r w:rsidRPr="003F1C6A">
        <w:t xml:space="preserve"> A., </w:t>
      </w:r>
      <w:proofErr w:type="spellStart"/>
      <w:r w:rsidRPr="003F1C6A">
        <w:t>Zettelmeyer</w:t>
      </w:r>
      <w:proofErr w:type="spellEnd"/>
      <w:r w:rsidRPr="003F1C6A">
        <w:t xml:space="preserve"> J., 2021. </w:t>
      </w:r>
      <w:proofErr w:type="spellStart"/>
      <w:r w:rsidRPr="003F1C6A">
        <w:rPr>
          <w:i/>
          <w:iCs/>
        </w:rPr>
        <w:t>Redesigning</w:t>
      </w:r>
      <w:proofErr w:type="spellEnd"/>
      <w:r w:rsidRPr="003F1C6A">
        <w:rPr>
          <w:i/>
          <w:iCs/>
        </w:rPr>
        <w:t xml:space="preserve"> EU </w:t>
      </w:r>
      <w:proofErr w:type="spellStart"/>
      <w:r w:rsidRPr="003F1C6A">
        <w:rPr>
          <w:i/>
          <w:iCs/>
        </w:rPr>
        <w:t>Fiscal</w:t>
      </w:r>
      <w:proofErr w:type="spellEnd"/>
      <w:r w:rsidRPr="003F1C6A">
        <w:rPr>
          <w:i/>
          <w:iCs/>
        </w:rPr>
        <w:t xml:space="preserve"> </w:t>
      </w:r>
      <w:proofErr w:type="spellStart"/>
      <w:r w:rsidRPr="003F1C6A">
        <w:rPr>
          <w:i/>
          <w:iCs/>
        </w:rPr>
        <w:t>Rules</w:t>
      </w:r>
      <w:proofErr w:type="spellEnd"/>
      <w:r w:rsidRPr="003F1C6A">
        <w:rPr>
          <w:i/>
          <w:iCs/>
        </w:rPr>
        <w:t xml:space="preserve">: </w:t>
      </w:r>
      <w:proofErr w:type="spellStart"/>
      <w:r w:rsidRPr="003F1C6A">
        <w:rPr>
          <w:i/>
          <w:iCs/>
        </w:rPr>
        <w:t>From</w:t>
      </w:r>
      <w:proofErr w:type="spellEnd"/>
      <w:r w:rsidRPr="003F1C6A">
        <w:rPr>
          <w:i/>
          <w:iCs/>
        </w:rPr>
        <w:t xml:space="preserve"> </w:t>
      </w:r>
      <w:proofErr w:type="spellStart"/>
      <w:r w:rsidRPr="003F1C6A">
        <w:rPr>
          <w:i/>
          <w:iCs/>
        </w:rPr>
        <w:t>Rules</w:t>
      </w:r>
      <w:proofErr w:type="spellEnd"/>
      <w:r w:rsidRPr="003F1C6A">
        <w:rPr>
          <w:i/>
          <w:iCs/>
        </w:rPr>
        <w:t xml:space="preserve"> to </w:t>
      </w:r>
      <w:proofErr w:type="spellStart"/>
      <w:r w:rsidRPr="003F1C6A">
        <w:rPr>
          <w:i/>
          <w:iCs/>
        </w:rPr>
        <w:t>Standards</w:t>
      </w:r>
      <w:proofErr w:type="spellEnd"/>
      <w:r w:rsidRPr="003F1C6A">
        <w:rPr>
          <w:i/>
          <w:iCs/>
        </w:rPr>
        <w:t xml:space="preserve">. </w:t>
      </w:r>
      <w:r w:rsidRPr="003F1C6A">
        <w:t xml:space="preserve">PIIE </w:t>
      </w:r>
      <w:proofErr w:type="spellStart"/>
      <w:r w:rsidRPr="003F1C6A">
        <w:t>Working</w:t>
      </w:r>
      <w:proofErr w:type="spellEnd"/>
      <w:r w:rsidRPr="003F1C6A">
        <w:t xml:space="preserve"> Paper.</w:t>
      </w:r>
    </w:p>
  </w:footnote>
  <w:footnote w:id="27">
    <w:p w14:paraId="0AFDC9BD" w14:textId="77777777" w:rsidR="00497710" w:rsidRDefault="00497710" w:rsidP="00497710">
      <w:pPr>
        <w:pStyle w:val="FootnoteText"/>
        <w:jc w:val="both"/>
      </w:pPr>
      <w:r>
        <w:rPr>
          <w:rStyle w:val="FootnoteReference"/>
        </w:rPr>
        <w:footnoteRef/>
      </w:r>
      <w:r>
        <w:t xml:space="preserve"> </w:t>
      </w:r>
      <w:proofErr w:type="spellStart"/>
      <w:r w:rsidRPr="00313D60">
        <w:rPr>
          <w:rFonts w:cs="Times New Roman"/>
          <w:color w:val="000000" w:themeColor="text1"/>
        </w:rPr>
        <w:t>Eurostat</w:t>
      </w:r>
      <w:proofErr w:type="spellEnd"/>
      <w:r w:rsidRPr="00313D60">
        <w:rPr>
          <w:rFonts w:cs="Times New Roman"/>
          <w:color w:val="000000" w:themeColor="text1"/>
        </w:rPr>
        <w:t xml:space="preserve">, 2021. </w:t>
      </w:r>
      <w:proofErr w:type="spellStart"/>
      <w:r w:rsidRPr="00313D60">
        <w:rPr>
          <w:rFonts w:cs="Times New Roman"/>
          <w:i/>
          <w:iCs/>
          <w:color w:val="000000" w:themeColor="text1"/>
        </w:rPr>
        <w:t>Stock-flow</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adjustment</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for</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the</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Member</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States</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the</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euro</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area</w:t>
      </w:r>
      <w:proofErr w:type="spellEnd"/>
      <w:r w:rsidRPr="00313D60">
        <w:rPr>
          <w:rFonts w:cs="Times New Roman"/>
          <w:i/>
          <w:iCs/>
          <w:color w:val="000000" w:themeColor="text1"/>
        </w:rPr>
        <w:t xml:space="preserve"> (EA-19) </w:t>
      </w:r>
      <w:proofErr w:type="spellStart"/>
      <w:r w:rsidRPr="00313D60">
        <w:rPr>
          <w:rFonts w:cs="Times New Roman"/>
          <w:i/>
          <w:iCs/>
          <w:color w:val="000000" w:themeColor="text1"/>
        </w:rPr>
        <w:t>and</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the</w:t>
      </w:r>
      <w:proofErr w:type="spellEnd"/>
      <w:r w:rsidRPr="00313D60">
        <w:rPr>
          <w:rFonts w:cs="Times New Roman"/>
          <w:i/>
          <w:iCs/>
          <w:color w:val="000000" w:themeColor="text1"/>
        </w:rPr>
        <w:t xml:space="preserve"> EU-27, </w:t>
      </w:r>
      <w:proofErr w:type="spellStart"/>
      <w:r w:rsidRPr="00313D60">
        <w:rPr>
          <w:rFonts w:cs="Times New Roman"/>
          <w:i/>
          <w:iCs/>
          <w:color w:val="000000" w:themeColor="text1"/>
        </w:rPr>
        <w:t>for</w:t>
      </w:r>
      <w:proofErr w:type="spellEnd"/>
      <w:r w:rsidRPr="00313D60">
        <w:rPr>
          <w:rFonts w:cs="Times New Roman"/>
          <w:i/>
          <w:iCs/>
          <w:color w:val="000000" w:themeColor="text1"/>
        </w:rPr>
        <w:t xml:space="preserve"> </w:t>
      </w:r>
      <w:proofErr w:type="spellStart"/>
      <w:r w:rsidRPr="00313D60">
        <w:rPr>
          <w:rFonts w:cs="Times New Roman"/>
          <w:i/>
          <w:iCs/>
          <w:color w:val="000000" w:themeColor="text1"/>
        </w:rPr>
        <w:t>the</w:t>
      </w:r>
      <w:proofErr w:type="spellEnd"/>
      <w:r w:rsidRPr="00313D60">
        <w:rPr>
          <w:rFonts w:cs="Times New Roman"/>
          <w:i/>
          <w:iCs/>
          <w:color w:val="000000" w:themeColor="text1"/>
        </w:rPr>
        <w:t xml:space="preserve"> period 2016-2019</w:t>
      </w:r>
    </w:p>
  </w:footnote>
  <w:footnote w:id="28">
    <w:p w14:paraId="6DAEC313" w14:textId="77777777" w:rsidR="00E674C0" w:rsidRDefault="00E674C0" w:rsidP="00E674C0">
      <w:pPr>
        <w:pStyle w:val="FootnoteText"/>
        <w:jc w:val="both"/>
      </w:pPr>
      <w:r>
        <w:rPr>
          <w:rStyle w:val="FootnoteReference"/>
        </w:rPr>
        <w:footnoteRef/>
      </w:r>
      <w:r>
        <w:t xml:space="preserve"> </w:t>
      </w:r>
      <w:r>
        <w:t>Valsts parāda sniega bumbas efekts veidojas, ja pastāv starpība starp efektīvo procentu likmi un ekonomikas izaugsmes tempu, t.i., ja efektīvā procentu likme ir augstāka (zemāka) kā ekonomikas izaugsmes temps, tad pie nemainīgas primārās budžeta bilances, valsts parāds automātiski pieaug (samazinās).</w:t>
      </w:r>
    </w:p>
  </w:footnote>
  <w:footnote w:id="29">
    <w:p w14:paraId="14B8125B" w14:textId="51F41620" w:rsidR="00016822" w:rsidRDefault="00016822">
      <w:pPr>
        <w:pStyle w:val="FootnoteText"/>
      </w:pPr>
      <w:r>
        <w:rPr>
          <w:rStyle w:val="FootnoteReference"/>
        </w:rPr>
        <w:footnoteRef/>
      </w:r>
      <w:r>
        <w:t xml:space="preserve"> </w:t>
      </w:r>
      <w:hyperlink r:id="rId4" w:history="1">
        <w:r w:rsidRPr="00092C3C">
          <w:rPr>
            <w:rStyle w:val="Hyperlink"/>
          </w:rPr>
          <w:t>https://tapportals.mk.gov.lv/legal_acts/0a95188b-8bc3-4bf1-92bb-9fc1e3afed98</w:t>
        </w:r>
      </w:hyperlink>
    </w:p>
  </w:footnote>
  <w:footnote w:id="30">
    <w:p w14:paraId="059E2145" w14:textId="60B33427" w:rsidR="007D6131" w:rsidRDefault="007D6131">
      <w:pPr>
        <w:pStyle w:val="FootnoteText"/>
      </w:pPr>
      <w:r>
        <w:rPr>
          <w:rStyle w:val="FootnoteReference"/>
        </w:rPr>
        <w:footnoteRef/>
      </w:r>
      <w:r>
        <w:t xml:space="preserve"> </w:t>
      </w:r>
      <w:hyperlink r:id="rId5" w:history="1">
        <w:r w:rsidRPr="008E2626">
          <w:rPr>
            <w:rStyle w:val="Hyperlink"/>
          </w:rPr>
          <w:t>https://economy-finance.ec.europa.eu/system/files/2023-05/ip200_en_1.pdf</w:t>
        </w:r>
      </w:hyperlink>
    </w:p>
  </w:footnote>
  <w:footnote w:id="31">
    <w:p w14:paraId="2AF3D7AC" w14:textId="77777777" w:rsidR="00F319AE" w:rsidRDefault="00F319AE" w:rsidP="00F319AE">
      <w:pPr>
        <w:pStyle w:val="FootnoteText"/>
      </w:pPr>
      <w:r>
        <w:rPr>
          <w:rStyle w:val="FootnoteReference"/>
        </w:rPr>
        <w:footnoteRef/>
      </w:r>
      <w:r>
        <w:t xml:space="preserve"> </w:t>
      </w:r>
      <w:r>
        <w:t>Eiropas Komisija prognozē paredzēts 2024.gadā atbalsta pasākumi ir ieplānoti Maltā 1,5% no IKP, Luksemburgā 0,5% no IKP, Ungārijā 0,4% no IKP, Vācijā un Polijā 0,3% no IKP, Horvātijā un Francijā 0,2% no IKP, Austrijā, Zviedrijā, Bulgārijā un Lietuvā 0,1% no IKP.</w:t>
      </w:r>
    </w:p>
  </w:footnote>
  <w:footnote w:id="32">
    <w:p w14:paraId="0673EDCD" w14:textId="77777777" w:rsidR="000A256A" w:rsidRDefault="000A256A" w:rsidP="000A256A">
      <w:pPr>
        <w:pStyle w:val="FootnoteText"/>
      </w:pPr>
      <w:r>
        <w:rPr>
          <w:rStyle w:val="FootnoteReference"/>
        </w:rPr>
        <w:footnoteRef/>
      </w:r>
      <w:r>
        <w:t xml:space="preserve"> </w:t>
      </w:r>
      <w:r w:rsidRPr="00D45E7C">
        <w:t>https://www.ast.lv/lv/electricity-market-review</w:t>
      </w:r>
    </w:p>
  </w:footnote>
  <w:footnote w:id="33">
    <w:p w14:paraId="5EEB0B7D" w14:textId="53576AF6" w:rsidR="00F62312" w:rsidRDefault="00D37740" w:rsidP="00D37740">
      <w:pPr>
        <w:pStyle w:val="FootnoteText"/>
      </w:pPr>
      <w:r>
        <w:rPr>
          <w:rStyle w:val="FootnoteReference"/>
        </w:rPr>
        <w:footnoteRef/>
      </w:r>
      <w:r>
        <w:t xml:space="preserve"> </w:t>
      </w:r>
      <w:r w:rsidRPr="00D37740">
        <w:t xml:space="preserve">Detalizēta informācija par EIKIS arhitektūru, darbības principiem, izveides kārtām un tām nepieciešamo finansējumu </w:t>
      </w:r>
      <w:r w:rsidR="00F62312">
        <w:t xml:space="preserve">ir pieejama </w:t>
      </w:r>
      <w:r w:rsidRPr="00D37740">
        <w:t xml:space="preserve">Informatīvajā ziņojumā par mērķēta un automatizēta atbalsta sistēmas izstrādi energoresursu sadārdzinājuma segšanai mājsaimniecībām ar zemu un vidēji zemu ienākumu līmeni, ko </w:t>
      </w:r>
      <w:r w:rsidR="00F62312">
        <w:t>M</w:t>
      </w:r>
      <w:r w:rsidRPr="00D37740">
        <w:t>inistru kabinets ir apstiprinājis šī gada 6.jūnijā</w:t>
      </w:r>
      <w:r>
        <w:t xml:space="preserve"> </w:t>
      </w:r>
      <w:hyperlink r:id="rId6" w:history="1">
        <w:r w:rsidR="00F62312" w:rsidRPr="00040DC2">
          <w:rPr>
            <w:rStyle w:val="Hyperlink"/>
          </w:rPr>
          <w:t>https://tapportals.mk.gov.lv/legal_acts/a5936f15-dfe0-49cf-b85b-a8edd4f73b4</w:t>
        </w:r>
      </w:hyperlink>
      <w:r w:rsidRPr="00D37740">
        <w:t>f</w:t>
      </w:r>
    </w:p>
  </w:footnote>
  <w:footnote w:id="34">
    <w:p w14:paraId="09E99258" w14:textId="54F8EBEC" w:rsidR="003402D8" w:rsidRDefault="003402D8">
      <w:pPr>
        <w:pStyle w:val="FootnoteText"/>
      </w:pPr>
      <w:r>
        <w:rPr>
          <w:rStyle w:val="FootnoteReference"/>
        </w:rPr>
        <w:footnoteRef/>
      </w:r>
      <w:r>
        <w:t>Piemēram, lai veicinātu mājsaimniecību un uzņēmumu līdzdalību klimata mērķu sasniegšanā, Latvijā ir ieviesta neto uzskaites un neto norēķinu sistēma, kas ir valsts atbalsts mehānisms</w:t>
      </w:r>
      <w:r w:rsidR="00035CE5">
        <w:t xml:space="preserve"> (bez valsts budžeta līdzfinansējuma dalības) elektroenerģijas ražošanai pašpatēriņam. </w:t>
      </w:r>
    </w:p>
  </w:footnote>
  <w:footnote w:id="35">
    <w:p w14:paraId="39FEEEFB" w14:textId="371D8450" w:rsidR="009879EB" w:rsidRDefault="009879EB">
      <w:pPr>
        <w:pStyle w:val="FootnoteText"/>
      </w:pPr>
      <w:r>
        <w:rPr>
          <w:rStyle w:val="FootnoteReference"/>
        </w:rPr>
        <w:footnoteRef/>
      </w:r>
      <w:r>
        <w:t xml:space="preserve"> </w:t>
      </w:r>
      <w:r w:rsidR="00D76FE6">
        <w:t>ANO</w:t>
      </w:r>
      <w:r>
        <w:t xml:space="preserve">, 2020. </w:t>
      </w:r>
      <w:proofErr w:type="spellStart"/>
      <w:r w:rsidRPr="00F64C34">
        <w:rPr>
          <w:i/>
          <w:iCs/>
        </w:rPr>
        <w:t>The</w:t>
      </w:r>
      <w:proofErr w:type="spellEnd"/>
      <w:r w:rsidRPr="00F64C34">
        <w:rPr>
          <w:i/>
          <w:iCs/>
        </w:rPr>
        <w:t xml:space="preserve"> </w:t>
      </w:r>
      <w:proofErr w:type="spellStart"/>
      <w:r w:rsidRPr="00F64C34">
        <w:rPr>
          <w:i/>
          <w:iCs/>
        </w:rPr>
        <w:t>Climate</w:t>
      </w:r>
      <w:proofErr w:type="spellEnd"/>
      <w:r w:rsidRPr="00F64C34">
        <w:rPr>
          <w:i/>
          <w:iCs/>
        </w:rPr>
        <w:t xml:space="preserve"> </w:t>
      </w:r>
      <w:proofErr w:type="spellStart"/>
      <w:r w:rsidRPr="00F64C34">
        <w:rPr>
          <w:i/>
          <w:iCs/>
        </w:rPr>
        <w:t>Crisis</w:t>
      </w:r>
      <w:proofErr w:type="spellEnd"/>
      <w:r w:rsidRPr="00F64C34">
        <w:rPr>
          <w:i/>
          <w:iCs/>
        </w:rPr>
        <w:t xml:space="preserve"> – A </w:t>
      </w:r>
      <w:proofErr w:type="spellStart"/>
      <w:r w:rsidRPr="00F64C34">
        <w:rPr>
          <w:i/>
          <w:iCs/>
        </w:rPr>
        <w:t>Race</w:t>
      </w:r>
      <w:proofErr w:type="spellEnd"/>
      <w:r w:rsidRPr="00F64C34">
        <w:rPr>
          <w:i/>
          <w:iCs/>
        </w:rPr>
        <w:t xml:space="preserve"> </w:t>
      </w:r>
      <w:proofErr w:type="spellStart"/>
      <w:r w:rsidRPr="00F64C34">
        <w:rPr>
          <w:i/>
          <w:iCs/>
        </w:rPr>
        <w:t>We</w:t>
      </w:r>
      <w:proofErr w:type="spellEnd"/>
      <w:r w:rsidRPr="00F64C34">
        <w:rPr>
          <w:i/>
          <w:iCs/>
        </w:rPr>
        <w:t xml:space="preserve"> </w:t>
      </w:r>
      <w:proofErr w:type="spellStart"/>
      <w:r w:rsidRPr="00F64C34">
        <w:rPr>
          <w:i/>
          <w:iCs/>
        </w:rPr>
        <w:t>Can</w:t>
      </w:r>
      <w:proofErr w:type="spellEnd"/>
      <w:r w:rsidRPr="00F64C34">
        <w:rPr>
          <w:i/>
          <w:iCs/>
        </w:rPr>
        <w:t xml:space="preserve"> </w:t>
      </w:r>
      <w:proofErr w:type="spellStart"/>
      <w:r w:rsidRPr="00F64C34">
        <w:rPr>
          <w:i/>
          <w:iCs/>
        </w:rPr>
        <w:t>Win</w:t>
      </w:r>
      <w:proofErr w:type="spellEnd"/>
      <w:r w:rsidRPr="00F64C34">
        <w:rPr>
          <w:i/>
          <w:iCs/>
        </w:rPr>
        <w:t>.</w:t>
      </w:r>
    </w:p>
  </w:footnote>
  <w:footnote w:id="36">
    <w:p w14:paraId="77530C1E" w14:textId="7229F1A1" w:rsidR="00C62AB6" w:rsidRDefault="00C62AB6">
      <w:pPr>
        <w:pStyle w:val="FootnoteText"/>
      </w:pPr>
      <w:r>
        <w:rPr>
          <w:rStyle w:val="FootnoteReference"/>
        </w:rPr>
        <w:footnoteRef/>
      </w:r>
      <w:r>
        <w:t xml:space="preserve"> </w:t>
      </w:r>
      <w:r>
        <w:t xml:space="preserve">Starptautiskā Enerģētikas aģentūra, 2021. </w:t>
      </w:r>
      <w:r w:rsidRPr="0058124B">
        <w:rPr>
          <w:i/>
          <w:iCs/>
        </w:rPr>
        <w:t xml:space="preserve">Net </w:t>
      </w:r>
      <w:proofErr w:type="spellStart"/>
      <w:r w:rsidRPr="0058124B">
        <w:rPr>
          <w:i/>
          <w:iCs/>
        </w:rPr>
        <w:t>Zero</w:t>
      </w:r>
      <w:proofErr w:type="spellEnd"/>
      <w:r w:rsidRPr="0058124B">
        <w:rPr>
          <w:i/>
          <w:iCs/>
        </w:rPr>
        <w:t xml:space="preserve"> </w:t>
      </w:r>
      <w:proofErr w:type="spellStart"/>
      <w:r w:rsidRPr="0058124B">
        <w:rPr>
          <w:i/>
          <w:iCs/>
        </w:rPr>
        <w:t>by</w:t>
      </w:r>
      <w:proofErr w:type="spellEnd"/>
      <w:r w:rsidRPr="0058124B">
        <w:rPr>
          <w:i/>
          <w:iCs/>
        </w:rPr>
        <w:t xml:space="preserve"> 2050</w:t>
      </w:r>
      <w:r>
        <w:t>.</w:t>
      </w:r>
    </w:p>
  </w:footnote>
  <w:footnote w:id="37">
    <w:p w14:paraId="65F939BE" w14:textId="5638006F" w:rsidR="00C6792D" w:rsidRDefault="00C6792D" w:rsidP="0058124B">
      <w:pPr>
        <w:jc w:val="both"/>
      </w:pPr>
      <w:r>
        <w:rPr>
          <w:rStyle w:val="FootnoteReference"/>
        </w:rPr>
        <w:footnoteRef/>
      </w:r>
      <w:r>
        <w:t xml:space="preserve"> </w:t>
      </w:r>
      <w:r w:rsidR="00D76FE6">
        <w:rPr>
          <w:rFonts w:ascii="Times New Roman" w:hAnsi="Times New Roman" w:cs="Times New Roman"/>
          <w:sz w:val="20"/>
          <w:szCs w:val="20"/>
        </w:rPr>
        <w:t>EK</w:t>
      </w:r>
      <w:r w:rsidRPr="0058124B">
        <w:rPr>
          <w:rFonts w:ascii="Times New Roman" w:hAnsi="Times New Roman" w:cs="Times New Roman"/>
          <w:sz w:val="20"/>
          <w:szCs w:val="20"/>
        </w:rPr>
        <w:t xml:space="preserve"> darba dokuments, 2020.gada 17.septembris (</w:t>
      </w:r>
      <w:r w:rsidRPr="0058124B">
        <w:rPr>
          <w:rFonts w:ascii="Times New Roman" w:hAnsi="Times New Roman" w:cs="Times New Roman"/>
          <w:i/>
          <w:iCs/>
          <w:sz w:val="20"/>
          <w:szCs w:val="20"/>
        </w:rPr>
        <w:t xml:space="preserve">SWD(2020) 176 </w:t>
      </w:r>
      <w:proofErr w:type="spellStart"/>
      <w:r w:rsidRPr="0058124B">
        <w:rPr>
          <w:rFonts w:ascii="Times New Roman" w:hAnsi="Times New Roman" w:cs="Times New Roman"/>
          <w:i/>
          <w:iCs/>
          <w:sz w:val="20"/>
          <w:szCs w:val="20"/>
        </w:rPr>
        <w:t>final</w:t>
      </w:r>
      <w:proofErr w:type="spellEnd"/>
      <w:r w:rsidRPr="0058124B">
        <w:rPr>
          <w:rFonts w:ascii="Times New Roman" w:hAnsi="Times New Roman" w:cs="Times New Roman"/>
          <w:sz w:val="20"/>
          <w:szCs w:val="20"/>
        </w:rPr>
        <w:t xml:space="preserve">), </w:t>
      </w:r>
      <w:r w:rsidRPr="0058124B">
        <w:rPr>
          <w:rFonts w:ascii="Times New Roman" w:hAnsi="Times New Roman" w:cs="Times New Roman"/>
          <w:i/>
          <w:iCs/>
          <w:sz w:val="20"/>
          <w:szCs w:val="20"/>
        </w:rPr>
        <w:t xml:space="preserve">IMPACT ASSESSMENT </w:t>
      </w:r>
      <w:proofErr w:type="spellStart"/>
      <w:r w:rsidRPr="0058124B">
        <w:rPr>
          <w:rFonts w:ascii="Times New Roman" w:hAnsi="Times New Roman" w:cs="Times New Roman"/>
          <w:i/>
          <w:iCs/>
          <w:sz w:val="20"/>
          <w:szCs w:val="20"/>
        </w:rPr>
        <w:t>Accompanying</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the</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document</w:t>
      </w:r>
      <w:proofErr w:type="spellEnd"/>
      <w:r w:rsidRPr="0058124B">
        <w:rPr>
          <w:rFonts w:ascii="Times New Roman" w:hAnsi="Times New Roman" w:cs="Times New Roman"/>
          <w:i/>
          <w:iCs/>
          <w:sz w:val="20"/>
          <w:szCs w:val="20"/>
        </w:rPr>
        <w:t xml:space="preserve">: COMMUNICATION FROM THE COMMISSION TO THE EUROPEAN PARLIAMENT, THE COUNCIL, THE EUROPEAN ECONOMIC AND SOCIAL COMMITTEE AND THE COMMITTEE OF THE REGIONS. </w:t>
      </w:r>
      <w:proofErr w:type="spellStart"/>
      <w:r w:rsidRPr="0058124B">
        <w:rPr>
          <w:rFonts w:ascii="Times New Roman" w:hAnsi="Times New Roman" w:cs="Times New Roman"/>
          <w:i/>
          <w:iCs/>
          <w:sz w:val="20"/>
          <w:szCs w:val="20"/>
        </w:rPr>
        <w:t>Stepping</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up</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Europe’s</w:t>
      </w:r>
      <w:proofErr w:type="spellEnd"/>
      <w:r w:rsidRPr="0058124B">
        <w:rPr>
          <w:rFonts w:ascii="Times New Roman" w:hAnsi="Times New Roman" w:cs="Times New Roman"/>
          <w:i/>
          <w:iCs/>
          <w:sz w:val="20"/>
          <w:szCs w:val="20"/>
        </w:rPr>
        <w:t xml:space="preserve"> 2030 </w:t>
      </w:r>
      <w:proofErr w:type="spellStart"/>
      <w:r w:rsidRPr="0058124B">
        <w:rPr>
          <w:rFonts w:ascii="Times New Roman" w:hAnsi="Times New Roman" w:cs="Times New Roman"/>
          <w:i/>
          <w:iCs/>
          <w:sz w:val="20"/>
          <w:szCs w:val="20"/>
        </w:rPr>
        <w:t>climate</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ambition</w:t>
      </w:r>
      <w:proofErr w:type="spellEnd"/>
      <w:r w:rsidRPr="0058124B">
        <w:rPr>
          <w:rFonts w:ascii="Times New Roman" w:hAnsi="Times New Roman" w:cs="Times New Roman"/>
          <w:i/>
          <w:iCs/>
          <w:sz w:val="20"/>
          <w:szCs w:val="20"/>
        </w:rPr>
        <w:t xml:space="preserve"> - </w:t>
      </w:r>
      <w:proofErr w:type="spellStart"/>
      <w:r w:rsidRPr="0058124B">
        <w:rPr>
          <w:rFonts w:ascii="Times New Roman" w:hAnsi="Times New Roman" w:cs="Times New Roman"/>
          <w:i/>
          <w:iCs/>
          <w:sz w:val="20"/>
          <w:szCs w:val="20"/>
        </w:rPr>
        <w:t>Investing</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in</w:t>
      </w:r>
      <w:proofErr w:type="spellEnd"/>
      <w:r w:rsidRPr="0058124B">
        <w:rPr>
          <w:rFonts w:ascii="Times New Roman" w:hAnsi="Times New Roman" w:cs="Times New Roman"/>
          <w:i/>
          <w:iCs/>
          <w:sz w:val="20"/>
          <w:szCs w:val="20"/>
        </w:rPr>
        <w:t xml:space="preserve"> a </w:t>
      </w:r>
      <w:proofErr w:type="spellStart"/>
      <w:r w:rsidRPr="0058124B">
        <w:rPr>
          <w:rFonts w:ascii="Times New Roman" w:hAnsi="Times New Roman" w:cs="Times New Roman"/>
          <w:i/>
          <w:iCs/>
          <w:sz w:val="20"/>
          <w:szCs w:val="20"/>
        </w:rPr>
        <w:t>climate-neutral</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future</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for</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the</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benefit</w:t>
      </w:r>
      <w:proofErr w:type="spellEnd"/>
      <w:r w:rsidRPr="0058124B">
        <w:rPr>
          <w:rFonts w:ascii="Times New Roman" w:hAnsi="Times New Roman" w:cs="Times New Roman"/>
          <w:i/>
          <w:iCs/>
          <w:sz w:val="20"/>
          <w:szCs w:val="20"/>
        </w:rPr>
        <w:t xml:space="preserve"> of </w:t>
      </w:r>
      <w:proofErr w:type="spellStart"/>
      <w:r w:rsidRPr="0058124B">
        <w:rPr>
          <w:rFonts w:ascii="Times New Roman" w:hAnsi="Times New Roman" w:cs="Times New Roman"/>
          <w:i/>
          <w:iCs/>
          <w:sz w:val="20"/>
          <w:szCs w:val="20"/>
        </w:rPr>
        <w:t>our</w:t>
      </w:r>
      <w:proofErr w:type="spellEnd"/>
      <w:r w:rsidRPr="0058124B">
        <w:rPr>
          <w:rFonts w:ascii="Times New Roman" w:hAnsi="Times New Roman" w:cs="Times New Roman"/>
          <w:i/>
          <w:iCs/>
          <w:sz w:val="20"/>
          <w:szCs w:val="20"/>
        </w:rPr>
        <w:t xml:space="preserve"> </w:t>
      </w:r>
      <w:proofErr w:type="spellStart"/>
      <w:r w:rsidRPr="0058124B">
        <w:rPr>
          <w:rFonts w:ascii="Times New Roman" w:hAnsi="Times New Roman" w:cs="Times New Roman"/>
          <w:i/>
          <w:iCs/>
          <w:sz w:val="20"/>
          <w:szCs w:val="20"/>
        </w:rPr>
        <w:t>people</w:t>
      </w:r>
      <w:proofErr w:type="spellEnd"/>
    </w:p>
  </w:footnote>
  <w:footnote w:id="38">
    <w:p w14:paraId="1966D7AB" w14:textId="77777777" w:rsidR="00510A24" w:rsidRDefault="00510A24" w:rsidP="00510A24">
      <w:pPr>
        <w:pStyle w:val="FootnoteText"/>
      </w:pPr>
      <w:r>
        <w:rPr>
          <w:rStyle w:val="FootnoteReference"/>
        </w:rPr>
        <w:footnoteRef/>
      </w:r>
      <w:r>
        <w:t xml:space="preserve"> </w:t>
      </w:r>
      <w:r>
        <w:t xml:space="preserve">Novērtējums, kas neietver papildus izmaksas, kas izriet no </w:t>
      </w:r>
      <w:proofErr w:type="spellStart"/>
      <w:r w:rsidRPr="0058124B">
        <w:rPr>
          <w:i/>
          <w:iCs/>
        </w:rPr>
        <w:t>Fit</w:t>
      </w:r>
      <w:proofErr w:type="spellEnd"/>
      <w:r w:rsidRPr="0058124B">
        <w:rPr>
          <w:i/>
          <w:iCs/>
        </w:rPr>
        <w:t xml:space="preserve"> </w:t>
      </w:r>
      <w:proofErr w:type="spellStart"/>
      <w:r w:rsidRPr="0058124B">
        <w:rPr>
          <w:i/>
          <w:iCs/>
        </w:rPr>
        <w:t>for</w:t>
      </w:r>
      <w:proofErr w:type="spellEnd"/>
      <w:r w:rsidRPr="0058124B">
        <w:rPr>
          <w:i/>
          <w:iCs/>
        </w:rPr>
        <w:t xml:space="preserve"> 55</w:t>
      </w:r>
      <w:r>
        <w:t xml:space="preserve"> </w:t>
      </w:r>
      <w:proofErr w:type="spellStart"/>
      <w:r>
        <w:t>pakotnes</w:t>
      </w:r>
      <w:proofErr w:type="spellEnd"/>
      <w:r>
        <w:t xml:space="preserve"> ietvaros apstiprinātajiem mērķiem.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970"/>
    <w:multiLevelType w:val="hybridMultilevel"/>
    <w:tmpl w:val="3AAE7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14CA9"/>
    <w:multiLevelType w:val="hybridMultilevel"/>
    <w:tmpl w:val="7708FC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02F0E05"/>
    <w:multiLevelType w:val="multilevel"/>
    <w:tmpl w:val="12F00186"/>
    <w:lvl w:ilvl="0">
      <w:start w:val="2"/>
      <w:numFmt w:val="decimal"/>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2A9211F"/>
    <w:multiLevelType w:val="hybridMultilevel"/>
    <w:tmpl w:val="A79A59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8D485C"/>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5" w15:restartNumberingAfterBreak="0">
    <w:nsid w:val="139F5F4B"/>
    <w:multiLevelType w:val="hybridMultilevel"/>
    <w:tmpl w:val="0820F63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D33D2F"/>
    <w:multiLevelType w:val="hybridMultilevel"/>
    <w:tmpl w:val="0CDC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3F72C46"/>
    <w:multiLevelType w:val="hybridMultilevel"/>
    <w:tmpl w:val="BDAAC656"/>
    <w:lvl w:ilvl="0" w:tplc="E9A4EAA8">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2854AB18"/>
    <w:lvl w:ilvl="0">
      <w:start w:val="1"/>
      <w:numFmt w:val="decimal"/>
      <w:pStyle w:val="Heading1"/>
      <w:lvlText w:val="%1."/>
      <w:lvlJc w:val="left"/>
      <w:pPr>
        <w:ind w:left="2843" w:hanging="432"/>
      </w:pPr>
      <w:rPr>
        <w:b/>
        <w:sz w:val="32"/>
      </w:rPr>
    </w:lvl>
    <w:lvl w:ilvl="1">
      <w:start w:val="1"/>
      <w:numFmt w:val="decimal"/>
      <w:pStyle w:val="Heading2"/>
      <w:lvlText w:val="%1.%2"/>
      <w:lvlJc w:val="left"/>
      <w:pPr>
        <w:ind w:left="2987" w:hanging="576"/>
      </w:pPr>
    </w:lvl>
    <w:lvl w:ilvl="2">
      <w:start w:val="1"/>
      <w:numFmt w:val="decimal"/>
      <w:pStyle w:val="Heading3"/>
      <w:lvlText w:val="%1.%2.%3"/>
      <w:lvlJc w:val="left"/>
      <w:pPr>
        <w:ind w:left="3131" w:hanging="720"/>
      </w:pPr>
    </w:lvl>
    <w:lvl w:ilvl="3">
      <w:start w:val="1"/>
      <w:numFmt w:val="decimal"/>
      <w:pStyle w:val="Heading4"/>
      <w:lvlText w:val="%1.%2.%3.%4"/>
      <w:lvlJc w:val="left"/>
      <w:pPr>
        <w:ind w:left="3275" w:hanging="864"/>
      </w:pPr>
    </w:lvl>
    <w:lvl w:ilvl="4">
      <w:start w:val="1"/>
      <w:numFmt w:val="decimal"/>
      <w:pStyle w:val="Heading5"/>
      <w:lvlText w:val="%1.%2.%3.%4.%5"/>
      <w:lvlJc w:val="left"/>
      <w:pPr>
        <w:ind w:left="3419" w:hanging="1008"/>
      </w:pPr>
    </w:lvl>
    <w:lvl w:ilvl="5">
      <w:start w:val="1"/>
      <w:numFmt w:val="decimal"/>
      <w:pStyle w:val="Heading6"/>
      <w:lvlText w:val="%1.%2.%3.%4.%5.%6"/>
      <w:lvlJc w:val="left"/>
      <w:pPr>
        <w:ind w:left="3563" w:hanging="1152"/>
      </w:pPr>
    </w:lvl>
    <w:lvl w:ilvl="6">
      <w:start w:val="1"/>
      <w:numFmt w:val="decimal"/>
      <w:pStyle w:val="Heading7"/>
      <w:lvlText w:val="%1.%2.%3.%4.%5.%6.%7"/>
      <w:lvlJc w:val="left"/>
      <w:pPr>
        <w:ind w:left="3707" w:hanging="1296"/>
      </w:pPr>
    </w:lvl>
    <w:lvl w:ilvl="7">
      <w:start w:val="1"/>
      <w:numFmt w:val="decimal"/>
      <w:pStyle w:val="Heading8"/>
      <w:lvlText w:val="%1.%2.%3.%4.%5.%6.%7.%8"/>
      <w:lvlJc w:val="left"/>
      <w:pPr>
        <w:ind w:left="3851" w:hanging="1440"/>
      </w:pPr>
    </w:lvl>
    <w:lvl w:ilvl="8">
      <w:start w:val="1"/>
      <w:numFmt w:val="decimal"/>
      <w:pStyle w:val="Heading9"/>
      <w:lvlText w:val="%1.%2.%3.%4.%5.%6.%7.%8.%9"/>
      <w:lvlJc w:val="left"/>
      <w:pPr>
        <w:ind w:left="3995" w:hanging="1584"/>
      </w:pPr>
    </w:lvl>
  </w:abstractNum>
  <w:abstractNum w:abstractNumId="9" w15:restartNumberingAfterBreak="0">
    <w:nsid w:val="14937C53"/>
    <w:multiLevelType w:val="hybridMultilevel"/>
    <w:tmpl w:val="C17408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9272086"/>
    <w:multiLevelType w:val="hybridMultilevel"/>
    <w:tmpl w:val="8EEA3C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0727383"/>
    <w:multiLevelType w:val="hybridMultilevel"/>
    <w:tmpl w:val="438A751E"/>
    <w:lvl w:ilvl="0" w:tplc="64E29414">
      <w:start w:val="6"/>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22305291"/>
    <w:multiLevelType w:val="hybridMultilevel"/>
    <w:tmpl w:val="C0645CE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2793D61"/>
    <w:multiLevelType w:val="multilevel"/>
    <w:tmpl w:val="D76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B8732C"/>
    <w:multiLevelType w:val="multilevel"/>
    <w:tmpl w:val="656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A0AED"/>
    <w:multiLevelType w:val="hybridMultilevel"/>
    <w:tmpl w:val="A11C1B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5B96695"/>
    <w:multiLevelType w:val="hybridMultilevel"/>
    <w:tmpl w:val="44607B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6193EE1"/>
    <w:multiLevelType w:val="hybridMultilevel"/>
    <w:tmpl w:val="AF8E55DE"/>
    <w:lvl w:ilvl="0" w:tplc="9DE4BB5A">
      <w:start w:val="1"/>
      <w:numFmt w:val="decimal"/>
      <w:lvlText w:val="%1."/>
      <w:lvlJc w:val="left"/>
      <w:pPr>
        <w:ind w:left="1503" w:hanging="360"/>
      </w:pPr>
      <w:rPr>
        <w:b w:val="0"/>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18" w15:restartNumberingAfterBreak="0">
    <w:nsid w:val="29513E32"/>
    <w:multiLevelType w:val="multilevel"/>
    <w:tmpl w:val="95A69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777F40"/>
    <w:multiLevelType w:val="multilevel"/>
    <w:tmpl w:val="334E9FFA"/>
    <w:lvl w:ilvl="0">
      <w:start w:val="3"/>
      <w:numFmt w:val="decimal"/>
      <w:lvlText w:val="%1."/>
      <w:lvlJc w:val="left"/>
      <w:pPr>
        <w:ind w:left="360" w:hanging="360"/>
      </w:pPr>
      <w:rPr>
        <w:rFonts w:cs="Times New Roman" w:hint="default"/>
        <w:color w:val="auto"/>
      </w:rPr>
    </w:lvl>
    <w:lvl w:ilvl="1">
      <w:start w:val="1"/>
      <w:numFmt w:val="decimal"/>
      <w:lvlText w:val="%1.%2."/>
      <w:lvlJc w:val="left"/>
      <w:pPr>
        <w:ind w:left="3479" w:hanging="360"/>
      </w:pPr>
      <w:rPr>
        <w:rFonts w:cs="Times New Roman" w:hint="default"/>
        <w:color w:val="auto"/>
      </w:rPr>
    </w:lvl>
    <w:lvl w:ilvl="2">
      <w:start w:val="1"/>
      <w:numFmt w:val="decimal"/>
      <w:lvlText w:val="%1.%2.%3."/>
      <w:lvlJc w:val="left"/>
      <w:pPr>
        <w:ind w:left="6958" w:hanging="720"/>
      </w:pPr>
      <w:rPr>
        <w:rFonts w:cs="Times New Roman" w:hint="default"/>
        <w:color w:val="auto"/>
      </w:rPr>
    </w:lvl>
    <w:lvl w:ilvl="3">
      <w:start w:val="1"/>
      <w:numFmt w:val="decimal"/>
      <w:lvlText w:val="%1.%2.%3.%4."/>
      <w:lvlJc w:val="left"/>
      <w:pPr>
        <w:ind w:left="10077" w:hanging="720"/>
      </w:pPr>
      <w:rPr>
        <w:rFonts w:cs="Times New Roman" w:hint="default"/>
        <w:color w:val="auto"/>
      </w:rPr>
    </w:lvl>
    <w:lvl w:ilvl="4">
      <w:start w:val="1"/>
      <w:numFmt w:val="decimal"/>
      <w:lvlText w:val="%1.%2.%3.%4.%5."/>
      <w:lvlJc w:val="left"/>
      <w:pPr>
        <w:ind w:left="13556" w:hanging="1080"/>
      </w:pPr>
      <w:rPr>
        <w:rFonts w:cs="Times New Roman" w:hint="default"/>
        <w:color w:val="auto"/>
      </w:rPr>
    </w:lvl>
    <w:lvl w:ilvl="5">
      <w:start w:val="1"/>
      <w:numFmt w:val="decimal"/>
      <w:lvlText w:val="%1.%2.%3.%4.%5.%6."/>
      <w:lvlJc w:val="left"/>
      <w:pPr>
        <w:ind w:left="16675" w:hanging="1080"/>
      </w:pPr>
      <w:rPr>
        <w:rFonts w:cs="Times New Roman" w:hint="default"/>
        <w:color w:val="auto"/>
      </w:rPr>
    </w:lvl>
    <w:lvl w:ilvl="6">
      <w:start w:val="1"/>
      <w:numFmt w:val="decimal"/>
      <w:lvlText w:val="%1.%2.%3.%4.%5.%6.%7."/>
      <w:lvlJc w:val="left"/>
      <w:pPr>
        <w:ind w:left="20154" w:hanging="1440"/>
      </w:pPr>
      <w:rPr>
        <w:rFonts w:cs="Times New Roman" w:hint="default"/>
        <w:color w:val="auto"/>
      </w:rPr>
    </w:lvl>
    <w:lvl w:ilvl="7">
      <w:start w:val="1"/>
      <w:numFmt w:val="decimal"/>
      <w:lvlText w:val="%1.%2.%3.%4.%5.%6.%7.%8."/>
      <w:lvlJc w:val="left"/>
      <w:pPr>
        <w:ind w:left="23273" w:hanging="1440"/>
      </w:pPr>
      <w:rPr>
        <w:rFonts w:cs="Times New Roman" w:hint="default"/>
        <w:color w:val="auto"/>
      </w:rPr>
    </w:lvl>
    <w:lvl w:ilvl="8">
      <w:start w:val="1"/>
      <w:numFmt w:val="decimal"/>
      <w:lvlText w:val="%1.%2.%3.%4.%5.%6.%7.%8.%9."/>
      <w:lvlJc w:val="left"/>
      <w:pPr>
        <w:ind w:left="26752" w:hanging="1800"/>
      </w:pPr>
      <w:rPr>
        <w:rFonts w:cs="Times New Roman" w:hint="default"/>
        <w:color w:val="auto"/>
      </w:rPr>
    </w:lvl>
  </w:abstractNum>
  <w:abstractNum w:abstractNumId="20" w15:restartNumberingAfterBreak="0">
    <w:nsid w:val="3A8B25F3"/>
    <w:multiLevelType w:val="hybridMultilevel"/>
    <w:tmpl w:val="3484044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BFB498D"/>
    <w:multiLevelType w:val="hybridMultilevel"/>
    <w:tmpl w:val="F1BC5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E213425"/>
    <w:multiLevelType w:val="hybridMultilevel"/>
    <w:tmpl w:val="5628B0F0"/>
    <w:lvl w:ilvl="0" w:tplc="EB640E3C">
      <w:start w:val="18"/>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F31404"/>
    <w:multiLevelType w:val="hybridMultilevel"/>
    <w:tmpl w:val="EB98DF8C"/>
    <w:lvl w:ilvl="0" w:tplc="0B5889C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07A2C8F"/>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25" w15:restartNumberingAfterBreak="0">
    <w:nsid w:val="53890486"/>
    <w:multiLevelType w:val="multilevel"/>
    <w:tmpl w:val="6A803874"/>
    <w:lvl w:ilvl="0">
      <w:start w:val="1"/>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6" w15:restartNumberingAfterBreak="0">
    <w:nsid w:val="57C3225E"/>
    <w:multiLevelType w:val="hybridMultilevel"/>
    <w:tmpl w:val="580AF8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9732055"/>
    <w:multiLevelType w:val="hybridMultilevel"/>
    <w:tmpl w:val="96B89AB8"/>
    <w:lvl w:ilvl="0" w:tplc="06BCCE8A">
      <w:start w:val="1"/>
      <w:numFmt w:val="bullet"/>
      <w:lvlText w:val=""/>
      <w:lvlJc w:val="left"/>
      <w:pPr>
        <w:ind w:left="1440" w:hanging="360"/>
      </w:pPr>
      <w:rPr>
        <w:rFonts w:ascii="Symbol" w:hAnsi="Symbol" w:hint="default"/>
        <w:sz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A963C97"/>
    <w:multiLevelType w:val="hybridMultilevel"/>
    <w:tmpl w:val="FE34C968"/>
    <w:lvl w:ilvl="0" w:tplc="CD7215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9C4912"/>
    <w:multiLevelType w:val="hybridMultilevel"/>
    <w:tmpl w:val="FEFE0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690E61"/>
    <w:multiLevelType w:val="hybridMultilevel"/>
    <w:tmpl w:val="AC2A3D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0F748D"/>
    <w:multiLevelType w:val="multilevel"/>
    <w:tmpl w:val="417EDC6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721F5887"/>
    <w:multiLevelType w:val="hybridMultilevel"/>
    <w:tmpl w:val="B3040F6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4A41B62"/>
    <w:multiLevelType w:val="hybridMultilevel"/>
    <w:tmpl w:val="38AC955E"/>
    <w:lvl w:ilvl="0" w:tplc="221E485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 w15:restartNumberingAfterBreak="0">
    <w:nsid w:val="75587968"/>
    <w:multiLevelType w:val="multilevel"/>
    <w:tmpl w:val="9A6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124F81"/>
    <w:multiLevelType w:val="hybridMultilevel"/>
    <w:tmpl w:val="0C28B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D62FE7"/>
    <w:multiLevelType w:val="hybridMultilevel"/>
    <w:tmpl w:val="06180E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C8556AD"/>
    <w:multiLevelType w:val="hybridMultilevel"/>
    <w:tmpl w:val="DA769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CC85920"/>
    <w:multiLevelType w:val="hybridMultilevel"/>
    <w:tmpl w:val="1A0A52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7E071A3A"/>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num w:numId="1" w16cid:durableId="327708572">
    <w:abstractNumId w:val="8"/>
  </w:num>
  <w:num w:numId="2" w16cid:durableId="836768036">
    <w:abstractNumId w:val="27"/>
  </w:num>
  <w:num w:numId="3" w16cid:durableId="121923141">
    <w:abstractNumId w:val="25"/>
  </w:num>
  <w:num w:numId="4" w16cid:durableId="523371968">
    <w:abstractNumId w:val="24"/>
  </w:num>
  <w:num w:numId="5" w16cid:durableId="128404468">
    <w:abstractNumId w:val="19"/>
  </w:num>
  <w:num w:numId="6" w16cid:durableId="999163005">
    <w:abstractNumId w:val="15"/>
  </w:num>
  <w:num w:numId="7" w16cid:durableId="1010641289">
    <w:abstractNumId w:val="17"/>
  </w:num>
  <w:num w:numId="8" w16cid:durableId="144319486">
    <w:abstractNumId w:val="5"/>
  </w:num>
  <w:num w:numId="9" w16cid:durableId="686911027">
    <w:abstractNumId w:val="29"/>
  </w:num>
  <w:num w:numId="10" w16cid:durableId="151718896">
    <w:abstractNumId w:val="20"/>
  </w:num>
  <w:num w:numId="11" w16cid:durableId="1978339954">
    <w:abstractNumId w:val="21"/>
  </w:num>
  <w:num w:numId="12" w16cid:durableId="1028482950">
    <w:abstractNumId w:val="16"/>
  </w:num>
  <w:num w:numId="13" w16cid:durableId="352344497">
    <w:abstractNumId w:val="26"/>
  </w:num>
  <w:num w:numId="14" w16cid:durableId="2126537891">
    <w:abstractNumId w:val="6"/>
  </w:num>
  <w:num w:numId="15" w16cid:durableId="1109351438">
    <w:abstractNumId w:val="23"/>
  </w:num>
  <w:num w:numId="16" w16cid:durableId="410734585">
    <w:abstractNumId w:val="3"/>
  </w:num>
  <w:num w:numId="17" w16cid:durableId="394279652">
    <w:abstractNumId w:val="28"/>
  </w:num>
  <w:num w:numId="18" w16cid:durableId="1475101460">
    <w:abstractNumId w:val="0"/>
  </w:num>
  <w:num w:numId="19" w16cid:durableId="1619601399">
    <w:abstractNumId w:val="8"/>
  </w:num>
  <w:num w:numId="20" w16cid:durableId="1602179476">
    <w:abstractNumId w:val="2"/>
  </w:num>
  <w:num w:numId="21" w16cid:durableId="913467974">
    <w:abstractNumId w:val="8"/>
  </w:num>
  <w:num w:numId="22" w16cid:durableId="856888238">
    <w:abstractNumId w:val="8"/>
  </w:num>
  <w:num w:numId="23" w16cid:durableId="1829049977">
    <w:abstractNumId w:val="22"/>
  </w:num>
  <w:num w:numId="24" w16cid:durableId="225534474">
    <w:abstractNumId w:val="36"/>
  </w:num>
  <w:num w:numId="25" w16cid:durableId="267399200">
    <w:abstractNumId w:val="8"/>
  </w:num>
  <w:num w:numId="26" w16cid:durableId="1741096747">
    <w:abstractNumId w:val="13"/>
  </w:num>
  <w:num w:numId="27" w16cid:durableId="856819403">
    <w:abstractNumId w:val="8"/>
  </w:num>
  <w:num w:numId="28" w16cid:durableId="1279994357">
    <w:abstractNumId w:val="7"/>
  </w:num>
  <w:num w:numId="29" w16cid:durableId="4988908">
    <w:abstractNumId w:val="31"/>
  </w:num>
  <w:num w:numId="30" w16cid:durableId="1739861815">
    <w:abstractNumId w:val="12"/>
  </w:num>
  <w:num w:numId="31" w16cid:durableId="1899709267">
    <w:abstractNumId w:val="32"/>
  </w:num>
  <w:num w:numId="32" w16cid:durableId="1009717288">
    <w:abstractNumId w:val="30"/>
  </w:num>
  <w:num w:numId="33" w16cid:durableId="204952367">
    <w:abstractNumId w:val="1"/>
  </w:num>
  <w:num w:numId="34" w16cid:durableId="1664352526">
    <w:abstractNumId w:val="14"/>
  </w:num>
  <w:num w:numId="35" w16cid:durableId="1332172825">
    <w:abstractNumId w:val="38"/>
  </w:num>
  <w:num w:numId="36" w16cid:durableId="910233518">
    <w:abstractNumId w:val="18"/>
  </w:num>
  <w:num w:numId="37" w16cid:durableId="244923542">
    <w:abstractNumId w:val="34"/>
  </w:num>
  <w:num w:numId="38" w16cid:durableId="151412424">
    <w:abstractNumId w:val="33"/>
  </w:num>
  <w:num w:numId="39" w16cid:durableId="219370878">
    <w:abstractNumId w:val="37"/>
  </w:num>
  <w:num w:numId="40" w16cid:durableId="542258213">
    <w:abstractNumId w:val="8"/>
  </w:num>
  <w:num w:numId="41" w16cid:durableId="140853631">
    <w:abstractNumId w:val="9"/>
  </w:num>
  <w:num w:numId="42" w16cid:durableId="1737389785">
    <w:abstractNumId w:val="4"/>
  </w:num>
  <w:num w:numId="43" w16cid:durableId="343553788">
    <w:abstractNumId w:val="8"/>
  </w:num>
  <w:num w:numId="44" w16cid:durableId="1624995378">
    <w:abstractNumId w:val="8"/>
  </w:num>
  <w:num w:numId="45" w16cid:durableId="1259143698">
    <w:abstractNumId w:val="8"/>
  </w:num>
  <w:num w:numId="46" w16cid:durableId="1777627339">
    <w:abstractNumId w:val="8"/>
  </w:num>
  <w:num w:numId="47" w16cid:durableId="1597055602">
    <w:abstractNumId w:val="8"/>
  </w:num>
  <w:num w:numId="48" w16cid:durableId="19694346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81430521">
    <w:abstractNumId w:val="8"/>
  </w:num>
  <w:num w:numId="50" w16cid:durableId="1117407904">
    <w:abstractNumId w:val="8"/>
  </w:num>
  <w:num w:numId="51" w16cid:durableId="548883778">
    <w:abstractNumId w:val="11"/>
  </w:num>
  <w:num w:numId="52" w16cid:durableId="1204368210">
    <w:abstractNumId w:val="39"/>
  </w:num>
  <w:num w:numId="53" w16cid:durableId="544486789">
    <w:abstractNumId w:val="8"/>
  </w:num>
  <w:num w:numId="54" w16cid:durableId="590050189">
    <w:abstractNumId w:val="8"/>
  </w:num>
  <w:num w:numId="55" w16cid:durableId="434790916">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C9"/>
    <w:rsid w:val="00000349"/>
    <w:rsid w:val="00001765"/>
    <w:rsid w:val="0000194F"/>
    <w:rsid w:val="00002D94"/>
    <w:rsid w:val="000037EC"/>
    <w:rsid w:val="00004325"/>
    <w:rsid w:val="00004B7F"/>
    <w:rsid w:val="000063AD"/>
    <w:rsid w:val="00006F76"/>
    <w:rsid w:val="000073EC"/>
    <w:rsid w:val="00010CB9"/>
    <w:rsid w:val="00010DA2"/>
    <w:rsid w:val="000117DF"/>
    <w:rsid w:val="00011AB2"/>
    <w:rsid w:val="00011AEC"/>
    <w:rsid w:val="000122A8"/>
    <w:rsid w:val="00013051"/>
    <w:rsid w:val="000138D9"/>
    <w:rsid w:val="00014C8A"/>
    <w:rsid w:val="00015F91"/>
    <w:rsid w:val="000165FB"/>
    <w:rsid w:val="00016822"/>
    <w:rsid w:val="000168C0"/>
    <w:rsid w:val="00016A28"/>
    <w:rsid w:val="00016DDA"/>
    <w:rsid w:val="000174B4"/>
    <w:rsid w:val="00017C77"/>
    <w:rsid w:val="00017EDA"/>
    <w:rsid w:val="00021042"/>
    <w:rsid w:val="000210C1"/>
    <w:rsid w:val="00022211"/>
    <w:rsid w:val="0002227C"/>
    <w:rsid w:val="00023233"/>
    <w:rsid w:val="00024C57"/>
    <w:rsid w:val="0002686B"/>
    <w:rsid w:val="00027268"/>
    <w:rsid w:val="00027323"/>
    <w:rsid w:val="000304F7"/>
    <w:rsid w:val="00031FA9"/>
    <w:rsid w:val="00032287"/>
    <w:rsid w:val="0003306D"/>
    <w:rsid w:val="00034143"/>
    <w:rsid w:val="0003453E"/>
    <w:rsid w:val="000345BD"/>
    <w:rsid w:val="000346E6"/>
    <w:rsid w:val="00035848"/>
    <w:rsid w:val="00035CE5"/>
    <w:rsid w:val="000367AB"/>
    <w:rsid w:val="00037266"/>
    <w:rsid w:val="00037448"/>
    <w:rsid w:val="000375C6"/>
    <w:rsid w:val="00037638"/>
    <w:rsid w:val="00037E3F"/>
    <w:rsid w:val="0004033A"/>
    <w:rsid w:val="00040B11"/>
    <w:rsid w:val="00041038"/>
    <w:rsid w:val="0004105F"/>
    <w:rsid w:val="0004274F"/>
    <w:rsid w:val="000437E0"/>
    <w:rsid w:val="00043C49"/>
    <w:rsid w:val="0004429B"/>
    <w:rsid w:val="00044F5F"/>
    <w:rsid w:val="0004636F"/>
    <w:rsid w:val="000464C4"/>
    <w:rsid w:val="00046FAC"/>
    <w:rsid w:val="00050820"/>
    <w:rsid w:val="00051102"/>
    <w:rsid w:val="00052807"/>
    <w:rsid w:val="00052CD5"/>
    <w:rsid w:val="00054983"/>
    <w:rsid w:val="0005621F"/>
    <w:rsid w:val="0005676A"/>
    <w:rsid w:val="00056D49"/>
    <w:rsid w:val="00056E74"/>
    <w:rsid w:val="00060ECC"/>
    <w:rsid w:val="00061535"/>
    <w:rsid w:val="00062F18"/>
    <w:rsid w:val="000634D7"/>
    <w:rsid w:val="000646CC"/>
    <w:rsid w:val="00064743"/>
    <w:rsid w:val="00064769"/>
    <w:rsid w:val="00065390"/>
    <w:rsid w:val="00065655"/>
    <w:rsid w:val="00065F33"/>
    <w:rsid w:val="000661CD"/>
    <w:rsid w:val="00067B45"/>
    <w:rsid w:val="00071230"/>
    <w:rsid w:val="00071CB5"/>
    <w:rsid w:val="00071D66"/>
    <w:rsid w:val="00072749"/>
    <w:rsid w:val="00072E73"/>
    <w:rsid w:val="00072E9B"/>
    <w:rsid w:val="00072EAB"/>
    <w:rsid w:val="000738C2"/>
    <w:rsid w:val="00074A7C"/>
    <w:rsid w:val="00075814"/>
    <w:rsid w:val="00077218"/>
    <w:rsid w:val="000772FF"/>
    <w:rsid w:val="00077C41"/>
    <w:rsid w:val="00081CDD"/>
    <w:rsid w:val="00083085"/>
    <w:rsid w:val="00083F04"/>
    <w:rsid w:val="00084B6A"/>
    <w:rsid w:val="000854F4"/>
    <w:rsid w:val="00085A25"/>
    <w:rsid w:val="0008688D"/>
    <w:rsid w:val="00086E69"/>
    <w:rsid w:val="000872F0"/>
    <w:rsid w:val="00087359"/>
    <w:rsid w:val="0009202B"/>
    <w:rsid w:val="00092BE3"/>
    <w:rsid w:val="000958D3"/>
    <w:rsid w:val="00095996"/>
    <w:rsid w:val="000967DB"/>
    <w:rsid w:val="00096EFD"/>
    <w:rsid w:val="000A061D"/>
    <w:rsid w:val="000A083E"/>
    <w:rsid w:val="000A0FF2"/>
    <w:rsid w:val="000A256A"/>
    <w:rsid w:val="000A431B"/>
    <w:rsid w:val="000A4D06"/>
    <w:rsid w:val="000A5490"/>
    <w:rsid w:val="000A5605"/>
    <w:rsid w:val="000A5968"/>
    <w:rsid w:val="000A5A62"/>
    <w:rsid w:val="000A6356"/>
    <w:rsid w:val="000A6F7E"/>
    <w:rsid w:val="000A725C"/>
    <w:rsid w:val="000B0706"/>
    <w:rsid w:val="000B1E1B"/>
    <w:rsid w:val="000B1E8D"/>
    <w:rsid w:val="000B36EC"/>
    <w:rsid w:val="000B3E84"/>
    <w:rsid w:val="000B423D"/>
    <w:rsid w:val="000B4497"/>
    <w:rsid w:val="000B6512"/>
    <w:rsid w:val="000B6D14"/>
    <w:rsid w:val="000B708A"/>
    <w:rsid w:val="000C15C8"/>
    <w:rsid w:val="000C19C5"/>
    <w:rsid w:val="000C264B"/>
    <w:rsid w:val="000C2D52"/>
    <w:rsid w:val="000C40CF"/>
    <w:rsid w:val="000C41AB"/>
    <w:rsid w:val="000C4710"/>
    <w:rsid w:val="000C4B44"/>
    <w:rsid w:val="000C4BBB"/>
    <w:rsid w:val="000C5ADC"/>
    <w:rsid w:val="000C5BDB"/>
    <w:rsid w:val="000C70C4"/>
    <w:rsid w:val="000C77CF"/>
    <w:rsid w:val="000C7A46"/>
    <w:rsid w:val="000C7BAF"/>
    <w:rsid w:val="000D02B5"/>
    <w:rsid w:val="000D0E98"/>
    <w:rsid w:val="000D11CE"/>
    <w:rsid w:val="000D1EDC"/>
    <w:rsid w:val="000D2908"/>
    <w:rsid w:val="000D2BB7"/>
    <w:rsid w:val="000D2BCD"/>
    <w:rsid w:val="000D5219"/>
    <w:rsid w:val="000D55A1"/>
    <w:rsid w:val="000D66CF"/>
    <w:rsid w:val="000D7F94"/>
    <w:rsid w:val="000E0EA9"/>
    <w:rsid w:val="000E3063"/>
    <w:rsid w:val="000E4882"/>
    <w:rsid w:val="000E4FE0"/>
    <w:rsid w:val="000E558D"/>
    <w:rsid w:val="000E5EEE"/>
    <w:rsid w:val="000E651E"/>
    <w:rsid w:val="000E6BBA"/>
    <w:rsid w:val="000E6C3B"/>
    <w:rsid w:val="000E71E5"/>
    <w:rsid w:val="000E7D3B"/>
    <w:rsid w:val="000F0BEE"/>
    <w:rsid w:val="000F0F4C"/>
    <w:rsid w:val="000F0FC1"/>
    <w:rsid w:val="000F1DF4"/>
    <w:rsid w:val="000F34E5"/>
    <w:rsid w:val="000F3DE2"/>
    <w:rsid w:val="000F409C"/>
    <w:rsid w:val="000F4210"/>
    <w:rsid w:val="000F56BC"/>
    <w:rsid w:val="000F576A"/>
    <w:rsid w:val="000F5C49"/>
    <w:rsid w:val="000F5FC1"/>
    <w:rsid w:val="000F5FF5"/>
    <w:rsid w:val="000F627C"/>
    <w:rsid w:val="000F69C4"/>
    <w:rsid w:val="000F6B7C"/>
    <w:rsid w:val="000F7414"/>
    <w:rsid w:val="000F7CA1"/>
    <w:rsid w:val="00100D88"/>
    <w:rsid w:val="00101237"/>
    <w:rsid w:val="001015EF"/>
    <w:rsid w:val="00102966"/>
    <w:rsid w:val="00103398"/>
    <w:rsid w:val="001034C2"/>
    <w:rsid w:val="00103B4E"/>
    <w:rsid w:val="00103D4F"/>
    <w:rsid w:val="00104D90"/>
    <w:rsid w:val="001054F7"/>
    <w:rsid w:val="00105538"/>
    <w:rsid w:val="001069C4"/>
    <w:rsid w:val="00106FE5"/>
    <w:rsid w:val="001105FD"/>
    <w:rsid w:val="0011094C"/>
    <w:rsid w:val="00110ABC"/>
    <w:rsid w:val="00110B92"/>
    <w:rsid w:val="001115A6"/>
    <w:rsid w:val="0011239F"/>
    <w:rsid w:val="001124C6"/>
    <w:rsid w:val="001125B0"/>
    <w:rsid w:val="00112715"/>
    <w:rsid w:val="001136D1"/>
    <w:rsid w:val="00113DA6"/>
    <w:rsid w:val="001156E5"/>
    <w:rsid w:val="00115CF3"/>
    <w:rsid w:val="0011792D"/>
    <w:rsid w:val="0011793A"/>
    <w:rsid w:val="00120001"/>
    <w:rsid w:val="00120DF9"/>
    <w:rsid w:val="0012130A"/>
    <w:rsid w:val="00121412"/>
    <w:rsid w:val="0012267A"/>
    <w:rsid w:val="0012299B"/>
    <w:rsid w:val="00122C42"/>
    <w:rsid w:val="001230D4"/>
    <w:rsid w:val="001231CE"/>
    <w:rsid w:val="00123748"/>
    <w:rsid w:val="001244A8"/>
    <w:rsid w:val="00124CCB"/>
    <w:rsid w:val="00125141"/>
    <w:rsid w:val="00125A4A"/>
    <w:rsid w:val="00126682"/>
    <w:rsid w:val="00126C0E"/>
    <w:rsid w:val="001310A5"/>
    <w:rsid w:val="001310D7"/>
    <w:rsid w:val="00131AA9"/>
    <w:rsid w:val="00132967"/>
    <w:rsid w:val="00132C41"/>
    <w:rsid w:val="0013367A"/>
    <w:rsid w:val="0013505F"/>
    <w:rsid w:val="00135568"/>
    <w:rsid w:val="001359AB"/>
    <w:rsid w:val="00136163"/>
    <w:rsid w:val="001366F8"/>
    <w:rsid w:val="00136721"/>
    <w:rsid w:val="00136D2B"/>
    <w:rsid w:val="00136E9A"/>
    <w:rsid w:val="00136EBB"/>
    <w:rsid w:val="001370A7"/>
    <w:rsid w:val="00140E4B"/>
    <w:rsid w:val="001410F4"/>
    <w:rsid w:val="00141FBA"/>
    <w:rsid w:val="00141FD2"/>
    <w:rsid w:val="001425FA"/>
    <w:rsid w:val="00142E27"/>
    <w:rsid w:val="00143880"/>
    <w:rsid w:val="00143CD3"/>
    <w:rsid w:val="00144748"/>
    <w:rsid w:val="00146C29"/>
    <w:rsid w:val="00153E3E"/>
    <w:rsid w:val="001545E2"/>
    <w:rsid w:val="00154BD7"/>
    <w:rsid w:val="00160B44"/>
    <w:rsid w:val="00161605"/>
    <w:rsid w:val="00162054"/>
    <w:rsid w:val="00162271"/>
    <w:rsid w:val="0016240A"/>
    <w:rsid w:val="001629B9"/>
    <w:rsid w:val="00162C5A"/>
    <w:rsid w:val="00162F97"/>
    <w:rsid w:val="00163032"/>
    <w:rsid w:val="0016312E"/>
    <w:rsid w:val="00163B5E"/>
    <w:rsid w:val="001640C0"/>
    <w:rsid w:val="001658C2"/>
    <w:rsid w:val="001660EC"/>
    <w:rsid w:val="0016682D"/>
    <w:rsid w:val="0016693E"/>
    <w:rsid w:val="001674A9"/>
    <w:rsid w:val="00167534"/>
    <w:rsid w:val="00171273"/>
    <w:rsid w:val="00171315"/>
    <w:rsid w:val="00171494"/>
    <w:rsid w:val="00171509"/>
    <w:rsid w:val="00171DDD"/>
    <w:rsid w:val="001727FB"/>
    <w:rsid w:val="00172990"/>
    <w:rsid w:val="00173ADD"/>
    <w:rsid w:val="00173DE3"/>
    <w:rsid w:val="0017440F"/>
    <w:rsid w:val="001745E0"/>
    <w:rsid w:val="00174DC9"/>
    <w:rsid w:val="0017502C"/>
    <w:rsid w:val="00175EC2"/>
    <w:rsid w:val="00175F80"/>
    <w:rsid w:val="00176702"/>
    <w:rsid w:val="00176E95"/>
    <w:rsid w:val="00176EAC"/>
    <w:rsid w:val="001777F3"/>
    <w:rsid w:val="00181DF1"/>
    <w:rsid w:val="00182253"/>
    <w:rsid w:val="00183767"/>
    <w:rsid w:val="00183803"/>
    <w:rsid w:val="00184CCC"/>
    <w:rsid w:val="001857E2"/>
    <w:rsid w:val="00186AEB"/>
    <w:rsid w:val="00187F01"/>
    <w:rsid w:val="00187FFB"/>
    <w:rsid w:val="001900AC"/>
    <w:rsid w:val="00191665"/>
    <w:rsid w:val="001918BB"/>
    <w:rsid w:val="00191E2E"/>
    <w:rsid w:val="00192195"/>
    <w:rsid w:val="0019396A"/>
    <w:rsid w:val="001951C1"/>
    <w:rsid w:val="00195464"/>
    <w:rsid w:val="0019574C"/>
    <w:rsid w:val="001957A2"/>
    <w:rsid w:val="0019710A"/>
    <w:rsid w:val="001A05DC"/>
    <w:rsid w:val="001A0683"/>
    <w:rsid w:val="001A084E"/>
    <w:rsid w:val="001A2D95"/>
    <w:rsid w:val="001A311F"/>
    <w:rsid w:val="001A3B3B"/>
    <w:rsid w:val="001A3DCE"/>
    <w:rsid w:val="001A4D1D"/>
    <w:rsid w:val="001A5260"/>
    <w:rsid w:val="001A570B"/>
    <w:rsid w:val="001A5806"/>
    <w:rsid w:val="001A6001"/>
    <w:rsid w:val="001A6250"/>
    <w:rsid w:val="001A649D"/>
    <w:rsid w:val="001A7320"/>
    <w:rsid w:val="001A797E"/>
    <w:rsid w:val="001A7AAC"/>
    <w:rsid w:val="001B0DBB"/>
    <w:rsid w:val="001B124E"/>
    <w:rsid w:val="001B1674"/>
    <w:rsid w:val="001B222F"/>
    <w:rsid w:val="001B2AB9"/>
    <w:rsid w:val="001B2C7D"/>
    <w:rsid w:val="001B3647"/>
    <w:rsid w:val="001B417F"/>
    <w:rsid w:val="001B4BB2"/>
    <w:rsid w:val="001B4CB4"/>
    <w:rsid w:val="001B5567"/>
    <w:rsid w:val="001B5B19"/>
    <w:rsid w:val="001B64D2"/>
    <w:rsid w:val="001B7243"/>
    <w:rsid w:val="001B734F"/>
    <w:rsid w:val="001C02DC"/>
    <w:rsid w:val="001C04F8"/>
    <w:rsid w:val="001C0916"/>
    <w:rsid w:val="001C153A"/>
    <w:rsid w:val="001C1909"/>
    <w:rsid w:val="001C1E08"/>
    <w:rsid w:val="001C210B"/>
    <w:rsid w:val="001C2256"/>
    <w:rsid w:val="001C378D"/>
    <w:rsid w:val="001C3B62"/>
    <w:rsid w:val="001C3CC4"/>
    <w:rsid w:val="001C4E38"/>
    <w:rsid w:val="001C50B5"/>
    <w:rsid w:val="001C5B80"/>
    <w:rsid w:val="001C620E"/>
    <w:rsid w:val="001C6D98"/>
    <w:rsid w:val="001C7DA3"/>
    <w:rsid w:val="001D00CD"/>
    <w:rsid w:val="001D0407"/>
    <w:rsid w:val="001D0BDB"/>
    <w:rsid w:val="001D0D36"/>
    <w:rsid w:val="001D138B"/>
    <w:rsid w:val="001D150E"/>
    <w:rsid w:val="001D1BDB"/>
    <w:rsid w:val="001D2FBC"/>
    <w:rsid w:val="001D36ED"/>
    <w:rsid w:val="001D3D94"/>
    <w:rsid w:val="001D5563"/>
    <w:rsid w:val="001D5FC4"/>
    <w:rsid w:val="001D73C8"/>
    <w:rsid w:val="001D7690"/>
    <w:rsid w:val="001D7967"/>
    <w:rsid w:val="001E08BF"/>
    <w:rsid w:val="001E18C7"/>
    <w:rsid w:val="001E2098"/>
    <w:rsid w:val="001E2B4B"/>
    <w:rsid w:val="001E2E7A"/>
    <w:rsid w:val="001E3149"/>
    <w:rsid w:val="001E3D89"/>
    <w:rsid w:val="001E417B"/>
    <w:rsid w:val="001E54B0"/>
    <w:rsid w:val="001E5952"/>
    <w:rsid w:val="001E5AD2"/>
    <w:rsid w:val="001E5EDE"/>
    <w:rsid w:val="001E697F"/>
    <w:rsid w:val="001E6DD9"/>
    <w:rsid w:val="001E72B0"/>
    <w:rsid w:val="001E7409"/>
    <w:rsid w:val="001E75CA"/>
    <w:rsid w:val="001E7730"/>
    <w:rsid w:val="001E7879"/>
    <w:rsid w:val="001E7B9F"/>
    <w:rsid w:val="001E7DDC"/>
    <w:rsid w:val="001F0BC2"/>
    <w:rsid w:val="001F1B9E"/>
    <w:rsid w:val="001F21DD"/>
    <w:rsid w:val="001F26AB"/>
    <w:rsid w:val="001F2C97"/>
    <w:rsid w:val="001F3606"/>
    <w:rsid w:val="001F3A40"/>
    <w:rsid w:val="001F48AA"/>
    <w:rsid w:val="001F48C6"/>
    <w:rsid w:val="001F503E"/>
    <w:rsid w:val="001F569C"/>
    <w:rsid w:val="001F57A4"/>
    <w:rsid w:val="001F60A9"/>
    <w:rsid w:val="001F6311"/>
    <w:rsid w:val="001F77AF"/>
    <w:rsid w:val="001F7DDC"/>
    <w:rsid w:val="0020068B"/>
    <w:rsid w:val="00200AC4"/>
    <w:rsid w:val="00201578"/>
    <w:rsid w:val="00201F62"/>
    <w:rsid w:val="00203C35"/>
    <w:rsid w:val="0020424B"/>
    <w:rsid w:val="0020507B"/>
    <w:rsid w:val="002052AB"/>
    <w:rsid w:val="0020533D"/>
    <w:rsid w:val="0020547D"/>
    <w:rsid w:val="00205574"/>
    <w:rsid w:val="00205C3B"/>
    <w:rsid w:val="00205D2B"/>
    <w:rsid w:val="00206039"/>
    <w:rsid w:val="002063CB"/>
    <w:rsid w:val="0020713B"/>
    <w:rsid w:val="00210C38"/>
    <w:rsid w:val="0021152B"/>
    <w:rsid w:val="00211B37"/>
    <w:rsid w:val="00211B5D"/>
    <w:rsid w:val="0021250E"/>
    <w:rsid w:val="00212563"/>
    <w:rsid w:val="0021344D"/>
    <w:rsid w:val="0021366C"/>
    <w:rsid w:val="002137CC"/>
    <w:rsid w:val="00214467"/>
    <w:rsid w:val="00214D26"/>
    <w:rsid w:val="00215098"/>
    <w:rsid w:val="002151BE"/>
    <w:rsid w:val="0021569F"/>
    <w:rsid w:val="002156C2"/>
    <w:rsid w:val="00215735"/>
    <w:rsid w:val="00215AA4"/>
    <w:rsid w:val="00216363"/>
    <w:rsid w:val="00216742"/>
    <w:rsid w:val="00220525"/>
    <w:rsid w:val="00220967"/>
    <w:rsid w:val="00221131"/>
    <w:rsid w:val="002213B8"/>
    <w:rsid w:val="002230F0"/>
    <w:rsid w:val="00223451"/>
    <w:rsid w:val="00223CDF"/>
    <w:rsid w:val="00224272"/>
    <w:rsid w:val="00226593"/>
    <w:rsid w:val="00230581"/>
    <w:rsid w:val="0023086C"/>
    <w:rsid w:val="00231376"/>
    <w:rsid w:val="002326A0"/>
    <w:rsid w:val="0023293C"/>
    <w:rsid w:val="002329D8"/>
    <w:rsid w:val="00233B31"/>
    <w:rsid w:val="00235415"/>
    <w:rsid w:val="00235B95"/>
    <w:rsid w:val="00235E43"/>
    <w:rsid w:val="0023699C"/>
    <w:rsid w:val="00236D3A"/>
    <w:rsid w:val="00236D4B"/>
    <w:rsid w:val="002376E4"/>
    <w:rsid w:val="00237708"/>
    <w:rsid w:val="0024025D"/>
    <w:rsid w:val="0024063E"/>
    <w:rsid w:val="00240BD2"/>
    <w:rsid w:val="00241782"/>
    <w:rsid w:val="00241F54"/>
    <w:rsid w:val="0024302B"/>
    <w:rsid w:val="00243EFC"/>
    <w:rsid w:val="002448DD"/>
    <w:rsid w:val="00244990"/>
    <w:rsid w:val="00246660"/>
    <w:rsid w:val="002467D7"/>
    <w:rsid w:val="00246C91"/>
    <w:rsid w:val="00247361"/>
    <w:rsid w:val="00247DE9"/>
    <w:rsid w:val="002505CE"/>
    <w:rsid w:val="00250CB2"/>
    <w:rsid w:val="00250E1F"/>
    <w:rsid w:val="00251928"/>
    <w:rsid w:val="00252899"/>
    <w:rsid w:val="002534DD"/>
    <w:rsid w:val="00254256"/>
    <w:rsid w:val="0025582B"/>
    <w:rsid w:val="002560FB"/>
    <w:rsid w:val="002563CC"/>
    <w:rsid w:val="00257BC9"/>
    <w:rsid w:val="002601DB"/>
    <w:rsid w:val="002607E0"/>
    <w:rsid w:val="00261090"/>
    <w:rsid w:val="00261582"/>
    <w:rsid w:val="00261D5B"/>
    <w:rsid w:val="00261EE4"/>
    <w:rsid w:val="00261FC8"/>
    <w:rsid w:val="00262321"/>
    <w:rsid w:val="00262E78"/>
    <w:rsid w:val="0026310A"/>
    <w:rsid w:val="00263968"/>
    <w:rsid w:val="00263CC6"/>
    <w:rsid w:val="0026406E"/>
    <w:rsid w:val="00264465"/>
    <w:rsid w:val="002649A1"/>
    <w:rsid w:val="002649B4"/>
    <w:rsid w:val="00264E5D"/>
    <w:rsid w:val="0026504B"/>
    <w:rsid w:val="00265927"/>
    <w:rsid w:val="00265B72"/>
    <w:rsid w:val="00265D29"/>
    <w:rsid w:val="002667B7"/>
    <w:rsid w:val="00266B41"/>
    <w:rsid w:val="002670B4"/>
    <w:rsid w:val="00270792"/>
    <w:rsid w:val="00270A7B"/>
    <w:rsid w:val="002711E7"/>
    <w:rsid w:val="00272A20"/>
    <w:rsid w:val="00272F0E"/>
    <w:rsid w:val="0027327C"/>
    <w:rsid w:val="00273536"/>
    <w:rsid w:val="00273A38"/>
    <w:rsid w:val="00274920"/>
    <w:rsid w:val="00274A0D"/>
    <w:rsid w:val="002759A4"/>
    <w:rsid w:val="00276921"/>
    <w:rsid w:val="00276946"/>
    <w:rsid w:val="002770E8"/>
    <w:rsid w:val="00277156"/>
    <w:rsid w:val="00280062"/>
    <w:rsid w:val="002829F5"/>
    <w:rsid w:val="00282AD0"/>
    <w:rsid w:val="00283027"/>
    <w:rsid w:val="0028398C"/>
    <w:rsid w:val="00284617"/>
    <w:rsid w:val="0028499C"/>
    <w:rsid w:val="00284A4B"/>
    <w:rsid w:val="00284A6C"/>
    <w:rsid w:val="0028507A"/>
    <w:rsid w:val="00285381"/>
    <w:rsid w:val="00285D29"/>
    <w:rsid w:val="0028771E"/>
    <w:rsid w:val="002879E4"/>
    <w:rsid w:val="00287B20"/>
    <w:rsid w:val="0029115C"/>
    <w:rsid w:val="0029370E"/>
    <w:rsid w:val="00293BAA"/>
    <w:rsid w:val="002963DA"/>
    <w:rsid w:val="00297418"/>
    <w:rsid w:val="002978EC"/>
    <w:rsid w:val="002A00F3"/>
    <w:rsid w:val="002A053B"/>
    <w:rsid w:val="002A0AAA"/>
    <w:rsid w:val="002A13D2"/>
    <w:rsid w:val="002A15FA"/>
    <w:rsid w:val="002A186B"/>
    <w:rsid w:val="002A19A2"/>
    <w:rsid w:val="002A2971"/>
    <w:rsid w:val="002A2A98"/>
    <w:rsid w:val="002A3EAA"/>
    <w:rsid w:val="002A4D8C"/>
    <w:rsid w:val="002A63B8"/>
    <w:rsid w:val="002A690F"/>
    <w:rsid w:val="002A6E1A"/>
    <w:rsid w:val="002A71DF"/>
    <w:rsid w:val="002A762C"/>
    <w:rsid w:val="002A79BA"/>
    <w:rsid w:val="002B08D7"/>
    <w:rsid w:val="002B0B71"/>
    <w:rsid w:val="002B0C78"/>
    <w:rsid w:val="002B12DE"/>
    <w:rsid w:val="002B1588"/>
    <w:rsid w:val="002B20ED"/>
    <w:rsid w:val="002B2569"/>
    <w:rsid w:val="002B2A8D"/>
    <w:rsid w:val="002B2CA0"/>
    <w:rsid w:val="002B2FA7"/>
    <w:rsid w:val="002B37C9"/>
    <w:rsid w:val="002B3E19"/>
    <w:rsid w:val="002B5128"/>
    <w:rsid w:val="002B5920"/>
    <w:rsid w:val="002B5B09"/>
    <w:rsid w:val="002B6969"/>
    <w:rsid w:val="002B70DD"/>
    <w:rsid w:val="002C0605"/>
    <w:rsid w:val="002C121E"/>
    <w:rsid w:val="002C1561"/>
    <w:rsid w:val="002C289A"/>
    <w:rsid w:val="002C379F"/>
    <w:rsid w:val="002C3934"/>
    <w:rsid w:val="002C44A2"/>
    <w:rsid w:val="002C55B5"/>
    <w:rsid w:val="002C5729"/>
    <w:rsid w:val="002C6392"/>
    <w:rsid w:val="002C66DF"/>
    <w:rsid w:val="002C717F"/>
    <w:rsid w:val="002D00FE"/>
    <w:rsid w:val="002D05D0"/>
    <w:rsid w:val="002D086E"/>
    <w:rsid w:val="002D1014"/>
    <w:rsid w:val="002D15E2"/>
    <w:rsid w:val="002D18F9"/>
    <w:rsid w:val="002D2055"/>
    <w:rsid w:val="002D286B"/>
    <w:rsid w:val="002D3189"/>
    <w:rsid w:val="002D3ED9"/>
    <w:rsid w:val="002D428D"/>
    <w:rsid w:val="002D4668"/>
    <w:rsid w:val="002D46A2"/>
    <w:rsid w:val="002D6F36"/>
    <w:rsid w:val="002D71DF"/>
    <w:rsid w:val="002D7599"/>
    <w:rsid w:val="002E002F"/>
    <w:rsid w:val="002E06D3"/>
    <w:rsid w:val="002E0915"/>
    <w:rsid w:val="002E0D65"/>
    <w:rsid w:val="002E1197"/>
    <w:rsid w:val="002E19F1"/>
    <w:rsid w:val="002E1ADC"/>
    <w:rsid w:val="002E1D39"/>
    <w:rsid w:val="002E1FCE"/>
    <w:rsid w:val="002E23DD"/>
    <w:rsid w:val="002E3301"/>
    <w:rsid w:val="002E39BA"/>
    <w:rsid w:val="002E5472"/>
    <w:rsid w:val="002E7919"/>
    <w:rsid w:val="002F09AB"/>
    <w:rsid w:val="002F17DB"/>
    <w:rsid w:val="002F184B"/>
    <w:rsid w:val="002F2BCF"/>
    <w:rsid w:val="002F357F"/>
    <w:rsid w:val="002F633C"/>
    <w:rsid w:val="002F65F2"/>
    <w:rsid w:val="002F674C"/>
    <w:rsid w:val="002F6AA6"/>
    <w:rsid w:val="002F732A"/>
    <w:rsid w:val="003001A1"/>
    <w:rsid w:val="00300229"/>
    <w:rsid w:val="00300699"/>
    <w:rsid w:val="0030079D"/>
    <w:rsid w:val="00301EA4"/>
    <w:rsid w:val="00302A5F"/>
    <w:rsid w:val="003032B3"/>
    <w:rsid w:val="00303F9A"/>
    <w:rsid w:val="003040D7"/>
    <w:rsid w:val="0030420E"/>
    <w:rsid w:val="003046B8"/>
    <w:rsid w:val="00304CB6"/>
    <w:rsid w:val="003063F3"/>
    <w:rsid w:val="00306486"/>
    <w:rsid w:val="0030676B"/>
    <w:rsid w:val="0030738B"/>
    <w:rsid w:val="00307577"/>
    <w:rsid w:val="00307A76"/>
    <w:rsid w:val="003104B5"/>
    <w:rsid w:val="0031064A"/>
    <w:rsid w:val="00310690"/>
    <w:rsid w:val="003110A2"/>
    <w:rsid w:val="00311967"/>
    <w:rsid w:val="00312CA9"/>
    <w:rsid w:val="00313846"/>
    <w:rsid w:val="00314186"/>
    <w:rsid w:val="003146F5"/>
    <w:rsid w:val="0031485E"/>
    <w:rsid w:val="00314861"/>
    <w:rsid w:val="00316C22"/>
    <w:rsid w:val="00316DE1"/>
    <w:rsid w:val="00316EA5"/>
    <w:rsid w:val="00317242"/>
    <w:rsid w:val="00317771"/>
    <w:rsid w:val="003177EC"/>
    <w:rsid w:val="0031782C"/>
    <w:rsid w:val="00320B9B"/>
    <w:rsid w:val="00320C9E"/>
    <w:rsid w:val="00321325"/>
    <w:rsid w:val="00321C72"/>
    <w:rsid w:val="00321C88"/>
    <w:rsid w:val="00322310"/>
    <w:rsid w:val="00323474"/>
    <w:rsid w:val="003235C5"/>
    <w:rsid w:val="00323730"/>
    <w:rsid w:val="0032383F"/>
    <w:rsid w:val="00323A83"/>
    <w:rsid w:val="00323ED0"/>
    <w:rsid w:val="00324819"/>
    <w:rsid w:val="00324CA8"/>
    <w:rsid w:val="00325180"/>
    <w:rsid w:val="003258EA"/>
    <w:rsid w:val="003262DF"/>
    <w:rsid w:val="00326579"/>
    <w:rsid w:val="00326785"/>
    <w:rsid w:val="00327D01"/>
    <w:rsid w:val="003307DA"/>
    <w:rsid w:val="00330B7C"/>
    <w:rsid w:val="00330BD5"/>
    <w:rsid w:val="00330ED5"/>
    <w:rsid w:val="003315CB"/>
    <w:rsid w:val="00332807"/>
    <w:rsid w:val="00334442"/>
    <w:rsid w:val="0033505B"/>
    <w:rsid w:val="003359F0"/>
    <w:rsid w:val="00336885"/>
    <w:rsid w:val="003378B7"/>
    <w:rsid w:val="003402D8"/>
    <w:rsid w:val="00340892"/>
    <w:rsid w:val="00340A53"/>
    <w:rsid w:val="00340F6E"/>
    <w:rsid w:val="00342D69"/>
    <w:rsid w:val="00344510"/>
    <w:rsid w:val="00345466"/>
    <w:rsid w:val="003471B6"/>
    <w:rsid w:val="0034785A"/>
    <w:rsid w:val="0035070B"/>
    <w:rsid w:val="00350733"/>
    <w:rsid w:val="003510C2"/>
    <w:rsid w:val="003517BA"/>
    <w:rsid w:val="00351B08"/>
    <w:rsid w:val="00351C8D"/>
    <w:rsid w:val="00352BCA"/>
    <w:rsid w:val="00352D88"/>
    <w:rsid w:val="0035330B"/>
    <w:rsid w:val="003535B5"/>
    <w:rsid w:val="00355617"/>
    <w:rsid w:val="00356144"/>
    <w:rsid w:val="003577EC"/>
    <w:rsid w:val="00357E7B"/>
    <w:rsid w:val="003608DA"/>
    <w:rsid w:val="00361120"/>
    <w:rsid w:val="00361D52"/>
    <w:rsid w:val="00362A65"/>
    <w:rsid w:val="0036300A"/>
    <w:rsid w:val="00365267"/>
    <w:rsid w:val="003654D2"/>
    <w:rsid w:val="00365894"/>
    <w:rsid w:val="00365C21"/>
    <w:rsid w:val="00366499"/>
    <w:rsid w:val="003667C3"/>
    <w:rsid w:val="003669E3"/>
    <w:rsid w:val="00367D2C"/>
    <w:rsid w:val="00370582"/>
    <w:rsid w:val="003710E0"/>
    <w:rsid w:val="0037236B"/>
    <w:rsid w:val="003726C8"/>
    <w:rsid w:val="00372BBF"/>
    <w:rsid w:val="00373632"/>
    <w:rsid w:val="00373E90"/>
    <w:rsid w:val="00374039"/>
    <w:rsid w:val="00375693"/>
    <w:rsid w:val="00375AB7"/>
    <w:rsid w:val="00375E30"/>
    <w:rsid w:val="00376070"/>
    <w:rsid w:val="003769F3"/>
    <w:rsid w:val="00380194"/>
    <w:rsid w:val="00380973"/>
    <w:rsid w:val="00381D1B"/>
    <w:rsid w:val="003821D2"/>
    <w:rsid w:val="003823E5"/>
    <w:rsid w:val="00382C42"/>
    <w:rsid w:val="003830EA"/>
    <w:rsid w:val="00383B67"/>
    <w:rsid w:val="00384E51"/>
    <w:rsid w:val="00385A1D"/>
    <w:rsid w:val="0038650C"/>
    <w:rsid w:val="00386C3A"/>
    <w:rsid w:val="00386C90"/>
    <w:rsid w:val="003917DC"/>
    <w:rsid w:val="003928C9"/>
    <w:rsid w:val="00393298"/>
    <w:rsid w:val="0039349E"/>
    <w:rsid w:val="003936B8"/>
    <w:rsid w:val="00394BE5"/>
    <w:rsid w:val="003957B4"/>
    <w:rsid w:val="00396842"/>
    <w:rsid w:val="00396F3A"/>
    <w:rsid w:val="003971E7"/>
    <w:rsid w:val="003A016F"/>
    <w:rsid w:val="003A0868"/>
    <w:rsid w:val="003A39BD"/>
    <w:rsid w:val="003A3F2C"/>
    <w:rsid w:val="003A4642"/>
    <w:rsid w:val="003A4731"/>
    <w:rsid w:val="003A5AE9"/>
    <w:rsid w:val="003A6228"/>
    <w:rsid w:val="003A6DF9"/>
    <w:rsid w:val="003A79E2"/>
    <w:rsid w:val="003A7C68"/>
    <w:rsid w:val="003B08C3"/>
    <w:rsid w:val="003B1798"/>
    <w:rsid w:val="003B1E37"/>
    <w:rsid w:val="003B1E53"/>
    <w:rsid w:val="003B1EA3"/>
    <w:rsid w:val="003B232B"/>
    <w:rsid w:val="003B26CC"/>
    <w:rsid w:val="003B45F0"/>
    <w:rsid w:val="003B61D2"/>
    <w:rsid w:val="003B664C"/>
    <w:rsid w:val="003B6A84"/>
    <w:rsid w:val="003B6B9C"/>
    <w:rsid w:val="003B7C65"/>
    <w:rsid w:val="003C1EA1"/>
    <w:rsid w:val="003C2066"/>
    <w:rsid w:val="003C2081"/>
    <w:rsid w:val="003C270C"/>
    <w:rsid w:val="003C2FAB"/>
    <w:rsid w:val="003C39B4"/>
    <w:rsid w:val="003C56B1"/>
    <w:rsid w:val="003C62E6"/>
    <w:rsid w:val="003C7034"/>
    <w:rsid w:val="003C7117"/>
    <w:rsid w:val="003C79C5"/>
    <w:rsid w:val="003C7D88"/>
    <w:rsid w:val="003D0233"/>
    <w:rsid w:val="003D0D2F"/>
    <w:rsid w:val="003D0F97"/>
    <w:rsid w:val="003D250C"/>
    <w:rsid w:val="003D2514"/>
    <w:rsid w:val="003D3613"/>
    <w:rsid w:val="003D3E03"/>
    <w:rsid w:val="003D4BD5"/>
    <w:rsid w:val="003D5725"/>
    <w:rsid w:val="003D5D10"/>
    <w:rsid w:val="003D6196"/>
    <w:rsid w:val="003D61FC"/>
    <w:rsid w:val="003D649F"/>
    <w:rsid w:val="003D6603"/>
    <w:rsid w:val="003D66A0"/>
    <w:rsid w:val="003D6787"/>
    <w:rsid w:val="003D687B"/>
    <w:rsid w:val="003D6B94"/>
    <w:rsid w:val="003D6C7C"/>
    <w:rsid w:val="003D738C"/>
    <w:rsid w:val="003D741B"/>
    <w:rsid w:val="003D753B"/>
    <w:rsid w:val="003E0A24"/>
    <w:rsid w:val="003E11FA"/>
    <w:rsid w:val="003E37C4"/>
    <w:rsid w:val="003E4D73"/>
    <w:rsid w:val="003E5149"/>
    <w:rsid w:val="003E5D1A"/>
    <w:rsid w:val="003E61EE"/>
    <w:rsid w:val="003E63F7"/>
    <w:rsid w:val="003E69A8"/>
    <w:rsid w:val="003E713E"/>
    <w:rsid w:val="003E71B1"/>
    <w:rsid w:val="003E7D8E"/>
    <w:rsid w:val="003F03B9"/>
    <w:rsid w:val="003F1D33"/>
    <w:rsid w:val="003F2084"/>
    <w:rsid w:val="003F242C"/>
    <w:rsid w:val="003F266B"/>
    <w:rsid w:val="003F2E93"/>
    <w:rsid w:val="003F346F"/>
    <w:rsid w:val="003F3801"/>
    <w:rsid w:val="003F3E80"/>
    <w:rsid w:val="003F5516"/>
    <w:rsid w:val="003F5C99"/>
    <w:rsid w:val="003F606C"/>
    <w:rsid w:val="003F6140"/>
    <w:rsid w:val="003F61C6"/>
    <w:rsid w:val="003F6D9C"/>
    <w:rsid w:val="003F7076"/>
    <w:rsid w:val="003F78A2"/>
    <w:rsid w:val="003F7C0C"/>
    <w:rsid w:val="00400648"/>
    <w:rsid w:val="00401330"/>
    <w:rsid w:val="004015DF"/>
    <w:rsid w:val="00401901"/>
    <w:rsid w:val="0040194A"/>
    <w:rsid w:val="00401AA5"/>
    <w:rsid w:val="00402952"/>
    <w:rsid w:val="00403940"/>
    <w:rsid w:val="00403BC2"/>
    <w:rsid w:val="0040451F"/>
    <w:rsid w:val="00404DE0"/>
    <w:rsid w:val="0040568E"/>
    <w:rsid w:val="00405893"/>
    <w:rsid w:val="004077BA"/>
    <w:rsid w:val="00410E2D"/>
    <w:rsid w:val="004116E7"/>
    <w:rsid w:val="00411EF9"/>
    <w:rsid w:val="00413C62"/>
    <w:rsid w:val="00415304"/>
    <w:rsid w:val="00416FF8"/>
    <w:rsid w:val="004172F5"/>
    <w:rsid w:val="0041774C"/>
    <w:rsid w:val="0041798E"/>
    <w:rsid w:val="00422551"/>
    <w:rsid w:val="00422F5A"/>
    <w:rsid w:val="00423CF2"/>
    <w:rsid w:val="004249AF"/>
    <w:rsid w:val="00425BDD"/>
    <w:rsid w:val="00425D01"/>
    <w:rsid w:val="004269EA"/>
    <w:rsid w:val="004275C9"/>
    <w:rsid w:val="00427FC8"/>
    <w:rsid w:val="004300B6"/>
    <w:rsid w:val="00430163"/>
    <w:rsid w:val="00430C11"/>
    <w:rsid w:val="00430EBD"/>
    <w:rsid w:val="00431199"/>
    <w:rsid w:val="00431238"/>
    <w:rsid w:val="00431350"/>
    <w:rsid w:val="0043172B"/>
    <w:rsid w:val="00432BBD"/>
    <w:rsid w:val="00433142"/>
    <w:rsid w:val="00433B72"/>
    <w:rsid w:val="004344A6"/>
    <w:rsid w:val="004349E2"/>
    <w:rsid w:val="004352E7"/>
    <w:rsid w:val="00435ACD"/>
    <w:rsid w:val="00435B13"/>
    <w:rsid w:val="0043659D"/>
    <w:rsid w:val="00436799"/>
    <w:rsid w:val="004373E5"/>
    <w:rsid w:val="004400CF"/>
    <w:rsid w:val="00443137"/>
    <w:rsid w:val="004442F3"/>
    <w:rsid w:val="00444AD7"/>
    <w:rsid w:val="00445055"/>
    <w:rsid w:val="004459E5"/>
    <w:rsid w:val="00445A52"/>
    <w:rsid w:val="00445FB9"/>
    <w:rsid w:val="00446232"/>
    <w:rsid w:val="004462F1"/>
    <w:rsid w:val="00446A2C"/>
    <w:rsid w:val="00450275"/>
    <w:rsid w:val="00450ED2"/>
    <w:rsid w:val="004542C5"/>
    <w:rsid w:val="00454396"/>
    <w:rsid w:val="004545C4"/>
    <w:rsid w:val="00454DD0"/>
    <w:rsid w:val="00455301"/>
    <w:rsid w:val="0045536B"/>
    <w:rsid w:val="00455402"/>
    <w:rsid w:val="00455DF5"/>
    <w:rsid w:val="00456059"/>
    <w:rsid w:val="00457509"/>
    <w:rsid w:val="00457AC6"/>
    <w:rsid w:val="00457F02"/>
    <w:rsid w:val="004609B6"/>
    <w:rsid w:val="00460F97"/>
    <w:rsid w:val="0046145B"/>
    <w:rsid w:val="00461EB2"/>
    <w:rsid w:val="00461FF0"/>
    <w:rsid w:val="0046512F"/>
    <w:rsid w:val="00465341"/>
    <w:rsid w:val="00466451"/>
    <w:rsid w:val="004679F1"/>
    <w:rsid w:val="00470DF0"/>
    <w:rsid w:val="0047142C"/>
    <w:rsid w:val="00471735"/>
    <w:rsid w:val="00471B57"/>
    <w:rsid w:val="00471C8A"/>
    <w:rsid w:val="0047219F"/>
    <w:rsid w:val="0047311B"/>
    <w:rsid w:val="00473A36"/>
    <w:rsid w:val="00473CBD"/>
    <w:rsid w:val="00473F4A"/>
    <w:rsid w:val="0047520A"/>
    <w:rsid w:val="00477008"/>
    <w:rsid w:val="00481024"/>
    <w:rsid w:val="00481389"/>
    <w:rsid w:val="00481548"/>
    <w:rsid w:val="00482564"/>
    <w:rsid w:val="004829F5"/>
    <w:rsid w:val="0048314B"/>
    <w:rsid w:val="00483229"/>
    <w:rsid w:val="00483559"/>
    <w:rsid w:val="00483EF5"/>
    <w:rsid w:val="00484631"/>
    <w:rsid w:val="00485462"/>
    <w:rsid w:val="0048717B"/>
    <w:rsid w:val="00487522"/>
    <w:rsid w:val="00487693"/>
    <w:rsid w:val="004876BF"/>
    <w:rsid w:val="004876CE"/>
    <w:rsid w:val="00487817"/>
    <w:rsid w:val="0049019B"/>
    <w:rsid w:val="0049099E"/>
    <w:rsid w:val="00490ECA"/>
    <w:rsid w:val="004913D0"/>
    <w:rsid w:val="004922EA"/>
    <w:rsid w:val="004926B7"/>
    <w:rsid w:val="00493327"/>
    <w:rsid w:val="00493B40"/>
    <w:rsid w:val="00494742"/>
    <w:rsid w:val="00495160"/>
    <w:rsid w:val="0049534B"/>
    <w:rsid w:val="00495865"/>
    <w:rsid w:val="00497337"/>
    <w:rsid w:val="00497710"/>
    <w:rsid w:val="00497986"/>
    <w:rsid w:val="004A041E"/>
    <w:rsid w:val="004A0EF8"/>
    <w:rsid w:val="004A130B"/>
    <w:rsid w:val="004A160C"/>
    <w:rsid w:val="004A3CB8"/>
    <w:rsid w:val="004A3EAF"/>
    <w:rsid w:val="004A48D3"/>
    <w:rsid w:val="004A4C72"/>
    <w:rsid w:val="004A4C95"/>
    <w:rsid w:val="004A5045"/>
    <w:rsid w:val="004A5C7C"/>
    <w:rsid w:val="004A63BC"/>
    <w:rsid w:val="004A6489"/>
    <w:rsid w:val="004A682A"/>
    <w:rsid w:val="004A68D2"/>
    <w:rsid w:val="004B0D7E"/>
    <w:rsid w:val="004B173E"/>
    <w:rsid w:val="004B1B2F"/>
    <w:rsid w:val="004B2518"/>
    <w:rsid w:val="004B358F"/>
    <w:rsid w:val="004B37ED"/>
    <w:rsid w:val="004B46D0"/>
    <w:rsid w:val="004B4BC5"/>
    <w:rsid w:val="004B557C"/>
    <w:rsid w:val="004C049A"/>
    <w:rsid w:val="004C09DF"/>
    <w:rsid w:val="004C0AF4"/>
    <w:rsid w:val="004C1D47"/>
    <w:rsid w:val="004C2D32"/>
    <w:rsid w:val="004C40B7"/>
    <w:rsid w:val="004C48ED"/>
    <w:rsid w:val="004C4B10"/>
    <w:rsid w:val="004C5C38"/>
    <w:rsid w:val="004C619F"/>
    <w:rsid w:val="004C6E61"/>
    <w:rsid w:val="004C7340"/>
    <w:rsid w:val="004C7742"/>
    <w:rsid w:val="004D019B"/>
    <w:rsid w:val="004D1798"/>
    <w:rsid w:val="004D1ACE"/>
    <w:rsid w:val="004D1CDD"/>
    <w:rsid w:val="004D1D28"/>
    <w:rsid w:val="004D1F5F"/>
    <w:rsid w:val="004D24C1"/>
    <w:rsid w:val="004D32B2"/>
    <w:rsid w:val="004D3516"/>
    <w:rsid w:val="004D4119"/>
    <w:rsid w:val="004D4169"/>
    <w:rsid w:val="004D466B"/>
    <w:rsid w:val="004D4CD0"/>
    <w:rsid w:val="004D748A"/>
    <w:rsid w:val="004E03BE"/>
    <w:rsid w:val="004E139E"/>
    <w:rsid w:val="004E3467"/>
    <w:rsid w:val="004E3C3A"/>
    <w:rsid w:val="004E3E0C"/>
    <w:rsid w:val="004E4306"/>
    <w:rsid w:val="004E436B"/>
    <w:rsid w:val="004E5483"/>
    <w:rsid w:val="004E5728"/>
    <w:rsid w:val="004E63E1"/>
    <w:rsid w:val="004E6E5F"/>
    <w:rsid w:val="004E78EA"/>
    <w:rsid w:val="004F021D"/>
    <w:rsid w:val="004F15B1"/>
    <w:rsid w:val="004F261C"/>
    <w:rsid w:val="004F32F0"/>
    <w:rsid w:val="004F3C39"/>
    <w:rsid w:val="004F5BFD"/>
    <w:rsid w:val="004F5D9D"/>
    <w:rsid w:val="004F62AF"/>
    <w:rsid w:val="004F643B"/>
    <w:rsid w:val="004F7CE5"/>
    <w:rsid w:val="004F7E06"/>
    <w:rsid w:val="004F7FEA"/>
    <w:rsid w:val="005001D3"/>
    <w:rsid w:val="00500543"/>
    <w:rsid w:val="00500BD3"/>
    <w:rsid w:val="00500F3F"/>
    <w:rsid w:val="00501181"/>
    <w:rsid w:val="005025CA"/>
    <w:rsid w:val="00502877"/>
    <w:rsid w:val="0050300D"/>
    <w:rsid w:val="00503177"/>
    <w:rsid w:val="00503D23"/>
    <w:rsid w:val="00504180"/>
    <w:rsid w:val="00504BA6"/>
    <w:rsid w:val="005050BC"/>
    <w:rsid w:val="00505D68"/>
    <w:rsid w:val="00507787"/>
    <w:rsid w:val="00507B01"/>
    <w:rsid w:val="00507D6B"/>
    <w:rsid w:val="00510773"/>
    <w:rsid w:val="00510A24"/>
    <w:rsid w:val="00510F52"/>
    <w:rsid w:val="0051128C"/>
    <w:rsid w:val="0051145B"/>
    <w:rsid w:val="00511A30"/>
    <w:rsid w:val="00511DEF"/>
    <w:rsid w:val="00511EFD"/>
    <w:rsid w:val="00512067"/>
    <w:rsid w:val="00512132"/>
    <w:rsid w:val="0051256C"/>
    <w:rsid w:val="005131EC"/>
    <w:rsid w:val="00513CEC"/>
    <w:rsid w:val="00513E04"/>
    <w:rsid w:val="005141D7"/>
    <w:rsid w:val="00514576"/>
    <w:rsid w:val="00514958"/>
    <w:rsid w:val="00514BAE"/>
    <w:rsid w:val="005174BA"/>
    <w:rsid w:val="00521C35"/>
    <w:rsid w:val="00521CBB"/>
    <w:rsid w:val="00522263"/>
    <w:rsid w:val="0052232D"/>
    <w:rsid w:val="005224ED"/>
    <w:rsid w:val="00522675"/>
    <w:rsid w:val="005229A0"/>
    <w:rsid w:val="00522B25"/>
    <w:rsid w:val="005231F8"/>
    <w:rsid w:val="005232A4"/>
    <w:rsid w:val="005237DC"/>
    <w:rsid w:val="00524253"/>
    <w:rsid w:val="00524A90"/>
    <w:rsid w:val="00525467"/>
    <w:rsid w:val="00525585"/>
    <w:rsid w:val="00525BD8"/>
    <w:rsid w:val="00526546"/>
    <w:rsid w:val="00527A2B"/>
    <w:rsid w:val="00527C9E"/>
    <w:rsid w:val="005300EF"/>
    <w:rsid w:val="00530C46"/>
    <w:rsid w:val="00530F2D"/>
    <w:rsid w:val="0053110E"/>
    <w:rsid w:val="00531ADD"/>
    <w:rsid w:val="00531C47"/>
    <w:rsid w:val="00531D44"/>
    <w:rsid w:val="00531D8E"/>
    <w:rsid w:val="00532126"/>
    <w:rsid w:val="005325D9"/>
    <w:rsid w:val="00532706"/>
    <w:rsid w:val="00532E54"/>
    <w:rsid w:val="00533344"/>
    <w:rsid w:val="0053488A"/>
    <w:rsid w:val="00534A7C"/>
    <w:rsid w:val="00534E24"/>
    <w:rsid w:val="0053511E"/>
    <w:rsid w:val="00535383"/>
    <w:rsid w:val="00535823"/>
    <w:rsid w:val="00536C3B"/>
    <w:rsid w:val="00540391"/>
    <w:rsid w:val="00541CC5"/>
    <w:rsid w:val="00541CFD"/>
    <w:rsid w:val="00542F18"/>
    <w:rsid w:val="0054301B"/>
    <w:rsid w:val="00543109"/>
    <w:rsid w:val="00544ECA"/>
    <w:rsid w:val="00544F49"/>
    <w:rsid w:val="00546447"/>
    <w:rsid w:val="00546C3C"/>
    <w:rsid w:val="00550080"/>
    <w:rsid w:val="005518EB"/>
    <w:rsid w:val="0055218F"/>
    <w:rsid w:val="00552573"/>
    <w:rsid w:val="005534DC"/>
    <w:rsid w:val="0055390E"/>
    <w:rsid w:val="005542E8"/>
    <w:rsid w:val="005543F8"/>
    <w:rsid w:val="00554EA9"/>
    <w:rsid w:val="00555312"/>
    <w:rsid w:val="00555D1E"/>
    <w:rsid w:val="00555E1D"/>
    <w:rsid w:val="00555EBE"/>
    <w:rsid w:val="00556607"/>
    <w:rsid w:val="00556D1F"/>
    <w:rsid w:val="00556DBF"/>
    <w:rsid w:val="005603AD"/>
    <w:rsid w:val="00561836"/>
    <w:rsid w:val="005623EB"/>
    <w:rsid w:val="00564B4B"/>
    <w:rsid w:val="00564D80"/>
    <w:rsid w:val="00565749"/>
    <w:rsid w:val="0056690D"/>
    <w:rsid w:val="00566F4E"/>
    <w:rsid w:val="005674BD"/>
    <w:rsid w:val="00567CB3"/>
    <w:rsid w:val="0057033C"/>
    <w:rsid w:val="00570435"/>
    <w:rsid w:val="005704F7"/>
    <w:rsid w:val="00570D3D"/>
    <w:rsid w:val="00571158"/>
    <w:rsid w:val="0057195A"/>
    <w:rsid w:val="00571E3B"/>
    <w:rsid w:val="00572608"/>
    <w:rsid w:val="0057267D"/>
    <w:rsid w:val="00572B37"/>
    <w:rsid w:val="00573DF1"/>
    <w:rsid w:val="00574D74"/>
    <w:rsid w:val="00576D49"/>
    <w:rsid w:val="0058023B"/>
    <w:rsid w:val="005807D2"/>
    <w:rsid w:val="0058085C"/>
    <w:rsid w:val="0058124B"/>
    <w:rsid w:val="005826E0"/>
    <w:rsid w:val="00582DB7"/>
    <w:rsid w:val="00582DC4"/>
    <w:rsid w:val="00582EFA"/>
    <w:rsid w:val="00582F58"/>
    <w:rsid w:val="00583208"/>
    <w:rsid w:val="005834D8"/>
    <w:rsid w:val="00583515"/>
    <w:rsid w:val="0058468B"/>
    <w:rsid w:val="00584719"/>
    <w:rsid w:val="005868AE"/>
    <w:rsid w:val="00586B7E"/>
    <w:rsid w:val="0058777B"/>
    <w:rsid w:val="00587A58"/>
    <w:rsid w:val="00587F3F"/>
    <w:rsid w:val="00590A19"/>
    <w:rsid w:val="00591A2F"/>
    <w:rsid w:val="005921A4"/>
    <w:rsid w:val="00593167"/>
    <w:rsid w:val="00593997"/>
    <w:rsid w:val="00593DBA"/>
    <w:rsid w:val="00593EC1"/>
    <w:rsid w:val="00594149"/>
    <w:rsid w:val="005946B4"/>
    <w:rsid w:val="0059484F"/>
    <w:rsid w:val="00595FDC"/>
    <w:rsid w:val="005962CD"/>
    <w:rsid w:val="005968B5"/>
    <w:rsid w:val="00596CE2"/>
    <w:rsid w:val="00596F65"/>
    <w:rsid w:val="0059787A"/>
    <w:rsid w:val="00597AED"/>
    <w:rsid w:val="005A027C"/>
    <w:rsid w:val="005A07F4"/>
    <w:rsid w:val="005A0BCC"/>
    <w:rsid w:val="005A0C6F"/>
    <w:rsid w:val="005A1ED9"/>
    <w:rsid w:val="005A3C71"/>
    <w:rsid w:val="005A4064"/>
    <w:rsid w:val="005A50EC"/>
    <w:rsid w:val="005A6EBE"/>
    <w:rsid w:val="005B0FBC"/>
    <w:rsid w:val="005B109D"/>
    <w:rsid w:val="005B148E"/>
    <w:rsid w:val="005B1AEB"/>
    <w:rsid w:val="005B1F13"/>
    <w:rsid w:val="005B2018"/>
    <w:rsid w:val="005B24BC"/>
    <w:rsid w:val="005B24CD"/>
    <w:rsid w:val="005B2CFE"/>
    <w:rsid w:val="005B358D"/>
    <w:rsid w:val="005B3BD8"/>
    <w:rsid w:val="005B4098"/>
    <w:rsid w:val="005B4F90"/>
    <w:rsid w:val="005B54E0"/>
    <w:rsid w:val="005B6698"/>
    <w:rsid w:val="005B7184"/>
    <w:rsid w:val="005B7408"/>
    <w:rsid w:val="005B7C4C"/>
    <w:rsid w:val="005C071C"/>
    <w:rsid w:val="005C0E8A"/>
    <w:rsid w:val="005C0F66"/>
    <w:rsid w:val="005C1176"/>
    <w:rsid w:val="005C118F"/>
    <w:rsid w:val="005C11D6"/>
    <w:rsid w:val="005C162D"/>
    <w:rsid w:val="005C17FD"/>
    <w:rsid w:val="005C1F3A"/>
    <w:rsid w:val="005C216E"/>
    <w:rsid w:val="005C2357"/>
    <w:rsid w:val="005C2987"/>
    <w:rsid w:val="005C2C1B"/>
    <w:rsid w:val="005C318D"/>
    <w:rsid w:val="005C32F2"/>
    <w:rsid w:val="005C49CA"/>
    <w:rsid w:val="005C4FAF"/>
    <w:rsid w:val="005C5B69"/>
    <w:rsid w:val="005C5C69"/>
    <w:rsid w:val="005C6947"/>
    <w:rsid w:val="005C6E14"/>
    <w:rsid w:val="005C7DE8"/>
    <w:rsid w:val="005D0209"/>
    <w:rsid w:val="005D02C6"/>
    <w:rsid w:val="005D1510"/>
    <w:rsid w:val="005D1B4D"/>
    <w:rsid w:val="005D1E82"/>
    <w:rsid w:val="005D1E97"/>
    <w:rsid w:val="005D1EC5"/>
    <w:rsid w:val="005D2A1F"/>
    <w:rsid w:val="005D3076"/>
    <w:rsid w:val="005D3CE0"/>
    <w:rsid w:val="005D3F02"/>
    <w:rsid w:val="005D3F2E"/>
    <w:rsid w:val="005D4230"/>
    <w:rsid w:val="005D457A"/>
    <w:rsid w:val="005D45EA"/>
    <w:rsid w:val="005D50C6"/>
    <w:rsid w:val="005D5709"/>
    <w:rsid w:val="005D6002"/>
    <w:rsid w:val="005D68DD"/>
    <w:rsid w:val="005D7980"/>
    <w:rsid w:val="005E01A1"/>
    <w:rsid w:val="005E0244"/>
    <w:rsid w:val="005E0C04"/>
    <w:rsid w:val="005E0E92"/>
    <w:rsid w:val="005E0ED4"/>
    <w:rsid w:val="005E20B5"/>
    <w:rsid w:val="005E24F6"/>
    <w:rsid w:val="005E35D8"/>
    <w:rsid w:val="005E3744"/>
    <w:rsid w:val="005E3AA9"/>
    <w:rsid w:val="005E3F8B"/>
    <w:rsid w:val="005E4C2B"/>
    <w:rsid w:val="005E5C4B"/>
    <w:rsid w:val="005E6937"/>
    <w:rsid w:val="005E772B"/>
    <w:rsid w:val="005E7953"/>
    <w:rsid w:val="005E7DC5"/>
    <w:rsid w:val="005F052A"/>
    <w:rsid w:val="005F07A0"/>
    <w:rsid w:val="005F14BA"/>
    <w:rsid w:val="005F1752"/>
    <w:rsid w:val="005F19F5"/>
    <w:rsid w:val="005F336D"/>
    <w:rsid w:val="005F4294"/>
    <w:rsid w:val="005F476A"/>
    <w:rsid w:val="005F533F"/>
    <w:rsid w:val="005F5540"/>
    <w:rsid w:val="005F6C86"/>
    <w:rsid w:val="005F6D70"/>
    <w:rsid w:val="005F73A2"/>
    <w:rsid w:val="005F74D8"/>
    <w:rsid w:val="00601AF4"/>
    <w:rsid w:val="00602082"/>
    <w:rsid w:val="006021D1"/>
    <w:rsid w:val="00602469"/>
    <w:rsid w:val="00602E15"/>
    <w:rsid w:val="0060392F"/>
    <w:rsid w:val="0060420D"/>
    <w:rsid w:val="0060483B"/>
    <w:rsid w:val="00604F97"/>
    <w:rsid w:val="006055FF"/>
    <w:rsid w:val="006057A3"/>
    <w:rsid w:val="00607A86"/>
    <w:rsid w:val="00607ADB"/>
    <w:rsid w:val="00611056"/>
    <w:rsid w:val="00611959"/>
    <w:rsid w:val="00611EF5"/>
    <w:rsid w:val="006125D4"/>
    <w:rsid w:val="00612DE3"/>
    <w:rsid w:val="006131A3"/>
    <w:rsid w:val="006135EA"/>
    <w:rsid w:val="006139CA"/>
    <w:rsid w:val="00614936"/>
    <w:rsid w:val="00615B17"/>
    <w:rsid w:val="00615B7A"/>
    <w:rsid w:val="00615BEB"/>
    <w:rsid w:val="006167DA"/>
    <w:rsid w:val="00616A58"/>
    <w:rsid w:val="0061709B"/>
    <w:rsid w:val="00620A69"/>
    <w:rsid w:val="006210AF"/>
    <w:rsid w:val="0062161A"/>
    <w:rsid w:val="00623713"/>
    <w:rsid w:val="00623897"/>
    <w:rsid w:val="00623B8B"/>
    <w:rsid w:val="00623E9E"/>
    <w:rsid w:val="006241B4"/>
    <w:rsid w:val="00624225"/>
    <w:rsid w:val="00624CFE"/>
    <w:rsid w:val="006259C6"/>
    <w:rsid w:val="00626CDB"/>
    <w:rsid w:val="00626E14"/>
    <w:rsid w:val="00627679"/>
    <w:rsid w:val="00627917"/>
    <w:rsid w:val="00630530"/>
    <w:rsid w:val="00630E31"/>
    <w:rsid w:val="00630F0B"/>
    <w:rsid w:val="00631168"/>
    <w:rsid w:val="00631185"/>
    <w:rsid w:val="00631B76"/>
    <w:rsid w:val="00632B1A"/>
    <w:rsid w:val="00632BEA"/>
    <w:rsid w:val="006334F6"/>
    <w:rsid w:val="00634240"/>
    <w:rsid w:val="006349C9"/>
    <w:rsid w:val="00634D9A"/>
    <w:rsid w:val="006354B6"/>
    <w:rsid w:val="0063620B"/>
    <w:rsid w:val="006362E1"/>
    <w:rsid w:val="00636E42"/>
    <w:rsid w:val="0064010C"/>
    <w:rsid w:val="00641004"/>
    <w:rsid w:val="006413BB"/>
    <w:rsid w:val="00642667"/>
    <w:rsid w:val="00643223"/>
    <w:rsid w:val="0064407B"/>
    <w:rsid w:val="0064491F"/>
    <w:rsid w:val="00644C8E"/>
    <w:rsid w:val="00644EA3"/>
    <w:rsid w:val="00644EEF"/>
    <w:rsid w:val="006452A7"/>
    <w:rsid w:val="00645C0A"/>
    <w:rsid w:val="006462D5"/>
    <w:rsid w:val="006468B4"/>
    <w:rsid w:val="006470DC"/>
    <w:rsid w:val="006501AA"/>
    <w:rsid w:val="00651B21"/>
    <w:rsid w:val="0065289B"/>
    <w:rsid w:val="00652AD8"/>
    <w:rsid w:val="00653E70"/>
    <w:rsid w:val="006551E7"/>
    <w:rsid w:val="006560D7"/>
    <w:rsid w:val="00656DCF"/>
    <w:rsid w:val="006577F9"/>
    <w:rsid w:val="006604A7"/>
    <w:rsid w:val="006604BB"/>
    <w:rsid w:val="00660767"/>
    <w:rsid w:val="0066213A"/>
    <w:rsid w:val="006621C1"/>
    <w:rsid w:val="00662210"/>
    <w:rsid w:val="0066236D"/>
    <w:rsid w:val="0066392B"/>
    <w:rsid w:val="0066417D"/>
    <w:rsid w:val="00664ECE"/>
    <w:rsid w:val="00664F75"/>
    <w:rsid w:val="006653E4"/>
    <w:rsid w:val="006656CF"/>
    <w:rsid w:val="006674BB"/>
    <w:rsid w:val="00667987"/>
    <w:rsid w:val="00667AA6"/>
    <w:rsid w:val="006705B6"/>
    <w:rsid w:val="00671EC2"/>
    <w:rsid w:val="00672937"/>
    <w:rsid w:val="00672A66"/>
    <w:rsid w:val="00672B18"/>
    <w:rsid w:val="00673A7E"/>
    <w:rsid w:val="00674812"/>
    <w:rsid w:val="00675B7D"/>
    <w:rsid w:val="00676237"/>
    <w:rsid w:val="00676554"/>
    <w:rsid w:val="00676742"/>
    <w:rsid w:val="00676CDA"/>
    <w:rsid w:val="00677126"/>
    <w:rsid w:val="0067745A"/>
    <w:rsid w:val="006774A8"/>
    <w:rsid w:val="00680720"/>
    <w:rsid w:val="00681631"/>
    <w:rsid w:val="00681C8B"/>
    <w:rsid w:val="00681F5B"/>
    <w:rsid w:val="00682047"/>
    <w:rsid w:val="00682D5F"/>
    <w:rsid w:val="00683DE7"/>
    <w:rsid w:val="006848B0"/>
    <w:rsid w:val="00685E60"/>
    <w:rsid w:val="0068695A"/>
    <w:rsid w:val="006879E1"/>
    <w:rsid w:val="00690E31"/>
    <w:rsid w:val="00691AF3"/>
    <w:rsid w:val="00691BC6"/>
    <w:rsid w:val="00691F76"/>
    <w:rsid w:val="0069294F"/>
    <w:rsid w:val="00693405"/>
    <w:rsid w:val="006947EC"/>
    <w:rsid w:val="0069481F"/>
    <w:rsid w:val="006954FD"/>
    <w:rsid w:val="00695E70"/>
    <w:rsid w:val="00696704"/>
    <w:rsid w:val="006974EA"/>
    <w:rsid w:val="0069770C"/>
    <w:rsid w:val="00697F66"/>
    <w:rsid w:val="006A0433"/>
    <w:rsid w:val="006A11E7"/>
    <w:rsid w:val="006A126A"/>
    <w:rsid w:val="006A15B6"/>
    <w:rsid w:val="006A25FF"/>
    <w:rsid w:val="006A2D17"/>
    <w:rsid w:val="006A4468"/>
    <w:rsid w:val="006A4E54"/>
    <w:rsid w:val="006A562C"/>
    <w:rsid w:val="006A57E8"/>
    <w:rsid w:val="006A5E0A"/>
    <w:rsid w:val="006A69B9"/>
    <w:rsid w:val="006A72D5"/>
    <w:rsid w:val="006A7302"/>
    <w:rsid w:val="006B009E"/>
    <w:rsid w:val="006B0504"/>
    <w:rsid w:val="006B1663"/>
    <w:rsid w:val="006B1F7F"/>
    <w:rsid w:val="006B20CC"/>
    <w:rsid w:val="006B254D"/>
    <w:rsid w:val="006B32BE"/>
    <w:rsid w:val="006B5E3D"/>
    <w:rsid w:val="006B6649"/>
    <w:rsid w:val="006B6DEB"/>
    <w:rsid w:val="006B73E8"/>
    <w:rsid w:val="006B7DB7"/>
    <w:rsid w:val="006C0346"/>
    <w:rsid w:val="006C1687"/>
    <w:rsid w:val="006C1F0F"/>
    <w:rsid w:val="006C1F52"/>
    <w:rsid w:val="006C245C"/>
    <w:rsid w:val="006C3797"/>
    <w:rsid w:val="006C3FE9"/>
    <w:rsid w:val="006C4068"/>
    <w:rsid w:val="006C4B94"/>
    <w:rsid w:val="006C6FFB"/>
    <w:rsid w:val="006C78C4"/>
    <w:rsid w:val="006C7C57"/>
    <w:rsid w:val="006D2977"/>
    <w:rsid w:val="006D30DF"/>
    <w:rsid w:val="006D3664"/>
    <w:rsid w:val="006D39F0"/>
    <w:rsid w:val="006D42CF"/>
    <w:rsid w:val="006D576D"/>
    <w:rsid w:val="006D585E"/>
    <w:rsid w:val="006D6A17"/>
    <w:rsid w:val="006D6B4C"/>
    <w:rsid w:val="006D6B80"/>
    <w:rsid w:val="006D6BF4"/>
    <w:rsid w:val="006D6C33"/>
    <w:rsid w:val="006D6E45"/>
    <w:rsid w:val="006D6F2D"/>
    <w:rsid w:val="006D781C"/>
    <w:rsid w:val="006E02BB"/>
    <w:rsid w:val="006E164D"/>
    <w:rsid w:val="006E2CDC"/>
    <w:rsid w:val="006E331D"/>
    <w:rsid w:val="006E52CB"/>
    <w:rsid w:val="006E66B8"/>
    <w:rsid w:val="006E7898"/>
    <w:rsid w:val="006E7AE0"/>
    <w:rsid w:val="006F0637"/>
    <w:rsid w:val="006F0755"/>
    <w:rsid w:val="006F08FE"/>
    <w:rsid w:val="006F0B77"/>
    <w:rsid w:val="006F11E5"/>
    <w:rsid w:val="006F194E"/>
    <w:rsid w:val="006F2193"/>
    <w:rsid w:val="006F2A55"/>
    <w:rsid w:val="006F2A8E"/>
    <w:rsid w:val="006F3953"/>
    <w:rsid w:val="006F3964"/>
    <w:rsid w:val="006F5AF8"/>
    <w:rsid w:val="006F5BBD"/>
    <w:rsid w:val="006F6272"/>
    <w:rsid w:val="006F69AD"/>
    <w:rsid w:val="006F7C57"/>
    <w:rsid w:val="006F7D82"/>
    <w:rsid w:val="007016C5"/>
    <w:rsid w:val="00701DFA"/>
    <w:rsid w:val="00703340"/>
    <w:rsid w:val="00704DCC"/>
    <w:rsid w:val="00704E3A"/>
    <w:rsid w:val="00704FB4"/>
    <w:rsid w:val="00704FBB"/>
    <w:rsid w:val="007052DF"/>
    <w:rsid w:val="0070547C"/>
    <w:rsid w:val="007057B3"/>
    <w:rsid w:val="00707518"/>
    <w:rsid w:val="007079DA"/>
    <w:rsid w:val="00707CD9"/>
    <w:rsid w:val="00711B3F"/>
    <w:rsid w:val="00711C13"/>
    <w:rsid w:val="0071230B"/>
    <w:rsid w:val="00714912"/>
    <w:rsid w:val="007159F6"/>
    <w:rsid w:val="00716049"/>
    <w:rsid w:val="00720B29"/>
    <w:rsid w:val="0072265A"/>
    <w:rsid w:val="00722667"/>
    <w:rsid w:val="007233FC"/>
    <w:rsid w:val="007236C7"/>
    <w:rsid w:val="007237D5"/>
    <w:rsid w:val="007244AA"/>
    <w:rsid w:val="0072485B"/>
    <w:rsid w:val="0072489C"/>
    <w:rsid w:val="00724F85"/>
    <w:rsid w:val="00725108"/>
    <w:rsid w:val="007257CA"/>
    <w:rsid w:val="00726168"/>
    <w:rsid w:val="00726989"/>
    <w:rsid w:val="007304BC"/>
    <w:rsid w:val="00731748"/>
    <w:rsid w:val="007319FA"/>
    <w:rsid w:val="00732FDE"/>
    <w:rsid w:val="0073302B"/>
    <w:rsid w:val="00733FDA"/>
    <w:rsid w:val="00734563"/>
    <w:rsid w:val="00734DAE"/>
    <w:rsid w:val="00735446"/>
    <w:rsid w:val="0073648A"/>
    <w:rsid w:val="00736569"/>
    <w:rsid w:val="00736F74"/>
    <w:rsid w:val="00737B43"/>
    <w:rsid w:val="007400F8"/>
    <w:rsid w:val="00740620"/>
    <w:rsid w:val="007414EC"/>
    <w:rsid w:val="00742776"/>
    <w:rsid w:val="0074389F"/>
    <w:rsid w:val="00743A8D"/>
    <w:rsid w:val="007440E7"/>
    <w:rsid w:val="007446AD"/>
    <w:rsid w:val="00744871"/>
    <w:rsid w:val="0074632C"/>
    <w:rsid w:val="00746564"/>
    <w:rsid w:val="00746B11"/>
    <w:rsid w:val="00746F79"/>
    <w:rsid w:val="0074712F"/>
    <w:rsid w:val="00747EE9"/>
    <w:rsid w:val="007525B0"/>
    <w:rsid w:val="00753BB0"/>
    <w:rsid w:val="00753C04"/>
    <w:rsid w:val="007542CC"/>
    <w:rsid w:val="00754B5F"/>
    <w:rsid w:val="00755231"/>
    <w:rsid w:val="007555BA"/>
    <w:rsid w:val="007555E8"/>
    <w:rsid w:val="00757502"/>
    <w:rsid w:val="00757CB4"/>
    <w:rsid w:val="00761C53"/>
    <w:rsid w:val="0076233C"/>
    <w:rsid w:val="00762B0A"/>
    <w:rsid w:val="007632A8"/>
    <w:rsid w:val="0076396D"/>
    <w:rsid w:val="00764FF5"/>
    <w:rsid w:val="00770BE6"/>
    <w:rsid w:val="00770C2D"/>
    <w:rsid w:val="00771E46"/>
    <w:rsid w:val="00771E8C"/>
    <w:rsid w:val="00772D3D"/>
    <w:rsid w:val="0077321B"/>
    <w:rsid w:val="007749F8"/>
    <w:rsid w:val="00774B81"/>
    <w:rsid w:val="00775590"/>
    <w:rsid w:val="0077673B"/>
    <w:rsid w:val="00776B1B"/>
    <w:rsid w:val="00776E18"/>
    <w:rsid w:val="00776E23"/>
    <w:rsid w:val="00776E8B"/>
    <w:rsid w:val="00777480"/>
    <w:rsid w:val="007775F6"/>
    <w:rsid w:val="0077768D"/>
    <w:rsid w:val="00777B63"/>
    <w:rsid w:val="00780626"/>
    <w:rsid w:val="0078062E"/>
    <w:rsid w:val="007806E7"/>
    <w:rsid w:val="0078099F"/>
    <w:rsid w:val="00780E4B"/>
    <w:rsid w:val="00783982"/>
    <w:rsid w:val="00784A7D"/>
    <w:rsid w:val="00786453"/>
    <w:rsid w:val="007869F2"/>
    <w:rsid w:val="007869F4"/>
    <w:rsid w:val="00787CE7"/>
    <w:rsid w:val="007904FC"/>
    <w:rsid w:val="00790D0A"/>
    <w:rsid w:val="007919D2"/>
    <w:rsid w:val="007924D4"/>
    <w:rsid w:val="00792E56"/>
    <w:rsid w:val="00793915"/>
    <w:rsid w:val="00793A9F"/>
    <w:rsid w:val="0079427B"/>
    <w:rsid w:val="0079456F"/>
    <w:rsid w:val="00794B34"/>
    <w:rsid w:val="00795217"/>
    <w:rsid w:val="00795972"/>
    <w:rsid w:val="0079679A"/>
    <w:rsid w:val="007967E4"/>
    <w:rsid w:val="00796A29"/>
    <w:rsid w:val="00797513"/>
    <w:rsid w:val="00797A7A"/>
    <w:rsid w:val="007A2195"/>
    <w:rsid w:val="007A32E2"/>
    <w:rsid w:val="007A3519"/>
    <w:rsid w:val="007A44C4"/>
    <w:rsid w:val="007A4D83"/>
    <w:rsid w:val="007A57B5"/>
    <w:rsid w:val="007A58D6"/>
    <w:rsid w:val="007A5B3A"/>
    <w:rsid w:val="007A682B"/>
    <w:rsid w:val="007A69BE"/>
    <w:rsid w:val="007A6A26"/>
    <w:rsid w:val="007A6D3B"/>
    <w:rsid w:val="007A7FE3"/>
    <w:rsid w:val="007B04A8"/>
    <w:rsid w:val="007B08DE"/>
    <w:rsid w:val="007B0EDA"/>
    <w:rsid w:val="007B0F29"/>
    <w:rsid w:val="007B1DB7"/>
    <w:rsid w:val="007B277B"/>
    <w:rsid w:val="007B29F1"/>
    <w:rsid w:val="007B2E5C"/>
    <w:rsid w:val="007B3F8A"/>
    <w:rsid w:val="007B4264"/>
    <w:rsid w:val="007B62DA"/>
    <w:rsid w:val="007B7616"/>
    <w:rsid w:val="007B7965"/>
    <w:rsid w:val="007B7EE5"/>
    <w:rsid w:val="007C05CF"/>
    <w:rsid w:val="007C1DD8"/>
    <w:rsid w:val="007C25DF"/>
    <w:rsid w:val="007C3904"/>
    <w:rsid w:val="007C40FD"/>
    <w:rsid w:val="007C461A"/>
    <w:rsid w:val="007C4A46"/>
    <w:rsid w:val="007C54E6"/>
    <w:rsid w:val="007C61A2"/>
    <w:rsid w:val="007C66DC"/>
    <w:rsid w:val="007C6C8F"/>
    <w:rsid w:val="007C7DE3"/>
    <w:rsid w:val="007D03C2"/>
    <w:rsid w:val="007D0416"/>
    <w:rsid w:val="007D3266"/>
    <w:rsid w:val="007D32D8"/>
    <w:rsid w:val="007D3A1C"/>
    <w:rsid w:val="007D4205"/>
    <w:rsid w:val="007D4792"/>
    <w:rsid w:val="007D49DB"/>
    <w:rsid w:val="007D4F07"/>
    <w:rsid w:val="007D5019"/>
    <w:rsid w:val="007D518F"/>
    <w:rsid w:val="007D5533"/>
    <w:rsid w:val="007D5F07"/>
    <w:rsid w:val="007D6131"/>
    <w:rsid w:val="007D6197"/>
    <w:rsid w:val="007D6302"/>
    <w:rsid w:val="007D742C"/>
    <w:rsid w:val="007D760B"/>
    <w:rsid w:val="007D7BD0"/>
    <w:rsid w:val="007D7DF3"/>
    <w:rsid w:val="007D7EB5"/>
    <w:rsid w:val="007E098A"/>
    <w:rsid w:val="007E19F2"/>
    <w:rsid w:val="007E1B93"/>
    <w:rsid w:val="007E24DF"/>
    <w:rsid w:val="007E2FAA"/>
    <w:rsid w:val="007E3056"/>
    <w:rsid w:val="007E32D4"/>
    <w:rsid w:val="007E3416"/>
    <w:rsid w:val="007E4062"/>
    <w:rsid w:val="007E4853"/>
    <w:rsid w:val="007E5017"/>
    <w:rsid w:val="007E5173"/>
    <w:rsid w:val="007E6313"/>
    <w:rsid w:val="007E6F42"/>
    <w:rsid w:val="007E7347"/>
    <w:rsid w:val="007F0894"/>
    <w:rsid w:val="007F0B2D"/>
    <w:rsid w:val="007F0D1A"/>
    <w:rsid w:val="007F1144"/>
    <w:rsid w:val="007F1742"/>
    <w:rsid w:val="007F1BA8"/>
    <w:rsid w:val="007F1DA8"/>
    <w:rsid w:val="007F2B6B"/>
    <w:rsid w:val="007F3E85"/>
    <w:rsid w:val="007F402C"/>
    <w:rsid w:val="007F519E"/>
    <w:rsid w:val="007F59B7"/>
    <w:rsid w:val="007F5A4F"/>
    <w:rsid w:val="007F666C"/>
    <w:rsid w:val="007F67D5"/>
    <w:rsid w:val="007F680F"/>
    <w:rsid w:val="007F7DF8"/>
    <w:rsid w:val="00800A19"/>
    <w:rsid w:val="00801597"/>
    <w:rsid w:val="008022DD"/>
    <w:rsid w:val="00802FD9"/>
    <w:rsid w:val="0080335E"/>
    <w:rsid w:val="00803EE5"/>
    <w:rsid w:val="00804460"/>
    <w:rsid w:val="00804CF9"/>
    <w:rsid w:val="0080574E"/>
    <w:rsid w:val="008070DA"/>
    <w:rsid w:val="008102AF"/>
    <w:rsid w:val="00811751"/>
    <w:rsid w:val="008119F5"/>
    <w:rsid w:val="00811ABE"/>
    <w:rsid w:val="00811E16"/>
    <w:rsid w:val="00812BED"/>
    <w:rsid w:val="0081462F"/>
    <w:rsid w:val="008146A0"/>
    <w:rsid w:val="00814BC4"/>
    <w:rsid w:val="008150C4"/>
    <w:rsid w:val="00816F0A"/>
    <w:rsid w:val="00817084"/>
    <w:rsid w:val="00817414"/>
    <w:rsid w:val="00817B5E"/>
    <w:rsid w:val="00817FBC"/>
    <w:rsid w:val="008200B4"/>
    <w:rsid w:val="008201BD"/>
    <w:rsid w:val="00820CDD"/>
    <w:rsid w:val="0082171D"/>
    <w:rsid w:val="00821D16"/>
    <w:rsid w:val="0082231D"/>
    <w:rsid w:val="00822628"/>
    <w:rsid w:val="00822D84"/>
    <w:rsid w:val="00822FE6"/>
    <w:rsid w:val="008237F2"/>
    <w:rsid w:val="00824247"/>
    <w:rsid w:val="00824CC5"/>
    <w:rsid w:val="00824F6A"/>
    <w:rsid w:val="00825CD5"/>
    <w:rsid w:val="00825EBB"/>
    <w:rsid w:val="008270F2"/>
    <w:rsid w:val="0082770D"/>
    <w:rsid w:val="00827923"/>
    <w:rsid w:val="00827F06"/>
    <w:rsid w:val="00832871"/>
    <w:rsid w:val="00832FEA"/>
    <w:rsid w:val="008332D9"/>
    <w:rsid w:val="00833888"/>
    <w:rsid w:val="00833D4A"/>
    <w:rsid w:val="0083596D"/>
    <w:rsid w:val="00835CFD"/>
    <w:rsid w:val="00836713"/>
    <w:rsid w:val="00837945"/>
    <w:rsid w:val="00837FD1"/>
    <w:rsid w:val="008413B5"/>
    <w:rsid w:val="00841C95"/>
    <w:rsid w:val="008422BA"/>
    <w:rsid w:val="0084338C"/>
    <w:rsid w:val="00843DB4"/>
    <w:rsid w:val="00843E83"/>
    <w:rsid w:val="00844865"/>
    <w:rsid w:val="00844981"/>
    <w:rsid w:val="00844CFE"/>
    <w:rsid w:val="008459C9"/>
    <w:rsid w:val="00845DF0"/>
    <w:rsid w:val="008461E3"/>
    <w:rsid w:val="00846AC2"/>
    <w:rsid w:val="0084729C"/>
    <w:rsid w:val="0084781F"/>
    <w:rsid w:val="00847E01"/>
    <w:rsid w:val="00850CA4"/>
    <w:rsid w:val="008517A7"/>
    <w:rsid w:val="00851820"/>
    <w:rsid w:val="00852E10"/>
    <w:rsid w:val="00852F57"/>
    <w:rsid w:val="00853719"/>
    <w:rsid w:val="008542B8"/>
    <w:rsid w:val="008545FA"/>
    <w:rsid w:val="00855BFD"/>
    <w:rsid w:val="0085639F"/>
    <w:rsid w:val="00856EC5"/>
    <w:rsid w:val="008571ED"/>
    <w:rsid w:val="00860071"/>
    <w:rsid w:val="008600A6"/>
    <w:rsid w:val="0086212F"/>
    <w:rsid w:val="00863387"/>
    <w:rsid w:val="0086357E"/>
    <w:rsid w:val="00863D14"/>
    <w:rsid w:val="00864230"/>
    <w:rsid w:val="0086442E"/>
    <w:rsid w:val="00865B7E"/>
    <w:rsid w:val="00865F8F"/>
    <w:rsid w:val="00866647"/>
    <w:rsid w:val="0086778E"/>
    <w:rsid w:val="00867B7D"/>
    <w:rsid w:val="00870627"/>
    <w:rsid w:val="00871335"/>
    <w:rsid w:val="008715FA"/>
    <w:rsid w:val="00871962"/>
    <w:rsid w:val="00871A02"/>
    <w:rsid w:val="0087219E"/>
    <w:rsid w:val="00872B64"/>
    <w:rsid w:val="00872F2E"/>
    <w:rsid w:val="00874341"/>
    <w:rsid w:val="008755E9"/>
    <w:rsid w:val="00880284"/>
    <w:rsid w:val="008802BC"/>
    <w:rsid w:val="008809B6"/>
    <w:rsid w:val="00881AB6"/>
    <w:rsid w:val="00882DEB"/>
    <w:rsid w:val="00883DD8"/>
    <w:rsid w:val="008840A3"/>
    <w:rsid w:val="008866FD"/>
    <w:rsid w:val="0088727C"/>
    <w:rsid w:val="008874DF"/>
    <w:rsid w:val="0089147A"/>
    <w:rsid w:val="00891856"/>
    <w:rsid w:val="0089209F"/>
    <w:rsid w:val="008920AC"/>
    <w:rsid w:val="008920DE"/>
    <w:rsid w:val="00892123"/>
    <w:rsid w:val="00892EB2"/>
    <w:rsid w:val="00893FEA"/>
    <w:rsid w:val="00896C51"/>
    <w:rsid w:val="008A0C58"/>
    <w:rsid w:val="008A0E37"/>
    <w:rsid w:val="008A1592"/>
    <w:rsid w:val="008A16A8"/>
    <w:rsid w:val="008A250A"/>
    <w:rsid w:val="008A36F7"/>
    <w:rsid w:val="008A4847"/>
    <w:rsid w:val="008A497A"/>
    <w:rsid w:val="008A58BA"/>
    <w:rsid w:val="008A60AA"/>
    <w:rsid w:val="008A720A"/>
    <w:rsid w:val="008A74BC"/>
    <w:rsid w:val="008A75D2"/>
    <w:rsid w:val="008A7A74"/>
    <w:rsid w:val="008B0455"/>
    <w:rsid w:val="008B046D"/>
    <w:rsid w:val="008B1083"/>
    <w:rsid w:val="008B1B4F"/>
    <w:rsid w:val="008B1C9F"/>
    <w:rsid w:val="008B1F6F"/>
    <w:rsid w:val="008B4212"/>
    <w:rsid w:val="008B45BA"/>
    <w:rsid w:val="008B4B59"/>
    <w:rsid w:val="008B4B84"/>
    <w:rsid w:val="008B5801"/>
    <w:rsid w:val="008B60EB"/>
    <w:rsid w:val="008B62FF"/>
    <w:rsid w:val="008B7CA2"/>
    <w:rsid w:val="008B7FE6"/>
    <w:rsid w:val="008C005B"/>
    <w:rsid w:val="008C0513"/>
    <w:rsid w:val="008C061A"/>
    <w:rsid w:val="008C07FB"/>
    <w:rsid w:val="008C09DF"/>
    <w:rsid w:val="008C1661"/>
    <w:rsid w:val="008C1BBC"/>
    <w:rsid w:val="008C227E"/>
    <w:rsid w:val="008C2546"/>
    <w:rsid w:val="008C2AC9"/>
    <w:rsid w:val="008C2E59"/>
    <w:rsid w:val="008C2F6B"/>
    <w:rsid w:val="008C322A"/>
    <w:rsid w:val="008C3CE0"/>
    <w:rsid w:val="008C46EC"/>
    <w:rsid w:val="008C4858"/>
    <w:rsid w:val="008C6036"/>
    <w:rsid w:val="008C76AB"/>
    <w:rsid w:val="008C7B13"/>
    <w:rsid w:val="008D09EB"/>
    <w:rsid w:val="008D1C9D"/>
    <w:rsid w:val="008D2387"/>
    <w:rsid w:val="008D23A0"/>
    <w:rsid w:val="008D4C3A"/>
    <w:rsid w:val="008D59F3"/>
    <w:rsid w:val="008D62B8"/>
    <w:rsid w:val="008D63D7"/>
    <w:rsid w:val="008D7449"/>
    <w:rsid w:val="008D777C"/>
    <w:rsid w:val="008D789A"/>
    <w:rsid w:val="008D7BC1"/>
    <w:rsid w:val="008D7F0E"/>
    <w:rsid w:val="008D7F38"/>
    <w:rsid w:val="008E00C5"/>
    <w:rsid w:val="008E072E"/>
    <w:rsid w:val="008E074C"/>
    <w:rsid w:val="008E101D"/>
    <w:rsid w:val="008E1021"/>
    <w:rsid w:val="008E18B8"/>
    <w:rsid w:val="008E1ED3"/>
    <w:rsid w:val="008E1EF1"/>
    <w:rsid w:val="008E2D5B"/>
    <w:rsid w:val="008E31F7"/>
    <w:rsid w:val="008E4364"/>
    <w:rsid w:val="008E47D3"/>
    <w:rsid w:val="008E4B3A"/>
    <w:rsid w:val="008E4EE5"/>
    <w:rsid w:val="008E540D"/>
    <w:rsid w:val="008E59DE"/>
    <w:rsid w:val="008E5B2E"/>
    <w:rsid w:val="008E6E9A"/>
    <w:rsid w:val="008E79C2"/>
    <w:rsid w:val="008E7ADF"/>
    <w:rsid w:val="008F042D"/>
    <w:rsid w:val="008F05F9"/>
    <w:rsid w:val="008F0BB3"/>
    <w:rsid w:val="008F1640"/>
    <w:rsid w:val="008F2789"/>
    <w:rsid w:val="008F384D"/>
    <w:rsid w:val="008F4570"/>
    <w:rsid w:val="008F45F9"/>
    <w:rsid w:val="008F582D"/>
    <w:rsid w:val="008F58C9"/>
    <w:rsid w:val="008F5B79"/>
    <w:rsid w:val="008F639B"/>
    <w:rsid w:val="008F6408"/>
    <w:rsid w:val="008F6482"/>
    <w:rsid w:val="008F720B"/>
    <w:rsid w:val="008F7460"/>
    <w:rsid w:val="008F7AFE"/>
    <w:rsid w:val="008F7BED"/>
    <w:rsid w:val="00900F6E"/>
    <w:rsid w:val="009018AE"/>
    <w:rsid w:val="00902F26"/>
    <w:rsid w:val="00903173"/>
    <w:rsid w:val="00903824"/>
    <w:rsid w:val="00903CE1"/>
    <w:rsid w:val="009043FB"/>
    <w:rsid w:val="0090485F"/>
    <w:rsid w:val="00905326"/>
    <w:rsid w:val="0090553F"/>
    <w:rsid w:val="00906030"/>
    <w:rsid w:val="0090634D"/>
    <w:rsid w:val="009063D2"/>
    <w:rsid w:val="00910288"/>
    <w:rsid w:val="00910CEB"/>
    <w:rsid w:val="009115A5"/>
    <w:rsid w:val="00911CF6"/>
    <w:rsid w:val="00916397"/>
    <w:rsid w:val="009212A7"/>
    <w:rsid w:val="009218B7"/>
    <w:rsid w:val="00922092"/>
    <w:rsid w:val="009222B4"/>
    <w:rsid w:val="0092276B"/>
    <w:rsid w:val="0092321C"/>
    <w:rsid w:val="009244B5"/>
    <w:rsid w:val="00924C96"/>
    <w:rsid w:val="00924D47"/>
    <w:rsid w:val="00925871"/>
    <w:rsid w:val="00926589"/>
    <w:rsid w:val="0092681C"/>
    <w:rsid w:val="009268B8"/>
    <w:rsid w:val="00927018"/>
    <w:rsid w:val="0092783D"/>
    <w:rsid w:val="0093112F"/>
    <w:rsid w:val="0093158F"/>
    <w:rsid w:val="00932A78"/>
    <w:rsid w:val="00933CD6"/>
    <w:rsid w:val="00934F21"/>
    <w:rsid w:val="0093543E"/>
    <w:rsid w:val="00935882"/>
    <w:rsid w:val="00936903"/>
    <w:rsid w:val="009370A5"/>
    <w:rsid w:val="00940376"/>
    <w:rsid w:val="00940765"/>
    <w:rsid w:val="0094153F"/>
    <w:rsid w:val="00942C6E"/>
    <w:rsid w:val="009435BD"/>
    <w:rsid w:val="009441BF"/>
    <w:rsid w:val="00944C38"/>
    <w:rsid w:val="00945C7A"/>
    <w:rsid w:val="00945DA2"/>
    <w:rsid w:val="00947544"/>
    <w:rsid w:val="00947741"/>
    <w:rsid w:val="009521C2"/>
    <w:rsid w:val="00953696"/>
    <w:rsid w:val="009539F0"/>
    <w:rsid w:val="00954027"/>
    <w:rsid w:val="009543AE"/>
    <w:rsid w:val="00954FB6"/>
    <w:rsid w:val="00955D9B"/>
    <w:rsid w:val="0095688B"/>
    <w:rsid w:val="00960A9B"/>
    <w:rsid w:val="009618E4"/>
    <w:rsid w:val="00962E4A"/>
    <w:rsid w:val="0096496A"/>
    <w:rsid w:val="00965165"/>
    <w:rsid w:val="00965931"/>
    <w:rsid w:val="009662D2"/>
    <w:rsid w:val="00966F53"/>
    <w:rsid w:val="009676AF"/>
    <w:rsid w:val="00967BC6"/>
    <w:rsid w:val="00967E03"/>
    <w:rsid w:val="0097022D"/>
    <w:rsid w:val="009725C4"/>
    <w:rsid w:val="00973159"/>
    <w:rsid w:val="009736F8"/>
    <w:rsid w:val="00973C2D"/>
    <w:rsid w:val="00974582"/>
    <w:rsid w:val="00974976"/>
    <w:rsid w:val="00974B4E"/>
    <w:rsid w:val="00974C98"/>
    <w:rsid w:val="00975310"/>
    <w:rsid w:val="00977578"/>
    <w:rsid w:val="009777FB"/>
    <w:rsid w:val="00981348"/>
    <w:rsid w:val="009813F7"/>
    <w:rsid w:val="0098158A"/>
    <w:rsid w:val="009830F3"/>
    <w:rsid w:val="00983FAA"/>
    <w:rsid w:val="00985094"/>
    <w:rsid w:val="009855C5"/>
    <w:rsid w:val="00985E78"/>
    <w:rsid w:val="0098645B"/>
    <w:rsid w:val="0098708E"/>
    <w:rsid w:val="009879EB"/>
    <w:rsid w:val="0099117B"/>
    <w:rsid w:val="0099172C"/>
    <w:rsid w:val="00992E08"/>
    <w:rsid w:val="0099629F"/>
    <w:rsid w:val="00996340"/>
    <w:rsid w:val="00997A14"/>
    <w:rsid w:val="009A05B5"/>
    <w:rsid w:val="009A12AA"/>
    <w:rsid w:val="009A15DD"/>
    <w:rsid w:val="009A1A54"/>
    <w:rsid w:val="009A1B94"/>
    <w:rsid w:val="009A2219"/>
    <w:rsid w:val="009A26AA"/>
    <w:rsid w:val="009A2B79"/>
    <w:rsid w:val="009A3055"/>
    <w:rsid w:val="009A3A03"/>
    <w:rsid w:val="009A46EE"/>
    <w:rsid w:val="009A4816"/>
    <w:rsid w:val="009A4AD9"/>
    <w:rsid w:val="009A4D60"/>
    <w:rsid w:val="009A521C"/>
    <w:rsid w:val="009A608C"/>
    <w:rsid w:val="009A6322"/>
    <w:rsid w:val="009A64FD"/>
    <w:rsid w:val="009A6875"/>
    <w:rsid w:val="009A7E57"/>
    <w:rsid w:val="009B0761"/>
    <w:rsid w:val="009B2174"/>
    <w:rsid w:val="009B28EF"/>
    <w:rsid w:val="009B4881"/>
    <w:rsid w:val="009B49AC"/>
    <w:rsid w:val="009B6450"/>
    <w:rsid w:val="009B69DF"/>
    <w:rsid w:val="009B6E01"/>
    <w:rsid w:val="009B79CD"/>
    <w:rsid w:val="009B79E0"/>
    <w:rsid w:val="009B7B4F"/>
    <w:rsid w:val="009C14D4"/>
    <w:rsid w:val="009C22F9"/>
    <w:rsid w:val="009C278C"/>
    <w:rsid w:val="009C2CEA"/>
    <w:rsid w:val="009C2F91"/>
    <w:rsid w:val="009C4729"/>
    <w:rsid w:val="009C53C2"/>
    <w:rsid w:val="009C548F"/>
    <w:rsid w:val="009C5AC7"/>
    <w:rsid w:val="009C5E5E"/>
    <w:rsid w:val="009C5E9F"/>
    <w:rsid w:val="009C5F1D"/>
    <w:rsid w:val="009D027F"/>
    <w:rsid w:val="009D092F"/>
    <w:rsid w:val="009D0BA6"/>
    <w:rsid w:val="009D114E"/>
    <w:rsid w:val="009D1D88"/>
    <w:rsid w:val="009D4461"/>
    <w:rsid w:val="009D4691"/>
    <w:rsid w:val="009D583E"/>
    <w:rsid w:val="009D588B"/>
    <w:rsid w:val="009D5911"/>
    <w:rsid w:val="009D5D6C"/>
    <w:rsid w:val="009D6109"/>
    <w:rsid w:val="009D6D92"/>
    <w:rsid w:val="009D6E50"/>
    <w:rsid w:val="009E012E"/>
    <w:rsid w:val="009E0423"/>
    <w:rsid w:val="009E048B"/>
    <w:rsid w:val="009E2FBA"/>
    <w:rsid w:val="009E311E"/>
    <w:rsid w:val="009E374D"/>
    <w:rsid w:val="009E4F68"/>
    <w:rsid w:val="009E5C25"/>
    <w:rsid w:val="009E6D66"/>
    <w:rsid w:val="009E7273"/>
    <w:rsid w:val="009E7660"/>
    <w:rsid w:val="009F0DE5"/>
    <w:rsid w:val="009F24C3"/>
    <w:rsid w:val="009F259D"/>
    <w:rsid w:val="009F2F89"/>
    <w:rsid w:val="009F30CD"/>
    <w:rsid w:val="009F3877"/>
    <w:rsid w:val="009F3E10"/>
    <w:rsid w:val="009F3E79"/>
    <w:rsid w:val="009F3EB8"/>
    <w:rsid w:val="009F45CC"/>
    <w:rsid w:val="009F5737"/>
    <w:rsid w:val="009F5F1E"/>
    <w:rsid w:val="009F67EE"/>
    <w:rsid w:val="009F69FF"/>
    <w:rsid w:val="009F74C9"/>
    <w:rsid w:val="009F77D2"/>
    <w:rsid w:val="009F7C5A"/>
    <w:rsid w:val="009F7C86"/>
    <w:rsid w:val="00A0078E"/>
    <w:rsid w:val="00A00DC7"/>
    <w:rsid w:val="00A01529"/>
    <w:rsid w:val="00A01979"/>
    <w:rsid w:val="00A01A8F"/>
    <w:rsid w:val="00A01E7A"/>
    <w:rsid w:val="00A02462"/>
    <w:rsid w:val="00A02F0D"/>
    <w:rsid w:val="00A03512"/>
    <w:rsid w:val="00A0379B"/>
    <w:rsid w:val="00A048F3"/>
    <w:rsid w:val="00A04D8E"/>
    <w:rsid w:val="00A0542F"/>
    <w:rsid w:val="00A05DC1"/>
    <w:rsid w:val="00A0648F"/>
    <w:rsid w:val="00A068B4"/>
    <w:rsid w:val="00A07269"/>
    <w:rsid w:val="00A07DFA"/>
    <w:rsid w:val="00A10227"/>
    <w:rsid w:val="00A11874"/>
    <w:rsid w:val="00A121AE"/>
    <w:rsid w:val="00A1225B"/>
    <w:rsid w:val="00A12337"/>
    <w:rsid w:val="00A12D91"/>
    <w:rsid w:val="00A136A4"/>
    <w:rsid w:val="00A142EF"/>
    <w:rsid w:val="00A1461C"/>
    <w:rsid w:val="00A14A4C"/>
    <w:rsid w:val="00A14B0D"/>
    <w:rsid w:val="00A14DB3"/>
    <w:rsid w:val="00A155A2"/>
    <w:rsid w:val="00A17DCA"/>
    <w:rsid w:val="00A209C3"/>
    <w:rsid w:val="00A20B01"/>
    <w:rsid w:val="00A20BA9"/>
    <w:rsid w:val="00A21D7F"/>
    <w:rsid w:val="00A21DC3"/>
    <w:rsid w:val="00A21E4C"/>
    <w:rsid w:val="00A22337"/>
    <w:rsid w:val="00A235ED"/>
    <w:rsid w:val="00A246EE"/>
    <w:rsid w:val="00A25179"/>
    <w:rsid w:val="00A2529C"/>
    <w:rsid w:val="00A26228"/>
    <w:rsid w:val="00A279DF"/>
    <w:rsid w:val="00A300C2"/>
    <w:rsid w:val="00A30149"/>
    <w:rsid w:val="00A30511"/>
    <w:rsid w:val="00A306A8"/>
    <w:rsid w:val="00A3140E"/>
    <w:rsid w:val="00A31745"/>
    <w:rsid w:val="00A3208D"/>
    <w:rsid w:val="00A3384B"/>
    <w:rsid w:val="00A3385D"/>
    <w:rsid w:val="00A33D1B"/>
    <w:rsid w:val="00A35521"/>
    <w:rsid w:val="00A3568A"/>
    <w:rsid w:val="00A35D70"/>
    <w:rsid w:val="00A363B4"/>
    <w:rsid w:val="00A373CE"/>
    <w:rsid w:val="00A37744"/>
    <w:rsid w:val="00A37C56"/>
    <w:rsid w:val="00A37FE6"/>
    <w:rsid w:val="00A40802"/>
    <w:rsid w:val="00A4086C"/>
    <w:rsid w:val="00A40A7B"/>
    <w:rsid w:val="00A42B83"/>
    <w:rsid w:val="00A43F4A"/>
    <w:rsid w:val="00A4529B"/>
    <w:rsid w:val="00A452BD"/>
    <w:rsid w:val="00A46A4C"/>
    <w:rsid w:val="00A46CCB"/>
    <w:rsid w:val="00A47455"/>
    <w:rsid w:val="00A50D90"/>
    <w:rsid w:val="00A51BB1"/>
    <w:rsid w:val="00A52106"/>
    <w:rsid w:val="00A5283A"/>
    <w:rsid w:val="00A52F14"/>
    <w:rsid w:val="00A53284"/>
    <w:rsid w:val="00A5379D"/>
    <w:rsid w:val="00A54794"/>
    <w:rsid w:val="00A5538E"/>
    <w:rsid w:val="00A55FFB"/>
    <w:rsid w:val="00A573FF"/>
    <w:rsid w:val="00A57708"/>
    <w:rsid w:val="00A57A07"/>
    <w:rsid w:val="00A6027E"/>
    <w:rsid w:val="00A60A73"/>
    <w:rsid w:val="00A60CCC"/>
    <w:rsid w:val="00A610C4"/>
    <w:rsid w:val="00A61CB7"/>
    <w:rsid w:val="00A62F2C"/>
    <w:rsid w:val="00A630C4"/>
    <w:rsid w:val="00A63B5F"/>
    <w:rsid w:val="00A63B7B"/>
    <w:rsid w:val="00A63DA9"/>
    <w:rsid w:val="00A63E20"/>
    <w:rsid w:val="00A64691"/>
    <w:rsid w:val="00A66343"/>
    <w:rsid w:val="00A67F6C"/>
    <w:rsid w:val="00A7020A"/>
    <w:rsid w:val="00A70308"/>
    <w:rsid w:val="00A703FB"/>
    <w:rsid w:val="00A7196E"/>
    <w:rsid w:val="00A71A27"/>
    <w:rsid w:val="00A7283D"/>
    <w:rsid w:val="00A72DF5"/>
    <w:rsid w:val="00A74744"/>
    <w:rsid w:val="00A74FFF"/>
    <w:rsid w:val="00A75ED7"/>
    <w:rsid w:val="00A75EE2"/>
    <w:rsid w:val="00A760C1"/>
    <w:rsid w:val="00A76AA4"/>
    <w:rsid w:val="00A76B23"/>
    <w:rsid w:val="00A77BBE"/>
    <w:rsid w:val="00A8032A"/>
    <w:rsid w:val="00A8097C"/>
    <w:rsid w:val="00A80A3B"/>
    <w:rsid w:val="00A82582"/>
    <w:rsid w:val="00A83F55"/>
    <w:rsid w:val="00A84D45"/>
    <w:rsid w:val="00A854CB"/>
    <w:rsid w:val="00A85DE5"/>
    <w:rsid w:val="00A86159"/>
    <w:rsid w:val="00A86E71"/>
    <w:rsid w:val="00A8741B"/>
    <w:rsid w:val="00A8776E"/>
    <w:rsid w:val="00A90BD6"/>
    <w:rsid w:val="00A9144F"/>
    <w:rsid w:val="00A924C1"/>
    <w:rsid w:val="00A92844"/>
    <w:rsid w:val="00A93036"/>
    <w:rsid w:val="00A9540C"/>
    <w:rsid w:val="00A95824"/>
    <w:rsid w:val="00A96163"/>
    <w:rsid w:val="00A965CF"/>
    <w:rsid w:val="00A96849"/>
    <w:rsid w:val="00A974A7"/>
    <w:rsid w:val="00A97608"/>
    <w:rsid w:val="00A97675"/>
    <w:rsid w:val="00A97F9C"/>
    <w:rsid w:val="00AA1354"/>
    <w:rsid w:val="00AA1C06"/>
    <w:rsid w:val="00AA2A3D"/>
    <w:rsid w:val="00AA3111"/>
    <w:rsid w:val="00AA4532"/>
    <w:rsid w:val="00AA51A1"/>
    <w:rsid w:val="00AA5596"/>
    <w:rsid w:val="00AA5791"/>
    <w:rsid w:val="00AA59DE"/>
    <w:rsid w:val="00AA5C48"/>
    <w:rsid w:val="00AA5EF1"/>
    <w:rsid w:val="00AA6475"/>
    <w:rsid w:val="00AA7ACB"/>
    <w:rsid w:val="00AB0828"/>
    <w:rsid w:val="00AB086E"/>
    <w:rsid w:val="00AB133D"/>
    <w:rsid w:val="00AB1FD7"/>
    <w:rsid w:val="00AB27A3"/>
    <w:rsid w:val="00AB288B"/>
    <w:rsid w:val="00AB2E0C"/>
    <w:rsid w:val="00AB3EF3"/>
    <w:rsid w:val="00AB4605"/>
    <w:rsid w:val="00AB464D"/>
    <w:rsid w:val="00AB47F5"/>
    <w:rsid w:val="00AB5518"/>
    <w:rsid w:val="00AB5BFA"/>
    <w:rsid w:val="00AB64D5"/>
    <w:rsid w:val="00AB6CE4"/>
    <w:rsid w:val="00AB7799"/>
    <w:rsid w:val="00AC08BA"/>
    <w:rsid w:val="00AC0F45"/>
    <w:rsid w:val="00AC26EB"/>
    <w:rsid w:val="00AC2BFF"/>
    <w:rsid w:val="00AC2E2D"/>
    <w:rsid w:val="00AC3EF6"/>
    <w:rsid w:val="00AC41DE"/>
    <w:rsid w:val="00AC4464"/>
    <w:rsid w:val="00AC5F9D"/>
    <w:rsid w:val="00AC79F1"/>
    <w:rsid w:val="00AC7C4E"/>
    <w:rsid w:val="00AC7FAC"/>
    <w:rsid w:val="00AD08A4"/>
    <w:rsid w:val="00AD17C6"/>
    <w:rsid w:val="00AD1BBB"/>
    <w:rsid w:val="00AD1DCC"/>
    <w:rsid w:val="00AD3789"/>
    <w:rsid w:val="00AD45CC"/>
    <w:rsid w:val="00AD4ED9"/>
    <w:rsid w:val="00AD60BF"/>
    <w:rsid w:val="00AD72F1"/>
    <w:rsid w:val="00AD795C"/>
    <w:rsid w:val="00AE08B3"/>
    <w:rsid w:val="00AE19D7"/>
    <w:rsid w:val="00AE1F64"/>
    <w:rsid w:val="00AE207A"/>
    <w:rsid w:val="00AE3298"/>
    <w:rsid w:val="00AE3845"/>
    <w:rsid w:val="00AE4F9C"/>
    <w:rsid w:val="00AE51E7"/>
    <w:rsid w:val="00AE5BB6"/>
    <w:rsid w:val="00AE5FC2"/>
    <w:rsid w:val="00AE63C8"/>
    <w:rsid w:val="00AE7A20"/>
    <w:rsid w:val="00AF059C"/>
    <w:rsid w:val="00AF2011"/>
    <w:rsid w:val="00AF2B39"/>
    <w:rsid w:val="00AF2BAD"/>
    <w:rsid w:val="00AF2D82"/>
    <w:rsid w:val="00AF315A"/>
    <w:rsid w:val="00AF3ABD"/>
    <w:rsid w:val="00AF4850"/>
    <w:rsid w:val="00AF5826"/>
    <w:rsid w:val="00AF5EA5"/>
    <w:rsid w:val="00AF6407"/>
    <w:rsid w:val="00AF68D4"/>
    <w:rsid w:val="00AF78B3"/>
    <w:rsid w:val="00B00237"/>
    <w:rsid w:val="00B004C6"/>
    <w:rsid w:val="00B0137E"/>
    <w:rsid w:val="00B018FE"/>
    <w:rsid w:val="00B01A4A"/>
    <w:rsid w:val="00B01C3A"/>
    <w:rsid w:val="00B03033"/>
    <w:rsid w:val="00B03314"/>
    <w:rsid w:val="00B045CD"/>
    <w:rsid w:val="00B055EB"/>
    <w:rsid w:val="00B05962"/>
    <w:rsid w:val="00B07527"/>
    <w:rsid w:val="00B076EA"/>
    <w:rsid w:val="00B077AC"/>
    <w:rsid w:val="00B118DB"/>
    <w:rsid w:val="00B11F61"/>
    <w:rsid w:val="00B1353E"/>
    <w:rsid w:val="00B140C6"/>
    <w:rsid w:val="00B14FC9"/>
    <w:rsid w:val="00B15A0B"/>
    <w:rsid w:val="00B15D4F"/>
    <w:rsid w:val="00B1763A"/>
    <w:rsid w:val="00B17BD0"/>
    <w:rsid w:val="00B17D38"/>
    <w:rsid w:val="00B20024"/>
    <w:rsid w:val="00B205AA"/>
    <w:rsid w:val="00B20864"/>
    <w:rsid w:val="00B209ED"/>
    <w:rsid w:val="00B21814"/>
    <w:rsid w:val="00B2314B"/>
    <w:rsid w:val="00B2482A"/>
    <w:rsid w:val="00B26009"/>
    <w:rsid w:val="00B26246"/>
    <w:rsid w:val="00B2693B"/>
    <w:rsid w:val="00B26CD2"/>
    <w:rsid w:val="00B31ABC"/>
    <w:rsid w:val="00B320C7"/>
    <w:rsid w:val="00B33A48"/>
    <w:rsid w:val="00B33FA6"/>
    <w:rsid w:val="00B34475"/>
    <w:rsid w:val="00B3459D"/>
    <w:rsid w:val="00B35C94"/>
    <w:rsid w:val="00B35FD4"/>
    <w:rsid w:val="00B3798B"/>
    <w:rsid w:val="00B37A5A"/>
    <w:rsid w:val="00B400DB"/>
    <w:rsid w:val="00B40A51"/>
    <w:rsid w:val="00B40D49"/>
    <w:rsid w:val="00B4196E"/>
    <w:rsid w:val="00B41B12"/>
    <w:rsid w:val="00B427E2"/>
    <w:rsid w:val="00B4428B"/>
    <w:rsid w:val="00B44803"/>
    <w:rsid w:val="00B44E6E"/>
    <w:rsid w:val="00B456EA"/>
    <w:rsid w:val="00B46098"/>
    <w:rsid w:val="00B47A84"/>
    <w:rsid w:val="00B47E57"/>
    <w:rsid w:val="00B501F2"/>
    <w:rsid w:val="00B508A1"/>
    <w:rsid w:val="00B5135B"/>
    <w:rsid w:val="00B52D05"/>
    <w:rsid w:val="00B52D33"/>
    <w:rsid w:val="00B53419"/>
    <w:rsid w:val="00B53A59"/>
    <w:rsid w:val="00B53CC4"/>
    <w:rsid w:val="00B53D9C"/>
    <w:rsid w:val="00B53F6E"/>
    <w:rsid w:val="00B5470B"/>
    <w:rsid w:val="00B54D62"/>
    <w:rsid w:val="00B55065"/>
    <w:rsid w:val="00B579D3"/>
    <w:rsid w:val="00B579F0"/>
    <w:rsid w:val="00B579F1"/>
    <w:rsid w:val="00B57A5A"/>
    <w:rsid w:val="00B603B9"/>
    <w:rsid w:val="00B6043A"/>
    <w:rsid w:val="00B6062F"/>
    <w:rsid w:val="00B62B87"/>
    <w:rsid w:val="00B63250"/>
    <w:rsid w:val="00B63333"/>
    <w:rsid w:val="00B63917"/>
    <w:rsid w:val="00B63C32"/>
    <w:rsid w:val="00B64221"/>
    <w:rsid w:val="00B662A8"/>
    <w:rsid w:val="00B66BC9"/>
    <w:rsid w:val="00B672ED"/>
    <w:rsid w:val="00B67C8E"/>
    <w:rsid w:val="00B70497"/>
    <w:rsid w:val="00B70754"/>
    <w:rsid w:val="00B70EB4"/>
    <w:rsid w:val="00B70F63"/>
    <w:rsid w:val="00B713CF"/>
    <w:rsid w:val="00B71617"/>
    <w:rsid w:val="00B721CF"/>
    <w:rsid w:val="00B72688"/>
    <w:rsid w:val="00B73A28"/>
    <w:rsid w:val="00B74150"/>
    <w:rsid w:val="00B744CC"/>
    <w:rsid w:val="00B747F6"/>
    <w:rsid w:val="00B75D22"/>
    <w:rsid w:val="00B760E5"/>
    <w:rsid w:val="00B7684B"/>
    <w:rsid w:val="00B76C96"/>
    <w:rsid w:val="00B7756F"/>
    <w:rsid w:val="00B801D6"/>
    <w:rsid w:val="00B806AF"/>
    <w:rsid w:val="00B80C95"/>
    <w:rsid w:val="00B8128D"/>
    <w:rsid w:val="00B8251C"/>
    <w:rsid w:val="00B82E72"/>
    <w:rsid w:val="00B82F22"/>
    <w:rsid w:val="00B83728"/>
    <w:rsid w:val="00B83762"/>
    <w:rsid w:val="00B839BC"/>
    <w:rsid w:val="00B84C19"/>
    <w:rsid w:val="00B85B2A"/>
    <w:rsid w:val="00B85B57"/>
    <w:rsid w:val="00B85FC0"/>
    <w:rsid w:val="00B861CB"/>
    <w:rsid w:val="00B8734A"/>
    <w:rsid w:val="00B87F1A"/>
    <w:rsid w:val="00B90F59"/>
    <w:rsid w:val="00B913A7"/>
    <w:rsid w:val="00B92D00"/>
    <w:rsid w:val="00B92D81"/>
    <w:rsid w:val="00B92EB1"/>
    <w:rsid w:val="00B93841"/>
    <w:rsid w:val="00B94551"/>
    <w:rsid w:val="00B954EA"/>
    <w:rsid w:val="00B9580B"/>
    <w:rsid w:val="00B95E92"/>
    <w:rsid w:val="00B97861"/>
    <w:rsid w:val="00BA0795"/>
    <w:rsid w:val="00BA146E"/>
    <w:rsid w:val="00BA157C"/>
    <w:rsid w:val="00BA390C"/>
    <w:rsid w:val="00BA3EAC"/>
    <w:rsid w:val="00BA3F6D"/>
    <w:rsid w:val="00BA498A"/>
    <w:rsid w:val="00BA4CAF"/>
    <w:rsid w:val="00BA58D9"/>
    <w:rsid w:val="00BA65C6"/>
    <w:rsid w:val="00BA687C"/>
    <w:rsid w:val="00BA7CFE"/>
    <w:rsid w:val="00BB002A"/>
    <w:rsid w:val="00BB0D70"/>
    <w:rsid w:val="00BB0D78"/>
    <w:rsid w:val="00BB1769"/>
    <w:rsid w:val="00BB1A53"/>
    <w:rsid w:val="00BB2DE9"/>
    <w:rsid w:val="00BB2F54"/>
    <w:rsid w:val="00BB3173"/>
    <w:rsid w:val="00BB31BF"/>
    <w:rsid w:val="00BB369D"/>
    <w:rsid w:val="00BB456D"/>
    <w:rsid w:val="00BB48DF"/>
    <w:rsid w:val="00BB69DC"/>
    <w:rsid w:val="00BC0250"/>
    <w:rsid w:val="00BC0E5D"/>
    <w:rsid w:val="00BC1619"/>
    <w:rsid w:val="00BC18DF"/>
    <w:rsid w:val="00BC198F"/>
    <w:rsid w:val="00BC2455"/>
    <w:rsid w:val="00BC30AA"/>
    <w:rsid w:val="00BC34BE"/>
    <w:rsid w:val="00BC43DF"/>
    <w:rsid w:val="00BC4469"/>
    <w:rsid w:val="00BC534C"/>
    <w:rsid w:val="00BC5814"/>
    <w:rsid w:val="00BC763A"/>
    <w:rsid w:val="00BD12A6"/>
    <w:rsid w:val="00BD186B"/>
    <w:rsid w:val="00BD28AC"/>
    <w:rsid w:val="00BD2C64"/>
    <w:rsid w:val="00BD35C6"/>
    <w:rsid w:val="00BD3B20"/>
    <w:rsid w:val="00BD3B79"/>
    <w:rsid w:val="00BD417F"/>
    <w:rsid w:val="00BD48D6"/>
    <w:rsid w:val="00BD4CC5"/>
    <w:rsid w:val="00BD599E"/>
    <w:rsid w:val="00BD6F45"/>
    <w:rsid w:val="00BD74FD"/>
    <w:rsid w:val="00BD7506"/>
    <w:rsid w:val="00BD7F2B"/>
    <w:rsid w:val="00BE0095"/>
    <w:rsid w:val="00BE32A0"/>
    <w:rsid w:val="00BE39A5"/>
    <w:rsid w:val="00BE3C09"/>
    <w:rsid w:val="00BE3C97"/>
    <w:rsid w:val="00BE416D"/>
    <w:rsid w:val="00BE57D1"/>
    <w:rsid w:val="00BE5C71"/>
    <w:rsid w:val="00BE628E"/>
    <w:rsid w:val="00BE658D"/>
    <w:rsid w:val="00BE661F"/>
    <w:rsid w:val="00BE665D"/>
    <w:rsid w:val="00BF0F0C"/>
    <w:rsid w:val="00BF17D3"/>
    <w:rsid w:val="00BF192F"/>
    <w:rsid w:val="00BF1EBB"/>
    <w:rsid w:val="00BF2B6B"/>
    <w:rsid w:val="00BF34DF"/>
    <w:rsid w:val="00BF3E6E"/>
    <w:rsid w:val="00BF52DC"/>
    <w:rsid w:val="00BF5592"/>
    <w:rsid w:val="00BF55B2"/>
    <w:rsid w:val="00BF5645"/>
    <w:rsid w:val="00BF7020"/>
    <w:rsid w:val="00BF72CA"/>
    <w:rsid w:val="00C00AAD"/>
    <w:rsid w:val="00C00CEE"/>
    <w:rsid w:val="00C01296"/>
    <w:rsid w:val="00C01A04"/>
    <w:rsid w:val="00C01CD2"/>
    <w:rsid w:val="00C01DD8"/>
    <w:rsid w:val="00C02E6C"/>
    <w:rsid w:val="00C033E1"/>
    <w:rsid w:val="00C04424"/>
    <w:rsid w:val="00C05E9A"/>
    <w:rsid w:val="00C06005"/>
    <w:rsid w:val="00C11728"/>
    <w:rsid w:val="00C1212B"/>
    <w:rsid w:val="00C12447"/>
    <w:rsid w:val="00C12B81"/>
    <w:rsid w:val="00C1322C"/>
    <w:rsid w:val="00C13AAC"/>
    <w:rsid w:val="00C14897"/>
    <w:rsid w:val="00C14B92"/>
    <w:rsid w:val="00C1544F"/>
    <w:rsid w:val="00C15724"/>
    <w:rsid w:val="00C15DC4"/>
    <w:rsid w:val="00C15ED2"/>
    <w:rsid w:val="00C1766B"/>
    <w:rsid w:val="00C1770E"/>
    <w:rsid w:val="00C177BC"/>
    <w:rsid w:val="00C21B5E"/>
    <w:rsid w:val="00C21B7F"/>
    <w:rsid w:val="00C2220F"/>
    <w:rsid w:val="00C22403"/>
    <w:rsid w:val="00C23DD1"/>
    <w:rsid w:val="00C23E9F"/>
    <w:rsid w:val="00C240CB"/>
    <w:rsid w:val="00C2457D"/>
    <w:rsid w:val="00C24F28"/>
    <w:rsid w:val="00C2515E"/>
    <w:rsid w:val="00C25CF6"/>
    <w:rsid w:val="00C26A85"/>
    <w:rsid w:val="00C277C9"/>
    <w:rsid w:val="00C30164"/>
    <w:rsid w:val="00C30E28"/>
    <w:rsid w:val="00C320DC"/>
    <w:rsid w:val="00C321AC"/>
    <w:rsid w:val="00C32318"/>
    <w:rsid w:val="00C327EF"/>
    <w:rsid w:val="00C32940"/>
    <w:rsid w:val="00C34529"/>
    <w:rsid w:val="00C35ABF"/>
    <w:rsid w:val="00C364CC"/>
    <w:rsid w:val="00C37396"/>
    <w:rsid w:val="00C37416"/>
    <w:rsid w:val="00C4083B"/>
    <w:rsid w:val="00C416CD"/>
    <w:rsid w:val="00C41F6C"/>
    <w:rsid w:val="00C43369"/>
    <w:rsid w:val="00C43777"/>
    <w:rsid w:val="00C44737"/>
    <w:rsid w:val="00C44962"/>
    <w:rsid w:val="00C45849"/>
    <w:rsid w:val="00C46854"/>
    <w:rsid w:val="00C473CB"/>
    <w:rsid w:val="00C4757D"/>
    <w:rsid w:val="00C476E7"/>
    <w:rsid w:val="00C47A7A"/>
    <w:rsid w:val="00C47E5C"/>
    <w:rsid w:val="00C507C1"/>
    <w:rsid w:val="00C522DE"/>
    <w:rsid w:val="00C54504"/>
    <w:rsid w:val="00C548E6"/>
    <w:rsid w:val="00C54D51"/>
    <w:rsid w:val="00C55937"/>
    <w:rsid w:val="00C559FC"/>
    <w:rsid w:val="00C5663E"/>
    <w:rsid w:val="00C56756"/>
    <w:rsid w:val="00C5680F"/>
    <w:rsid w:val="00C578F3"/>
    <w:rsid w:val="00C6010B"/>
    <w:rsid w:val="00C6014A"/>
    <w:rsid w:val="00C61284"/>
    <w:rsid w:val="00C61AD7"/>
    <w:rsid w:val="00C62AB6"/>
    <w:rsid w:val="00C62EB0"/>
    <w:rsid w:val="00C633CB"/>
    <w:rsid w:val="00C63BB9"/>
    <w:rsid w:val="00C63CD4"/>
    <w:rsid w:val="00C64233"/>
    <w:rsid w:val="00C64A7F"/>
    <w:rsid w:val="00C64B5B"/>
    <w:rsid w:val="00C6620D"/>
    <w:rsid w:val="00C66291"/>
    <w:rsid w:val="00C66379"/>
    <w:rsid w:val="00C66A62"/>
    <w:rsid w:val="00C66BAE"/>
    <w:rsid w:val="00C66C00"/>
    <w:rsid w:val="00C6792D"/>
    <w:rsid w:val="00C700BF"/>
    <w:rsid w:val="00C706E5"/>
    <w:rsid w:val="00C71FA4"/>
    <w:rsid w:val="00C74200"/>
    <w:rsid w:val="00C7523E"/>
    <w:rsid w:val="00C754A7"/>
    <w:rsid w:val="00C76279"/>
    <w:rsid w:val="00C765E1"/>
    <w:rsid w:val="00C770A0"/>
    <w:rsid w:val="00C8033F"/>
    <w:rsid w:val="00C80AD8"/>
    <w:rsid w:val="00C80B81"/>
    <w:rsid w:val="00C80B9E"/>
    <w:rsid w:val="00C80E0B"/>
    <w:rsid w:val="00C8182C"/>
    <w:rsid w:val="00C82114"/>
    <w:rsid w:val="00C84543"/>
    <w:rsid w:val="00C85A84"/>
    <w:rsid w:val="00C86F15"/>
    <w:rsid w:val="00C87706"/>
    <w:rsid w:val="00C87802"/>
    <w:rsid w:val="00C87AE0"/>
    <w:rsid w:val="00C906CF"/>
    <w:rsid w:val="00C90D69"/>
    <w:rsid w:val="00C91750"/>
    <w:rsid w:val="00C91824"/>
    <w:rsid w:val="00C91AB0"/>
    <w:rsid w:val="00C91C67"/>
    <w:rsid w:val="00C925CD"/>
    <w:rsid w:val="00C9279C"/>
    <w:rsid w:val="00C9289F"/>
    <w:rsid w:val="00C92923"/>
    <w:rsid w:val="00C940DF"/>
    <w:rsid w:val="00C94324"/>
    <w:rsid w:val="00C945A3"/>
    <w:rsid w:val="00C947F7"/>
    <w:rsid w:val="00C94D76"/>
    <w:rsid w:val="00C954F5"/>
    <w:rsid w:val="00C95B44"/>
    <w:rsid w:val="00C95FAF"/>
    <w:rsid w:val="00C9602F"/>
    <w:rsid w:val="00C965C1"/>
    <w:rsid w:val="00C96845"/>
    <w:rsid w:val="00C9685E"/>
    <w:rsid w:val="00C9730E"/>
    <w:rsid w:val="00C973F6"/>
    <w:rsid w:val="00C974D7"/>
    <w:rsid w:val="00CA19C8"/>
    <w:rsid w:val="00CA2BAE"/>
    <w:rsid w:val="00CA3F6D"/>
    <w:rsid w:val="00CA4255"/>
    <w:rsid w:val="00CA42D8"/>
    <w:rsid w:val="00CA48C9"/>
    <w:rsid w:val="00CA4AAE"/>
    <w:rsid w:val="00CA5514"/>
    <w:rsid w:val="00CA5C78"/>
    <w:rsid w:val="00CA60C4"/>
    <w:rsid w:val="00CA6102"/>
    <w:rsid w:val="00CA6792"/>
    <w:rsid w:val="00CA7040"/>
    <w:rsid w:val="00CA7110"/>
    <w:rsid w:val="00CA758B"/>
    <w:rsid w:val="00CA7612"/>
    <w:rsid w:val="00CB0805"/>
    <w:rsid w:val="00CB1C52"/>
    <w:rsid w:val="00CB29A4"/>
    <w:rsid w:val="00CB29DA"/>
    <w:rsid w:val="00CB2A6C"/>
    <w:rsid w:val="00CB39E0"/>
    <w:rsid w:val="00CB3A6A"/>
    <w:rsid w:val="00CB422D"/>
    <w:rsid w:val="00CB50A4"/>
    <w:rsid w:val="00CB526A"/>
    <w:rsid w:val="00CB52AF"/>
    <w:rsid w:val="00CB612C"/>
    <w:rsid w:val="00CB66A4"/>
    <w:rsid w:val="00CB674E"/>
    <w:rsid w:val="00CB7D14"/>
    <w:rsid w:val="00CC10C9"/>
    <w:rsid w:val="00CC1367"/>
    <w:rsid w:val="00CC13F6"/>
    <w:rsid w:val="00CC3025"/>
    <w:rsid w:val="00CC30DA"/>
    <w:rsid w:val="00CC334E"/>
    <w:rsid w:val="00CC338A"/>
    <w:rsid w:val="00CC4AF4"/>
    <w:rsid w:val="00CC4E10"/>
    <w:rsid w:val="00CC56A9"/>
    <w:rsid w:val="00CC5E96"/>
    <w:rsid w:val="00CC5F57"/>
    <w:rsid w:val="00CC74DF"/>
    <w:rsid w:val="00CD0A7B"/>
    <w:rsid w:val="00CD0B79"/>
    <w:rsid w:val="00CD1365"/>
    <w:rsid w:val="00CD2C04"/>
    <w:rsid w:val="00CD2C63"/>
    <w:rsid w:val="00CD5476"/>
    <w:rsid w:val="00CD63D4"/>
    <w:rsid w:val="00CD678E"/>
    <w:rsid w:val="00CD680F"/>
    <w:rsid w:val="00CD7987"/>
    <w:rsid w:val="00CE038A"/>
    <w:rsid w:val="00CE051A"/>
    <w:rsid w:val="00CE1136"/>
    <w:rsid w:val="00CE26E9"/>
    <w:rsid w:val="00CE39AD"/>
    <w:rsid w:val="00CE4C3B"/>
    <w:rsid w:val="00CE57ED"/>
    <w:rsid w:val="00CE593B"/>
    <w:rsid w:val="00CE685C"/>
    <w:rsid w:val="00CE7138"/>
    <w:rsid w:val="00CE7A9A"/>
    <w:rsid w:val="00CF005F"/>
    <w:rsid w:val="00CF0060"/>
    <w:rsid w:val="00CF010A"/>
    <w:rsid w:val="00CF031F"/>
    <w:rsid w:val="00CF0CEF"/>
    <w:rsid w:val="00CF1B3A"/>
    <w:rsid w:val="00CF28A8"/>
    <w:rsid w:val="00CF4117"/>
    <w:rsid w:val="00CF4CF4"/>
    <w:rsid w:val="00CF57DC"/>
    <w:rsid w:val="00CF5B4E"/>
    <w:rsid w:val="00CF5C33"/>
    <w:rsid w:val="00CF7BEA"/>
    <w:rsid w:val="00D0023A"/>
    <w:rsid w:val="00D0181E"/>
    <w:rsid w:val="00D01A84"/>
    <w:rsid w:val="00D035F9"/>
    <w:rsid w:val="00D0412B"/>
    <w:rsid w:val="00D049D1"/>
    <w:rsid w:val="00D04B87"/>
    <w:rsid w:val="00D0605E"/>
    <w:rsid w:val="00D06618"/>
    <w:rsid w:val="00D0685B"/>
    <w:rsid w:val="00D07EBD"/>
    <w:rsid w:val="00D105EE"/>
    <w:rsid w:val="00D108D5"/>
    <w:rsid w:val="00D11383"/>
    <w:rsid w:val="00D12C2F"/>
    <w:rsid w:val="00D12DA5"/>
    <w:rsid w:val="00D13A3E"/>
    <w:rsid w:val="00D13D1D"/>
    <w:rsid w:val="00D13E16"/>
    <w:rsid w:val="00D1418E"/>
    <w:rsid w:val="00D14CC7"/>
    <w:rsid w:val="00D15612"/>
    <w:rsid w:val="00D15EB0"/>
    <w:rsid w:val="00D165B7"/>
    <w:rsid w:val="00D17446"/>
    <w:rsid w:val="00D1745E"/>
    <w:rsid w:val="00D17810"/>
    <w:rsid w:val="00D21477"/>
    <w:rsid w:val="00D21652"/>
    <w:rsid w:val="00D21A2A"/>
    <w:rsid w:val="00D21FDF"/>
    <w:rsid w:val="00D22319"/>
    <w:rsid w:val="00D22AFD"/>
    <w:rsid w:val="00D235A8"/>
    <w:rsid w:val="00D23638"/>
    <w:rsid w:val="00D24C84"/>
    <w:rsid w:val="00D255C2"/>
    <w:rsid w:val="00D25BDA"/>
    <w:rsid w:val="00D27080"/>
    <w:rsid w:val="00D272B7"/>
    <w:rsid w:val="00D3004E"/>
    <w:rsid w:val="00D303EB"/>
    <w:rsid w:val="00D317E4"/>
    <w:rsid w:val="00D318A0"/>
    <w:rsid w:val="00D31946"/>
    <w:rsid w:val="00D3390D"/>
    <w:rsid w:val="00D34CF9"/>
    <w:rsid w:val="00D357BA"/>
    <w:rsid w:val="00D3581E"/>
    <w:rsid w:val="00D35A3A"/>
    <w:rsid w:val="00D35AA5"/>
    <w:rsid w:val="00D36454"/>
    <w:rsid w:val="00D368B6"/>
    <w:rsid w:val="00D36D09"/>
    <w:rsid w:val="00D37740"/>
    <w:rsid w:val="00D40060"/>
    <w:rsid w:val="00D408D5"/>
    <w:rsid w:val="00D40AF7"/>
    <w:rsid w:val="00D40F1E"/>
    <w:rsid w:val="00D41016"/>
    <w:rsid w:val="00D41380"/>
    <w:rsid w:val="00D43296"/>
    <w:rsid w:val="00D438A7"/>
    <w:rsid w:val="00D439EF"/>
    <w:rsid w:val="00D44885"/>
    <w:rsid w:val="00D44C26"/>
    <w:rsid w:val="00D451EF"/>
    <w:rsid w:val="00D45281"/>
    <w:rsid w:val="00D455F3"/>
    <w:rsid w:val="00D4591B"/>
    <w:rsid w:val="00D45E7C"/>
    <w:rsid w:val="00D460A2"/>
    <w:rsid w:val="00D469A6"/>
    <w:rsid w:val="00D46BA3"/>
    <w:rsid w:val="00D46D3B"/>
    <w:rsid w:val="00D475F5"/>
    <w:rsid w:val="00D50D85"/>
    <w:rsid w:val="00D51027"/>
    <w:rsid w:val="00D519D8"/>
    <w:rsid w:val="00D519DD"/>
    <w:rsid w:val="00D51B1B"/>
    <w:rsid w:val="00D51C70"/>
    <w:rsid w:val="00D51CCF"/>
    <w:rsid w:val="00D52CF6"/>
    <w:rsid w:val="00D535FD"/>
    <w:rsid w:val="00D536C4"/>
    <w:rsid w:val="00D56605"/>
    <w:rsid w:val="00D5677E"/>
    <w:rsid w:val="00D601ED"/>
    <w:rsid w:val="00D60390"/>
    <w:rsid w:val="00D60E77"/>
    <w:rsid w:val="00D61BE5"/>
    <w:rsid w:val="00D64478"/>
    <w:rsid w:val="00D647D1"/>
    <w:rsid w:val="00D64BA9"/>
    <w:rsid w:val="00D6671B"/>
    <w:rsid w:val="00D66EEA"/>
    <w:rsid w:val="00D67F3B"/>
    <w:rsid w:val="00D717A0"/>
    <w:rsid w:val="00D71D04"/>
    <w:rsid w:val="00D731B7"/>
    <w:rsid w:val="00D736A2"/>
    <w:rsid w:val="00D738A3"/>
    <w:rsid w:val="00D73C00"/>
    <w:rsid w:val="00D745E7"/>
    <w:rsid w:val="00D75116"/>
    <w:rsid w:val="00D75161"/>
    <w:rsid w:val="00D754A8"/>
    <w:rsid w:val="00D76E0D"/>
    <w:rsid w:val="00D76FE6"/>
    <w:rsid w:val="00D8048B"/>
    <w:rsid w:val="00D804E3"/>
    <w:rsid w:val="00D80604"/>
    <w:rsid w:val="00D8106B"/>
    <w:rsid w:val="00D81DC2"/>
    <w:rsid w:val="00D824B9"/>
    <w:rsid w:val="00D82C26"/>
    <w:rsid w:val="00D84853"/>
    <w:rsid w:val="00D851BE"/>
    <w:rsid w:val="00D869EB"/>
    <w:rsid w:val="00D86B10"/>
    <w:rsid w:val="00D90CA4"/>
    <w:rsid w:val="00D90EC7"/>
    <w:rsid w:val="00D90F4C"/>
    <w:rsid w:val="00D92EFF"/>
    <w:rsid w:val="00D9382C"/>
    <w:rsid w:val="00D93845"/>
    <w:rsid w:val="00D93A49"/>
    <w:rsid w:val="00D93A5B"/>
    <w:rsid w:val="00D93E3A"/>
    <w:rsid w:val="00D9436E"/>
    <w:rsid w:val="00D95CE5"/>
    <w:rsid w:val="00D9742C"/>
    <w:rsid w:val="00D9799A"/>
    <w:rsid w:val="00D97A8F"/>
    <w:rsid w:val="00DA0336"/>
    <w:rsid w:val="00DA0AC9"/>
    <w:rsid w:val="00DA169D"/>
    <w:rsid w:val="00DA198B"/>
    <w:rsid w:val="00DA1F74"/>
    <w:rsid w:val="00DA332E"/>
    <w:rsid w:val="00DA4CCD"/>
    <w:rsid w:val="00DA5A38"/>
    <w:rsid w:val="00DA5B8C"/>
    <w:rsid w:val="00DA695E"/>
    <w:rsid w:val="00DA6BFE"/>
    <w:rsid w:val="00DA7DA8"/>
    <w:rsid w:val="00DB0148"/>
    <w:rsid w:val="00DB04E1"/>
    <w:rsid w:val="00DB21F2"/>
    <w:rsid w:val="00DB2A78"/>
    <w:rsid w:val="00DB3AC9"/>
    <w:rsid w:val="00DB3DBB"/>
    <w:rsid w:val="00DB6B35"/>
    <w:rsid w:val="00DB6F65"/>
    <w:rsid w:val="00DB7207"/>
    <w:rsid w:val="00DB7BFE"/>
    <w:rsid w:val="00DC02FB"/>
    <w:rsid w:val="00DC1728"/>
    <w:rsid w:val="00DC1B68"/>
    <w:rsid w:val="00DC21BD"/>
    <w:rsid w:val="00DC2AED"/>
    <w:rsid w:val="00DC3D6F"/>
    <w:rsid w:val="00DC3ED5"/>
    <w:rsid w:val="00DC4768"/>
    <w:rsid w:val="00DC4D6C"/>
    <w:rsid w:val="00DC5A1C"/>
    <w:rsid w:val="00DC6820"/>
    <w:rsid w:val="00DC6AA6"/>
    <w:rsid w:val="00DC6BC0"/>
    <w:rsid w:val="00DD0415"/>
    <w:rsid w:val="00DD0968"/>
    <w:rsid w:val="00DD0A0D"/>
    <w:rsid w:val="00DD2896"/>
    <w:rsid w:val="00DD3633"/>
    <w:rsid w:val="00DD3914"/>
    <w:rsid w:val="00DD43B2"/>
    <w:rsid w:val="00DD4445"/>
    <w:rsid w:val="00DD4D92"/>
    <w:rsid w:val="00DD51E4"/>
    <w:rsid w:val="00DD6ACA"/>
    <w:rsid w:val="00DE041D"/>
    <w:rsid w:val="00DE0643"/>
    <w:rsid w:val="00DE0708"/>
    <w:rsid w:val="00DE184F"/>
    <w:rsid w:val="00DE3850"/>
    <w:rsid w:val="00DE47F7"/>
    <w:rsid w:val="00DE483E"/>
    <w:rsid w:val="00DE4F1F"/>
    <w:rsid w:val="00DE530C"/>
    <w:rsid w:val="00DE6F89"/>
    <w:rsid w:val="00DE706C"/>
    <w:rsid w:val="00DE7755"/>
    <w:rsid w:val="00DF0473"/>
    <w:rsid w:val="00DF06C4"/>
    <w:rsid w:val="00DF42D7"/>
    <w:rsid w:val="00DF435A"/>
    <w:rsid w:val="00DF43A4"/>
    <w:rsid w:val="00DF4B7B"/>
    <w:rsid w:val="00DF4BCC"/>
    <w:rsid w:val="00DF4C64"/>
    <w:rsid w:val="00DF618C"/>
    <w:rsid w:val="00E001D2"/>
    <w:rsid w:val="00E002EB"/>
    <w:rsid w:val="00E0058A"/>
    <w:rsid w:val="00E00C76"/>
    <w:rsid w:val="00E01B1E"/>
    <w:rsid w:val="00E02064"/>
    <w:rsid w:val="00E024EE"/>
    <w:rsid w:val="00E02C27"/>
    <w:rsid w:val="00E03265"/>
    <w:rsid w:val="00E038BE"/>
    <w:rsid w:val="00E04847"/>
    <w:rsid w:val="00E04BBA"/>
    <w:rsid w:val="00E04EBC"/>
    <w:rsid w:val="00E0521D"/>
    <w:rsid w:val="00E05437"/>
    <w:rsid w:val="00E05757"/>
    <w:rsid w:val="00E05760"/>
    <w:rsid w:val="00E05E31"/>
    <w:rsid w:val="00E1035B"/>
    <w:rsid w:val="00E10AD3"/>
    <w:rsid w:val="00E10FF2"/>
    <w:rsid w:val="00E117C8"/>
    <w:rsid w:val="00E12711"/>
    <w:rsid w:val="00E13D0C"/>
    <w:rsid w:val="00E13EF2"/>
    <w:rsid w:val="00E14B5C"/>
    <w:rsid w:val="00E152CB"/>
    <w:rsid w:val="00E157CD"/>
    <w:rsid w:val="00E15BFC"/>
    <w:rsid w:val="00E173C8"/>
    <w:rsid w:val="00E17627"/>
    <w:rsid w:val="00E176D4"/>
    <w:rsid w:val="00E17975"/>
    <w:rsid w:val="00E17EF2"/>
    <w:rsid w:val="00E210C8"/>
    <w:rsid w:val="00E21B90"/>
    <w:rsid w:val="00E22505"/>
    <w:rsid w:val="00E236A4"/>
    <w:rsid w:val="00E23BEC"/>
    <w:rsid w:val="00E24597"/>
    <w:rsid w:val="00E24DCE"/>
    <w:rsid w:val="00E250B7"/>
    <w:rsid w:val="00E2528C"/>
    <w:rsid w:val="00E26E5B"/>
    <w:rsid w:val="00E2711F"/>
    <w:rsid w:val="00E308FA"/>
    <w:rsid w:val="00E30A5B"/>
    <w:rsid w:val="00E31505"/>
    <w:rsid w:val="00E31CE3"/>
    <w:rsid w:val="00E31D06"/>
    <w:rsid w:val="00E32E5E"/>
    <w:rsid w:val="00E3328D"/>
    <w:rsid w:val="00E337CC"/>
    <w:rsid w:val="00E348BF"/>
    <w:rsid w:val="00E34F3E"/>
    <w:rsid w:val="00E362A7"/>
    <w:rsid w:val="00E36452"/>
    <w:rsid w:val="00E365CE"/>
    <w:rsid w:val="00E36624"/>
    <w:rsid w:val="00E36976"/>
    <w:rsid w:val="00E3792D"/>
    <w:rsid w:val="00E37F22"/>
    <w:rsid w:val="00E40445"/>
    <w:rsid w:val="00E40713"/>
    <w:rsid w:val="00E4128C"/>
    <w:rsid w:val="00E4138A"/>
    <w:rsid w:val="00E420F9"/>
    <w:rsid w:val="00E42B05"/>
    <w:rsid w:val="00E45781"/>
    <w:rsid w:val="00E458B7"/>
    <w:rsid w:val="00E45C3F"/>
    <w:rsid w:val="00E45DE6"/>
    <w:rsid w:val="00E45E12"/>
    <w:rsid w:val="00E46133"/>
    <w:rsid w:val="00E467C5"/>
    <w:rsid w:val="00E46D42"/>
    <w:rsid w:val="00E47AAD"/>
    <w:rsid w:val="00E50B3E"/>
    <w:rsid w:val="00E5101D"/>
    <w:rsid w:val="00E513E0"/>
    <w:rsid w:val="00E519B1"/>
    <w:rsid w:val="00E51A8A"/>
    <w:rsid w:val="00E52AB7"/>
    <w:rsid w:val="00E52DCD"/>
    <w:rsid w:val="00E53628"/>
    <w:rsid w:val="00E53813"/>
    <w:rsid w:val="00E54255"/>
    <w:rsid w:val="00E54467"/>
    <w:rsid w:val="00E54C62"/>
    <w:rsid w:val="00E55B6C"/>
    <w:rsid w:val="00E5646A"/>
    <w:rsid w:val="00E57753"/>
    <w:rsid w:val="00E57832"/>
    <w:rsid w:val="00E5797C"/>
    <w:rsid w:val="00E57F5D"/>
    <w:rsid w:val="00E60383"/>
    <w:rsid w:val="00E60A2D"/>
    <w:rsid w:val="00E6182D"/>
    <w:rsid w:val="00E62058"/>
    <w:rsid w:val="00E63FF6"/>
    <w:rsid w:val="00E65054"/>
    <w:rsid w:val="00E65287"/>
    <w:rsid w:val="00E6549C"/>
    <w:rsid w:val="00E65A31"/>
    <w:rsid w:val="00E65AEF"/>
    <w:rsid w:val="00E65F80"/>
    <w:rsid w:val="00E6685A"/>
    <w:rsid w:val="00E66C88"/>
    <w:rsid w:val="00E674C0"/>
    <w:rsid w:val="00E677E6"/>
    <w:rsid w:val="00E67CF7"/>
    <w:rsid w:val="00E70621"/>
    <w:rsid w:val="00E70DE3"/>
    <w:rsid w:val="00E71AC9"/>
    <w:rsid w:val="00E73AA9"/>
    <w:rsid w:val="00E73FAC"/>
    <w:rsid w:val="00E74087"/>
    <w:rsid w:val="00E749FE"/>
    <w:rsid w:val="00E74A17"/>
    <w:rsid w:val="00E752AC"/>
    <w:rsid w:val="00E75767"/>
    <w:rsid w:val="00E76036"/>
    <w:rsid w:val="00E76685"/>
    <w:rsid w:val="00E8020C"/>
    <w:rsid w:val="00E81060"/>
    <w:rsid w:val="00E81365"/>
    <w:rsid w:val="00E813BA"/>
    <w:rsid w:val="00E8195D"/>
    <w:rsid w:val="00E81C50"/>
    <w:rsid w:val="00E830A8"/>
    <w:rsid w:val="00E83C89"/>
    <w:rsid w:val="00E843F0"/>
    <w:rsid w:val="00E85F80"/>
    <w:rsid w:val="00E86970"/>
    <w:rsid w:val="00E90DD0"/>
    <w:rsid w:val="00E90F81"/>
    <w:rsid w:val="00E916F3"/>
    <w:rsid w:val="00E919CF"/>
    <w:rsid w:val="00E91BCF"/>
    <w:rsid w:val="00E93E5B"/>
    <w:rsid w:val="00E95061"/>
    <w:rsid w:val="00E950D6"/>
    <w:rsid w:val="00E96373"/>
    <w:rsid w:val="00E96A16"/>
    <w:rsid w:val="00E9747C"/>
    <w:rsid w:val="00E975A2"/>
    <w:rsid w:val="00E975F8"/>
    <w:rsid w:val="00E978D7"/>
    <w:rsid w:val="00E97DD3"/>
    <w:rsid w:val="00EA147C"/>
    <w:rsid w:val="00EA2003"/>
    <w:rsid w:val="00EA33CE"/>
    <w:rsid w:val="00EA3681"/>
    <w:rsid w:val="00EA3A47"/>
    <w:rsid w:val="00EA49FA"/>
    <w:rsid w:val="00EA540D"/>
    <w:rsid w:val="00EA5784"/>
    <w:rsid w:val="00EA5B8C"/>
    <w:rsid w:val="00EA62A9"/>
    <w:rsid w:val="00EA6A1C"/>
    <w:rsid w:val="00EA75CF"/>
    <w:rsid w:val="00EA76FA"/>
    <w:rsid w:val="00EA7D98"/>
    <w:rsid w:val="00EB11C7"/>
    <w:rsid w:val="00EB24D4"/>
    <w:rsid w:val="00EB255A"/>
    <w:rsid w:val="00EB27F9"/>
    <w:rsid w:val="00EB2AF8"/>
    <w:rsid w:val="00EB2DF5"/>
    <w:rsid w:val="00EB423F"/>
    <w:rsid w:val="00EB49FB"/>
    <w:rsid w:val="00EB4ADB"/>
    <w:rsid w:val="00EB6361"/>
    <w:rsid w:val="00EB69D8"/>
    <w:rsid w:val="00EB76A9"/>
    <w:rsid w:val="00EC07BA"/>
    <w:rsid w:val="00EC0999"/>
    <w:rsid w:val="00EC0A4A"/>
    <w:rsid w:val="00EC127F"/>
    <w:rsid w:val="00EC3027"/>
    <w:rsid w:val="00EC3963"/>
    <w:rsid w:val="00EC3B9D"/>
    <w:rsid w:val="00EC53F6"/>
    <w:rsid w:val="00EC5865"/>
    <w:rsid w:val="00EC61C9"/>
    <w:rsid w:val="00EC62FB"/>
    <w:rsid w:val="00EC7469"/>
    <w:rsid w:val="00EC7C96"/>
    <w:rsid w:val="00ED0749"/>
    <w:rsid w:val="00ED0AAB"/>
    <w:rsid w:val="00ED1253"/>
    <w:rsid w:val="00ED1782"/>
    <w:rsid w:val="00ED2BC4"/>
    <w:rsid w:val="00ED304F"/>
    <w:rsid w:val="00ED354D"/>
    <w:rsid w:val="00ED4325"/>
    <w:rsid w:val="00ED5BAC"/>
    <w:rsid w:val="00ED65C3"/>
    <w:rsid w:val="00ED699C"/>
    <w:rsid w:val="00EE085A"/>
    <w:rsid w:val="00EE0BED"/>
    <w:rsid w:val="00EE0E65"/>
    <w:rsid w:val="00EE0EC8"/>
    <w:rsid w:val="00EE2CA5"/>
    <w:rsid w:val="00EE5CCD"/>
    <w:rsid w:val="00EE695F"/>
    <w:rsid w:val="00EE7F1D"/>
    <w:rsid w:val="00EF1067"/>
    <w:rsid w:val="00EF176B"/>
    <w:rsid w:val="00EF270A"/>
    <w:rsid w:val="00EF293A"/>
    <w:rsid w:val="00EF2BDC"/>
    <w:rsid w:val="00EF3B7E"/>
    <w:rsid w:val="00EF4EDA"/>
    <w:rsid w:val="00EF5B98"/>
    <w:rsid w:val="00EF604E"/>
    <w:rsid w:val="00EF6BE2"/>
    <w:rsid w:val="00F000A1"/>
    <w:rsid w:val="00F000B9"/>
    <w:rsid w:val="00F00353"/>
    <w:rsid w:val="00F016A7"/>
    <w:rsid w:val="00F01C66"/>
    <w:rsid w:val="00F02020"/>
    <w:rsid w:val="00F04558"/>
    <w:rsid w:val="00F04D6E"/>
    <w:rsid w:val="00F0641B"/>
    <w:rsid w:val="00F0698F"/>
    <w:rsid w:val="00F071F1"/>
    <w:rsid w:val="00F0738E"/>
    <w:rsid w:val="00F07EAC"/>
    <w:rsid w:val="00F10446"/>
    <w:rsid w:val="00F10536"/>
    <w:rsid w:val="00F10562"/>
    <w:rsid w:val="00F107D0"/>
    <w:rsid w:val="00F10894"/>
    <w:rsid w:val="00F116E1"/>
    <w:rsid w:val="00F119E9"/>
    <w:rsid w:val="00F1200E"/>
    <w:rsid w:val="00F12A45"/>
    <w:rsid w:val="00F14321"/>
    <w:rsid w:val="00F147BE"/>
    <w:rsid w:val="00F163BB"/>
    <w:rsid w:val="00F20701"/>
    <w:rsid w:val="00F20E9A"/>
    <w:rsid w:val="00F21323"/>
    <w:rsid w:val="00F21662"/>
    <w:rsid w:val="00F22A4D"/>
    <w:rsid w:val="00F2424D"/>
    <w:rsid w:val="00F24813"/>
    <w:rsid w:val="00F25460"/>
    <w:rsid w:val="00F265DE"/>
    <w:rsid w:val="00F27F7A"/>
    <w:rsid w:val="00F30D87"/>
    <w:rsid w:val="00F30F0F"/>
    <w:rsid w:val="00F319AE"/>
    <w:rsid w:val="00F34874"/>
    <w:rsid w:val="00F35FF1"/>
    <w:rsid w:val="00F36F18"/>
    <w:rsid w:val="00F37A27"/>
    <w:rsid w:val="00F37BF9"/>
    <w:rsid w:val="00F37D22"/>
    <w:rsid w:val="00F40EC3"/>
    <w:rsid w:val="00F41A67"/>
    <w:rsid w:val="00F41BD5"/>
    <w:rsid w:val="00F421A7"/>
    <w:rsid w:val="00F43F34"/>
    <w:rsid w:val="00F450F9"/>
    <w:rsid w:val="00F457E5"/>
    <w:rsid w:val="00F45F39"/>
    <w:rsid w:val="00F4675A"/>
    <w:rsid w:val="00F47332"/>
    <w:rsid w:val="00F50BBF"/>
    <w:rsid w:val="00F518C5"/>
    <w:rsid w:val="00F51D60"/>
    <w:rsid w:val="00F52063"/>
    <w:rsid w:val="00F52CFD"/>
    <w:rsid w:val="00F53597"/>
    <w:rsid w:val="00F53AF0"/>
    <w:rsid w:val="00F54197"/>
    <w:rsid w:val="00F56613"/>
    <w:rsid w:val="00F5771A"/>
    <w:rsid w:val="00F609E6"/>
    <w:rsid w:val="00F60DB3"/>
    <w:rsid w:val="00F60E00"/>
    <w:rsid w:val="00F6113E"/>
    <w:rsid w:val="00F62312"/>
    <w:rsid w:val="00F62AED"/>
    <w:rsid w:val="00F6351C"/>
    <w:rsid w:val="00F641E8"/>
    <w:rsid w:val="00F647C6"/>
    <w:rsid w:val="00F64903"/>
    <w:rsid w:val="00F64C34"/>
    <w:rsid w:val="00F660D3"/>
    <w:rsid w:val="00F660F5"/>
    <w:rsid w:val="00F66DD4"/>
    <w:rsid w:val="00F702E3"/>
    <w:rsid w:val="00F71C43"/>
    <w:rsid w:val="00F72DE0"/>
    <w:rsid w:val="00F73063"/>
    <w:rsid w:val="00F73092"/>
    <w:rsid w:val="00F737C0"/>
    <w:rsid w:val="00F73857"/>
    <w:rsid w:val="00F74355"/>
    <w:rsid w:val="00F75676"/>
    <w:rsid w:val="00F7696B"/>
    <w:rsid w:val="00F77032"/>
    <w:rsid w:val="00F77752"/>
    <w:rsid w:val="00F81D1D"/>
    <w:rsid w:val="00F82A0D"/>
    <w:rsid w:val="00F82BC9"/>
    <w:rsid w:val="00F82D7B"/>
    <w:rsid w:val="00F83955"/>
    <w:rsid w:val="00F84BBB"/>
    <w:rsid w:val="00F8593D"/>
    <w:rsid w:val="00F86722"/>
    <w:rsid w:val="00F86A0B"/>
    <w:rsid w:val="00F872AC"/>
    <w:rsid w:val="00F87DA6"/>
    <w:rsid w:val="00F901FB"/>
    <w:rsid w:val="00F90C7A"/>
    <w:rsid w:val="00F92299"/>
    <w:rsid w:val="00F938AA"/>
    <w:rsid w:val="00F94AF7"/>
    <w:rsid w:val="00F951DB"/>
    <w:rsid w:val="00F96761"/>
    <w:rsid w:val="00F96C1A"/>
    <w:rsid w:val="00F97936"/>
    <w:rsid w:val="00FA0286"/>
    <w:rsid w:val="00FA06DA"/>
    <w:rsid w:val="00FA09F9"/>
    <w:rsid w:val="00FA0A99"/>
    <w:rsid w:val="00FA0AFB"/>
    <w:rsid w:val="00FA10ED"/>
    <w:rsid w:val="00FA1A21"/>
    <w:rsid w:val="00FA1E3D"/>
    <w:rsid w:val="00FA2F28"/>
    <w:rsid w:val="00FA2F6A"/>
    <w:rsid w:val="00FA3719"/>
    <w:rsid w:val="00FA4A22"/>
    <w:rsid w:val="00FA60D8"/>
    <w:rsid w:val="00FA63E3"/>
    <w:rsid w:val="00FA757E"/>
    <w:rsid w:val="00FA76E0"/>
    <w:rsid w:val="00FB126D"/>
    <w:rsid w:val="00FB16D6"/>
    <w:rsid w:val="00FB1C90"/>
    <w:rsid w:val="00FB2208"/>
    <w:rsid w:val="00FB2E70"/>
    <w:rsid w:val="00FB5612"/>
    <w:rsid w:val="00FB791D"/>
    <w:rsid w:val="00FC0011"/>
    <w:rsid w:val="00FC04B0"/>
    <w:rsid w:val="00FC097B"/>
    <w:rsid w:val="00FC15AC"/>
    <w:rsid w:val="00FC1F2A"/>
    <w:rsid w:val="00FC2B11"/>
    <w:rsid w:val="00FC2C34"/>
    <w:rsid w:val="00FC2E37"/>
    <w:rsid w:val="00FC325B"/>
    <w:rsid w:val="00FC3626"/>
    <w:rsid w:val="00FC39D3"/>
    <w:rsid w:val="00FC3E16"/>
    <w:rsid w:val="00FC4496"/>
    <w:rsid w:val="00FC5024"/>
    <w:rsid w:val="00FC62FA"/>
    <w:rsid w:val="00FC68A9"/>
    <w:rsid w:val="00FC6F14"/>
    <w:rsid w:val="00FC7091"/>
    <w:rsid w:val="00FC768F"/>
    <w:rsid w:val="00FD000A"/>
    <w:rsid w:val="00FD0310"/>
    <w:rsid w:val="00FD0361"/>
    <w:rsid w:val="00FD0365"/>
    <w:rsid w:val="00FD0809"/>
    <w:rsid w:val="00FD0A6B"/>
    <w:rsid w:val="00FD0C96"/>
    <w:rsid w:val="00FD15BD"/>
    <w:rsid w:val="00FD17BC"/>
    <w:rsid w:val="00FD17F5"/>
    <w:rsid w:val="00FD1FDA"/>
    <w:rsid w:val="00FD2023"/>
    <w:rsid w:val="00FD2E84"/>
    <w:rsid w:val="00FD3258"/>
    <w:rsid w:val="00FD33F0"/>
    <w:rsid w:val="00FD3A00"/>
    <w:rsid w:val="00FD4509"/>
    <w:rsid w:val="00FD47BB"/>
    <w:rsid w:val="00FD614C"/>
    <w:rsid w:val="00FD6362"/>
    <w:rsid w:val="00FD6598"/>
    <w:rsid w:val="00FD692A"/>
    <w:rsid w:val="00FD6B18"/>
    <w:rsid w:val="00FD723A"/>
    <w:rsid w:val="00FD7788"/>
    <w:rsid w:val="00FD792E"/>
    <w:rsid w:val="00FD7B66"/>
    <w:rsid w:val="00FE0F35"/>
    <w:rsid w:val="00FE169D"/>
    <w:rsid w:val="00FE271D"/>
    <w:rsid w:val="00FE3393"/>
    <w:rsid w:val="00FE3464"/>
    <w:rsid w:val="00FE3778"/>
    <w:rsid w:val="00FE40F2"/>
    <w:rsid w:val="00FE4B6C"/>
    <w:rsid w:val="00FE4B9E"/>
    <w:rsid w:val="00FE4EB1"/>
    <w:rsid w:val="00FE5525"/>
    <w:rsid w:val="00FE5BE7"/>
    <w:rsid w:val="00FE5F87"/>
    <w:rsid w:val="00FE64AB"/>
    <w:rsid w:val="00FE6756"/>
    <w:rsid w:val="00FE68B3"/>
    <w:rsid w:val="00FE6B21"/>
    <w:rsid w:val="00FE6E15"/>
    <w:rsid w:val="00FE6F97"/>
    <w:rsid w:val="00FE7268"/>
    <w:rsid w:val="00FF0540"/>
    <w:rsid w:val="00FF0550"/>
    <w:rsid w:val="00FF08D6"/>
    <w:rsid w:val="00FF098A"/>
    <w:rsid w:val="00FF0EBC"/>
    <w:rsid w:val="00FF0F17"/>
    <w:rsid w:val="00FF3084"/>
    <w:rsid w:val="00FF319D"/>
    <w:rsid w:val="00FF3A9C"/>
    <w:rsid w:val="00FF3FD1"/>
    <w:rsid w:val="00FF4095"/>
    <w:rsid w:val="00FF476D"/>
    <w:rsid w:val="00FF48A4"/>
    <w:rsid w:val="00FF51E5"/>
    <w:rsid w:val="00FF5D4F"/>
    <w:rsid w:val="00FF5D99"/>
    <w:rsid w:val="00FF7D5A"/>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E7EA"/>
  <w15:docId w15:val="{7DFA678C-E49E-44FD-8A79-4FB963B2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C9"/>
  </w:style>
  <w:style w:type="paragraph" w:styleId="Heading1">
    <w:name w:val="heading 1"/>
    <w:basedOn w:val="Normal"/>
    <w:next w:val="Normal"/>
    <w:link w:val="Heading1Char"/>
    <w:uiPriority w:val="9"/>
    <w:qFormat/>
    <w:rsid w:val="008F58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8F58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8F58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8F58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F58C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8F58C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8F58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8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8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8F58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8F58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8F58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F58C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8F58C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8F58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8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8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F58C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F58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F58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8F58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F58C9"/>
    <w:rPr>
      <w:color w:val="5A5A5A" w:themeColor="text1" w:themeTint="A5"/>
      <w:spacing w:val="10"/>
    </w:rPr>
  </w:style>
  <w:style w:type="character" w:styleId="Strong">
    <w:name w:val="Strong"/>
    <w:basedOn w:val="DefaultParagraphFont"/>
    <w:uiPriority w:val="22"/>
    <w:qFormat/>
    <w:rsid w:val="008F58C9"/>
    <w:rPr>
      <w:b/>
      <w:bCs/>
      <w:color w:val="000000" w:themeColor="text1"/>
    </w:rPr>
  </w:style>
  <w:style w:type="character" w:styleId="Emphasis">
    <w:name w:val="Emphasis"/>
    <w:basedOn w:val="DefaultParagraphFont"/>
    <w:uiPriority w:val="20"/>
    <w:qFormat/>
    <w:rsid w:val="008F58C9"/>
    <w:rPr>
      <w:i/>
      <w:iCs/>
      <w:color w:val="auto"/>
    </w:rPr>
  </w:style>
  <w:style w:type="paragraph" w:styleId="NoSpacing">
    <w:name w:val="No Spacing"/>
    <w:link w:val="NoSpacingChar"/>
    <w:uiPriority w:val="1"/>
    <w:qFormat/>
    <w:rsid w:val="008F58C9"/>
    <w:pPr>
      <w:spacing w:after="0" w:line="240" w:lineRule="auto"/>
    </w:pPr>
  </w:style>
  <w:style w:type="paragraph" w:styleId="Quote">
    <w:name w:val="Quote"/>
    <w:basedOn w:val="Normal"/>
    <w:next w:val="Normal"/>
    <w:link w:val="QuoteChar"/>
    <w:uiPriority w:val="29"/>
    <w:qFormat/>
    <w:rsid w:val="008F58C9"/>
    <w:pPr>
      <w:spacing w:before="160"/>
      <w:ind w:left="720" w:right="720"/>
    </w:pPr>
    <w:rPr>
      <w:i/>
      <w:iCs/>
      <w:color w:val="000000" w:themeColor="text1"/>
    </w:rPr>
  </w:style>
  <w:style w:type="character" w:customStyle="1" w:styleId="QuoteChar">
    <w:name w:val="Quote Char"/>
    <w:basedOn w:val="DefaultParagraphFont"/>
    <w:link w:val="Quote"/>
    <w:uiPriority w:val="29"/>
    <w:rsid w:val="008F58C9"/>
    <w:rPr>
      <w:i/>
      <w:iCs/>
      <w:color w:val="000000" w:themeColor="text1"/>
    </w:rPr>
  </w:style>
  <w:style w:type="paragraph" w:styleId="IntenseQuote">
    <w:name w:val="Intense Quote"/>
    <w:basedOn w:val="Normal"/>
    <w:next w:val="Normal"/>
    <w:link w:val="IntenseQuoteChar"/>
    <w:uiPriority w:val="30"/>
    <w:qFormat/>
    <w:rsid w:val="008F58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F58C9"/>
    <w:rPr>
      <w:color w:val="000000" w:themeColor="text1"/>
      <w:shd w:val="clear" w:color="auto" w:fill="F2F2F2" w:themeFill="background1" w:themeFillShade="F2"/>
    </w:rPr>
  </w:style>
  <w:style w:type="character" w:styleId="SubtleEmphasis">
    <w:name w:val="Subtle Emphasis"/>
    <w:basedOn w:val="DefaultParagraphFont"/>
    <w:uiPriority w:val="19"/>
    <w:qFormat/>
    <w:rsid w:val="008F58C9"/>
    <w:rPr>
      <w:i/>
      <w:iCs/>
      <w:color w:val="404040" w:themeColor="text1" w:themeTint="BF"/>
    </w:rPr>
  </w:style>
  <w:style w:type="character" w:styleId="IntenseEmphasis">
    <w:name w:val="Intense Emphasis"/>
    <w:basedOn w:val="DefaultParagraphFont"/>
    <w:uiPriority w:val="21"/>
    <w:qFormat/>
    <w:rsid w:val="008F58C9"/>
    <w:rPr>
      <w:b/>
      <w:bCs/>
      <w:i/>
      <w:iCs/>
      <w:caps/>
    </w:rPr>
  </w:style>
  <w:style w:type="character" w:styleId="SubtleReference">
    <w:name w:val="Subtle Reference"/>
    <w:basedOn w:val="DefaultParagraphFont"/>
    <w:uiPriority w:val="31"/>
    <w:qFormat/>
    <w:rsid w:val="008F58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F58C9"/>
    <w:rPr>
      <w:b/>
      <w:bCs/>
      <w:smallCaps/>
      <w:u w:val="single"/>
    </w:rPr>
  </w:style>
  <w:style w:type="character" w:styleId="BookTitle">
    <w:name w:val="Book Title"/>
    <w:basedOn w:val="DefaultParagraphFont"/>
    <w:uiPriority w:val="33"/>
    <w:qFormat/>
    <w:rsid w:val="008F58C9"/>
    <w:rPr>
      <w:b w:val="0"/>
      <w:bCs w:val="0"/>
      <w:smallCaps/>
      <w:spacing w:val="5"/>
    </w:rPr>
  </w:style>
  <w:style w:type="paragraph" w:styleId="TOCHeading">
    <w:name w:val="TOC Heading"/>
    <w:basedOn w:val="Heading1"/>
    <w:next w:val="Normal"/>
    <w:uiPriority w:val="39"/>
    <w:unhideWhenUsed/>
    <w:qFormat/>
    <w:rsid w:val="008F58C9"/>
    <w:pPr>
      <w:outlineLvl w:val="9"/>
    </w:pPr>
  </w:style>
  <w:style w:type="paragraph" w:styleId="TOC1">
    <w:name w:val="toc 1"/>
    <w:basedOn w:val="Normal"/>
    <w:next w:val="Normal"/>
    <w:autoRedefine/>
    <w:uiPriority w:val="39"/>
    <w:unhideWhenUsed/>
    <w:rsid w:val="00BA58D9"/>
    <w:pPr>
      <w:tabs>
        <w:tab w:val="left" w:pos="440"/>
        <w:tab w:val="right" w:leader="dot" w:pos="9628"/>
      </w:tabs>
      <w:spacing w:after="100"/>
      <w:ind w:left="-180"/>
    </w:pPr>
  </w:style>
  <w:style w:type="character" w:styleId="Hyperlink">
    <w:name w:val="Hyperlink"/>
    <w:basedOn w:val="DefaultParagraphFont"/>
    <w:uiPriority w:val="99"/>
    <w:unhideWhenUsed/>
    <w:rsid w:val="002A186B"/>
    <w:rPr>
      <w:color w:val="0563C1" w:themeColor="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A4529B"/>
    <w:pPr>
      <w:spacing w:after="0" w:line="240" w:lineRule="auto"/>
      <w:ind w:left="720"/>
      <w:contextualSpacing/>
      <w:jc w:val="both"/>
    </w:pPr>
    <w:rPr>
      <w:rFonts w:ascii="Calibri" w:eastAsia="Calibri" w:hAnsi="Calibri" w:cs="Times New Roman"/>
    </w:rPr>
  </w:style>
  <w:style w:type="paragraph" w:styleId="FootnoteText">
    <w:name w:val="footnote text"/>
    <w:aliases w:val=" Char,Footnote,Fußnote,Footnote Text Char1,Footnote Text Char2 Char,Footnote Text Char1 Char Char,Footnote Text Char2 Char Char Char,Footnote Text Char1 Char Char Char Char,Footnote Text Char2 Char Char Char Char Char,ft,f,Char"/>
    <w:basedOn w:val="Normal"/>
    <w:link w:val="FootnoteTextChar"/>
    <w:uiPriority w:val="99"/>
    <w:unhideWhenUsed/>
    <w:qFormat/>
    <w:rsid w:val="00B95E92"/>
    <w:pPr>
      <w:spacing w:after="0" w:line="240" w:lineRule="auto"/>
    </w:pPr>
    <w:rPr>
      <w:rFonts w:ascii="Times New Roman" w:eastAsiaTheme="minorHAnsi" w:hAnsi="Times New Roman"/>
      <w:sz w:val="20"/>
      <w:szCs w:val="20"/>
    </w:rPr>
  </w:style>
  <w:style w:type="character" w:customStyle="1" w:styleId="FootnoteTextChar">
    <w:name w:val="Footnote Text Char"/>
    <w:aliases w:val=" Char Char,Footnote Char,Fußnote Char,Footnote Text Char1 Char,Footnote Text Char2 Char Char,Footnote Text Char1 Char Char Char,Footnote Text Char2 Char Char Char Char,Footnote Text Char1 Char Char Char Char Char,ft Char,f Char"/>
    <w:basedOn w:val="DefaultParagraphFont"/>
    <w:link w:val="FootnoteText"/>
    <w:uiPriority w:val="99"/>
    <w:rsid w:val="00B95E92"/>
    <w:rPr>
      <w:rFonts w:ascii="Times New Roman" w:eastAsiaTheme="minorHAnsi" w:hAnsi="Times New Roman"/>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B95E92"/>
    <w:rPr>
      <w:vertAlign w:val="superscript"/>
    </w:rPr>
  </w:style>
  <w:style w:type="paragraph" w:styleId="BodyTextIndent2">
    <w:name w:val="Body Text Indent 2"/>
    <w:basedOn w:val="Normal"/>
    <w:link w:val="BodyTextIndent2Char"/>
    <w:semiHidden/>
    <w:rsid w:val="00B95E92"/>
    <w:pPr>
      <w:spacing w:before="120" w:after="120" w:line="240" w:lineRule="auto"/>
      <w:ind w:firstLine="706"/>
      <w:jc w:val="both"/>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semiHidden/>
    <w:rsid w:val="00B95E92"/>
    <w:rPr>
      <w:rFonts w:ascii="Times New Roman" w:eastAsia="Times New Roman" w:hAnsi="Times New Roman" w:cs="Times New Roman"/>
      <w:sz w:val="24"/>
      <w:szCs w:val="20"/>
      <w:lang w:val="x-none" w:eastAsia="x-none"/>
    </w:rPr>
  </w:style>
  <w:style w:type="table" w:styleId="TableGrid">
    <w:name w:val="Table Grid"/>
    <w:basedOn w:val="TableNormal"/>
    <w:rsid w:val="00B95E92"/>
    <w:pPr>
      <w:spacing w:after="0" w:line="240" w:lineRule="auto"/>
    </w:pPr>
    <w:rPr>
      <w:rFonts w:ascii="Times New Roman" w:eastAsiaTheme="minorHAns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8D63D7"/>
    <w:pPr>
      <w:tabs>
        <w:tab w:val="left" w:pos="880"/>
        <w:tab w:val="right" w:leader="dot" w:pos="9628"/>
      </w:tabs>
      <w:spacing w:after="100"/>
      <w:ind w:left="220"/>
    </w:pPr>
  </w:style>
  <w:style w:type="paragraph" w:styleId="BalloonText">
    <w:name w:val="Balloon Text"/>
    <w:basedOn w:val="Normal"/>
    <w:link w:val="BalloonTextChar"/>
    <w:uiPriority w:val="99"/>
    <w:semiHidden/>
    <w:unhideWhenUsed/>
    <w:rsid w:val="00167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534"/>
    <w:rPr>
      <w:rFonts w:ascii="Segoe UI" w:hAnsi="Segoe UI" w:cs="Segoe UI"/>
      <w:sz w:val="18"/>
      <w:szCs w:val="18"/>
    </w:rPr>
  </w:style>
  <w:style w:type="table" w:customStyle="1" w:styleId="GridTable6Colorful-Accent11">
    <w:name w:val="Grid Table 6 Colorful - Accent 11"/>
    <w:basedOn w:val="TableNormal"/>
    <w:uiPriority w:val="51"/>
    <w:rsid w:val="0089209F"/>
    <w:pPr>
      <w:spacing w:after="0" w:line="240" w:lineRule="auto"/>
    </w:pPr>
    <w:rPr>
      <w:rFonts w:ascii="Times New Roman" w:eastAsiaTheme="minorHAnsi" w:hAnsi="Times New Roman"/>
      <w:color w:val="2E74B5" w:themeColor="accent1" w:themeShade="BF"/>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F7CA1"/>
    <w:pPr>
      <w:spacing w:after="0" w:line="240" w:lineRule="auto"/>
    </w:pPr>
  </w:style>
  <w:style w:type="character" w:styleId="CommentReference">
    <w:name w:val="annotation reference"/>
    <w:basedOn w:val="DefaultParagraphFont"/>
    <w:uiPriority w:val="99"/>
    <w:unhideWhenUsed/>
    <w:rsid w:val="00822D84"/>
    <w:rPr>
      <w:sz w:val="16"/>
      <w:szCs w:val="16"/>
    </w:rPr>
  </w:style>
  <w:style w:type="paragraph" w:styleId="CommentText">
    <w:name w:val="annotation text"/>
    <w:basedOn w:val="Normal"/>
    <w:link w:val="CommentTextChar"/>
    <w:unhideWhenUsed/>
    <w:rsid w:val="00822D84"/>
    <w:pPr>
      <w:spacing w:line="240" w:lineRule="auto"/>
    </w:pPr>
    <w:rPr>
      <w:sz w:val="20"/>
      <w:szCs w:val="20"/>
    </w:rPr>
  </w:style>
  <w:style w:type="character" w:customStyle="1" w:styleId="CommentTextChar">
    <w:name w:val="Comment Text Char"/>
    <w:basedOn w:val="DefaultParagraphFont"/>
    <w:link w:val="CommentText"/>
    <w:rsid w:val="00822D84"/>
    <w:rPr>
      <w:sz w:val="20"/>
      <w:szCs w:val="20"/>
    </w:rPr>
  </w:style>
  <w:style w:type="paragraph" w:styleId="CommentSubject">
    <w:name w:val="annotation subject"/>
    <w:basedOn w:val="CommentText"/>
    <w:next w:val="CommentText"/>
    <w:link w:val="CommentSubjectChar"/>
    <w:uiPriority w:val="99"/>
    <w:semiHidden/>
    <w:unhideWhenUsed/>
    <w:rsid w:val="00822D84"/>
    <w:rPr>
      <w:b/>
      <w:bCs/>
    </w:rPr>
  </w:style>
  <w:style w:type="character" w:customStyle="1" w:styleId="CommentSubjectChar">
    <w:name w:val="Comment Subject Char"/>
    <w:basedOn w:val="CommentTextChar"/>
    <w:link w:val="CommentSubject"/>
    <w:uiPriority w:val="99"/>
    <w:semiHidden/>
    <w:rsid w:val="00822D84"/>
    <w:rPr>
      <w:b/>
      <w:bCs/>
      <w:sz w:val="20"/>
      <w:szCs w:val="20"/>
    </w:rPr>
  </w:style>
  <w:style w:type="paragraph" w:styleId="TOC3">
    <w:name w:val="toc 3"/>
    <w:basedOn w:val="Normal"/>
    <w:next w:val="Normal"/>
    <w:autoRedefine/>
    <w:uiPriority w:val="39"/>
    <w:unhideWhenUsed/>
    <w:rsid w:val="00AB64D5"/>
    <w:pPr>
      <w:spacing w:after="100"/>
      <w:ind w:left="440"/>
    </w:pPr>
  </w:style>
  <w:style w:type="paragraph" w:customStyle="1" w:styleId="Default">
    <w:name w:val="Default"/>
    <w:rsid w:val="009C5F1D"/>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basedOn w:val="DefaultParagraphFont"/>
    <w:link w:val="NoSpacing"/>
    <w:uiPriority w:val="1"/>
    <w:rsid w:val="00444AD7"/>
  </w:style>
  <w:style w:type="paragraph" w:styleId="Header">
    <w:name w:val="header"/>
    <w:basedOn w:val="Normal"/>
    <w:link w:val="HeaderChar"/>
    <w:uiPriority w:val="99"/>
    <w:unhideWhenUsed/>
    <w:rsid w:val="00444A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4AD7"/>
  </w:style>
  <w:style w:type="paragraph" w:styleId="Footer">
    <w:name w:val="footer"/>
    <w:basedOn w:val="Normal"/>
    <w:link w:val="FooterChar"/>
    <w:uiPriority w:val="99"/>
    <w:unhideWhenUsed/>
    <w:rsid w:val="00444A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AD7"/>
  </w:style>
  <w:style w:type="character" w:styleId="FollowedHyperlink">
    <w:name w:val="FollowedHyperlink"/>
    <w:basedOn w:val="DefaultParagraphFont"/>
    <w:uiPriority w:val="99"/>
    <w:semiHidden/>
    <w:unhideWhenUsed/>
    <w:rsid w:val="00D21477"/>
    <w:rPr>
      <w:color w:val="954F72" w:themeColor="followedHyperlink"/>
      <w:u w:val="single"/>
    </w:rPr>
  </w:style>
  <w:style w:type="table" w:styleId="GridTable6Colorful-Accent1">
    <w:name w:val="Grid Table 6 Colorful Accent 1"/>
    <w:basedOn w:val="TableNormal"/>
    <w:uiPriority w:val="51"/>
    <w:rsid w:val="00527C9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5D45EA"/>
  </w:style>
  <w:style w:type="paragraph" w:customStyle="1" w:styleId="liknoteik">
    <w:name w:val="lik_noteik"/>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E19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haretitle">
    <w:name w:val="share_title"/>
    <w:basedOn w:val="DefaultParagraphFont"/>
    <w:rsid w:val="00044F5F"/>
  </w:style>
  <w:style w:type="paragraph" w:styleId="BodyText">
    <w:name w:val="Body Text"/>
    <w:basedOn w:val="Normal"/>
    <w:link w:val="BodyTextChar"/>
    <w:uiPriority w:val="99"/>
    <w:unhideWhenUsed/>
    <w:rsid w:val="00C559FC"/>
    <w:pPr>
      <w:spacing w:after="120"/>
    </w:pPr>
  </w:style>
  <w:style w:type="character" w:customStyle="1" w:styleId="BodyTextChar">
    <w:name w:val="Body Text Char"/>
    <w:basedOn w:val="DefaultParagraphFont"/>
    <w:link w:val="BodyText"/>
    <w:uiPriority w:val="99"/>
    <w:rsid w:val="00C559FC"/>
  </w:style>
  <w:style w:type="table" w:styleId="GridTable1Light-Accent1">
    <w:name w:val="Grid Table 1 Light Accent 1"/>
    <w:basedOn w:val="TableNormal"/>
    <w:uiPriority w:val="46"/>
    <w:rsid w:val="001B0DB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1B0D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1B0DB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820CDD"/>
    <w:rPr>
      <w:rFonts w:ascii="Calibri" w:eastAsia="Calibri" w:hAnsi="Calibri" w:cs="Times New Roman"/>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20CDD"/>
    <w:pPr>
      <w:spacing w:line="240" w:lineRule="exact"/>
    </w:pPr>
    <w:rPr>
      <w:vertAlign w:val="superscript"/>
    </w:rPr>
  </w:style>
  <w:style w:type="paragraph" w:customStyle="1" w:styleId="xmsonormal">
    <w:name w:val="x_msonormal"/>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listparagraph">
    <w:name w:val="x_msolistparagraph"/>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2">
    <w:name w:val="Text 2"/>
    <w:basedOn w:val="Normal"/>
    <w:uiPriority w:val="90"/>
    <w:qFormat/>
    <w:rsid w:val="00AD3789"/>
    <w:pPr>
      <w:spacing w:after="240" w:line="240" w:lineRule="auto"/>
      <w:ind w:left="1202"/>
      <w:jc w:val="both"/>
    </w:pPr>
    <w:rPr>
      <w:rFonts w:ascii="Times New Roman" w:eastAsia="Times New Roman" w:hAnsi="Times New Roman" w:cs="Times New Roman"/>
      <w:sz w:val="24"/>
      <w:szCs w:val="20"/>
      <w:lang w:eastAsia="en-GB"/>
    </w:rPr>
  </w:style>
  <w:style w:type="paragraph" w:customStyle="1" w:styleId="teksts">
    <w:name w:val="teksts"/>
    <w:rsid w:val="00C1766B"/>
    <w:pPr>
      <w:spacing w:after="120" w:line="240" w:lineRule="auto"/>
      <w:jc w:val="both"/>
    </w:pPr>
    <w:rPr>
      <w:rFonts w:ascii="Garamond" w:eastAsia="Times New Roman" w:hAnsi="Garamond" w:cs="Times New Roman"/>
      <w:sz w:val="24"/>
      <w:szCs w:val="20"/>
    </w:rPr>
  </w:style>
  <w:style w:type="table" w:styleId="TableGridLight">
    <w:name w:val="Grid Table Light"/>
    <w:basedOn w:val="TableNormal"/>
    <w:uiPriority w:val="40"/>
    <w:rsid w:val="000958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95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semiHidden/>
    <w:unhideWhenUsed/>
    <w:rsid w:val="00A07DFA"/>
    <w:pPr>
      <w:spacing w:after="120" w:line="480" w:lineRule="auto"/>
    </w:pPr>
  </w:style>
  <w:style w:type="character" w:customStyle="1" w:styleId="BodyText2Char">
    <w:name w:val="Body Text 2 Char"/>
    <w:basedOn w:val="DefaultParagraphFont"/>
    <w:link w:val="BodyText2"/>
    <w:uiPriority w:val="99"/>
    <w:semiHidden/>
    <w:rsid w:val="00A07DFA"/>
  </w:style>
  <w:style w:type="paragraph" w:customStyle="1" w:styleId="text-font">
    <w:name w:val="text-font"/>
    <w:basedOn w:val="Normal"/>
    <w:rsid w:val="00162F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rynqvb">
    <w:name w:val="rynqvb"/>
    <w:basedOn w:val="DefaultParagraphFont"/>
    <w:rsid w:val="00FF4095"/>
  </w:style>
  <w:style w:type="character" w:styleId="UnresolvedMention">
    <w:name w:val="Unresolved Mention"/>
    <w:basedOn w:val="DefaultParagraphFont"/>
    <w:uiPriority w:val="99"/>
    <w:semiHidden/>
    <w:unhideWhenUsed/>
    <w:rsid w:val="002A2A98"/>
    <w:rPr>
      <w:color w:val="605E5C"/>
      <w:shd w:val="clear" w:color="auto" w:fill="E1DFDD"/>
    </w:rPr>
  </w:style>
  <w:style w:type="paragraph" w:styleId="EndnoteText">
    <w:name w:val="endnote text"/>
    <w:basedOn w:val="Normal"/>
    <w:link w:val="EndnoteTextChar"/>
    <w:uiPriority w:val="99"/>
    <w:semiHidden/>
    <w:unhideWhenUsed/>
    <w:rsid w:val="007F68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680F"/>
    <w:rPr>
      <w:sz w:val="20"/>
      <w:szCs w:val="20"/>
    </w:rPr>
  </w:style>
  <w:style w:type="character" w:styleId="EndnoteReference">
    <w:name w:val="endnote reference"/>
    <w:basedOn w:val="DefaultParagraphFont"/>
    <w:uiPriority w:val="99"/>
    <w:semiHidden/>
    <w:unhideWhenUsed/>
    <w:rsid w:val="007F680F"/>
    <w:rPr>
      <w:vertAlign w:val="superscript"/>
    </w:rPr>
  </w:style>
  <w:style w:type="table" w:customStyle="1" w:styleId="GridTable6Colorful-Accent12">
    <w:name w:val="Grid Table 6 Colorful - Accent 12"/>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3">
    <w:name w:val="Grid Table 6 Colorful - Accent 13"/>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f01">
    <w:name w:val="cf01"/>
    <w:basedOn w:val="DefaultParagraphFont"/>
    <w:rsid w:val="004365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0499">
      <w:bodyDiv w:val="1"/>
      <w:marLeft w:val="0"/>
      <w:marRight w:val="0"/>
      <w:marTop w:val="0"/>
      <w:marBottom w:val="0"/>
      <w:divBdr>
        <w:top w:val="none" w:sz="0" w:space="0" w:color="auto"/>
        <w:left w:val="none" w:sz="0" w:space="0" w:color="auto"/>
        <w:bottom w:val="none" w:sz="0" w:space="0" w:color="auto"/>
        <w:right w:val="none" w:sz="0" w:space="0" w:color="auto"/>
      </w:divBdr>
    </w:div>
    <w:div w:id="29499036">
      <w:bodyDiv w:val="1"/>
      <w:marLeft w:val="0"/>
      <w:marRight w:val="0"/>
      <w:marTop w:val="0"/>
      <w:marBottom w:val="0"/>
      <w:divBdr>
        <w:top w:val="none" w:sz="0" w:space="0" w:color="auto"/>
        <w:left w:val="none" w:sz="0" w:space="0" w:color="auto"/>
        <w:bottom w:val="none" w:sz="0" w:space="0" w:color="auto"/>
        <w:right w:val="none" w:sz="0" w:space="0" w:color="auto"/>
      </w:divBdr>
    </w:div>
    <w:div w:id="39518762">
      <w:bodyDiv w:val="1"/>
      <w:marLeft w:val="0"/>
      <w:marRight w:val="0"/>
      <w:marTop w:val="0"/>
      <w:marBottom w:val="0"/>
      <w:divBdr>
        <w:top w:val="none" w:sz="0" w:space="0" w:color="auto"/>
        <w:left w:val="none" w:sz="0" w:space="0" w:color="auto"/>
        <w:bottom w:val="none" w:sz="0" w:space="0" w:color="auto"/>
        <w:right w:val="none" w:sz="0" w:space="0" w:color="auto"/>
      </w:divBdr>
    </w:div>
    <w:div w:id="46732387">
      <w:bodyDiv w:val="1"/>
      <w:marLeft w:val="0"/>
      <w:marRight w:val="0"/>
      <w:marTop w:val="0"/>
      <w:marBottom w:val="0"/>
      <w:divBdr>
        <w:top w:val="none" w:sz="0" w:space="0" w:color="auto"/>
        <w:left w:val="none" w:sz="0" w:space="0" w:color="auto"/>
        <w:bottom w:val="none" w:sz="0" w:space="0" w:color="auto"/>
        <w:right w:val="none" w:sz="0" w:space="0" w:color="auto"/>
      </w:divBdr>
    </w:div>
    <w:div w:id="56099463">
      <w:bodyDiv w:val="1"/>
      <w:marLeft w:val="0"/>
      <w:marRight w:val="0"/>
      <w:marTop w:val="0"/>
      <w:marBottom w:val="0"/>
      <w:divBdr>
        <w:top w:val="none" w:sz="0" w:space="0" w:color="auto"/>
        <w:left w:val="none" w:sz="0" w:space="0" w:color="auto"/>
        <w:bottom w:val="none" w:sz="0" w:space="0" w:color="auto"/>
        <w:right w:val="none" w:sz="0" w:space="0" w:color="auto"/>
      </w:divBdr>
    </w:div>
    <w:div w:id="64888110">
      <w:bodyDiv w:val="1"/>
      <w:marLeft w:val="0"/>
      <w:marRight w:val="0"/>
      <w:marTop w:val="0"/>
      <w:marBottom w:val="0"/>
      <w:divBdr>
        <w:top w:val="none" w:sz="0" w:space="0" w:color="auto"/>
        <w:left w:val="none" w:sz="0" w:space="0" w:color="auto"/>
        <w:bottom w:val="none" w:sz="0" w:space="0" w:color="auto"/>
        <w:right w:val="none" w:sz="0" w:space="0" w:color="auto"/>
      </w:divBdr>
    </w:div>
    <w:div w:id="68624366">
      <w:bodyDiv w:val="1"/>
      <w:marLeft w:val="0"/>
      <w:marRight w:val="0"/>
      <w:marTop w:val="0"/>
      <w:marBottom w:val="0"/>
      <w:divBdr>
        <w:top w:val="none" w:sz="0" w:space="0" w:color="auto"/>
        <w:left w:val="none" w:sz="0" w:space="0" w:color="auto"/>
        <w:bottom w:val="none" w:sz="0" w:space="0" w:color="auto"/>
        <w:right w:val="none" w:sz="0" w:space="0" w:color="auto"/>
      </w:divBdr>
    </w:div>
    <w:div w:id="75789148">
      <w:bodyDiv w:val="1"/>
      <w:marLeft w:val="0"/>
      <w:marRight w:val="0"/>
      <w:marTop w:val="0"/>
      <w:marBottom w:val="0"/>
      <w:divBdr>
        <w:top w:val="none" w:sz="0" w:space="0" w:color="auto"/>
        <w:left w:val="none" w:sz="0" w:space="0" w:color="auto"/>
        <w:bottom w:val="none" w:sz="0" w:space="0" w:color="auto"/>
        <w:right w:val="none" w:sz="0" w:space="0" w:color="auto"/>
      </w:divBdr>
    </w:div>
    <w:div w:id="85924990">
      <w:bodyDiv w:val="1"/>
      <w:marLeft w:val="0"/>
      <w:marRight w:val="0"/>
      <w:marTop w:val="0"/>
      <w:marBottom w:val="0"/>
      <w:divBdr>
        <w:top w:val="none" w:sz="0" w:space="0" w:color="auto"/>
        <w:left w:val="none" w:sz="0" w:space="0" w:color="auto"/>
        <w:bottom w:val="none" w:sz="0" w:space="0" w:color="auto"/>
        <w:right w:val="none" w:sz="0" w:space="0" w:color="auto"/>
      </w:divBdr>
    </w:div>
    <w:div w:id="98722229">
      <w:bodyDiv w:val="1"/>
      <w:marLeft w:val="0"/>
      <w:marRight w:val="0"/>
      <w:marTop w:val="0"/>
      <w:marBottom w:val="0"/>
      <w:divBdr>
        <w:top w:val="none" w:sz="0" w:space="0" w:color="auto"/>
        <w:left w:val="none" w:sz="0" w:space="0" w:color="auto"/>
        <w:bottom w:val="none" w:sz="0" w:space="0" w:color="auto"/>
        <w:right w:val="none" w:sz="0" w:space="0" w:color="auto"/>
      </w:divBdr>
    </w:div>
    <w:div w:id="113132979">
      <w:bodyDiv w:val="1"/>
      <w:marLeft w:val="0"/>
      <w:marRight w:val="0"/>
      <w:marTop w:val="0"/>
      <w:marBottom w:val="0"/>
      <w:divBdr>
        <w:top w:val="none" w:sz="0" w:space="0" w:color="auto"/>
        <w:left w:val="none" w:sz="0" w:space="0" w:color="auto"/>
        <w:bottom w:val="none" w:sz="0" w:space="0" w:color="auto"/>
        <w:right w:val="none" w:sz="0" w:space="0" w:color="auto"/>
      </w:divBdr>
    </w:div>
    <w:div w:id="116218290">
      <w:bodyDiv w:val="1"/>
      <w:marLeft w:val="0"/>
      <w:marRight w:val="0"/>
      <w:marTop w:val="0"/>
      <w:marBottom w:val="0"/>
      <w:divBdr>
        <w:top w:val="none" w:sz="0" w:space="0" w:color="auto"/>
        <w:left w:val="none" w:sz="0" w:space="0" w:color="auto"/>
        <w:bottom w:val="none" w:sz="0" w:space="0" w:color="auto"/>
        <w:right w:val="none" w:sz="0" w:space="0" w:color="auto"/>
      </w:divBdr>
    </w:div>
    <w:div w:id="123930589">
      <w:bodyDiv w:val="1"/>
      <w:marLeft w:val="0"/>
      <w:marRight w:val="0"/>
      <w:marTop w:val="0"/>
      <w:marBottom w:val="0"/>
      <w:divBdr>
        <w:top w:val="none" w:sz="0" w:space="0" w:color="auto"/>
        <w:left w:val="none" w:sz="0" w:space="0" w:color="auto"/>
        <w:bottom w:val="none" w:sz="0" w:space="0" w:color="auto"/>
        <w:right w:val="none" w:sz="0" w:space="0" w:color="auto"/>
      </w:divBdr>
    </w:div>
    <w:div w:id="133447176">
      <w:bodyDiv w:val="1"/>
      <w:marLeft w:val="0"/>
      <w:marRight w:val="0"/>
      <w:marTop w:val="0"/>
      <w:marBottom w:val="0"/>
      <w:divBdr>
        <w:top w:val="none" w:sz="0" w:space="0" w:color="auto"/>
        <w:left w:val="none" w:sz="0" w:space="0" w:color="auto"/>
        <w:bottom w:val="none" w:sz="0" w:space="0" w:color="auto"/>
        <w:right w:val="none" w:sz="0" w:space="0" w:color="auto"/>
      </w:divBdr>
    </w:div>
    <w:div w:id="138811425">
      <w:bodyDiv w:val="1"/>
      <w:marLeft w:val="0"/>
      <w:marRight w:val="0"/>
      <w:marTop w:val="0"/>
      <w:marBottom w:val="0"/>
      <w:divBdr>
        <w:top w:val="none" w:sz="0" w:space="0" w:color="auto"/>
        <w:left w:val="none" w:sz="0" w:space="0" w:color="auto"/>
        <w:bottom w:val="none" w:sz="0" w:space="0" w:color="auto"/>
        <w:right w:val="none" w:sz="0" w:space="0" w:color="auto"/>
      </w:divBdr>
    </w:div>
    <w:div w:id="139855241">
      <w:bodyDiv w:val="1"/>
      <w:marLeft w:val="0"/>
      <w:marRight w:val="0"/>
      <w:marTop w:val="0"/>
      <w:marBottom w:val="0"/>
      <w:divBdr>
        <w:top w:val="none" w:sz="0" w:space="0" w:color="auto"/>
        <w:left w:val="none" w:sz="0" w:space="0" w:color="auto"/>
        <w:bottom w:val="none" w:sz="0" w:space="0" w:color="auto"/>
        <w:right w:val="none" w:sz="0" w:space="0" w:color="auto"/>
      </w:divBdr>
    </w:div>
    <w:div w:id="155849978">
      <w:bodyDiv w:val="1"/>
      <w:marLeft w:val="0"/>
      <w:marRight w:val="0"/>
      <w:marTop w:val="0"/>
      <w:marBottom w:val="0"/>
      <w:divBdr>
        <w:top w:val="none" w:sz="0" w:space="0" w:color="auto"/>
        <w:left w:val="none" w:sz="0" w:space="0" w:color="auto"/>
        <w:bottom w:val="none" w:sz="0" w:space="0" w:color="auto"/>
        <w:right w:val="none" w:sz="0" w:space="0" w:color="auto"/>
      </w:divBdr>
    </w:div>
    <w:div w:id="157502706">
      <w:bodyDiv w:val="1"/>
      <w:marLeft w:val="0"/>
      <w:marRight w:val="0"/>
      <w:marTop w:val="0"/>
      <w:marBottom w:val="0"/>
      <w:divBdr>
        <w:top w:val="none" w:sz="0" w:space="0" w:color="auto"/>
        <w:left w:val="none" w:sz="0" w:space="0" w:color="auto"/>
        <w:bottom w:val="none" w:sz="0" w:space="0" w:color="auto"/>
        <w:right w:val="none" w:sz="0" w:space="0" w:color="auto"/>
      </w:divBdr>
    </w:div>
    <w:div w:id="168445283">
      <w:bodyDiv w:val="1"/>
      <w:marLeft w:val="0"/>
      <w:marRight w:val="0"/>
      <w:marTop w:val="0"/>
      <w:marBottom w:val="0"/>
      <w:divBdr>
        <w:top w:val="none" w:sz="0" w:space="0" w:color="auto"/>
        <w:left w:val="none" w:sz="0" w:space="0" w:color="auto"/>
        <w:bottom w:val="none" w:sz="0" w:space="0" w:color="auto"/>
        <w:right w:val="none" w:sz="0" w:space="0" w:color="auto"/>
      </w:divBdr>
    </w:div>
    <w:div w:id="174195614">
      <w:bodyDiv w:val="1"/>
      <w:marLeft w:val="0"/>
      <w:marRight w:val="0"/>
      <w:marTop w:val="0"/>
      <w:marBottom w:val="0"/>
      <w:divBdr>
        <w:top w:val="none" w:sz="0" w:space="0" w:color="auto"/>
        <w:left w:val="none" w:sz="0" w:space="0" w:color="auto"/>
        <w:bottom w:val="none" w:sz="0" w:space="0" w:color="auto"/>
        <w:right w:val="none" w:sz="0" w:space="0" w:color="auto"/>
      </w:divBdr>
    </w:div>
    <w:div w:id="226494880">
      <w:bodyDiv w:val="1"/>
      <w:marLeft w:val="0"/>
      <w:marRight w:val="0"/>
      <w:marTop w:val="0"/>
      <w:marBottom w:val="0"/>
      <w:divBdr>
        <w:top w:val="none" w:sz="0" w:space="0" w:color="auto"/>
        <w:left w:val="none" w:sz="0" w:space="0" w:color="auto"/>
        <w:bottom w:val="none" w:sz="0" w:space="0" w:color="auto"/>
        <w:right w:val="none" w:sz="0" w:space="0" w:color="auto"/>
      </w:divBdr>
    </w:div>
    <w:div w:id="265963867">
      <w:bodyDiv w:val="1"/>
      <w:marLeft w:val="0"/>
      <w:marRight w:val="0"/>
      <w:marTop w:val="0"/>
      <w:marBottom w:val="0"/>
      <w:divBdr>
        <w:top w:val="none" w:sz="0" w:space="0" w:color="auto"/>
        <w:left w:val="none" w:sz="0" w:space="0" w:color="auto"/>
        <w:bottom w:val="none" w:sz="0" w:space="0" w:color="auto"/>
        <w:right w:val="none" w:sz="0" w:space="0" w:color="auto"/>
      </w:divBdr>
    </w:div>
    <w:div w:id="319508195">
      <w:bodyDiv w:val="1"/>
      <w:marLeft w:val="0"/>
      <w:marRight w:val="0"/>
      <w:marTop w:val="0"/>
      <w:marBottom w:val="0"/>
      <w:divBdr>
        <w:top w:val="none" w:sz="0" w:space="0" w:color="auto"/>
        <w:left w:val="none" w:sz="0" w:space="0" w:color="auto"/>
        <w:bottom w:val="none" w:sz="0" w:space="0" w:color="auto"/>
        <w:right w:val="none" w:sz="0" w:space="0" w:color="auto"/>
      </w:divBdr>
    </w:div>
    <w:div w:id="324553092">
      <w:bodyDiv w:val="1"/>
      <w:marLeft w:val="0"/>
      <w:marRight w:val="0"/>
      <w:marTop w:val="0"/>
      <w:marBottom w:val="0"/>
      <w:divBdr>
        <w:top w:val="none" w:sz="0" w:space="0" w:color="auto"/>
        <w:left w:val="none" w:sz="0" w:space="0" w:color="auto"/>
        <w:bottom w:val="none" w:sz="0" w:space="0" w:color="auto"/>
        <w:right w:val="none" w:sz="0" w:space="0" w:color="auto"/>
      </w:divBdr>
    </w:div>
    <w:div w:id="351804874">
      <w:bodyDiv w:val="1"/>
      <w:marLeft w:val="0"/>
      <w:marRight w:val="0"/>
      <w:marTop w:val="0"/>
      <w:marBottom w:val="0"/>
      <w:divBdr>
        <w:top w:val="none" w:sz="0" w:space="0" w:color="auto"/>
        <w:left w:val="none" w:sz="0" w:space="0" w:color="auto"/>
        <w:bottom w:val="none" w:sz="0" w:space="0" w:color="auto"/>
        <w:right w:val="none" w:sz="0" w:space="0" w:color="auto"/>
      </w:divBdr>
    </w:div>
    <w:div w:id="362176480">
      <w:bodyDiv w:val="1"/>
      <w:marLeft w:val="0"/>
      <w:marRight w:val="0"/>
      <w:marTop w:val="0"/>
      <w:marBottom w:val="0"/>
      <w:divBdr>
        <w:top w:val="none" w:sz="0" w:space="0" w:color="auto"/>
        <w:left w:val="none" w:sz="0" w:space="0" w:color="auto"/>
        <w:bottom w:val="none" w:sz="0" w:space="0" w:color="auto"/>
        <w:right w:val="none" w:sz="0" w:space="0" w:color="auto"/>
      </w:divBdr>
    </w:div>
    <w:div w:id="382750985">
      <w:bodyDiv w:val="1"/>
      <w:marLeft w:val="0"/>
      <w:marRight w:val="0"/>
      <w:marTop w:val="0"/>
      <w:marBottom w:val="0"/>
      <w:divBdr>
        <w:top w:val="none" w:sz="0" w:space="0" w:color="auto"/>
        <w:left w:val="none" w:sz="0" w:space="0" w:color="auto"/>
        <w:bottom w:val="none" w:sz="0" w:space="0" w:color="auto"/>
        <w:right w:val="none" w:sz="0" w:space="0" w:color="auto"/>
      </w:divBdr>
    </w:div>
    <w:div w:id="383217162">
      <w:bodyDiv w:val="1"/>
      <w:marLeft w:val="0"/>
      <w:marRight w:val="0"/>
      <w:marTop w:val="0"/>
      <w:marBottom w:val="0"/>
      <w:divBdr>
        <w:top w:val="none" w:sz="0" w:space="0" w:color="auto"/>
        <w:left w:val="none" w:sz="0" w:space="0" w:color="auto"/>
        <w:bottom w:val="none" w:sz="0" w:space="0" w:color="auto"/>
        <w:right w:val="none" w:sz="0" w:space="0" w:color="auto"/>
      </w:divBdr>
    </w:div>
    <w:div w:id="384840891">
      <w:bodyDiv w:val="1"/>
      <w:marLeft w:val="0"/>
      <w:marRight w:val="0"/>
      <w:marTop w:val="0"/>
      <w:marBottom w:val="0"/>
      <w:divBdr>
        <w:top w:val="none" w:sz="0" w:space="0" w:color="auto"/>
        <w:left w:val="none" w:sz="0" w:space="0" w:color="auto"/>
        <w:bottom w:val="none" w:sz="0" w:space="0" w:color="auto"/>
        <w:right w:val="none" w:sz="0" w:space="0" w:color="auto"/>
      </w:divBdr>
    </w:div>
    <w:div w:id="411466361">
      <w:bodyDiv w:val="1"/>
      <w:marLeft w:val="0"/>
      <w:marRight w:val="0"/>
      <w:marTop w:val="0"/>
      <w:marBottom w:val="0"/>
      <w:divBdr>
        <w:top w:val="none" w:sz="0" w:space="0" w:color="auto"/>
        <w:left w:val="none" w:sz="0" w:space="0" w:color="auto"/>
        <w:bottom w:val="none" w:sz="0" w:space="0" w:color="auto"/>
        <w:right w:val="none" w:sz="0" w:space="0" w:color="auto"/>
      </w:divBdr>
    </w:div>
    <w:div w:id="424114931">
      <w:bodyDiv w:val="1"/>
      <w:marLeft w:val="0"/>
      <w:marRight w:val="0"/>
      <w:marTop w:val="0"/>
      <w:marBottom w:val="0"/>
      <w:divBdr>
        <w:top w:val="none" w:sz="0" w:space="0" w:color="auto"/>
        <w:left w:val="none" w:sz="0" w:space="0" w:color="auto"/>
        <w:bottom w:val="none" w:sz="0" w:space="0" w:color="auto"/>
        <w:right w:val="none" w:sz="0" w:space="0" w:color="auto"/>
      </w:divBdr>
    </w:div>
    <w:div w:id="434063296">
      <w:bodyDiv w:val="1"/>
      <w:marLeft w:val="0"/>
      <w:marRight w:val="0"/>
      <w:marTop w:val="0"/>
      <w:marBottom w:val="0"/>
      <w:divBdr>
        <w:top w:val="none" w:sz="0" w:space="0" w:color="auto"/>
        <w:left w:val="none" w:sz="0" w:space="0" w:color="auto"/>
        <w:bottom w:val="none" w:sz="0" w:space="0" w:color="auto"/>
        <w:right w:val="none" w:sz="0" w:space="0" w:color="auto"/>
      </w:divBdr>
    </w:div>
    <w:div w:id="443547988">
      <w:bodyDiv w:val="1"/>
      <w:marLeft w:val="0"/>
      <w:marRight w:val="0"/>
      <w:marTop w:val="0"/>
      <w:marBottom w:val="0"/>
      <w:divBdr>
        <w:top w:val="none" w:sz="0" w:space="0" w:color="auto"/>
        <w:left w:val="none" w:sz="0" w:space="0" w:color="auto"/>
        <w:bottom w:val="none" w:sz="0" w:space="0" w:color="auto"/>
        <w:right w:val="none" w:sz="0" w:space="0" w:color="auto"/>
      </w:divBdr>
    </w:div>
    <w:div w:id="454838871">
      <w:bodyDiv w:val="1"/>
      <w:marLeft w:val="0"/>
      <w:marRight w:val="0"/>
      <w:marTop w:val="0"/>
      <w:marBottom w:val="0"/>
      <w:divBdr>
        <w:top w:val="none" w:sz="0" w:space="0" w:color="auto"/>
        <w:left w:val="none" w:sz="0" w:space="0" w:color="auto"/>
        <w:bottom w:val="none" w:sz="0" w:space="0" w:color="auto"/>
        <w:right w:val="none" w:sz="0" w:space="0" w:color="auto"/>
      </w:divBdr>
    </w:div>
    <w:div w:id="461462811">
      <w:bodyDiv w:val="1"/>
      <w:marLeft w:val="0"/>
      <w:marRight w:val="0"/>
      <w:marTop w:val="0"/>
      <w:marBottom w:val="0"/>
      <w:divBdr>
        <w:top w:val="none" w:sz="0" w:space="0" w:color="auto"/>
        <w:left w:val="none" w:sz="0" w:space="0" w:color="auto"/>
        <w:bottom w:val="none" w:sz="0" w:space="0" w:color="auto"/>
        <w:right w:val="none" w:sz="0" w:space="0" w:color="auto"/>
      </w:divBdr>
    </w:div>
    <w:div w:id="468403931">
      <w:bodyDiv w:val="1"/>
      <w:marLeft w:val="0"/>
      <w:marRight w:val="0"/>
      <w:marTop w:val="0"/>
      <w:marBottom w:val="0"/>
      <w:divBdr>
        <w:top w:val="none" w:sz="0" w:space="0" w:color="auto"/>
        <w:left w:val="none" w:sz="0" w:space="0" w:color="auto"/>
        <w:bottom w:val="none" w:sz="0" w:space="0" w:color="auto"/>
        <w:right w:val="none" w:sz="0" w:space="0" w:color="auto"/>
      </w:divBdr>
    </w:div>
    <w:div w:id="479427876">
      <w:bodyDiv w:val="1"/>
      <w:marLeft w:val="0"/>
      <w:marRight w:val="0"/>
      <w:marTop w:val="0"/>
      <w:marBottom w:val="0"/>
      <w:divBdr>
        <w:top w:val="none" w:sz="0" w:space="0" w:color="auto"/>
        <w:left w:val="none" w:sz="0" w:space="0" w:color="auto"/>
        <w:bottom w:val="none" w:sz="0" w:space="0" w:color="auto"/>
        <w:right w:val="none" w:sz="0" w:space="0" w:color="auto"/>
      </w:divBdr>
    </w:div>
    <w:div w:id="480269472">
      <w:bodyDiv w:val="1"/>
      <w:marLeft w:val="0"/>
      <w:marRight w:val="0"/>
      <w:marTop w:val="0"/>
      <w:marBottom w:val="0"/>
      <w:divBdr>
        <w:top w:val="none" w:sz="0" w:space="0" w:color="auto"/>
        <w:left w:val="none" w:sz="0" w:space="0" w:color="auto"/>
        <w:bottom w:val="none" w:sz="0" w:space="0" w:color="auto"/>
        <w:right w:val="none" w:sz="0" w:space="0" w:color="auto"/>
      </w:divBdr>
    </w:div>
    <w:div w:id="505708505">
      <w:bodyDiv w:val="1"/>
      <w:marLeft w:val="0"/>
      <w:marRight w:val="0"/>
      <w:marTop w:val="0"/>
      <w:marBottom w:val="0"/>
      <w:divBdr>
        <w:top w:val="none" w:sz="0" w:space="0" w:color="auto"/>
        <w:left w:val="none" w:sz="0" w:space="0" w:color="auto"/>
        <w:bottom w:val="none" w:sz="0" w:space="0" w:color="auto"/>
        <w:right w:val="none" w:sz="0" w:space="0" w:color="auto"/>
      </w:divBdr>
    </w:div>
    <w:div w:id="511796535">
      <w:bodyDiv w:val="1"/>
      <w:marLeft w:val="0"/>
      <w:marRight w:val="0"/>
      <w:marTop w:val="0"/>
      <w:marBottom w:val="0"/>
      <w:divBdr>
        <w:top w:val="none" w:sz="0" w:space="0" w:color="auto"/>
        <w:left w:val="none" w:sz="0" w:space="0" w:color="auto"/>
        <w:bottom w:val="none" w:sz="0" w:space="0" w:color="auto"/>
        <w:right w:val="none" w:sz="0" w:space="0" w:color="auto"/>
      </w:divBdr>
    </w:div>
    <w:div w:id="516192978">
      <w:bodyDiv w:val="1"/>
      <w:marLeft w:val="0"/>
      <w:marRight w:val="0"/>
      <w:marTop w:val="0"/>
      <w:marBottom w:val="0"/>
      <w:divBdr>
        <w:top w:val="none" w:sz="0" w:space="0" w:color="auto"/>
        <w:left w:val="none" w:sz="0" w:space="0" w:color="auto"/>
        <w:bottom w:val="none" w:sz="0" w:space="0" w:color="auto"/>
        <w:right w:val="none" w:sz="0" w:space="0" w:color="auto"/>
      </w:divBdr>
    </w:div>
    <w:div w:id="578177178">
      <w:bodyDiv w:val="1"/>
      <w:marLeft w:val="0"/>
      <w:marRight w:val="0"/>
      <w:marTop w:val="0"/>
      <w:marBottom w:val="0"/>
      <w:divBdr>
        <w:top w:val="none" w:sz="0" w:space="0" w:color="auto"/>
        <w:left w:val="none" w:sz="0" w:space="0" w:color="auto"/>
        <w:bottom w:val="none" w:sz="0" w:space="0" w:color="auto"/>
        <w:right w:val="none" w:sz="0" w:space="0" w:color="auto"/>
      </w:divBdr>
    </w:div>
    <w:div w:id="582448450">
      <w:bodyDiv w:val="1"/>
      <w:marLeft w:val="0"/>
      <w:marRight w:val="0"/>
      <w:marTop w:val="0"/>
      <w:marBottom w:val="0"/>
      <w:divBdr>
        <w:top w:val="none" w:sz="0" w:space="0" w:color="auto"/>
        <w:left w:val="none" w:sz="0" w:space="0" w:color="auto"/>
        <w:bottom w:val="none" w:sz="0" w:space="0" w:color="auto"/>
        <w:right w:val="none" w:sz="0" w:space="0" w:color="auto"/>
      </w:divBdr>
    </w:div>
    <w:div w:id="589313611">
      <w:bodyDiv w:val="1"/>
      <w:marLeft w:val="0"/>
      <w:marRight w:val="0"/>
      <w:marTop w:val="0"/>
      <w:marBottom w:val="0"/>
      <w:divBdr>
        <w:top w:val="none" w:sz="0" w:space="0" w:color="auto"/>
        <w:left w:val="none" w:sz="0" w:space="0" w:color="auto"/>
        <w:bottom w:val="none" w:sz="0" w:space="0" w:color="auto"/>
        <w:right w:val="none" w:sz="0" w:space="0" w:color="auto"/>
      </w:divBdr>
    </w:div>
    <w:div w:id="593780828">
      <w:bodyDiv w:val="1"/>
      <w:marLeft w:val="0"/>
      <w:marRight w:val="0"/>
      <w:marTop w:val="0"/>
      <w:marBottom w:val="0"/>
      <w:divBdr>
        <w:top w:val="none" w:sz="0" w:space="0" w:color="auto"/>
        <w:left w:val="none" w:sz="0" w:space="0" w:color="auto"/>
        <w:bottom w:val="none" w:sz="0" w:space="0" w:color="auto"/>
        <w:right w:val="none" w:sz="0" w:space="0" w:color="auto"/>
      </w:divBdr>
    </w:div>
    <w:div w:id="594442953">
      <w:bodyDiv w:val="1"/>
      <w:marLeft w:val="0"/>
      <w:marRight w:val="0"/>
      <w:marTop w:val="0"/>
      <w:marBottom w:val="0"/>
      <w:divBdr>
        <w:top w:val="none" w:sz="0" w:space="0" w:color="auto"/>
        <w:left w:val="none" w:sz="0" w:space="0" w:color="auto"/>
        <w:bottom w:val="none" w:sz="0" w:space="0" w:color="auto"/>
        <w:right w:val="none" w:sz="0" w:space="0" w:color="auto"/>
      </w:divBdr>
    </w:div>
    <w:div w:id="595329652">
      <w:bodyDiv w:val="1"/>
      <w:marLeft w:val="0"/>
      <w:marRight w:val="0"/>
      <w:marTop w:val="0"/>
      <w:marBottom w:val="0"/>
      <w:divBdr>
        <w:top w:val="none" w:sz="0" w:space="0" w:color="auto"/>
        <w:left w:val="none" w:sz="0" w:space="0" w:color="auto"/>
        <w:bottom w:val="none" w:sz="0" w:space="0" w:color="auto"/>
        <w:right w:val="none" w:sz="0" w:space="0" w:color="auto"/>
      </w:divBdr>
    </w:div>
    <w:div w:id="622924270">
      <w:bodyDiv w:val="1"/>
      <w:marLeft w:val="0"/>
      <w:marRight w:val="0"/>
      <w:marTop w:val="0"/>
      <w:marBottom w:val="0"/>
      <w:divBdr>
        <w:top w:val="none" w:sz="0" w:space="0" w:color="auto"/>
        <w:left w:val="none" w:sz="0" w:space="0" w:color="auto"/>
        <w:bottom w:val="none" w:sz="0" w:space="0" w:color="auto"/>
        <w:right w:val="none" w:sz="0" w:space="0" w:color="auto"/>
      </w:divBdr>
    </w:div>
    <w:div w:id="644512342">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6">
          <w:marLeft w:val="0"/>
          <w:marRight w:val="0"/>
          <w:marTop w:val="0"/>
          <w:marBottom w:val="0"/>
          <w:divBdr>
            <w:top w:val="none" w:sz="0" w:space="0" w:color="auto"/>
            <w:left w:val="none" w:sz="0" w:space="0" w:color="auto"/>
            <w:bottom w:val="none" w:sz="0" w:space="0" w:color="auto"/>
            <w:right w:val="none" w:sz="0" w:space="0" w:color="auto"/>
          </w:divBdr>
          <w:divsChild>
            <w:div w:id="180435178">
              <w:marLeft w:val="0"/>
              <w:marRight w:val="0"/>
              <w:marTop w:val="0"/>
              <w:marBottom w:val="0"/>
              <w:divBdr>
                <w:top w:val="none" w:sz="0" w:space="0" w:color="auto"/>
                <w:left w:val="none" w:sz="0" w:space="0" w:color="auto"/>
                <w:bottom w:val="none" w:sz="0" w:space="0" w:color="auto"/>
                <w:right w:val="none" w:sz="0" w:space="0" w:color="auto"/>
              </w:divBdr>
              <w:divsChild>
                <w:div w:id="560679101">
                  <w:marLeft w:val="0"/>
                  <w:marRight w:val="0"/>
                  <w:marTop w:val="0"/>
                  <w:marBottom w:val="0"/>
                  <w:divBdr>
                    <w:top w:val="none" w:sz="0" w:space="0" w:color="auto"/>
                    <w:left w:val="none" w:sz="0" w:space="0" w:color="auto"/>
                    <w:bottom w:val="none" w:sz="0" w:space="0" w:color="auto"/>
                    <w:right w:val="none" w:sz="0" w:space="0" w:color="auto"/>
                  </w:divBdr>
                  <w:divsChild>
                    <w:div w:id="1582565554">
                      <w:marLeft w:val="0"/>
                      <w:marRight w:val="0"/>
                      <w:marTop w:val="0"/>
                      <w:marBottom w:val="0"/>
                      <w:divBdr>
                        <w:top w:val="none" w:sz="0" w:space="0" w:color="auto"/>
                        <w:left w:val="none" w:sz="0" w:space="0" w:color="auto"/>
                        <w:bottom w:val="none" w:sz="0" w:space="0" w:color="auto"/>
                        <w:right w:val="none" w:sz="0" w:space="0" w:color="auto"/>
                      </w:divBdr>
                      <w:divsChild>
                        <w:div w:id="52581364">
                          <w:marLeft w:val="0"/>
                          <w:marRight w:val="0"/>
                          <w:marTop w:val="0"/>
                          <w:marBottom w:val="0"/>
                          <w:divBdr>
                            <w:top w:val="none" w:sz="0" w:space="0" w:color="auto"/>
                            <w:left w:val="none" w:sz="0" w:space="0" w:color="auto"/>
                            <w:bottom w:val="none" w:sz="0" w:space="0" w:color="auto"/>
                            <w:right w:val="none" w:sz="0" w:space="0" w:color="auto"/>
                          </w:divBdr>
                          <w:divsChild>
                            <w:div w:id="1461268847">
                              <w:marLeft w:val="0"/>
                              <w:marRight w:val="0"/>
                              <w:marTop w:val="0"/>
                              <w:marBottom w:val="0"/>
                              <w:divBdr>
                                <w:top w:val="none" w:sz="0" w:space="0" w:color="auto"/>
                                <w:left w:val="none" w:sz="0" w:space="0" w:color="auto"/>
                                <w:bottom w:val="none" w:sz="0" w:space="0" w:color="auto"/>
                                <w:right w:val="none" w:sz="0" w:space="0" w:color="auto"/>
                              </w:divBdr>
                              <w:divsChild>
                                <w:div w:id="5588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591065">
      <w:bodyDiv w:val="1"/>
      <w:marLeft w:val="0"/>
      <w:marRight w:val="0"/>
      <w:marTop w:val="0"/>
      <w:marBottom w:val="0"/>
      <w:divBdr>
        <w:top w:val="none" w:sz="0" w:space="0" w:color="auto"/>
        <w:left w:val="none" w:sz="0" w:space="0" w:color="auto"/>
        <w:bottom w:val="none" w:sz="0" w:space="0" w:color="auto"/>
        <w:right w:val="none" w:sz="0" w:space="0" w:color="auto"/>
      </w:divBdr>
    </w:div>
    <w:div w:id="663778288">
      <w:bodyDiv w:val="1"/>
      <w:marLeft w:val="0"/>
      <w:marRight w:val="0"/>
      <w:marTop w:val="0"/>
      <w:marBottom w:val="0"/>
      <w:divBdr>
        <w:top w:val="none" w:sz="0" w:space="0" w:color="auto"/>
        <w:left w:val="none" w:sz="0" w:space="0" w:color="auto"/>
        <w:bottom w:val="none" w:sz="0" w:space="0" w:color="auto"/>
        <w:right w:val="none" w:sz="0" w:space="0" w:color="auto"/>
      </w:divBdr>
    </w:div>
    <w:div w:id="681667961">
      <w:bodyDiv w:val="1"/>
      <w:marLeft w:val="0"/>
      <w:marRight w:val="0"/>
      <w:marTop w:val="0"/>
      <w:marBottom w:val="0"/>
      <w:divBdr>
        <w:top w:val="none" w:sz="0" w:space="0" w:color="auto"/>
        <w:left w:val="none" w:sz="0" w:space="0" w:color="auto"/>
        <w:bottom w:val="none" w:sz="0" w:space="0" w:color="auto"/>
        <w:right w:val="none" w:sz="0" w:space="0" w:color="auto"/>
      </w:divBdr>
    </w:div>
    <w:div w:id="683824598">
      <w:bodyDiv w:val="1"/>
      <w:marLeft w:val="0"/>
      <w:marRight w:val="0"/>
      <w:marTop w:val="0"/>
      <w:marBottom w:val="0"/>
      <w:divBdr>
        <w:top w:val="none" w:sz="0" w:space="0" w:color="auto"/>
        <w:left w:val="none" w:sz="0" w:space="0" w:color="auto"/>
        <w:bottom w:val="none" w:sz="0" w:space="0" w:color="auto"/>
        <w:right w:val="none" w:sz="0" w:space="0" w:color="auto"/>
      </w:divBdr>
    </w:div>
    <w:div w:id="723676261">
      <w:bodyDiv w:val="1"/>
      <w:marLeft w:val="0"/>
      <w:marRight w:val="0"/>
      <w:marTop w:val="0"/>
      <w:marBottom w:val="0"/>
      <w:divBdr>
        <w:top w:val="none" w:sz="0" w:space="0" w:color="auto"/>
        <w:left w:val="none" w:sz="0" w:space="0" w:color="auto"/>
        <w:bottom w:val="none" w:sz="0" w:space="0" w:color="auto"/>
        <w:right w:val="none" w:sz="0" w:space="0" w:color="auto"/>
      </w:divBdr>
    </w:div>
    <w:div w:id="728500785">
      <w:bodyDiv w:val="1"/>
      <w:marLeft w:val="0"/>
      <w:marRight w:val="0"/>
      <w:marTop w:val="0"/>
      <w:marBottom w:val="0"/>
      <w:divBdr>
        <w:top w:val="none" w:sz="0" w:space="0" w:color="auto"/>
        <w:left w:val="none" w:sz="0" w:space="0" w:color="auto"/>
        <w:bottom w:val="none" w:sz="0" w:space="0" w:color="auto"/>
        <w:right w:val="none" w:sz="0" w:space="0" w:color="auto"/>
      </w:divBdr>
    </w:div>
    <w:div w:id="728919776">
      <w:bodyDiv w:val="1"/>
      <w:marLeft w:val="0"/>
      <w:marRight w:val="0"/>
      <w:marTop w:val="0"/>
      <w:marBottom w:val="0"/>
      <w:divBdr>
        <w:top w:val="none" w:sz="0" w:space="0" w:color="auto"/>
        <w:left w:val="none" w:sz="0" w:space="0" w:color="auto"/>
        <w:bottom w:val="none" w:sz="0" w:space="0" w:color="auto"/>
        <w:right w:val="none" w:sz="0" w:space="0" w:color="auto"/>
      </w:divBdr>
    </w:div>
    <w:div w:id="750278471">
      <w:bodyDiv w:val="1"/>
      <w:marLeft w:val="0"/>
      <w:marRight w:val="0"/>
      <w:marTop w:val="0"/>
      <w:marBottom w:val="0"/>
      <w:divBdr>
        <w:top w:val="none" w:sz="0" w:space="0" w:color="auto"/>
        <w:left w:val="none" w:sz="0" w:space="0" w:color="auto"/>
        <w:bottom w:val="none" w:sz="0" w:space="0" w:color="auto"/>
        <w:right w:val="none" w:sz="0" w:space="0" w:color="auto"/>
      </w:divBdr>
    </w:div>
    <w:div w:id="772819055">
      <w:bodyDiv w:val="1"/>
      <w:marLeft w:val="0"/>
      <w:marRight w:val="0"/>
      <w:marTop w:val="0"/>
      <w:marBottom w:val="0"/>
      <w:divBdr>
        <w:top w:val="none" w:sz="0" w:space="0" w:color="auto"/>
        <w:left w:val="none" w:sz="0" w:space="0" w:color="auto"/>
        <w:bottom w:val="none" w:sz="0" w:space="0" w:color="auto"/>
        <w:right w:val="none" w:sz="0" w:space="0" w:color="auto"/>
      </w:divBdr>
    </w:div>
    <w:div w:id="774982034">
      <w:bodyDiv w:val="1"/>
      <w:marLeft w:val="0"/>
      <w:marRight w:val="0"/>
      <w:marTop w:val="0"/>
      <w:marBottom w:val="0"/>
      <w:divBdr>
        <w:top w:val="none" w:sz="0" w:space="0" w:color="auto"/>
        <w:left w:val="none" w:sz="0" w:space="0" w:color="auto"/>
        <w:bottom w:val="none" w:sz="0" w:space="0" w:color="auto"/>
        <w:right w:val="none" w:sz="0" w:space="0" w:color="auto"/>
      </w:divBdr>
    </w:div>
    <w:div w:id="775439929">
      <w:bodyDiv w:val="1"/>
      <w:marLeft w:val="0"/>
      <w:marRight w:val="0"/>
      <w:marTop w:val="0"/>
      <w:marBottom w:val="0"/>
      <w:divBdr>
        <w:top w:val="none" w:sz="0" w:space="0" w:color="auto"/>
        <w:left w:val="none" w:sz="0" w:space="0" w:color="auto"/>
        <w:bottom w:val="none" w:sz="0" w:space="0" w:color="auto"/>
        <w:right w:val="none" w:sz="0" w:space="0" w:color="auto"/>
      </w:divBdr>
    </w:div>
    <w:div w:id="785153767">
      <w:bodyDiv w:val="1"/>
      <w:marLeft w:val="0"/>
      <w:marRight w:val="0"/>
      <w:marTop w:val="0"/>
      <w:marBottom w:val="0"/>
      <w:divBdr>
        <w:top w:val="none" w:sz="0" w:space="0" w:color="auto"/>
        <w:left w:val="none" w:sz="0" w:space="0" w:color="auto"/>
        <w:bottom w:val="none" w:sz="0" w:space="0" w:color="auto"/>
        <w:right w:val="none" w:sz="0" w:space="0" w:color="auto"/>
      </w:divBdr>
    </w:div>
    <w:div w:id="788091541">
      <w:bodyDiv w:val="1"/>
      <w:marLeft w:val="0"/>
      <w:marRight w:val="0"/>
      <w:marTop w:val="0"/>
      <w:marBottom w:val="0"/>
      <w:divBdr>
        <w:top w:val="none" w:sz="0" w:space="0" w:color="auto"/>
        <w:left w:val="none" w:sz="0" w:space="0" w:color="auto"/>
        <w:bottom w:val="none" w:sz="0" w:space="0" w:color="auto"/>
        <w:right w:val="none" w:sz="0" w:space="0" w:color="auto"/>
      </w:divBdr>
    </w:div>
    <w:div w:id="790435011">
      <w:bodyDiv w:val="1"/>
      <w:marLeft w:val="0"/>
      <w:marRight w:val="0"/>
      <w:marTop w:val="0"/>
      <w:marBottom w:val="0"/>
      <w:divBdr>
        <w:top w:val="none" w:sz="0" w:space="0" w:color="auto"/>
        <w:left w:val="none" w:sz="0" w:space="0" w:color="auto"/>
        <w:bottom w:val="none" w:sz="0" w:space="0" w:color="auto"/>
        <w:right w:val="none" w:sz="0" w:space="0" w:color="auto"/>
      </w:divBdr>
    </w:div>
    <w:div w:id="812334337">
      <w:bodyDiv w:val="1"/>
      <w:marLeft w:val="0"/>
      <w:marRight w:val="0"/>
      <w:marTop w:val="0"/>
      <w:marBottom w:val="0"/>
      <w:divBdr>
        <w:top w:val="none" w:sz="0" w:space="0" w:color="auto"/>
        <w:left w:val="none" w:sz="0" w:space="0" w:color="auto"/>
        <w:bottom w:val="none" w:sz="0" w:space="0" w:color="auto"/>
        <w:right w:val="none" w:sz="0" w:space="0" w:color="auto"/>
      </w:divBdr>
    </w:div>
    <w:div w:id="831485735">
      <w:bodyDiv w:val="1"/>
      <w:marLeft w:val="0"/>
      <w:marRight w:val="0"/>
      <w:marTop w:val="0"/>
      <w:marBottom w:val="0"/>
      <w:divBdr>
        <w:top w:val="none" w:sz="0" w:space="0" w:color="auto"/>
        <w:left w:val="none" w:sz="0" w:space="0" w:color="auto"/>
        <w:bottom w:val="none" w:sz="0" w:space="0" w:color="auto"/>
        <w:right w:val="none" w:sz="0" w:space="0" w:color="auto"/>
      </w:divBdr>
    </w:div>
    <w:div w:id="837691701">
      <w:bodyDiv w:val="1"/>
      <w:marLeft w:val="0"/>
      <w:marRight w:val="0"/>
      <w:marTop w:val="0"/>
      <w:marBottom w:val="0"/>
      <w:divBdr>
        <w:top w:val="none" w:sz="0" w:space="0" w:color="auto"/>
        <w:left w:val="none" w:sz="0" w:space="0" w:color="auto"/>
        <w:bottom w:val="none" w:sz="0" w:space="0" w:color="auto"/>
        <w:right w:val="none" w:sz="0" w:space="0" w:color="auto"/>
      </w:divBdr>
    </w:div>
    <w:div w:id="853571844">
      <w:bodyDiv w:val="1"/>
      <w:marLeft w:val="0"/>
      <w:marRight w:val="0"/>
      <w:marTop w:val="0"/>
      <w:marBottom w:val="0"/>
      <w:divBdr>
        <w:top w:val="none" w:sz="0" w:space="0" w:color="auto"/>
        <w:left w:val="none" w:sz="0" w:space="0" w:color="auto"/>
        <w:bottom w:val="none" w:sz="0" w:space="0" w:color="auto"/>
        <w:right w:val="none" w:sz="0" w:space="0" w:color="auto"/>
      </w:divBdr>
    </w:div>
    <w:div w:id="860358359">
      <w:bodyDiv w:val="1"/>
      <w:marLeft w:val="0"/>
      <w:marRight w:val="0"/>
      <w:marTop w:val="0"/>
      <w:marBottom w:val="0"/>
      <w:divBdr>
        <w:top w:val="none" w:sz="0" w:space="0" w:color="auto"/>
        <w:left w:val="none" w:sz="0" w:space="0" w:color="auto"/>
        <w:bottom w:val="none" w:sz="0" w:space="0" w:color="auto"/>
        <w:right w:val="none" w:sz="0" w:space="0" w:color="auto"/>
      </w:divBdr>
    </w:div>
    <w:div w:id="862326062">
      <w:bodyDiv w:val="1"/>
      <w:marLeft w:val="0"/>
      <w:marRight w:val="0"/>
      <w:marTop w:val="0"/>
      <w:marBottom w:val="0"/>
      <w:divBdr>
        <w:top w:val="none" w:sz="0" w:space="0" w:color="auto"/>
        <w:left w:val="none" w:sz="0" w:space="0" w:color="auto"/>
        <w:bottom w:val="none" w:sz="0" w:space="0" w:color="auto"/>
        <w:right w:val="none" w:sz="0" w:space="0" w:color="auto"/>
      </w:divBdr>
    </w:div>
    <w:div w:id="887037710">
      <w:bodyDiv w:val="1"/>
      <w:marLeft w:val="0"/>
      <w:marRight w:val="0"/>
      <w:marTop w:val="0"/>
      <w:marBottom w:val="0"/>
      <w:divBdr>
        <w:top w:val="none" w:sz="0" w:space="0" w:color="auto"/>
        <w:left w:val="none" w:sz="0" w:space="0" w:color="auto"/>
        <w:bottom w:val="none" w:sz="0" w:space="0" w:color="auto"/>
        <w:right w:val="none" w:sz="0" w:space="0" w:color="auto"/>
      </w:divBdr>
    </w:div>
    <w:div w:id="891617410">
      <w:bodyDiv w:val="1"/>
      <w:marLeft w:val="0"/>
      <w:marRight w:val="0"/>
      <w:marTop w:val="0"/>
      <w:marBottom w:val="0"/>
      <w:divBdr>
        <w:top w:val="none" w:sz="0" w:space="0" w:color="auto"/>
        <w:left w:val="none" w:sz="0" w:space="0" w:color="auto"/>
        <w:bottom w:val="none" w:sz="0" w:space="0" w:color="auto"/>
        <w:right w:val="none" w:sz="0" w:space="0" w:color="auto"/>
      </w:divBdr>
    </w:div>
    <w:div w:id="892736513">
      <w:bodyDiv w:val="1"/>
      <w:marLeft w:val="0"/>
      <w:marRight w:val="0"/>
      <w:marTop w:val="0"/>
      <w:marBottom w:val="0"/>
      <w:divBdr>
        <w:top w:val="none" w:sz="0" w:space="0" w:color="auto"/>
        <w:left w:val="none" w:sz="0" w:space="0" w:color="auto"/>
        <w:bottom w:val="none" w:sz="0" w:space="0" w:color="auto"/>
        <w:right w:val="none" w:sz="0" w:space="0" w:color="auto"/>
      </w:divBdr>
    </w:div>
    <w:div w:id="894391967">
      <w:bodyDiv w:val="1"/>
      <w:marLeft w:val="0"/>
      <w:marRight w:val="0"/>
      <w:marTop w:val="0"/>
      <w:marBottom w:val="0"/>
      <w:divBdr>
        <w:top w:val="none" w:sz="0" w:space="0" w:color="auto"/>
        <w:left w:val="none" w:sz="0" w:space="0" w:color="auto"/>
        <w:bottom w:val="none" w:sz="0" w:space="0" w:color="auto"/>
        <w:right w:val="none" w:sz="0" w:space="0" w:color="auto"/>
      </w:divBdr>
    </w:div>
    <w:div w:id="902910090">
      <w:bodyDiv w:val="1"/>
      <w:marLeft w:val="0"/>
      <w:marRight w:val="0"/>
      <w:marTop w:val="0"/>
      <w:marBottom w:val="0"/>
      <w:divBdr>
        <w:top w:val="none" w:sz="0" w:space="0" w:color="auto"/>
        <w:left w:val="none" w:sz="0" w:space="0" w:color="auto"/>
        <w:bottom w:val="none" w:sz="0" w:space="0" w:color="auto"/>
        <w:right w:val="none" w:sz="0" w:space="0" w:color="auto"/>
      </w:divBdr>
    </w:div>
    <w:div w:id="905719821">
      <w:bodyDiv w:val="1"/>
      <w:marLeft w:val="0"/>
      <w:marRight w:val="0"/>
      <w:marTop w:val="0"/>
      <w:marBottom w:val="0"/>
      <w:divBdr>
        <w:top w:val="none" w:sz="0" w:space="0" w:color="auto"/>
        <w:left w:val="none" w:sz="0" w:space="0" w:color="auto"/>
        <w:bottom w:val="none" w:sz="0" w:space="0" w:color="auto"/>
        <w:right w:val="none" w:sz="0" w:space="0" w:color="auto"/>
      </w:divBdr>
    </w:div>
    <w:div w:id="924800944">
      <w:bodyDiv w:val="1"/>
      <w:marLeft w:val="0"/>
      <w:marRight w:val="0"/>
      <w:marTop w:val="0"/>
      <w:marBottom w:val="0"/>
      <w:divBdr>
        <w:top w:val="none" w:sz="0" w:space="0" w:color="auto"/>
        <w:left w:val="none" w:sz="0" w:space="0" w:color="auto"/>
        <w:bottom w:val="none" w:sz="0" w:space="0" w:color="auto"/>
        <w:right w:val="none" w:sz="0" w:space="0" w:color="auto"/>
      </w:divBdr>
    </w:div>
    <w:div w:id="932398016">
      <w:bodyDiv w:val="1"/>
      <w:marLeft w:val="0"/>
      <w:marRight w:val="0"/>
      <w:marTop w:val="0"/>
      <w:marBottom w:val="0"/>
      <w:divBdr>
        <w:top w:val="none" w:sz="0" w:space="0" w:color="auto"/>
        <w:left w:val="none" w:sz="0" w:space="0" w:color="auto"/>
        <w:bottom w:val="none" w:sz="0" w:space="0" w:color="auto"/>
        <w:right w:val="none" w:sz="0" w:space="0" w:color="auto"/>
      </w:divBdr>
    </w:div>
    <w:div w:id="945691540">
      <w:bodyDiv w:val="1"/>
      <w:marLeft w:val="0"/>
      <w:marRight w:val="0"/>
      <w:marTop w:val="0"/>
      <w:marBottom w:val="0"/>
      <w:divBdr>
        <w:top w:val="none" w:sz="0" w:space="0" w:color="auto"/>
        <w:left w:val="none" w:sz="0" w:space="0" w:color="auto"/>
        <w:bottom w:val="none" w:sz="0" w:space="0" w:color="auto"/>
        <w:right w:val="none" w:sz="0" w:space="0" w:color="auto"/>
      </w:divBdr>
    </w:div>
    <w:div w:id="957490238">
      <w:bodyDiv w:val="1"/>
      <w:marLeft w:val="0"/>
      <w:marRight w:val="0"/>
      <w:marTop w:val="0"/>
      <w:marBottom w:val="0"/>
      <w:divBdr>
        <w:top w:val="none" w:sz="0" w:space="0" w:color="auto"/>
        <w:left w:val="none" w:sz="0" w:space="0" w:color="auto"/>
        <w:bottom w:val="none" w:sz="0" w:space="0" w:color="auto"/>
        <w:right w:val="none" w:sz="0" w:space="0" w:color="auto"/>
      </w:divBdr>
    </w:div>
    <w:div w:id="969551542">
      <w:bodyDiv w:val="1"/>
      <w:marLeft w:val="0"/>
      <w:marRight w:val="0"/>
      <w:marTop w:val="0"/>
      <w:marBottom w:val="0"/>
      <w:divBdr>
        <w:top w:val="none" w:sz="0" w:space="0" w:color="auto"/>
        <w:left w:val="none" w:sz="0" w:space="0" w:color="auto"/>
        <w:bottom w:val="none" w:sz="0" w:space="0" w:color="auto"/>
        <w:right w:val="none" w:sz="0" w:space="0" w:color="auto"/>
      </w:divBdr>
    </w:div>
    <w:div w:id="976689806">
      <w:bodyDiv w:val="1"/>
      <w:marLeft w:val="0"/>
      <w:marRight w:val="0"/>
      <w:marTop w:val="0"/>
      <w:marBottom w:val="0"/>
      <w:divBdr>
        <w:top w:val="none" w:sz="0" w:space="0" w:color="auto"/>
        <w:left w:val="none" w:sz="0" w:space="0" w:color="auto"/>
        <w:bottom w:val="none" w:sz="0" w:space="0" w:color="auto"/>
        <w:right w:val="none" w:sz="0" w:space="0" w:color="auto"/>
      </w:divBdr>
    </w:div>
    <w:div w:id="999969876">
      <w:bodyDiv w:val="1"/>
      <w:marLeft w:val="0"/>
      <w:marRight w:val="0"/>
      <w:marTop w:val="0"/>
      <w:marBottom w:val="0"/>
      <w:divBdr>
        <w:top w:val="none" w:sz="0" w:space="0" w:color="auto"/>
        <w:left w:val="none" w:sz="0" w:space="0" w:color="auto"/>
        <w:bottom w:val="none" w:sz="0" w:space="0" w:color="auto"/>
        <w:right w:val="none" w:sz="0" w:space="0" w:color="auto"/>
      </w:divBdr>
    </w:div>
    <w:div w:id="1000354615">
      <w:bodyDiv w:val="1"/>
      <w:marLeft w:val="0"/>
      <w:marRight w:val="0"/>
      <w:marTop w:val="0"/>
      <w:marBottom w:val="0"/>
      <w:divBdr>
        <w:top w:val="none" w:sz="0" w:space="0" w:color="auto"/>
        <w:left w:val="none" w:sz="0" w:space="0" w:color="auto"/>
        <w:bottom w:val="none" w:sz="0" w:space="0" w:color="auto"/>
        <w:right w:val="none" w:sz="0" w:space="0" w:color="auto"/>
      </w:divBdr>
    </w:div>
    <w:div w:id="1015500076">
      <w:bodyDiv w:val="1"/>
      <w:marLeft w:val="0"/>
      <w:marRight w:val="0"/>
      <w:marTop w:val="0"/>
      <w:marBottom w:val="0"/>
      <w:divBdr>
        <w:top w:val="none" w:sz="0" w:space="0" w:color="auto"/>
        <w:left w:val="none" w:sz="0" w:space="0" w:color="auto"/>
        <w:bottom w:val="none" w:sz="0" w:space="0" w:color="auto"/>
        <w:right w:val="none" w:sz="0" w:space="0" w:color="auto"/>
      </w:divBdr>
    </w:div>
    <w:div w:id="1059867131">
      <w:bodyDiv w:val="1"/>
      <w:marLeft w:val="0"/>
      <w:marRight w:val="0"/>
      <w:marTop w:val="0"/>
      <w:marBottom w:val="0"/>
      <w:divBdr>
        <w:top w:val="none" w:sz="0" w:space="0" w:color="auto"/>
        <w:left w:val="none" w:sz="0" w:space="0" w:color="auto"/>
        <w:bottom w:val="none" w:sz="0" w:space="0" w:color="auto"/>
        <w:right w:val="none" w:sz="0" w:space="0" w:color="auto"/>
      </w:divBdr>
    </w:div>
    <w:div w:id="1077367379">
      <w:bodyDiv w:val="1"/>
      <w:marLeft w:val="0"/>
      <w:marRight w:val="0"/>
      <w:marTop w:val="0"/>
      <w:marBottom w:val="0"/>
      <w:divBdr>
        <w:top w:val="none" w:sz="0" w:space="0" w:color="auto"/>
        <w:left w:val="none" w:sz="0" w:space="0" w:color="auto"/>
        <w:bottom w:val="none" w:sz="0" w:space="0" w:color="auto"/>
        <w:right w:val="none" w:sz="0" w:space="0" w:color="auto"/>
      </w:divBdr>
    </w:div>
    <w:div w:id="1083994033">
      <w:bodyDiv w:val="1"/>
      <w:marLeft w:val="0"/>
      <w:marRight w:val="0"/>
      <w:marTop w:val="0"/>
      <w:marBottom w:val="0"/>
      <w:divBdr>
        <w:top w:val="none" w:sz="0" w:space="0" w:color="auto"/>
        <w:left w:val="none" w:sz="0" w:space="0" w:color="auto"/>
        <w:bottom w:val="none" w:sz="0" w:space="0" w:color="auto"/>
        <w:right w:val="none" w:sz="0" w:space="0" w:color="auto"/>
      </w:divBdr>
    </w:div>
    <w:div w:id="1093672253">
      <w:bodyDiv w:val="1"/>
      <w:marLeft w:val="0"/>
      <w:marRight w:val="0"/>
      <w:marTop w:val="0"/>
      <w:marBottom w:val="0"/>
      <w:divBdr>
        <w:top w:val="none" w:sz="0" w:space="0" w:color="auto"/>
        <w:left w:val="none" w:sz="0" w:space="0" w:color="auto"/>
        <w:bottom w:val="none" w:sz="0" w:space="0" w:color="auto"/>
        <w:right w:val="none" w:sz="0" w:space="0" w:color="auto"/>
      </w:divBdr>
    </w:div>
    <w:div w:id="1105492375">
      <w:bodyDiv w:val="1"/>
      <w:marLeft w:val="0"/>
      <w:marRight w:val="0"/>
      <w:marTop w:val="0"/>
      <w:marBottom w:val="0"/>
      <w:divBdr>
        <w:top w:val="none" w:sz="0" w:space="0" w:color="auto"/>
        <w:left w:val="none" w:sz="0" w:space="0" w:color="auto"/>
        <w:bottom w:val="none" w:sz="0" w:space="0" w:color="auto"/>
        <w:right w:val="none" w:sz="0" w:space="0" w:color="auto"/>
      </w:divBdr>
    </w:div>
    <w:div w:id="1115443391">
      <w:bodyDiv w:val="1"/>
      <w:marLeft w:val="0"/>
      <w:marRight w:val="0"/>
      <w:marTop w:val="0"/>
      <w:marBottom w:val="0"/>
      <w:divBdr>
        <w:top w:val="none" w:sz="0" w:space="0" w:color="auto"/>
        <w:left w:val="none" w:sz="0" w:space="0" w:color="auto"/>
        <w:bottom w:val="none" w:sz="0" w:space="0" w:color="auto"/>
        <w:right w:val="none" w:sz="0" w:space="0" w:color="auto"/>
      </w:divBdr>
    </w:div>
    <w:div w:id="1125659559">
      <w:bodyDiv w:val="1"/>
      <w:marLeft w:val="0"/>
      <w:marRight w:val="0"/>
      <w:marTop w:val="0"/>
      <w:marBottom w:val="0"/>
      <w:divBdr>
        <w:top w:val="none" w:sz="0" w:space="0" w:color="auto"/>
        <w:left w:val="none" w:sz="0" w:space="0" w:color="auto"/>
        <w:bottom w:val="none" w:sz="0" w:space="0" w:color="auto"/>
        <w:right w:val="none" w:sz="0" w:space="0" w:color="auto"/>
      </w:divBdr>
    </w:div>
    <w:div w:id="1126199416">
      <w:bodyDiv w:val="1"/>
      <w:marLeft w:val="0"/>
      <w:marRight w:val="0"/>
      <w:marTop w:val="0"/>
      <w:marBottom w:val="0"/>
      <w:divBdr>
        <w:top w:val="none" w:sz="0" w:space="0" w:color="auto"/>
        <w:left w:val="none" w:sz="0" w:space="0" w:color="auto"/>
        <w:bottom w:val="none" w:sz="0" w:space="0" w:color="auto"/>
        <w:right w:val="none" w:sz="0" w:space="0" w:color="auto"/>
      </w:divBdr>
    </w:div>
    <w:div w:id="1159886239">
      <w:bodyDiv w:val="1"/>
      <w:marLeft w:val="0"/>
      <w:marRight w:val="0"/>
      <w:marTop w:val="0"/>
      <w:marBottom w:val="0"/>
      <w:divBdr>
        <w:top w:val="none" w:sz="0" w:space="0" w:color="auto"/>
        <w:left w:val="none" w:sz="0" w:space="0" w:color="auto"/>
        <w:bottom w:val="none" w:sz="0" w:space="0" w:color="auto"/>
        <w:right w:val="none" w:sz="0" w:space="0" w:color="auto"/>
      </w:divBdr>
    </w:div>
    <w:div w:id="1187795742">
      <w:bodyDiv w:val="1"/>
      <w:marLeft w:val="0"/>
      <w:marRight w:val="0"/>
      <w:marTop w:val="0"/>
      <w:marBottom w:val="0"/>
      <w:divBdr>
        <w:top w:val="none" w:sz="0" w:space="0" w:color="auto"/>
        <w:left w:val="none" w:sz="0" w:space="0" w:color="auto"/>
        <w:bottom w:val="none" w:sz="0" w:space="0" w:color="auto"/>
        <w:right w:val="none" w:sz="0" w:space="0" w:color="auto"/>
      </w:divBdr>
    </w:div>
    <w:div w:id="1200781851">
      <w:bodyDiv w:val="1"/>
      <w:marLeft w:val="0"/>
      <w:marRight w:val="0"/>
      <w:marTop w:val="0"/>
      <w:marBottom w:val="0"/>
      <w:divBdr>
        <w:top w:val="none" w:sz="0" w:space="0" w:color="auto"/>
        <w:left w:val="none" w:sz="0" w:space="0" w:color="auto"/>
        <w:bottom w:val="none" w:sz="0" w:space="0" w:color="auto"/>
        <w:right w:val="none" w:sz="0" w:space="0" w:color="auto"/>
      </w:divBdr>
    </w:div>
    <w:div w:id="1220902264">
      <w:bodyDiv w:val="1"/>
      <w:marLeft w:val="0"/>
      <w:marRight w:val="0"/>
      <w:marTop w:val="0"/>
      <w:marBottom w:val="0"/>
      <w:divBdr>
        <w:top w:val="none" w:sz="0" w:space="0" w:color="auto"/>
        <w:left w:val="none" w:sz="0" w:space="0" w:color="auto"/>
        <w:bottom w:val="none" w:sz="0" w:space="0" w:color="auto"/>
        <w:right w:val="none" w:sz="0" w:space="0" w:color="auto"/>
      </w:divBdr>
    </w:div>
    <w:div w:id="1234463937">
      <w:bodyDiv w:val="1"/>
      <w:marLeft w:val="0"/>
      <w:marRight w:val="0"/>
      <w:marTop w:val="0"/>
      <w:marBottom w:val="0"/>
      <w:divBdr>
        <w:top w:val="none" w:sz="0" w:space="0" w:color="auto"/>
        <w:left w:val="none" w:sz="0" w:space="0" w:color="auto"/>
        <w:bottom w:val="none" w:sz="0" w:space="0" w:color="auto"/>
        <w:right w:val="none" w:sz="0" w:space="0" w:color="auto"/>
      </w:divBdr>
    </w:div>
    <w:div w:id="1237980440">
      <w:bodyDiv w:val="1"/>
      <w:marLeft w:val="0"/>
      <w:marRight w:val="0"/>
      <w:marTop w:val="0"/>
      <w:marBottom w:val="0"/>
      <w:divBdr>
        <w:top w:val="none" w:sz="0" w:space="0" w:color="auto"/>
        <w:left w:val="none" w:sz="0" w:space="0" w:color="auto"/>
        <w:bottom w:val="none" w:sz="0" w:space="0" w:color="auto"/>
        <w:right w:val="none" w:sz="0" w:space="0" w:color="auto"/>
      </w:divBdr>
    </w:div>
    <w:div w:id="1238827782">
      <w:bodyDiv w:val="1"/>
      <w:marLeft w:val="0"/>
      <w:marRight w:val="0"/>
      <w:marTop w:val="0"/>
      <w:marBottom w:val="0"/>
      <w:divBdr>
        <w:top w:val="none" w:sz="0" w:space="0" w:color="auto"/>
        <w:left w:val="none" w:sz="0" w:space="0" w:color="auto"/>
        <w:bottom w:val="none" w:sz="0" w:space="0" w:color="auto"/>
        <w:right w:val="none" w:sz="0" w:space="0" w:color="auto"/>
      </w:divBdr>
    </w:div>
    <w:div w:id="1239318265">
      <w:bodyDiv w:val="1"/>
      <w:marLeft w:val="0"/>
      <w:marRight w:val="0"/>
      <w:marTop w:val="0"/>
      <w:marBottom w:val="0"/>
      <w:divBdr>
        <w:top w:val="none" w:sz="0" w:space="0" w:color="auto"/>
        <w:left w:val="none" w:sz="0" w:space="0" w:color="auto"/>
        <w:bottom w:val="none" w:sz="0" w:space="0" w:color="auto"/>
        <w:right w:val="none" w:sz="0" w:space="0" w:color="auto"/>
      </w:divBdr>
    </w:div>
    <w:div w:id="1253856032">
      <w:bodyDiv w:val="1"/>
      <w:marLeft w:val="0"/>
      <w:marRight w:val="0"/>
      <w:marTop w:val="0"/>
      <w:marBottom w:val="0"/>
      <w:divBdr>
        <w:top w:val="none" w:sz="0" w:space="0" w:color="auto"/>
        <w:left w:val="none" w:sz="0" w:space="0" w:color="auto"/>
        <w:bottom w:val="none" w:sz="0" w:space="0" w:color="auto"/>
        <w:right w:val="none" w:sz="0" w:space="0" w:color="auto"/>
      </w:divBdr>
    </w:div>
    <w:div w:id="1278103206">
      <w:bodyDiv w:val="1"/>
      <w:marLeft w:val="0"/>
      <w:marRight w:val="0"/>
      <w:marTop w:val="0"/>
      <w:marBottom w:val="0"/>
      <w:divBdr>
        <w:top w:val="none" w:sz="0" w:space="0" w:color="auto"/>
        <w:left w:val="none" w:sz="0" w:space="0" w:color="auto"/>
        <w:bottom w:val="none" w:sz="0" w:space="0" w:color="auto"/>
        <w:right w:val="none" w:sz="0" w:space="0" w:color="auto"/>
      </w:divBdr>
    </w:div>
    <w:div w:id="1283148266">
      <w:bodyDiv w:val="1"/>
      <w:marLeft w:val="0"/>
      <w:marRight w:val="0"/>
      <w:marTop w:val="0"/>
      <w:marBottom w:val="0"/>
      <w:divBdr>
        <w:top w:val="none" w:sz="0" w:space="0" w:color="auto"/>
        <w:left w:val="none" w:sz="0" w:space="0" w:color="auto"/>
        <w:bottom w:val="none" w:sz="0" w:space="0" w:color="auto"/>
        <w:right w:val="none" w:sz="0" w:space="0" w:color="auto"/>
      </w:divBdr>
    </w:div>
    <w:div w:id="1302227230">
      <w:bodyDiv w:val="1"/>
      <w:marLeft w:val="0"/>
      <w:marRight w:val="0"/>
      <w:marTop w:val="0"/>
      <w:marBottom w:val="0"/>
      <w:divBdr>
        <w:top w:val="none" w:sz="0" w:space="0" w:color="auto"/>
        <w:left w:val="none" w:sz="0" w:space="0" w:color="auto"/>
        <w:bottom w:val="none" w:sz="0" w:space="0" w:color="auto"/>
        <w:right w:val="none" w:sz="0" w:space="0" w:color="auto"/>
      </w:divBdr>
    </w:div>
    <w:div w:id="1302610127">
      <w:bodyDiv w:val="1"/>
      <w:marLeft w:val="0"/>
      <w:marRight w:val="0"/>
      <w:marTop w:val="0"/>
      <w:marBottom w:val="0"/>
      <w:divBdr>
        <w:top w:val="none" w:sz="0" w:space="0" w:color="auto"/>
        <w:left w:val="none" w:sz="0" w:space="0" w:color="auto"/>
        <w:bottom w:val="none" w:sz="0" w:space="0" w:color="auto"/>
        <w:right w:val="none" w:sz="0" w:space="0" w:color="auto"/>
      </w:divBdr>
    </w:div>
    <w:div w:id="1305574850">
      <w:bodyDiv w:val="1"/>
      <w:marLeft w:val="0"/>
      <w:marRight w:val="0"/>
      <w:marTop w:val="0"/>
      <w:marBottom w:val="0"/>
      <w:divBdr>
        <w:top w:val="none" w:sz="0" w:space="0" w:color="auto"/>
        <w:left w:val="none" w:sz="0" w:space="0" w:color="auto"/>
        <w:bottom w:val="none" w:sz="0" w:space="0" w:color="auto"/>
        <w:right w:val="none" w:sz="0" w:space="0" w:color="auto"/>
      </w:divBdr>
    </w:div>
    <w:div w:id="1312178391">
      <w:bodyDiv w:val="1"/>
      <w:marLeft w:val="0"/>
      <w:marRight w:val="0"/>
      <w:marTop w:val="0"/>
      <w:marBottom w:val="0"/>
      <w:divBdr>
        <w:top w:val="none" w:sz="0" w:space="0" w:color="auto"/>
        <w:left w:val="none" w:sz="0" w:space="0" w:color="auto"/>
        <w:bottom w:val="none" w:sz="0" w:space="0" w:color="auto"/>
        <w:right w:val="none" w:sz="0" w:space="0" w:color="auto"/>
      </w:divBdr>
    </w:div>
    <w:div w:id="1321807807">
      <w:bodyDiv w:val="1"/>
      <w:marLeft w:val="0"/>
      <w:marRight w:val="0"/>
      <w:marTop w:val="0"/>
      <w:marBottom w:val="0"/>
      <w:divBdr>
        <w:top w:val="none" w:sz="0" w:space="0" w:color="auto"/>
        <w:left w:val="none" w:sz="0" w:space="0" w:color="auto"/>
        <w:bottom w:val="none" w:sz="0" w:space="0" w:color="auto"/>
        <w:right w:val="none" w:sz="0" w:space="0" w:color="auto"/>
      </w:divBdr>
    </w:div>
    <w:div w:id="1323313882">
      <w:bodyDiv w:val="1"/>
      <w:marLeft w:val="0"/>
      <w:marRight w:val="0"/>
      <w:marTop w:val="0"/>
      <w:marBottom w:val="0"/>
      <w:divBdr>
        <w:top w:val="none" w:sz="0" w:space="0" w:color="auto"/>
        <w:left w:val="none" w:sz="0" w:space="0" w:color="auto"/>
        <w:bottom w:val="none" w:sz="0" w:space="0" w:color="auto"/>
        <w:right w:val="none" w:sz="0" w:space="0" w:color="auto"/>
      </w:divBdr>
    </w:div>
    <w:div w:id="1348293453">
      <w:bodyDiv w:val="1"/>
      <w:marLeft w:val="0"/>
      <w:marRight w:val="0"/>
      <w:marTop w:val="0"/>
      <w:marBottom w:val="0"/>
      <w:divBdr>
        <w:top w:val="none" w:sz="0" w:space="0" w:color="auto"/>
        <w:left w:val="none" w:sz="0" w:space="0" w:color="auto"/>
        <w:bottom w:val="none" w:sz="0" w:space="0" w:color="auto"/>
        <w:right w:val="none" w:sz="0" w:space="0" w:color="auto"/>
      </w:divBdr>
    </w:div>
    <w:div w:id="1371566114">
      <w:bodyDiv w:val="1"/>
      <w:marLeft w:val="0"/>
      <w:marRight w:val="0"/>
      <w:marTop w:val="0"/>
      <w:marBottom w:val="0"/>
      <w:divBdr>
        <w:top w:val="none" w:sz="0" w:space="0" w:color="auto"/>
        <w:left w:val="none" w:sz="0" w:space="0" w:color="auto"/>
        <w:bottom w:val="none" w:sz="0" w:space="0" w:color="auto"/>
        <w:right w:val="none" w:sz="0" w:space="0" w:color="auto"/>
      </w:divBdr>
    </w:div>
    <w:div w:id="1376851357">
      <w:bodyDiv w:val="1"/>
      <w:marLeft w:val="0"/>
      <w:marRight w:val="0"/>
      <w:marTop w:val="0"/>
      <w:marBottom w:val="0"/>
      <w:divBdr>
        <w:top w:val="none" w:sz="0" w:space="0" w:color="auto"/>
        <w:left w:val="none" w:sz="0" w:space="0" w:color="auto"/>
        <w:bottom w:val="none" w:sz="0" w:space="0" w:color="auto"/>
        <w:right w:val="none" w:sz="0" w:space="0" w:color="auto"/>
      </w:divBdr>
    </w:div>
    <w:div w:id="1404640881">
      <w:bodyDiv w:val="1"/>
      <w:marLeft w:val="0"/>
      <w:marRight w:val="0"/>
      <w:marTop w:val="0"/>
      <w:marBottom w:val="0"/>
      <w:divBdr>
        <w:top w:val="none" w:sz="0" w:space="0" w:color="auto"/>
        <w:left w:val="none" w:sz="0" w:space="0" w:color="auto"/>
        <w:bottom w:val="none" w:sz="0" w:space="0" w:color="auto"/>
        <w:right w:val="none" w:sz="0" w:space="0" w:color="auto"/>
      </w:divBdr>
    </w:div>
    <w:div w:id="1423719924">
      <w:bodyDiv w:val="1"/>
      <w:marLeft w:val="0"/>
      <w:marRight w:val="0"/>
      <w:marTop w:val="0"/>
      <w:marBottom w:val="0"/>
      <w:divBdr>
        <w:top w:val="none" w:sz="0" w:space="0" w:color="auto"/>
        <w:left w:val="none" w:sz="0" w:space="0" w:color="auto"/>
        <w:bottom w:val="none" w:sz="0" w:space="0" w:color="auto"/>
        <w:right w:val="none" w:sz="0" w:space="0" w:color="auto"/>
      </w:divBdr>
    </w:div>
    <w:div w:id="1469859314">
      <w:bodyDiv w:val="1"/>
      <w:marLeft w:val="0"/>
      <w:marRight w:val="0"/>
      <w:marTop w:val="0"/>
      <w:marBottom w:val="0"/>
      <w:divBdr>
        <w:top w:val="none" w:sz="0" w:space="0" w:color="auto"/>
        <w:left w:val="none" w:sz="0" w:space="0" w:color="auto"/>
        <w:bottom w:val="none" w:sz="0" w:space="0" w:color="auto"/>
        <w:right w:val="none" w:sz="0" w:space="0" w:color="auto"/>
      </w:divBdr>
    </w:div>
    <w:div w:id="1476751285">
      <w:bodyDiv w:val="1"/>
      <w:marLeft w:val="0"/>
      <w:marRight w:val="0"/>
      <w:marTop w:val="0"/>
      <w:marBottom w:val="0"/>
      <w:divBdr>
        <w:top w:val="none" w:sz="0" w:space="0" w:color="auto"/>
        <w:left w:val="none" w:sz="0" w:space="0" w:color="auto"/>
        <w:bottom w:val="none" w:sz="0" w:space="0" w:color="auto"/>
        <w:right w:val="none" w:sz="0" w:space="0" w:color="auto"/>
      </w:divBdr>
    </w:div>
    <w:div w:id="1495873758">
      <w:bodyDiv w:val="1"/>
      <w:marLeft w:val="0"/>
      <w:marRight w:val="0"/>
      <w:marTop w:val="0"/>
      <w:marBottom w:val="0"/>
      <w:divBdr>
        <w:top w:val="none" w:sz="0" w:space="0" w:color="auto"/>
        <w:left w:val="none" w:sz="0" w:space="0" w:color="auto"/>
        <w:bottom w:val="none" w:sz="0" w:space="0" w:color="auto"/>
        <w:right w:val="none" w:sz="0" w:space="0" w:color="auto"/>
      </w:divBdr>
    </w:div>
    <w:div w:id="1560171513">
      <w:bodyDiv w:val="1"/>
      <w:marLeft w:val="0"/>
      <w:marRight w:val="0"/>
      <w:marTop w:val="0"/>
      <w:marBottom w:val="0"/>
      <w:divBdr>
        <w:top w:val="none" w:sz="0" w:space="0" w:color="auto"/>
        <w:left w:val="none" w:sz="0" w:space="0" w:color="auto"/>
        <w:bottom w:val="none" w:sz="0" w:space="0" w:color="auto"/>
        <w:right w:val="none" w:sz="0" w:space="0" w:color="auto"/>
      </w:divBdr>
    </w:div>
    <w:div w:id="1566573562">
      <w:bodyDiv w:val="1"/>
      <w:marLeft w:val="0"/>
      <w:marRight w:val="0"/>
      <w:marTop w:val="0"/>
      <w:marBottom w:val="0"/>
      <w:divBdr>
        <w:top w:val="none" w:sz="0" w:space="0" w:color="auto"/>
        <w:left w:val="none" w:sz="0" w:space="0" w:color="auto"/>
        <w:bottom w:val="none" w:sz="0" w:space="0" w:color="auto"/>
        <w:right w:val="none" w:sz="0" w:space="0" w:color="auto"/>
      </w:divBdr>
    </w:div>
    <w:div w:id="1586258991">
      <w:bodyDiv w:val="1"/>
      <w:marLeft w:val="0"/>
      <w:marRight w:val="0"/>
      <w:marTop w:val="0"/>
      <w:marBottom w:val="0"/>
      <w:divBdr>
        <w:top w:val="none" w:sz="0" w:space="0" w:color="auto"/>
        <w:left w:val="none" w:sz="0" w:space="0" w:color="auto"/>
        <w:bottom w:val="none" w:sz="0" w:space="0" w:color="auto"/>
        <w:right w:val="none" w:sz="0" w:space="0" w:color="auto"/>
      </w:divBdr>
      <w:divsChild>
        <w:div w:id="41751442">
          <w:marLeft w:val="0"/>
          <w:marRight w:val="0"/>
          <w:marTop w:val="0"/>
          <w:marBottom w:val="0"/>
          <w:divBdr>
            <w:top w:val="none" w:sz="0" w:space="0" w:color="auto"/>
            <w:left w:val="none" w:sz="0" w:space="0" w:color="auto"/>
            <w:bottom w:val="none" w:sz="0" w:space="0" w:color="auto"/>
            <w:right w:val="none" w:sz="0" w:space="0" w:color="auto"/>
          </w:divBdr>
          <w:divsChild>
            <w:div w:id="1211579600">
              <w:marLeft w:val="0"/>
              <w:marRight w:val="0"/>
              <w:marTop w:val="0"/>
              <w:marBottom w:val="0"/>
              <w:divBdr>
                <w:top w:val="none" w:sz="0" w:space="0" w:color="auto"/>
                <w:left w:val="none" w:sz="0" w:space="0" w:color="auto"/>
                <w:bottom w:val="none" w:sz="0" w:space="0" w:color="auto"/>
                <w:right w:val="none" w:sz="0" w:space="0" w:color="auto"/>
              </w:divBdr>
              <w:divsChild>
                <w:div w:id="1609504631">
                  <w:marLeft w:val="0"/>
                  <w:marRight w:val="0"/>
                  <w:marTop w:val="0"/>
                  <w:marBottom w:val="0"/>
                  <w:divBdr>
                    <w:top w:val="none" w:sz="0" w:space="0" w:color="auto"/>
                    <w:left w:val="none" w:sz="0" w:space="0" w:color="auto"/>
                    <w:bottom w:val="none" w:sz="0" w:space="0" w:color="auto"/>
                    <w:right w:val="none" w:sz="0" w:space="0" w:color="auto"/>
                  </w:divBdr>
                  <w:divsChild>
                    <w:div w:id="1518814419">
                      <w:marLeft w:val="0"/>
                      <w:marRight w:val="0"/>
                      <w:marTop w:val="0"/>
                      <w:marBottom w:val="0"/>
                      <w:divBdr>
                        <w:top w:val="none" w:sz="0" w:space="0" w:color="auto"/>
                        <w:left w:val="none" w:sz="0" w:space="0" w:color="auto"/>
                        <w:bottom w:val="none" w:sz="0" w:space="0" w:color="auto"/>
                        <w:right w:val="none" w:sz="0" w:space="0" w:color="auto"/>
                      </w:divBdr>
                      <w:divsChild>
                        <w:div w:id="1687054292">
                          <w:marLeft w:val="0"/>
                          <w:marRight w:val="0"/>
                          <w:marTop w:val="0"/>
                          <w:marBottom w:val="0"/>
                          <w:divBdr>
                            <w:top w:val="none" w:sz="0" w:space="0" w:color="auto"/>
                            <w:left w:val="none" w:sz="0" w:space="0" w:color="auto"/>
                            <w:bottom w:val="none" w:sz="0" w:space="0" w:color="auto"/>
                            <w:right w:val="none" w:sz="0" w:space="0" w:color="auto"/>
                          </w:divBdr>
                          <w:divsChild>
                            <w:div w:id="483549437">
                              <w:marLeft w:val="0"/>
                              <w:marRight w:val="0"/>
                              <w:marTop w:val="0"/>
                              <w:marBottom w:val="0"/>
                              <w:divBdr>
                                <w:top w:val="none" w:sz="0" w:space="0" w:color="auto"/>
                                <w:left w:val="none" w:sz="0" w:space="0" w:color="auto"/>
                                <w:bottom w:val="none" w:sz="0" w:space="0" w:color="auto"/>
                                <w:right w:val="none" w:sz="0" w:space="0" w:color="auto"/>
                              </w:divBdr>
                              <w:divsChild>
                                <w:div w:id="18881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10295">
      <w:bodyDiv w:val="1"/>
      <w:marLeft w:val="0"/>
      <w:marRight w:val="0"/>
      <w:marTop w:val="0"/>
      <w:marBottom w:val="0"/>
      <w:divBdr>
        <w:top w:val="none" w:sz="0" w:space="0" w:color="auto"/>
        <w:left w:val="none" w:sz="0" w:space="0" w:color="auto"/>
        <w:bottom w:val="none" w:sz="0" w:space="0" w:color="auto"/>
        <w:right w:val="none" w:sz="0" w:space="0" w:color="auto"/>
      </w:divBdr>
    </w:div>
    <w:div w:id="1596355050">
      <w:bodyDiv w:val="1"/>
      <w:marLeft w:val="0"/>
      <w:marRight w:val="0"/>
      <w:marTop w:val="0"/>
      <w:marBottom w:val="0"/>
      <w:divBdr>
        <w:top w:val="none" w:sz="0" w:space="0" w:color="auto"/>
        <w:left w:val="none" w:sz="0" w:space="0" w:color="auto"/>
        <w:bottom w:val="none" w:sz="0" w:space="0" w:color="auto"/>
        <w:right w:val="none" w:sz="0" w:space="0" w:color="auto"/>
      </w:divBdr>
    </w:div>
    <w:div w:id="1598515417">
      <w:bodyDiv w:val="1"/>
      <w:marLeft w:val="0"/>
      <w:marRight w:val="0"/>
      <w:marTop w:val="0"/>
      <w:marBottom w:val="0"/>
      <w:divBdr>
        <w:top w:val="none" w:sz="0" w:space="0" w:color="auto"/>
        <w:left w:val="none" w:sz="0" w:space="0" w:color="auto"/>
        <w:bottom w:val="none" w:sz="0" w:space="0" w:color="auto"/>
        <w:right w:val="none" w:sz="0" w:space="0" w:color="auto"/>
      </w:divBdr>
    </w:div>
    <w:div w:id="1612198682">
      <w:bodyDiv w:val="1"/>
      <w:marLeft w:val="0"/>
      <w:marRight w:val="0"/>
      <w:marTop w:val="0"/>
      <w:marBottom w:val="0"/>
      <w:divBdr>
        <w:top w:val="none" w:sz="0" w:space="0" w:color="auto"/>
        <w:left w:val="none" w:sz="0" w:space="0" w:color="auto"/>
        <w:bottom w:val="none" w:sz="0" w:space="0" w:color="auto"/>
        <w:right w:val="none" w:sz="0" w:space="0" w:color="auto"/>
      </w:divBdr>
    </w:div>
    <w:div w:id="1612973703">
      <w:bodyDiv w:val="1"/>
      <w:marLeft w:val="0"/>
      <w:marRight w:val="0"/>
      <w:marTop w:val="0"/>
      <w:marBottom w:val="0"/>
      <w:divBdr>
        <w:top w:val="none" w:sz="0" w:space="0" w:color="auto"/>
        <w:left w:val="none" w:sz="0" w:space="0" w:color="auto"/>
        <w:bottom w:val="none" w:sz="0" w:space="0" w:color="auto"/>
        <w:right w:val="none" w:sz="0" w:space="0" w:color="auto"/>
      </w:divBdr>
    </w:div>
    <w:div w:id="1663660091">
      <w:bodyDiv w:val="1"/>
      <w:marLeft w:val="0"/>
      <w:marRight w:val="0"/>
      <w:marTop w:val="0"/>
      <w:marBottom w:val="0"/>
      <w:divBdr>
        <w:top w:val="none" w:sz="0" w:space="0" w:color="auto"/>
        <w:left w:val="none" w:sz="0" w:space="0" w:color="auto"/>
        <w:bottom w:val="none" w:sz="0" w:space="0" w:color="auto"/>
        <w:right w:val="none" w:sz="0" w:space="0" w:color="auto"/>
      </w:divBdr>
    </w:div>
    <w:div w:id="1668089853">
      <w:bodyDiv w:val="1"/>
      <w:marLeft w:val="0"/>
      <w:marRight w:val="0"/>
      <w:marTop w:val="0"/>
      <w:marBottom w:val="0"/>
      <w:divBdr>
        <w:top w:val="none" w:sz="0" w:space="0" w:color="auto"/>
        <w:left w:val="none" w:sz="0" w:space="0" w:color="auto"/>
        <w:bottom w:val="none" w:sz="0" w:space="0" w:color="auto"/>
        <w:right w:val="none" w:sz="0" w:space="0" w:color="auto"/>
      </w:divBdr>
    </w:div>
    <w:div w:id="1709792048">
      <w:bodyDiv w:val="1"/>
      <w:marLeft w:val="0"/>
      <w:marRight w:val="0"/>
      <w:marTop w:val="0"/>
      <w:marBottom w:val="0"/>
      <w:divBdr>
        <w:top w:val="none" w:sz="0" w:space="0" w:color="auto"/>
        <w:left w:val="none" w:sz="0" w:space="0" w:color="auto"/>
        <w:bottom w:val="none" w:sz="0" w:space="0" w:color="auto"/>
        <w:right w:val="none" w:sz="0" w:space="0" w:color="auto"/>
      </w:divBdr>
    </w:div>
    <w:div w:id="1712605872">
      <w:bodyDiv w:val="1"/>
      <w:marLeft w:val="0"/>
      <w:marRight w:val="0"/>
      <w:marTop w:val="0"/>
      <w:marBottom w:val="0"/>
      <w:divBdr>
        <w:top w:val="none" w:sz="0" w:space="0" w:color="auto"/>
        <w:left w:val="none" w:sz="0" w:space="0" w:color="auto"/>
        <w:bottom w:val="none" w:sz="0" w:space="0" w:color="auto"/>
        <w:right w:val="none" w:sz="0" w:space="0" w:color="auto"/>
      </w:divBdr>
    </w:div>
    <w:div w:id="1713069802">
      <w:bodyDiv w:val="1"/>
      <w:marLeft w:val="0"/>
      <w:marRight w:val="0"/>
      <w:marTop w:val="0"/>
      <w:marBottom w:val="0"/>
      <w:divBdr>
        <w:top w:val="none" w:sz="0" w:space="0" w:color="auto"/>
        <w:left w:val="none" w:sz="0" w:space="0" w:color="auto"/>
        <w:bottom w:val="none" w:sz="0" w:space="0" w:color="auto"/>
        <w:right w:val="none" w:sz="0" w:space="0" w:color="auto"/>
      </w:divBdr>
    </w:div>
    <w:div w:id="1716807746">
      <w:bodyDiv w:val="1"/>
      <w:marLeft w:val="0"/>
      <w:marRight w:val="0"/>
      <w:marTop w:val="0"/>
      <w:marBottom w:val="0"/>
      <w:divBdr>
        <w:top w:val="none" w:sz="0" w:space="0" w:color="auto"/>
        <w:left w:val="none" w:sz="0" w:space="0" w:color="auto"/>
        <w:bottom w:val="none" w:sz="0" w:space="0" w:color="auto"/>
        <w:right w:val="none" w:sz="0" w:space="0" w:color="auto"/>
      </w:divBdr>
    </w:div>
    <w:div w:id="1731686223">
      <w:bodyDiv w:val="1"/>
      <w:marLeft w:val="0"/>
      <w:marRight w:val="0"/>
      <w:marTop w:val="0"/>
      <w:marBottom w:val="0"/>
      <w:divBdr>
        <w:top w:val="none" w:sz="0" w:space="0" w:color="auto"/>
        <w:left w:val="none" w:sz="0" w:space="0" w:color="auto"/>
        <w:bottom w:val="none" w:sz="0" w:space="0" w:color="auto"/>
        <w:right w:val="none" w:sz="0" w:space="0" w:color="auto"/>
      </w:divBdr>
    </w:div>
    <w:div w:id="1747530075">
      <w:bodyDiv w:val="1"/>
      <w:marLeft w:val="0"/>
      <w:marRight w:val="0"/>
      <w:marTop w:val="0"/>
      <w:marBottom w:val="0"/>
      <w:divBdr>
        <w:top w:val="none" w:sz="0" w:space="0" w:color="auto"/>
        <w:left w:val="none" w:sz="0" w:space="0" w:color="auto"/>
        <w:bottom w:val="none" w:sz="0" w:space="0" w:color="auto"/>
        <w:right w:val="none" w:sz="0" w:space="0" w:color="auto"/>
      </w:divBdr>
    </w:div>
    <w:div w:id="1770076345">
      <w:bodyDiv w:val="1"/>
      <w:marLeft w:val="0"/>
      <w:marRight w:val="0"/>
      <w:marTop w:val="0"/>
      <w:marBottom w:val="0"/>
      <w:divBdr>
        <w:top w:val="none" w:sz="0" w:space="0" w:color="auto"/>
        <w:left w:val="none" w:sz="0" w:space="0" w:color="auto"/>
        <w:bottom w:val="none" w:sz="0" w:space="0" w:color="auto"/>
        <w:right w:val="none" w:sz="0" w:space="0" w:color="auto"/>
      </w:divBdr>
    </w:div>
    <w:div w:id="1771001793">
      <w:bodyDiv w:val="1"/>
      <w:marLeft w:val="0"/>
      <w:marRight w:val="0"/>
      <w:marTop w:val="0"/>
      <w:marBottom w:val="0"/>
      <w:divBdr>
        <w:top w:val="none" w:sz="0" w:space="0" w:color="auto"/>
        <w:left w:val="none" w:sz="0" w:space="0" w:color="auto"/>
        <w:bottom w:val="none" w:sz="0" w:space="0" w:color="auto"/>
        <w:right w:val="none" w:sz="0" w:space="0" w:color="auto"/>
      </w:divBdr>
    </w:div>
    <w:div w:id="1797093932">
      <w:bodyDiv w:val="1"/>
      <w:marLeft w:val="0"/>
      <w:marRight w:val="0"/>
      <w:marTop w:val="0"/>
      <w:marBottom w:val="0"/>
      <w:divBdr>
        <w:top w:val="none" w:sz="0" w:space="0" w:color="auto"/>
        <w:left w:val="none" w:sz="0" w:space="0" w:color="auto"/>
        <w:bottom w:val="none" w:sz="0" w:space="0" w:color="auto"/>
        <w:right w:val="none" w:sz="0" w:space="0" w:color="auto"/>
      </w:divBdr>
    </w:div>
    <w:div w:id="1801067709">
      <w:bodyDiv w:val="1"/>
      <w:marLeft w:val="0"/>
      <w:marRight w:val="0"/>
      <w:marTop w:val="0"/>
      <w:marBottom w:val="0"/>
      <w:divBdr>
        <w:top w:val="none" w:sz="0" w:space="0" w:color="auto"/>
        <w:left w:val="none" w:sz="0" w:space="0" w:color="auto"/>
        <w:bottom w:val="none" w:sz="0" w:space="0" w:color="auto"/>
        <w:right w:val="none" w:sz="0" w:space="0" w:color="auto"/>
      </w:divBdr>
    </w:div>
    <w:div w:id="1803234157">
      <w:bodyDiv w:val="1"/>
      <w:marLeft w:val="0"/>
      <w:marRight w:val="0"/>
      <w:marTop w:val="0"/>
      <w:marBottom w:val="0"/>
      <w:divBdr>
        <w:top w:val="none" w:sz="0" w:space="0" w:color="auto"/>
        <w:left w:val="none" w:sz="0" w:space="0" w:color="auto"/>
        <w:bottom w:val="none" w:sz="0" w:space="0" w:color="auto"/>
        <w:right w:val="none" w:sz="0" w:space="0" w:color="auto"/>
      </w:divBdr>
    </w:div>
    <w:div w:id="1810509673">
      <w:bodyDiv w:val="1"/>
      <w:marLeft w:val="0"/>
      <w:marRight w:val="0"/>
      <w:marTop w:val="0"/>
      <w:marBottom w:val="0"/>
      <w:divBdr>
        <w:top w:val="none" w:sz="0" w:space="0" w:color="auto"/>
        <w:left w:val="none" w:sz="0" w:space="0" w:color="auto"/>
        <w:bottom w:val="none" w:sz="0" w:space="0" w:color="auto"/>
        <w:right w:val="none" w:sz="0" w:space="0" w:color="auto"/>
      </w:divBdr>
    </w:div>
    <w:div w:id="1812819746">
      <w:bodyDiv w:val="1"/>
      <w:marLeft w:val="0"/>
      <w:marRight w:val="0"/>
      <w:marTop w:val="0"/>
      <w:marBottom w:val="0"/>
      <w:divBdr>
        <w:top w:val="none" w:sz="0" w:space="0" w:color="auto"/>
        <w:left w:val="none" w:sz="0" w:space="0" w:color="auto"/>
        <w:bottom w:val="none" w:sz="0" w:space="0" w:color="auto"/>
        <w:right w:val="none" w:sz="0" w:space="0" w:color="auto"/>
      </w:divBdr>
    </w:div>
    <w:div w:id="1836190015">
      <w:bodyDiv w:val="1"/>
      <w:marLeft w:val="0"/>
      <w:marRight w:val="0"/>
      <w:marTop w:val="0"/>
      <w:marBottom w:val="0"/>
      <w:divBdr>
        <w:top w:val="none" w:sz="0" w:space="0" w:color="auto"/>
        <w:left w:val="none" w:sz="0" w:space="0" w:color="auto"/>
        <w:bottom w:val="none" w:sz="0" w:space="0" w:color="auto"/>
        <w:right w:val="none" w:sz="0" w:space="0" w:color="auto"/>
      </w:divBdr>
    </w:div>
    <w:div w:id="1838037269">
      <w:bodyDiv w:val="1"/>
      <w:marLeft w:val="0"/>
      <w:marRight w:val="0"/>
      <w:marTop w:val="0"/>
      <w:marBottom w:val="0"/>
      <w:divBdr>
        <w:top w:val="none" w:sz="0" w:space="0" w:color="auto"/>
        <w:left w:val="none" w:sz="0" w:space="0" w:color="auto"/>
        <w:bottom w:val="none" w:sz="0" w:space="0" w:color="auto"/>
        <w:right w:val="none" w:sz="0" w:space="0" w:color="auto"/>
      </w:divBdr>
    </w:div>
    <w:div w:id="1853956584">
      <w:bodyDiv w:val="1"/>
      <w:marLeft w:val="0"/>
      <w:marRight w:val="0"/>
      <w:marTop w:val="0"/>
      <w:marBottom w:val="0"/>
      <w:divBdr>
        <w:top w:val="none" w:sz="0" w:space="0" w:color="auto"/>
        <w:left w:val="none" w:sz="0" w:space="0" w:color="auto"/>
        <w:bottom w:val="none" w:sz="0" w:space="0" w:color="auto"/>
        <w:right w:val="none" w:sz="0" w:space="0" w:color="auto"/>
      </w:divBdr>
    </w:div>
    <w:div w:id="1859852151">
      <w:bodyDiv w:val="1"/>
      <w:marLeft w:val="0"/>
      <w:marRight w:val="0"/>
      <w:marTop w:val="0"/>
      <w:marBottom w:val="0"/>
      <w:divBdr>
        <w:top w:val="none" w:sz="0" w:space="0" w:color="auto"/>
        <w:left w:val="none" w:sz="0" w:space="0" w:color="auto"/>
        <w:bottom w:val="none" w:sz="0" w:space="0" w:color="auto"/>
        <w:right w:val="none" w:sz="0" w:space="0" w:color="auto"/>
      </w:divBdr>
    </w:div>
    <w:div w:id="1862009535">
      <w:bodyDiv w:val="1"/>
      <w:marLeft w:val="0"/>
      <w:marRight w:val="0"/>
      <w:marTop w:val="0"/>
      <w:marBottom w:val="0"/>
      <w:divBdr>
        <w:top w:val="none" w:sz="0" w:space="0" w:color="auto"/>
        <w:left w:val="none" w:sz="0" w:space="0" w:color="auto"/>
        <w:bottom w:val="none" w:sz="0" w:space="0" w:color="auto"/>
        <w:right w:val="none" w:sz="0" w:space="0" w:color="auto"/>
      </w:divBdr>
    </w:div>
    <w:div w:id="1876768190">
      <w:bodyDiv w:val="1"/>
      <w:marLeft w:val="0"/>
      <w:marRight w:val="0"/>
      <w:marTop w:val="0"/>
      <w:marBottom w:val="0"/>
      <w:divBdr>
        <w:top w:val="none" w:sz="0" w:space="0" w:color="auto"/>
        <w:left w:val="none" w:sz="0" w:space="0" w:color="auto"/>
        <w:bottom w:val="none" w:sz="0" w:space="0" w:color="auto"/>
        <w:right w:val="none" w:sz="0" w:space="0" w:color="auto"/>
      </w:divBdr>
    </w:div>
    <w:div w:id="1878078898">
      <w:bodyDiv w:val="1"/>
      <w:marLeft w:val="0"/>
      <w:marRight w:val="0"/>
      <w:marTop w:val="0"/>
      <w:marBottom w:val="0"/>
      <w:divBdr>
        <w:top w:val="none" w:sz="0" w:space="0" w:color="auto"/>
        <w:left w:val="none" w:sz="0" w:space="0" w:color="auto"/>
        <w:bottom w:val="none" w:sz="0" w:space="0" w:color="auto"/>
        <w:right w:val="none" w:sz="0" w:space="0" w:color="auto"/>
      </w:divBdr>
    </w:div>
    <w:div w:id="1904635589">
      <w:bodyDiv w:val="1"/>
      <w:marLeft w:val="0"/>
      <w:marRight w:val="0"/>
      <w:marTop w:val="0"/>
      <w:marBottom w:val="0"/>
      <w:divBdr>
        <w:top w:val="none" w:sz="0" w:space="0" w:color="auto"/>
        <w:left w:val="none" w:sz="0" w:space="0" w:color="auto"/>
        <w:bottom w:val="none" w:sz="0" w:space="0" w:color="auto"/>
        <w:right w:val="none" w:sz="0" w:space="0" w:color="auto"/>
      </w:divBdr>
      <w:divsChild>
        <w:div w:id="562525388">
          <w:marLeft w:val="0"/>
          <w:marRight w:val="0"/>
          <w:marTop w:val="0"/>
          <w:marBottom w:val="0"/>
          <w:divBdr>
            <w:top w:val="none" w:sz="0" w:space="0" w:color="auto"/>
            <w:left w:val="none" w:sz="0" w:space="0" w:color="auto"/>
            <w:bottom w:val="none" w:sz="0" w:space="0" w:color="auto"/>
            <w:right w:val="none" w:sz="0" w:space="0" w:color="auto"/>
          </w:divBdr>
        </w:div>
        <w:div w:id="1628120273">
          <w:marLeft w:val="0"/>
          <w:marRight w:val="0"/>
          <w:marTop w:val="0"/>
          <w:marBottom w:val="0"/>
          <w:divBdr>
            <w:top w:val="none" w:sz="0" w:space="0" w:color="auto"/>
            <w:left w:val="none" w:sz="0" w:space="0" w:color="auto"/>
            <w:bottom w:val="none" w:sz="0" w:space="0" w:color="auto"/>
            <w:right w:val="none" w:sz="0" w:space="0" w:color="auto"/>
          </w:divBdr>
        </w:div>
      </w:divsChild>
    </w:div>
    <w:div w:id="1949196579">
      <w:bodyDiv w:val="1"/>
      <w:marLeft w:val="0"/>
      <w:marRight w:val="0"/>
      <w:marTop w:val="0"/>
      <w:marBottom w:val="0"/>
      <w:divBdr>
        <w:top w:val="none" w:sz="0" w:space="0" w:color="auto"/>
        <w:left w:val="none" w:sz="0" w:space="0" w:color="auto"/>
        <w:bottom w:val="none" w:sz="0" w:space="0" w:color="auto"/>
        <w:right w:val="none" w:sz="0" w:space="0" w:color="auto"/>
      </w:divBdr>
    </w:div>
    <w:div w:id="1994136480">
      <w:bodyDiv w:val="1"/>
      <w:marLeft w:val="0"/>
      <w:marRight w:val="0"/>
      <w:marTop w:val="0"/>
      <w:marBottom w:val="0"/>
      <w:divBdr>
        <w:top w:val="none" w:sz="0" w:space="0" w:color="auto"/>
        <w:left w:val="none" w:sz="0" w:space="0" w:color="auto"/>
        <w:bottom w:val="none" w:sz="0" w:space="0" w:color="auto"/>
        <w:right w:val="none" w:sz="0" w:space="0" w:color="auto"/>
      </w:divBdr>
    </w:div>
    <w:div w:id="2018968795">
      <w:bodyDiv w:val="1"/>
      <w:marLeft w:val="0"/>
      <w:marRight w:val="0"/>
      <w:marTop w:val="0"/>
      <w:marBottom w:val="0"/>
      <w:divBdr>
        <w:top w:val="none" w:sz="0" w:space="0" w:color="auto"/>
        <w:left w:val="none" w:sz="0" w:space="0" w:color="auto"/>
        <w:bottom w:val="none" w:sz="0" w:space="0" w:color="auto"/>
        <w:right w:val="none" w:sz="0" w:space="0" w:color="auto"/>
      </w:divBdr>
    </w:div>
    <w:div w:id="2021354369">
      <w:bodyDiv w:val="1"/>
      <w:marLeft w:val="0"/>
      <w:marRight w:val="0"/>
      <w:marTop w:val="0"/>
      <w:marBottom w:val="0"/>
      <w:divBdr>
        <w:top w:val="none" w:sz="0" w:space="0" w:color="auto"/>
        <w:left w:val="none" w:sz="0" w:space="0" w:color="auto"/>
        <w:bottom w:val="none" w:sz="0" w:space="0" w:color="auto"/>
        <w:right w:val="none" w:sz="0" w:space="0" w:color="auto"/>
      </w:divBdr>
    </w:div>
    <w:div w:id="2024701252">
      <w:bodyDiv w:val="1"/>
      <w:marLeft w:val="0"/>
      <w:marRight w:val="0"/>
      <w:marTop w:val="0"/>
      <w:marBottom w:val="0"/>
      <w:divBdr>
        <w:top w:val="none" w:sz="0" w:space="0" w:color="auto"/>
        <w:left w:val="none" w:sz="0" w:space="0" w:color="auto"/>
        <w:bottom w:val="none" w:sz="0" w:space="0" w:color="auto"/>
        <w:right w:val="none" w:sz="0" w:space="0" w:color="auto"/>
      </w:divBdr>
    </w:div>
    <w:div w:id="2036543145">
      <w:bodyDiv w:val="1"/>
      <w:marLeft w:val="0"/>
      <w:marRight w:val="0"/>
      <w:marTop w:val="0"/>
      <w:marBottom w:val="0"/>
      <w:divBdr>
        <w:top w:val="none" w:sz="0" w:space="0" w:color="auto"/>
        <w:left w:val="none" w:sz="0" w:space="0" w:color="auto"/>
        <w:bottom w:val="none" w:sz="0" w:space="0" w:color="auto"/>
        <w:right w:val="none" w:sz="0" w:space="0" w:color="auto"/>
      </w:divBdr>
    </w:div>
    <w:div w:id="2080396362">
      <w:bodyDiv w:val="1"/>
      <w:marLeft w:val="0"/>
      <w:marRight w:val="0"/>
      <w:marTop w:val="0"/>
      <w:marBottom w:val="0"/>
      <w:divBdr>
        <w:top w:val="none" w:sz="0" w:space="0" w:color="auto"/>
        <w:left w:val="none" w:sz="0" w:space="0" w:color="auto"/>
        <w:bottom w:val="none" w:sz="0" w:space="0" w:color="auto"/>
        <w:right w:val="none" w:sz="0" w:space="0" w:color="auto"/>
      </w:divBdr>
    </w:div>
    <w:div w:id="2088114412">
      <w:bodyDiv w:val="1"/>
      <w:marLeft w:val="0"/>
      <w:marRight w:val="0"/>
      <w:marTop w:val="0"/>
      <w:marBottom w:val="0"/>
      <w:divBdr>
        <w:top w:val="none" w:sz="0" w:space="0" w:color="auto"/>
        <w:left w:val="none" w:sz="0" w:space="0" w:color="auto"/>
        <w:bottom w:val="none" w:sz="0" w:space="0" w:color="auto"/>
        <w:right w:val="none" w:sz="0" w:space="0" w:color="auto"/>
      </w:divBdr>
    </w:div>
    <w:div w:id="2105761696">
      <w:bodyDiv w:val="1"/>
      <w:marLeft w:val="0"/>
      <w:marRight w:val="0"/>
      <w:marTop w:val="0"/>
      <w:marBottom w:val="0"/>
      <w:divBdr>
        <w:top w:val="none" w:sz="0" w:space="0" w:color="auto"/>
        <w:left w:val="none" w:sz="0" w:space="0" w:color="auto"/>
        <w:bottom w:val="none" w:sz="0" w:space="0" w:color="auto"/>
        <w:right w:val="none" w:sz="0" w:space="0" w:color="auto"/>
      </w:divBdr>
    </w:div>
    <w:div w:id="2115831197">
      <w:bodyDiv w:val="1"/>
      <w:marLeft w:val="0"/>
      <w:marRight w:val="0"/>
      <w:marTop w:val="0"/>
      <w:marBottom w:val="0"/>
      <w:divBdr>
        <w:top w:val="none" w:sz="0" w:space="0" w:color="auto"/>
        <w:left w:val="none" w:sz="0" w:space="0" w:color="auto"/>
        <w:bottom w:val="none" w:sz="0" w:space="0" w:color="auto"/>
        <w:right w:val="none" w:sz="0" w:space="0" w:color="auto"/>
      </w:divBdr>
    </w:div>
    <w:div w:id="2119833655">
      <w:bodyDiv w:val="1"/>
      <w:marLeft w:val="0"/>
      <w:marRight w:val="0"/>
      <w:marTop w:val="0"/>
      <w:marBottom w:val="0"/>
      <w:divBdr>
        <w:top w:val="none" w:sz="0" w:space="0" w:color="auto"/>
        <w:left w:val="none" w:sz="0" w:space="0" w:color="auto"/>
        <w:bottom w:val="none" w:sz="0" w:space="0" w:color="auto"/>
        <w:right w:val="none" w:sz="0" w:space="0" w:color="auto"/>
      </w:divBdr>
    </w:div>
    <w:div w:id="2122725884">
      <w:bodyDiv w:val="1"/>
      <w:marLeft w:val="0"/>
      <w:marRight w:val="0"/>
      <w:marTop w:val="0"/>
      <w:marBottom w:val="0"/>
      <w:divBdr>
        <w:top w:val="none" w:sz="0" w:space="0" w:color="auto"/>
        <w:left w:val="none" w:sz="0" w:space="0" w:color="auto"/>
        <w:bottom w:val="none" w:sz="0" w:space="0" w:color="auto"/>
        <w:right w:val="none" w:sz="0" w:space="0" w:color="auto"/>
      </w:divBdr>
    </w:div>
    <w:div w:id="213374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lv/aktualitates-banklv/zinas-un-raksti/uzraudzibas-zinas-un-pazinojumi-lidz-2023-gadam/16220-fktk-aptur-finansu-pakalpojumu-sniegsanu-baltic-international-bank-se" TargetMode="External"/><Relationship Id="rId13" Type="http://schemas.openxmlformats.org/officeDocument/2006/relationships/chart" Target="charts/chart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likumi.lv/doc.php?id=19650" TargetMode="External"/><Relationship Id="rId19" Type="http://schemas.openxmlformats.org/officeDocument/2006/relationships/image" Target="cid:image001.png@01D9C6D7.84E8FC30" TargetMode="External"/><Relationship Id="rId4" Type="http://schemas.openxmlformats.org/officeDocument/2006/relationships/settings" Target="settings.xml"/><Relationship Id="rId9" Type="http://schemas.openxmlformats.org/officeDocument/2006/relationships/hyperlink" Target="http://likumi.lv/doc.php?id=19650" TargetMode="External"/><Relationship Id="rId14" Type="http://schemas.openxmlformats.org/officeDocument/2006/relationships/chart" Target="charts/chart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rvk.gov.lv/lv/getrevisionfile/29569-ZIYN4tzL94W87f9rsq-_QZrt_Qira4Qw.pdf" TargetMode="External"/><Relationship Id="rId2" Type="http://schemas.openxmlformats.org/officeDocument/2006/relationships/hyperlink" Target="https://www.bank.lv/darbibas-jomas/klientu-aizsardziba/kompensaciju-izmaksas-sistemas/noguldijumu-garantiju-fonds" TargetMode="External"/><Relationship Id="rId1" Type="http://schemas.openxmlformats.org/officeDocument/2006/relationships/hyperlink" Target="https://likumi.lv/ta/id/162007-noteikumi-par-elektroenergijas-razosanu-izmantojot-atjaunojamos-energoresursus" TargetMode="External"/><Relationship Id="rId6" Type="http://schemas.openxmlformats.org/officeDocument/2006/relationships/hyperlink" Target="https://tapportals.mk.gov.lv/legal_acts/a5936f15-dfe0-49cf-b85b-a8edd4f73b4" TargetMode="External"/><Relationship Id="rId5" Type="http://schemas.openxmlformats.org/officeDocument/2006/relationships/hyperlink" Target="https://economy-finance.ec.europa.eu/system/files/2023-05/ip200_en_1.pdf" TargetMode="External"/><Relationship Id="rId4" Type="http://schemas.openxmlformats.org/officeDocument/2006/relationships/hyperlink" Target="https://tapportals.mk.gov.lv/legal_acts/0a95188b-8bc3-4bf1-92bb-9fc1e3afed9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fmlv-my.sharepoint.com/personal/martins_trautmanis_fm_gov_lv/Documents/misc_prez_SP_Fitch_raksti%20etc/Apr&#275;&#311;ini_l&#299;dzdal&#299;ba_kapital&#257;_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pd-cerna\Downloads\4.1.%20s1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pd-cerna\Downloads\4.2.%20galvojum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24624288827804"/>
          <c:y val="0.12756005924339159"/>
          <c:w val="0.86882542049107769"/>
          <c:h val="0.70978001288627446"/>
        </c:manualLayout>
      </c:layout>
      <c:lineChart>
        <c:grouping val="standard"/>
        <c:varyColors val="0"/>
        <c:ser>
          <c:idx val="0"/>
          <c:order val="0"/>
          <c:tx>
            <c:v>% of GDP</c:v>
          </c:tx>
          <c:spPr>
            <a:ln w="28575" cap="rnd">
              <a:solidFill>
                <a:schemeClr val="accent1"/>
              </a:solidFill>
              <a:round/>
            </a:ln>
            <a:effectLst/>
          </c:spPr>
          <c:marker>
            <c:symbol val="none"/>
          </c:marker>
          <c:dLbls>
            <c:dLbl>
              <c:idx val="0"/>
              <c:layout>
                <c:manualLayout>
                  <c:x val="-6.0486522024983586E-2"/>
                  <c:y val="5.092592592592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A6-429C-BC0C-08F7BF08A089}"/>
                </c:ext>
              </c:extLst>
            </c:dLbl>
            <c:dLbl>
              <c:idx val="1"/>
              <c:layout>
                <c:manualLayout>
                  <c:x val="-4.9967126890203835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6-429C-BC0C-08F7BF08A089}"/>
                </c:ext>
              </c:extLst>
            </c:dLbl>
            <c:dLbl>
              <c:idx val="2"/>
              <c:layout>
                <c:manualLayout>
                  <c:x val="-5.2596975673898802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A6-429C-BC0C-08F7BF08A089}"/>
                </c:ext>
              </c:extLst>
            </c:dLbl>
            <c:dLbl>
              <c:idx val="3"/>
              <c:layout>
                <c:manualLayout>
                  <c:x val="-5.5226824457593686E-2"/>
                  <c:y val="6.2079376103491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A6-429C-BC0C-08F7BF08A089}"/>
                </c:ext>
              </c:extLst>
            </c:dLbl>
            <c:dLbl>
              <c:idx val="4"/>
              <c:layout>
                <c:manualLayout>
                  <c:x val="-5.7856673241288625E-2"/>
                  <c:y val="-4.3182073016643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A6-429C-BC0C-08F7BF08A089}"/>
                </c:ext>
              </c:extLst>
            </c:dLbl>
            <c:dLbl>
              <c:idx val="5"/>
              <c:layout>
                <c:manualLayout>
                  <c:x val="-5.7856673241288625E-2"/>
                  <c:y val="8.9099383299723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A6-429C-BC0C-08F7BF08A089}"/>
                </c:ext>
              </c:extLst>
            </c:dLbl>
            <c:dLbl>
              <c:idx val="6"/>
              <c:layout>
                <c:manualLayout>
                  <c:x val="-5.2596975673898753E-2"/>
                  <c:y val="-9.3350180324165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A6-429C-BC0C-08F7BF08A089}"/>
                </c:ext>
              </c:extLst>
            </c:dLbl>
            <c:dLbl>
              <c:idx val="7"/>
              <c:layout>
                <c:manualLayout>
                  <c:x val="-6.3116370808678504E-2"/>
                  <c:y val="9.95787694444676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A6-429C-BC0C-08F7BF08A089}"/>
                </c:ext>
              </c:extLst>
            </c:dLbl>
            <c:dLbl>
              <c:idx val="8"/>
              <c:layout>
                <c:manualLayout>
                  <c:x val="-2.3668639053254437E-2"/>
                  <c:y val="-6.3761955366631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A6-429C-BC0C-08F7BF08A089}"/>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[Aprēķini_līdzdalība_kapitalā_2021.xlsx]Līdzdalība!$D$66:$L$66</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[Aprēķini_līdzdalība_kapitalā_2021.xlsx]Līdzdalība!$D$67:$L$67</c:f>
              <c:numCache>
                <c:formatCode>0.00%</c:formatCode>
                <c:ptCount val="9"/>
                <c:pt idx="0">
                  <c:v>0.1679760828859905</c:v>
                </c:pt>
                <c:pt idx="1">
                  <c:v>0.1762056585423005</c:v>
                </c:pt>
                <c:pt idx="2">
                  <c:v>0.16600110222452871</c:v>
                </c:pt>
                <c:pt idx="3">
                  <c:v>0.17047781976218504</c:v>
                </c:pt>
                <c:pt idx="4">
                  <c:v>0.18925726547598756</c:v>
                </c:pt>
                <c:pt idx="5">
                  <c:v>0.1638565120495078</c:v>
                </c:pt>
                <c:pt idx="6">
                  <c:v>0.15410330758248422</c:v>
                </c:pt>
                <c:pt idx="7">
                  <c:v>0.16290354525648643</c:v>
                </c:pt>
                <c:pt idx="8">
                  <c:v>0.1512350167231028</c:v>
                </c:pt>
              </c:numCache>
            </c:numRef>
          </c:val>
          <c:smooth val="0"/>
          <c:extLst>
            <c:ext xmlns:c16="http://schemas.microsoft.com/office/drawing/2014/chart" uri="{C3380CC4-5D6E-409C-BE32-E72D297353CC}">
              <c16:uniqueId val="{00000009-B3A6-429C-BC0C-08F7BF08A089}"/>
            </c:ext>
          </c:extLst>
        </c:ser>
        <c:dLbls>
          <c:showLegendKey val="0"/>
          <c:showVal val="0"/>
          <c:showCatName val="0"/>
          <c:showSerName val="0"/>
          <c:showPercent val="0"/>
          <c:showBubbleSize val="0"/>
        </c:dLbls>
        <c:smooth val="0"/>
        <c:axId val="482027584"/>
        <c:axId val="482028000"/>
      </c:lineChart>
      <c:catAx>
        <c:axId val="48202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482028000"/>
        <c:crosses val="autoZero"/>
        <c:auto val="1"/>
        <c:lblAlgn val="ctr"/>
        <c:lblOffset val="100"/>
        <c:noMultiLvlLbl val="0"/>
      </c:catAx>
      <c:valAx>
        <c:axId val="482028000"/>
        <c:scaling>
          <c:orientation val="minMax"/>
          <c:min val="0.14000000000000001"/>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0"/>
              <a:lstStyle/>
              <a:p>
                <a:pPr>
                  <a:defRPr sz="1000" b="0" i="0" u="none" strike="noStrike" kern="1200" baseline="0">
                    <a:solidFill>
                      <a:schemeClr val="tx1">
                        <a:lumMod val="65000"/>
                        <a:lumOff val="35000"/>
                      </a:schemeClr>
                    </a:solidFill>
                    <a:latin typeface="+mn-lt"/>
                    <a:ea typeface="+mn-ea"/>
                    <a:cs typeface="+mn-cs"/>
                  </a:defRPr>
                </a:pPr>
                <a:r>
                  <a:rPr lang="lv-LV" i="1"/>
                  <a:t>%</a:t>
                </a:r>
                <a:r>
                  <a:rPr lang="lv-LV" i="1" baseline="0"/>
                  <a:t> no IKP</a:t>
                </a:r>
                <a:endParaRPr lang="en-US" i="1"/>
              </a:p>
            </c:rich>
          </c:tx>
          <c:layout>
            <c:manualLayout>
              <c:xMode val="edge"/>
              <c:yMode val="edge"/>
              <c:x val="5.2596975673898753E-2"/>
              <c:y val="7.4874275147062529E-3"/>
            </c:manualLayout>
          </c:layout>
          <c:overlay val="0"/>
          <c:spPr>
            <a:noFill/>
            <a:ln>
              <a:noFill/>
            </a:ln>
            <a:effectLst/>
          </c:spPr>
          <c:txPr>
            <a:bodyPr rot="0" spcFirstLastPara="1" vertOverflow="ellipsis" wrap="square" anchor="t" anchorCtr="0"/>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482027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i="1">
                <a:solidFill>
                  <a:schemeClr val="tx1">
                    <a:lumMod val="65000"/>
                    <a:lumOff val="35000"/>
                  </a:schemeClr>
                </a:solidFill>
                <a:latin typeface="Times New Roman" panose="02020603050405020304" pitchFamily="18" charset="0"/>
                <a:cs typeface="Times New Roman" panose="02020603050405020304" pitchFamily="18" charset="0"/>
              </a:rPr>
              <a:t>%</a:t>
            </a:r>
            <a:r>
              <a:rPr lang="en-GB" sz="1000" b="1" i="1" baseline="0">
                <a:solidFill>
                  <a:schemeClr val="tx1">
                    <a:lumMod val="65000"/>
                    <a:lumOff val="35000"/>
                  </a:schemeClr>
                </a:solidFill>
                <a:latin typeface="Times New Roman" panose="02020603050405020304" pitchFamily="18" charset="0"/>
                <a:cs typeface="Times New Roman" panose="02020603050405020304" pitchFamily="18" charset="0"/>
              </a:rPr>
              <a:t> no IKP</a:t>
            </a:r>
            <a:endParaRPr lang="en-GB" sz="1000" b="1" i="1">
              <a:solidFill>
                <a:schemeClr val="tx1">
                  <a:lumMod val="65000"/>
                  <a:lumOff val="35000"/>
                </a:schemeClr>
              </a:solidFill>
              <a:latin typeface="Times New Roman" panose="02020603050405020304" pitchFamily="18" charset="0"/>
              <a:cs typeface="Times New Roman" panose="02020603050405020304" pitchFamily="18" charset="0"/>
            </a:endParaRPr>
          </a:p>
        </c:rich>
      </c:tx>
      <c:layout>
        <c:manualLayout>
          <c:xMode val="edge"/>
          <c:yMode val="edge"/>
          <c:x val="1.1907803559953233E-3"/>
          <c:y val="4.41306266548985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'[Chart in Microsoft Word]Sheet1'!$B$1</c:f>
              <c:strCache>
                <c:ptCount val="1"/>
                <c:pt idx="0">
                  <c:v>Series 1</c:v>
                </c:pt>
              </c:strCache>
            </c:strRef>
          </c:tx>
          <c:spPr>
            <a:solidFill>
              <a:schemeClr val="accent1">
                <a:alpha val="75000"/>
              </a:schemeClr>
            </a:solidFill>
            <a:ln>
              <a:noFill/>
            </a:ln>
            <a:effectLst/>
          </c:spPr>
          <c:invertIfNegative val="0"/>
          <c:dPt>
            <c:idx val="13"/>
            <c:invertIfNegative val="0"/>
            <c:bubble3D val="0"/>
            <c:spPr>
              <a:solidFill>
                <a:schemeClr val="bg2">
                  <a:lumMod val="90000"/>
                  <a:alpha val="74000"/>
                </a:schemeClr>
              </a:solidFill>
              <a:ln>
                <a:noFill/>
              </a:ln>
              <a:effectLst/>
            </c:spPr>
            <c:extLst>
              <c:ext xmlns:c16="http://schemas.microsoft.com/office/drawing/2014/chart" uri="{C3380CC4-5D6E-409C-BE32-E72D297353CC}">
                <c16:uniqueId val="{00000001-39F2-405F-9EAC-66B5DF06F93D}"/>
              </c:ext>
            </c:extLst>
          </c:dPt>
          <c:dPt>
            <c:idx val="16"/>
            <c:invertIfNegative val="0"/>
            <c:bubble3D val="0"/>
            <c:spPr>
              <a:solidFill>
                <a:srgbClr val="FF0000"/>
              </a:solidFill>
              <a:ln>
                <a:noFill/>
              </a:ln>
              <a:effectLst/>
            </c:spPr>
            <c:extLst>
              <c:ext xmlns:c16="http://schemas.microsoft.com/office/drawing/2014/chart" uri="{C3380CC4-5D6E-409C-BE32-E72D297353CC}">
                <c16:uniqueId val="{00000003-39F2-405F-9EAC-66B5DF06F93D}"/>
              </c:ext>
            </c:extLst>
          </c:dPt>
          <c:cat>
            <c:strRef>
              <c:f>'[Chart in Microsoft Word]Sheet1'!$A$2:$A$28</c:f>
              <c:strCache>
                <c:ptCount val="27"/>
                <c:pt idx="0">
                  <c:v>Grieķija</c:v>
                </c:pt>
                <c:pt idx="1">
                  <c:v>Vācija</c:v>
                </c:pt>
                <c:pt idx="2">
                  <c:v>Nīderlande*</c:v>
                </c:pt>
                <c:pt idx="3">
                  <c:v>Luksemburga</c:v>
                </c:pt>
                <c:pt idx="4">
                  <c:v>Francija*</c:v>
                </c:pt>
                <c:pt idx="5">
                  <c:v>Itālija</c:v>
                </c:pt>
                <c:pt idx="6">
                  <c:v>Zviedrija</c:v>
                </c:pt>
                <c:pt idx="7">
                  <c:v>Somija</c:v>
                </c:pt>
                <c:pt idx="8">
                  <c:v>Polija</c:v>
                </c:pt>
                <c:pt idx="9">
                  <c:v>Beļģija</c:v>
                </c:pt>
                <c:pt idx="10">
                  <c:v>Portugāle</c:v>
                </c:pt>
                <c:pt idx="11">
                  <c:v>Īrija</c:v>
                </c:pt>
                <c:pt idx="12">
                  <c:v>Dānija</c:v>
                </c:pt>
                <c:pt idx="13">
                  <c:v>Austrija</c:v>
                </c:pt>
                <c:pt idx="14">
                  <c:v>Slovenia</c:v>
                </c:pt>
                <c:pt idx="15">
                  <c:v>Čehija</c:v>
                </c:pt>
                <c:pt idx="16">
                  <c:v>Latvija</c:v>
                </c:pt>
                <c:pt idx="17">
                  <c:v>Malta</c:v>
                </c:pt>
                <c:pt idx="18">
                  <c:v>Ungārija</c:v>
                </c:pt>
                <c:pt idx="19">
                  <c:v>Kipra</c:v>
                </c:pt>
                <c:pt idx="20">
                  <c:v>Igaunija</c:v>
                </c:pt>
                <c:pt idx="21">
                  <c:v>Bulgārija</c:v>
                </c:pt>
                <c:pt idx="22">
                  <c:v>Lietuva</c:v>
                </c:pt>
                <c:pt idx="23">
                  <c:v>Horvātija</c:v>
                </c:pt>
                <c:pt idx="24">
                  <c:v>Rumānija</c:v>
                </c:pt>
                <c:pt idx="25">
                  <c:v>Spānija</c:v>
                </c:pt>
                <c:pt idx="26">
                  <c:v>Slovākija</c:v>
                </c:pt>
              </c:strCache>
            </c:strRef>
          </c:cat>
          <c:val>
            <c:numRef>
              <c:f>'[Chart in Microsoft Word]Sheet1'!$B$2:$B$28</c:f>
              <c:numCache>
                <c:formatCode>General</c:formatCode>
                <c:ptCount val="27"/>
                <c:pt idx="0">
                  <c:v>163</c:v>
                </c:pt>
                <c:pt idx="1">
                  <c:v>94.88</c:v>
                </c:pt>
                <c:pt idx="2">
                  <c:v>90.11</c:v>
                </c:pt>
                <c:pt idx="3">
                  <c:v>73.489999999999995</c:v>
                </c:pt>
                <c:pt idx="4">
                  <c:v>70.2</c:v>
                </c:pt>
                <c:pt idx="5">
                  <c:v>68.39</c:v>
                </c:pt>
                <c:pt idx="6">
                  <c:v>55.33</c:v>
                </c:pt>
                <c:pt idx="7">
                  <c:v>51.32</c:v>
                </c:pt>
                <c:pt idx="8">
                  <c:v>49.57</c:v>
                </c:pt>
                <c:pt idx="9">
                  <c:v>48.84</c:v>
                </c:pt>
                <c:pt idx="10">
                  <c:v>40.93</c:v>
                </c:pt>
                <c:pt idx="11">
                  <c:v>37.03</c:v>
                </c:pt>
                <c:pt idx="12">
                  <c:v>32.47</c:v>
                </c:pt>
                <c:pt idx="13">
                  <c:v>27.04</c:v>
                </c:pt>
                <c:pt idx="14">
                  <c:v>24.77</c:v>
                </c:pt>
                <c:pt idx="15">
                  <c:v>18.95</c:v>
                </c:pt>
                <c:pt idx="16">
                  <c:v>18.78</c:v>
                </c:pt>
                <c:pt idx="17">
                  <c:v>18.12</c:v>
                </c:pt>
                <c:pt idx="18">
                  <c:v>16.22</c:v>
                </c:pt>
                <c:pt idx="19">
                  <c:v>14.71</c:v>
                </c:pt>
                <c:pt idx="20">
                  <c:v>12.64</c:v>
                </c:pt>
                <c:pt idx="21">
                  <c:v>11.64</c:v>
                </c:pt>
                <c:pt idx="22">
                  <c:v>10</c:v>
                </c:pt>
                <c:pt idx="23">
                  <c:v>9.08</c:v>
                </c:pt>
                <c:pt idx="24">
                  <c:v>8.31</c:v>
                </c:pt>
                <c:pt idx="25">
                  <c:v>5.64</c:v>
                </c:pt>
                <c:pt idx="26">
                  <c:v>3.6</c:v>
                </c:pt>
              </c:numCache>
            </c:numRef>
          </c:val>
          <c:extLst>
            <c:ext xmlns:c16="http://schemas.microsoft.com/office/drawing/2014/chart" uri="{C3380CC4-5D6E-409C-BE32-E72D297353CC}">
              <c16:uniqueId val="{00000004-39F2-405F-9EAC-66B5DF06F93D}"/>
            </c:ext>
          </c:extLst>
        </c:ser>
        <c:dLbls>
          <c:showLegendKey val="0"/>
          <c:showVal val="0"/>
          <c:showCatName val="0"/>
          <c:showSerName val="0"/>
          <c:showPercent val="0"/>
          <c:showBubbleSize val="0"/>
        </c:dLbls>
        <c:gapWidth val="50"/>
        <c:overlap val="-27"/>
        <c:axId val="85598927"/>
        <c:axId val="85586927"/>
      </c:barChart>
      <c:lineChart>
        <c:grouping val="standard"/>
        <c:varyColors val="0"/>
        <c:ser>
          <c:idx val="1"/>
          <c:order val="1"/>
          <c:tx>
            <c:strRef>
              <c:f>'[Chart in Microsoft Word]Sheet1'!$C$1</c:f>
              <c:strCache>
                <c:ptCount val="1"/>
                <c:pt idx="0">
                  <c:v>Average</c:v>
                </c:pt>
              </c:strCache>
            </c:strRef>
          </c:tx>
          <c:spPr>
            <a:ln w="22225" cap="rnd">
              <a:solidFill>
                <a:srgbClr val="FF0000"/>
              </a:solidFill>
              <a:round/>
            </a:ln>
            <a:effectLst/>
          </c:spPr>
          <c:marker>
            <c:symbol val="none"/>
          </c:marker>
          <c:cat>
            <c:strRef>
              <c:f>'[Chart in Microsoft Word]Sheet1'!$A$2:$A$28</c:f>
              <c:strCache>
                <c:ptCount val="27"/>
                <c:pt idx="0">
                  <c:v>Grieķija</c:v>
                </c:pt>
                <c:pt idx="1">
                  <c:v>Vācija</c:v>
                </c:pt>
                <c:pt idx="2">
                  <c:v>Nīderlande*</c:v>
                </c:pt>
                <c:pt idx="3">
                  <c:v>Luksemburga</c:v>
                </c:pt>
                <c:pt idx="4">
                  <c:v>Francija*</c:v>
                </c:pt>
                <c:pt idx="5">
                  <c:v>Itālija</c:v>
                </c:pt>
                <c:pt idx="6">
                  <c:v>Zviedrija</c:v>
                </c:pt>
                <c:pt idx="7">
                  <c:v>Somija</c:v>
                </c:pt>
                <c:pt idx="8">
                  <c:v>Polija</c:v>
                </c:pt>
                <c:pt idx="9">
                  <c:v>Beļģija</c:v>
                </c:pt>
                <c:pt idx="10">
                  <c:v>Portugāle</c:v>
                </c:pt>
                <c:pt idx="11">
                  <c:v>Īrija</c:v>
                </c:pt>
                <c:pt idx="12">
                  <c:v>Dānija</c:v>
                </c:pt>
                <c:pt idx="13">
                  <c:v>Austrija</c:v>
                </c:pt>
                <c:pt idx="14">
                  <c:v>Slovenia</c:v>
                </c:pt>
                <c:pt idx="15">
                  <c:v>Čehija</c:v>
                </c:pt>
                <c:pt idx="16">
                  <c:v>Latvija</c:v>
                </c:pt>
                <c:pt idx="17">
                  <c:v>Malta</c:v>
                </c:pt>
                <c:pt idx="18">
                  <c:v>Ungārija</c:v>
                </c:pt>
                <c:pt idx="19">
                  <c:v>Kipra</c:v>
                </c:pt>
                <c:pt idx="20">
                  <c:v>Igaunija</c:v>
                </c:pt>
                <c:pt idx="21">
                  <c:v>Bulgārija</c:v>
                </c:pt>
                <c:pt idx="22">
                  <c:v>Lietuva</c:v>
                </c:pt>
                <c:pt idx="23">
                  <c:v>Horvātija</c:v>
                </c:pt>
                <c:pt idx="24">
                  <c:v>Rumānija</c:v>
                </c:pt>
                <c:pt idx="25">
                  <c:v>Spānija</c:v>
                </c:pt>
                <c:pt idx="26">
                  <c:v>Slovākija</c:v>
                </c:pt>
              </c:strCache>
            </c:strRef>
          </c:cat>
          <c:val>
            <c:numRef>
              <c:f>'[Chart in Microsoft Word]Sheet1'!$C$2:$C$28</c:f>
              <c:numCache>
                <c:formatCode>General</c:formatCode>
                <c:ptCount val="27"/>
                <c:pt idx="0">
                  <c:v>39.817037037037046</c:v>
                </c:pt>
                <c:pt idx="1">
                  <c:v>39.817037037037046</c:v>
                </c:pt>
                <c:pt idx="2">
                  <c:v>39.817037037037046</c:v>
                </c:pt>
                <c:pt idx="3">
                  <c:v>39.817037037037046</c:v>
                </c:pt>
                <c:pt idx="4">
                  <c:v>39.817037037037046</c:v>
                </c:pt>
                <c:pt idx="5">
                  <c:v>39.817037037037046</c:v>
                </c:pt>
                <c:pt idx="6">
                  <c:v>39.817037037037046</c:v>
                </c:pt>
                <c:pt idx="7">
                  <c:v>39.817037037037046</c:v>
                </c:pt>
                <c:pt idx="8">
                  <c:v>39.817037037037046</c:v>
                </c:pt>
                <c:pt idx="9">
                  <c:v>39.817037037037046</c:v>
                </c:pt>
                <c:pt idx="10">
                  <c:v>39.817037037037046</c:v>
                </c:pt>
                <c:pt idx="11">
                  <c:v>39.817037037037046</c:v>
                </c:pt>
                <c:pt idx="12">
                  <c:v>39.817037037037046</c:v>
                </c:pt>
                <c:pt idx="13">
                  <c:v>39.817037037037046</c:v>
                </c:pt>
                <c:pt idx="14">
                  <c:v>39.817037037037046</c:v>
                </c:pt>
                <c:pt idx="15">
                  <c:v>39.817037037037046</c:v>
                </c:pt>
                <c:pt idx="16">
                  <c:v>39.817037037037046</c:v>
                </c:pt>
                <c:pt idx="17">
                  <c:v>39.817037037037046</c:v>
                </c:pt>
                <c:pt idx="18">
                  <c:v>39.817037037037046</c:v>
                </c:pt>
                <c:pt idx="19">
                  <c:v>39.817037037037046</c:v>
                </c:pt>
                <c:pt idx="20">
                  <c:v>39.817037037037046</c:v>
                </c:pt>
                <c:pt idx="21">
                  <c:v>39.817037037037046</c:v>
                </c:pt>
                <c:pt idx="22">
                  <c:v>39.817037037037046</c:v>
                </c:pt>
                <c:pt idx="23">
                  <c:v>39.817037037037046</c:v>
                </c:pt>
                <c:pt idx="24">
                  <c:v>39.817037037037046</c:v>
                </c:pt>
                <c:pt idx="25">
                  <c:v>39.817037037037046</c:v>
                </c:pt>
                <c:pt idx="26">
                  <c:v>39.817037037037046</c:v>
                </c:pt>
              </c:numCache>
            </c:numRef>
          </c:val>
          <c:smooth val="0"/>
          <c:extLst>
            <c:ext xmlns:c16="http://schemas.microsoft.com/office/drawing/2014/chart" uri="{C3380CC4-5D6E-409C-BE32-E72D297353CC}">
              <c16:uniqueId val="{00000005-39F2-405F-9EAC-66B5DF06F93D}"/>
            </c:ext>
          </c:extLst>
        </c:ser>
        <c:dLbls>
          <c:showLegendKey val="0"/>
          <c:showVal val="0"/>
          <c:showCatName val="0"/>
          <c:showSerName val="0"/>
          <c:showPercent val="0"/>
          <c:showBubbleSize val="0"/>
        </c:dLbls>
        <c:marker val="1"/>
        <c:smooth val="0"/>
        <c:axId val="85598927"/>
        <c:axId val="85586927"/>
      </c:lineChart>
      <c:catAx>
        <c:axId val="85598927"/>
        <c:scaling>
          <c:orientation val="minMax"/>
        </c:scaling>
        <c:delete val="0"/>
        <c:axPos val="b"/>
        <c:numFmt formatCode="General" sourceLinked="1"/>
        <c:majorTickMark val="none"/>
        <c:minorTickMark val="none"/>
        <c:tickLblPos val="nextTo"/>
        <c:spPr>
          <a:noFill/>
          <a:ln w="19050" cap="flat" cmpd="sng" algn="ctr">
            <a:solidFill>
              <a:schemeClr val="bg2">
                <a:lumMod val="90000"/>
              </a:schemeClr>
            </a:solidFill>
            <a:round/>
          </a:ln>
          <a:effectLst/>
        </c:spPr>
        <c:txPr>
          <a:bodyPr rot="-2400000" spcFirstLastPara="1" vertOverflow="ellipsis" wrap="square" anchor="ctr" anchorCtr="1"/>
          <a:lstStyle/>
          <a:p>
            <a:pPr>
              <a:defRPr sz="800" b="1"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5586927"/>
        <c:crosses val="autoZero"/>
        <c:auto val="1"/>
        <c:lblAlgn val="ctr"/>
        <c:lblOffset val="100"/>
        <c:noMultiLvlLbl val="0"/>
      </c:catAx>
      <c:valAx>
        <c:axId val="85586927"/>
        <c:scaling>
          <c:orientation val="minMax"/>
        </c:scaling>
        <c:delete val="0"/>
        <c:axPos val="l"/>
        <c:majorGridlines>
          <c:spPr>
            <a:ln w="9525" cap="flat" cmpd="sng" algn="ctr">
              <a:solidFill>
                <a:schemeClr val="tx1">
                  <a:lumMod val="50000"/>
                  <a:lumOff val="50000"/>
                  <a:alpha val="3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5598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1">
                <a:solidFill>
                  <a:schemeClr val="tx1">
                    <a:lumMod val="50000"/>
                    <a:lumOff val="50000"/>
                  </a:schemeClr>
                </a:solidFill>
                <a:latin typeface="Times New Roman" panose="02020603050405020304" pitchFamily="18" charset="0"/>
                <a:cs typeface="Times New Roman" panose="02020603050405020304" pitchFamily="18" charset="0"/>
              </a:rPr>
              <a:t>% no IKP</a:t>
            </a:r>
          </a:p>
        </c:rich>
      </c:tx>
      <c:layout>
        <c:manualLayout>
          <c:xMode val="edge"/>
          <c:yMode val="edge"/>
          <c:x val="6.3061255458699552E-3"/>
          <c:y val="3.40632603406326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alpha val="75000"/>
              </a:schemeClr>
            </a:solidFill>
            <a:ln>
              <a:noFill/>
            </a:ln>
            <a:effectLst/>
          </c:spPr>
          <c:invertIfNegative val="0"/>
          <c:dPt>
            <c:idx val="9"/>
            <c:invertIfNegative val="0"/>
            <c:bubble3D val="0"/>
            <c:spPr>
              <a:solidFill>
                <a:schemeClr val="accent1">
                  <a:alpha val="75000"/>
                </a:schemeClr>
              </a:solidFill>
              <a:ln>
                <a:noFill/>
              </a:ln>
              <a:effectLst/>
            </c:spPr>
            <c:extLst>
              <c:ext xmlns:c16="http://schemas.microsoft.com/office/drawing/2014/chart" uri="{C3380CC4-5D6E-409C-BE32-E72D297353CC}">
                <c16:uniqueId val="{00000001-EEE8-4E36-90F0-3BC2B17C343E}"/>
              </c:ext>
            </c:extLst>
          </c:dPt>
          <c:cat>
            <c:numRef>
              <c:f>Sheet1!$C$5:$K$5</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Sheet1!$C$6:$K$6</c:f>
              <c:numCache>
                <c:formatCode>General</c:formatCode>
                <c:ptCount val="9"/>
                <c:pt idx="0">
                  <c:v>20.89</c:v>
                </c:pt>
                <c:pt idx="1">
                  <c:v>21.8</c:v>
                </c:pt>
                <c:pt idx="2">
                  <c:v>20.79</c:v>
                </c:pt>
                <c:pt idx="3">
                  <c:v>20.68</c:v>
                </c:pt>
                <c:pt idx="4">
                  <c:v>19.93</c:v>
                </c:pt>
                <c:pt idx="5">
                  <c:v>19.73</c:v>
                </c:pt>
                <c:pt idx="6">
                  <c:v>19.84</c:v>
                </c:pt>
                <c:pt idx="7">
                  <c:v>20.05</c:v>
                </c:pt>
                <c:pt idx="8">
                  <c:v>18.78</c:v>
                </c:pt>
              </c:numCache>
            </c:numRef>
          </c:val>
          <c:extLst>
            <c:ext xmlns:c16="http://schemas.microsoft.com/office/drawing/2014/chart" uri="{C3380CC4-5D6E-409C-BE32-E72D297353CC}">
              <c16:uniqueId val="{00000002-EEE8-4E36-90F0-3BC2B17C343E}"/>
            </c:ext>
          </c:extLst>
        </c:ser>
        <c:dLbls>
          <c:showLegendKey val="0"/>
          <c:showVal val="0"/>
          <c:showCatName val="0"/>
          <c:showSerName val="0"/>
          <c:showPercent val="0"/>
          <c:showBubbleSize val="0"/>
        </c:dLbls>
        <c:gapWidth val="85"/>
        <c:axId val="376213232"/>
        <c:axId val="376214960"/>
      </c:barChart>
      <c:lineChart>
        <c:grouping val="standard"/>
        <c:varyColors val="0"/>
        <c:ser>
          <c:idx val="1"/>
          <c:order val="1"/>
          <c:spPr>
            <a:ln w="28575" cap="rnd">
              <a:solidFill>
                <a:srgbClr val="FF0000"/>
              </a:solidFill>
              <a:round/>
            </a:ln>
            <a:effectLst/>
          </c:spPr>
          <c:marker>
            <c:symbol val="none"/>
          </c:marker>
          <c:cat>
            <c:numRef>
              <c:f>Sheet1!$C$5:$K$5</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Sheet1!$C$7:$K$7</c:f>
              <c:numCache>
                <c:formatCode>General</c:formatCode>
                <c:ptCount val="9"/>
                <c:pt idx="0">
                  <c:v>20.276666666666667</c:v>
                </c:pt>
                <c:pt idx="1">
                  <c:v>20.276666666666667</c:v>
                </c:pt>
                <c:pt idx="2">
                  <c:v>20.276666666666667</c:v>
                </c:pt>
                <c:pt idx="3">
                  <c:v>20.276666666666667</c:v>
                </c:pt>
                <c:pt idx="4">
                  <c:v>20.276666666666667</c:v>
                </c:pt>
                <c:pt idx="5">
                  <c:v>20.276666666666667</c:v>
                </c:pt>
                <c:pt idx="6">
                  <c:v>20.276666666666667</c:v>
                </c:pt>
                <c:pt idx="7">
                  <c:v>20.276666666666667</c:v>
                </c:pt>
                <c:pt idx="8">
                  <c:v>20.276666666666667</c:v>
                </c:pt>
              </c:numCache>
            </c:numRef>
          </c:val>
          <c:smooth val="0"/>
          <c:extLst>
            <c:ext xmlns:c16="http://schemas.microsoft.com/office/drawing/2014/chart" uri="{C3380CC4-5D6E-409C-BE32-E72D297353CC}">
              <c16:uniqueId val="{00000003-EEE8-4E36-90F0-3BC2B17C343E}"/>
            </c:ext>
          </c:extLst>
        </c:ser>
        <c:dLbls>
          <c:showLegendKey val="0"/>
          <c:showVal val="0"/>
          <c:showCatName val="0"/>
          <c:showSerName val="0"/>
          <c:showPercent val="0"/>
          <c:showBubbleSize val="0"/>
        </c:dLbls>
        <c:marker val="1"/>
        <c:smooth val="0"/>
        <c:axId val="376213232"/>
        <c:axId val="376214960"/>
      </c:lineChart>
      <c:catAx>
        <c:axId val="376213232"/>
        <c:scaling>
          <c:orientation val="minMax"/>
        </c:scaling>
        <c:delete val="0"/>
        <c:axPos val="b"/>
        <c:numFmt formatCode="General" sourceLinked="1"/>
        <c:majorTickMark val="none"/>
        <c:minorTickMark val="none"/>
        <c:tickLblPos val="nextTo"/>
        <c:spPr>
          <a:noFill/>
          <a:ln w="31750" cap="flat" cmpd="sng" algn="ctr">
            <a:solidFill>
              <a:schemeClr val="bg2">
                <a:lumMod val="90000"/>
              </a:schemeClr>
            </a:solidFill>
            <a:round/>
          </a:ln>
          <a:effectLst/>
        </c:spPr>
        <c:txPr>
          <a:bodyPr rot="-60000000" spcFirstLastPara="1" vertOverflow="ellipsis" vert="horz" wrap="square" anchor="ctr" anchorCtr="1"/>
          <a:lstStyle/>
          <a:p>
            <a:pPr>
              <a:defRPr sz="12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crossAx val="376214960"/>
        <c:crosses val="autoZero"/>
        <c:auto val="1"/>
        <c:lblAlgn val="ctr"/>
        <c:lblOffset val="100"/>
        <c:noMultiLvlLbl val="0"/>
      </c:catAx>
      <c:valAx>
        <c:axId val="376214960"/>
        <c:scaling>
          <c:orientation val="minMax"/>
          <c:max val="22"/>
          <c:min val="18"/>
        </c:scaling>
        <c:delete val="0"/>
        <c:axPos val="l"/>
        <c:majorGridlines>
          <c:spPr>
            <a:ln w="9525" cap="flat" cmpd="sng" algn="ctr">
              <a:solidFill>
                <a:schemeClr val="bg2">
                  <a:lumMod val="50000"/>
                  <a:alpha val="20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crossAx val="376213232"/>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i="1">
                <a:solidFill>
                  <a:schemeClr val="tx1"/>
                </a:solidFill>
                <a:latin typeface="Times New Roman" panose="02020603050405020304" pitchFamily="18" charset="0"/>
                <a:cs typeface="Times New Roman" panose="02020603050405020304" pitchFamily="18" charset="0"/>
              </a:rPr>
              <a:t>%</a:t>
            </a:r>
            <a:r>
              <a:rPr lang="en-GB" sz="1000" i="1" baseline="0">
                <a:solidFill>
                  <a:schemeClr val="tx1"/>
                </a:solidFill>
                <a:latin typeface="Times New Roman" panose="02020603050405020304" pitchFamily="18" charset="0"/>
                <a:cs typeface="Times New Roman" panose="02020603050405020304" pitchFamily="18" charset="0"/>
              </a:rPr>
              <a:t> no IKP</a:t>
            </a:r>
            <a:endParaRPr lang="en-GB" sz="1000"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9431741000679197E-4"/>
          <c:y val="5.62659127961427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Sheet1!$B$1</c:f>
              <c:strCache>
                <c:ptCount val="1"/>
                <c:pt idx="0">
                  <c:v>Column2</c:v>
                </c:pt>
              </c:strCache>
            </c:strRef>
          </c:tx>
          <c:spPr>
            <a:solidFill>
              <a:schemeClr val="accent1">
                <a:alpha val="70000"/>
              </a:schemeClr>
            </a:solidFill>
            <a:ln>
              <a:noFill/>
            </a:ln>
            <a:effectLst/>
          </c:spPr>
          <c:invertIfNegative val="0"/>
          <c:dPt>
            <c:idx val="19"/>
            <c:invertIfNegative val="0"/>
            <c:bubble3D val="0"/>
            <c:spPr>
              <a:solidFill>
                <a:srgbClr val="FF0000"/>
              </a:solidFill>
              <a:ln>
                <a:noFill/>
              </a:ln>
              <a:effectLst/>
            </c:spPr>
            <c:extLst>
              <c:ext xmlns:c16="http://schemas.microsoft.com/office/drawing/2014/chart" uri="{C3380CC4-5D6E-409C-BE32-E72D297353CC}">
                <c16:uniqueId val="{00000001-A9FF-40A0-BF03-EF221E93504B}"/>
              </c:ext>
            </c:extLst>
          </c:dPt>
          <c:cat>
            <c:strRef>
              <c:f>Sheet1!$A$2:$A$28</c:f>
              <c:strCache>
                <c:ptCount val="27"/>
                <c:pt idx="0">
                  <c:v>Vācija</c:v>
                </c:pt>
                <c:pt idx="1">
                  <c:v>Austrija</c:v>
                </c:pt>
                <c:pt idx="2">
                  <c:v>Somija</c:v>
                </c:pt>
                <c:pt idx="3">
                  <c:v>Itālija</c:v>
                </c:pt>
                <c:pt idx="4">
                  <c:v>Francija</c:v>
                </c:pt>
                <c:pt idx="5">
                  <c:v>Grieķija</c:v>
                </c:pt>
                <c:pt idx="6">
                  <c:v>Zviedrija</c:v>
                </c:pt>
                <c:pt idx="7">
                  <c:v>Spānija</c:v>
                </c:pt>
                <c:pt idx="8">
                  <c:v>Dānija</c:v>
                </c:pt>
                <c:pt idx="9">
                  <c:v>Ungārija</c:v>
                </c:pt>
                <c:pt idx="10">
                  <c:v>Luksemburga</c:v>
                </c:pt>
                <c:pt idx="11">
                  <c:v>Beļģija</c:v>
                </c:pt>
                <c:pt idx="12">
                  <c:v>Malta</c:v>
                </c:pt>
                <c:pt idx="13">
                  <c:v>Portugāle</c:v>
                </c:pt>
                <c:pt idx="14">
                  <c:v>Kipra</c:v>
                </c:pt>
                <c:pt idx="15">
                  <c:v>Slovēnija</c:v>
                </c:pt>
                <c:pt idx="16">
                  <c:v>Nīderlande</c:v>
                </c:pt>
                <c:pt idx="17">
                  <c:v>Rumānija</c:v>
                </c:pt>
                <c:pt idx="18">
                  <c:v>Polija</c:v>
                </c:pt>
                <c:pt idx="19">
                  <c:v>Latvija</c:v>
                </c:pt>
                <c:pt idx="20">
                  <c:v>Horvātija</c:v>
                </c:pt>
                <c:pt idx="21">
                  <c:v>Igaunija</c:v>
                </c:pt>
                <c:pt idx="22">
                  <c:v>Lietuva</c:v>
                </c:pt>
                <c:pt idx="23">
                  <c:v>Slovākija</c:v>
                </c:pt>
                <c:pt idx="24">
                  <c:v>Čehija</c:v>
                </c:pt>
                <c:pt idx="25">
                  <c:v>Bulgārija</c:v>
                </c:pt>
                <c:pt idx="26">
                  <c:v>Īrija</c:v>
                </c:pt>
              </c:strCache>
            </c:strRef>
          </c:cat>
          <c:val>
            <c:numRef>
              <c:f>Sheet1!$B$2:$B$28</c:f>
              <c:numCache>
                <c:formatCode>General</c:formatCode>
                <c:ptCount val="27"/>
                <c:pt idx="0">
                  <c:v>17.309999999999999</c:v>
                </c:pt>
                <c:pt idx="1">
                  <c:v>17.05</c:v>
                </c:pt>
                <c:pt idx="2">
                  <c:v>17</c:v>
                </c:pt>
                <c:pt idx="3">
                  <c:v>16.010000000000002</c:v>
                </c:pt>
                <c:pt idx="4">
                  <c:v>15.25</c:v>
                </c:pt>
                <c:pt idx="5">
                  <c:v>14.4</c:v>
                </c:pt>
                <c:pt idx="6">
                  <c:v>11.81</c:v>
                </c:pt>
                <c:pt idx="7">
                  <c:v>11.61</c:v>
                </c:pt>
                <c:pt idx="8">
                  <c:v>11.05</c:v>
                </c:pt>
                <c:pt idx="9">
                  <c:v>9.11</c:v>
                </c:pt>
                <c:pt idx="10">
                  <c:v>8.74</c:v>
                </c:pt>
                <c:pt idx="11">
                  <c:v>8.5399999999999991</c:v>
                </c:pt>
                <c:pt idx="12">
                  <c:v>8.16</c:v>
                </c:pt>
                <c:pt idx="13">
                  <c:v>6.06</c:v>
                </c:pt>
                <c:pt idx="14">
                  <c:v>5.95</c:v>
                </c:pt>
                <c:pt idx="15">
                  <c:v>5.51</c:v>
                </c:pt>
                <c:pt idx="16">
                  <c:v>4.42</c:v>
                </c:pt>
                <c:pt idx="17">
                  <c:v>4.09</c:v>
                </c:pt>
                <c:pt idx="18">
                  <c:v>3.06</c:v>
                </c:pt>
                <c:pt idx="19">
                  <c:v>1.94</c:v>
                </c:pt>
                <c:pt idx="20">
                  <c:v>1.91</c:v>
                </c:pt>
                <c:pt idx="21">
                  <c:v>1.7</c:v>
                </c:pt>
                <c:pt idx="22">
                  <c:v>1.19</c:v>
                </c:pt>
                <c:pt idx="23">
                  <c:v>0.97</c:v>
                </c:pt>
                <c:pt idx="24">
                  <c:v>0.73</c:v>
                </c:pt>
                <c:pt idx="25">
                  <c:v>0.4</c:v>
                </c:pt>
                <c:pt idx="26">
                  <c:v>0.25</c:v>
                </c:pt>
              </c:numCache>
            </c:numRef>
          </c:val>
          <c:extLst>
            <c:ext xmlns:c16="http://schemas.microsoft.com/office/drawing/2014/chart" uri="{C3380CC4-5D6E-409C-BE32-E72D297353CC}">
              <c16:uniqueId val="{00000002-A9FF-40A0-BF03-EF221E93504B}"/>
            </c:ext>
          </c:extLst>
        </c:ser>
        <c:dLbls>
          <c:showLegendKey val="0"/>
          <c:showVal val="0"/>
          <c:showCatName val="0"/>
          <c:showSerName val="0"/>
          <c:showPercent val="0"/>
          <c:showBubbleSize val="0"/>
        </c:dLbls>
        <c:gapWidth val="45"/>
        <c:overlap val="100"/>
        <c:axId val="451304448"/>
        <c:axId val="451306176"/>
      </c:barChart>
      <c:catAx>
        <c:axId val="451304448"/>
        <c:scaling>
          <c:orientation val="minMax"/>
        </c:scaling>
        <c:delete val="0"/>
        <c:axPos val="b"/>
        <c:numFmt formatCode="General" sourceLinked="1"/>
        <c:majorTickMark val="none"/>
        <c:minorTickMark val="none"/>
        <c:tickLblPos val="nextTo"/>
        <c:spPr>
          <a:noFill/>
          <a:ln w="19050" cap="flat" cmpd="sng" algn="ctr">
            <a:solidFill>
              <a:schemeClr val="bg2">
                <a:lumMod val="90000"/>
              </a:schemeClr>
            </a:solidFill>
            <a:round/>
          </a:ln>
          <a:effectLst/>
        </c:spPr>
        <c:txPr>
          <a:bodyPr rot="-2700000" spcFirstLastPara="1" vertOverflow="ellipsis" wrap="square" anchor="ctr" anchorCtr="1"/>
          <a:lstStyle/>
          <a:p>
            <a:pPr>
              <a:defRPr sz="900" b="1" i="1"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51306176"/>
        <c:crosses val="autoZero"/>
        <c:auto val="1"/>
        <c:lblAlgn val="ctr"/>
        <c:lblOffset val="100"/>
        <c:noMultiLvlLbl val="0"/>
      </c:catAx>
      <c:valAx>
        <c:axId val="451306176"/>
        <c:scaling>
          <c:orientation val="minMax"/>
        </c:scaling>
        <c:delete val="0"/>
        <c:axPos val="l"/>
        <c:majorGridlines>
          <c:spPr>
            <a:ln w="9525" cap="flat" cmpd="sng" algn="ctr">
              <a:solidFill>
                <a:schemeClr val="tx1">
                  <a:alpha val="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51304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b="0" i="1">
                <a:solidFill>
                  <a:schemeClr val="tx1">
                    <a:lumMod val="65000"/>
                    <a:lumOff val="35000"/>
                  </a:schemeClr>
                </a:solidFill>
                <a:latin typeface="Times New Roman" panose="02020603050405020304" pitchFamily="18" charset="0"/>
                <a:cs typeface="Times New Roman" panose="02020603050405020304" pitchFamily="18" charset="0"/>
              </a:rPr>
              <a:t>% no IKP</a:t>
            </a:r>
          </a:p>
        </c:rich>
      </c:tx>
      <c:layout>
        <c:manualLayout>
          <c:xMode val="edge"/>
          <c:yMode val="edge"/>
          <c:x val="6.3061255458699552E-3"/>
          <c:y val="3.406326034063260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Sheet1!$B$6</c:f>
              <c:strCache>
                <c:ptCount val="1"/>
              </c:strCache>
            </c:strRef>
          </c:tx>
          <c:spPr>
            <a:solidFill>
              <a:schemeClr val="accent1">
                <a:alpha val="75000"/>
              </a:schemeClr>
            </a:solidFill>
            <a:ln>
              <a:noFill/>
            </a:ln>
            <a:effectLst/>
          </c:spPr>
          <c:invertIfNegative val="0"/>
          <c:dPt>
            <c:idx val="9"/>
            <c:invertIfNegative val="0"/>
            <c:bubble3D val="0"/>
            <c:spPr>
              <a:solidFill>
                <a:schemeClr val="accent1">
                  <a:alpha val="75000"/>
                </a:schemeClr>
              </a:solidFill>
              <a:ln>
                <a:noFill/>
              </a:ln>
              <a:effectLst/>
            </c:spPr>
            <c:extLst>
              <c:ext xmlns:c16="http://schemas.microsoft.com/office/drawing/2014/chart" uri="{C3380CC4-5D6E-409C-BE32-E72D297353CC}">
                <c16:uniqueId val="{00000001-61C5-4DE0-BE94-A80AA8AAEDC8}"/>
              </c:ext>
            </c:extLst>
          </c:dPt>
          <c:cat>
            <c:numRef>
              <c:f>Sheet1!$C$5:$L$5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Sheet1!$C$6:$L$6</c:f>
              <c:numCache>
                <c:formatCode>General</c:formatCode>
                <c:ptCount val="10"/>
                <c:pt idx="0">
                  <c:v>2.92</c:v>
                </c:pt>
                <c:pt idx="1">
                  <c:v>2.36</c:v>
                </c:pt>
                <c:pt idx="2">
                  <c:v>1.17</c:v>
                </c:pt>
                <c:pt idx="3">
                  <c:v>1.96</c:v>
                </c:pt>
                <c:pt idx="4">
                  <c:v>1.4</c:v>
                </c:pt>
                <c:pt idx="5">
                  <c:v>1.34</c:v>
                </c:pt>
                <c:pt idx="6">
                  <c:v>1.38</c:v>
                </c:pt>
                <c:pt idx="7">
                  <c:v>1.42</c:v>
                </c:pt>
                <c:pt idx="8">
                  <c:v>1.93</c:v>
                </c:pt>
                <c:pt idx="9">
                  <c:v>1.94</c:v>
                </c:pt>
              </c:numCache>
            </c:numRef>
          </c:val>
          <c:extLst>
            <c:ext xmlns:c16="http://schemas.microsoft.com/office/drawing/2014/chart" uri="{C3380CC4-5D6E-409C-BE32-E72D297353CC}">
              <c16:uniqueId val="{00000002-61C5-4DE0-BE94-A80AA8AAEDC8}"/>
            </c:ext>
          </c:extLst>
        </c:ser>
        <c:dLbls>
          <c:showLegendKey val="0"/>
          <c:showVal val="0"/>
          <c:showCatName val="0"/>
          <c:showSerName val="0"/>
          <c:showPercent val="0"/>
          <c:showBubbleSize val="0"/>
        </c:dLbls>
        <c:gapWidth val="85"/>
        <c:overlap val="35"/>
        <c:axId val="376213232"/>
        <c:axId val="376214960"/>
      </c:barChart>
      <c:catAx>
        <c:axId val="376213232"/>
        <c:scaling>
          <c:orientation val="minMax"/>
        </c:scaling>
        <c:delete val="0"/>
        <c:axPos val="b"/>
        <c:numFmt formatCode="General" sourceLinked="1"/>
        <c:majorTickMark val="none"/>
        <c:minorTickMark val="none"/>
        <c:tickLblPos val="nextTo"/>
        <c:spPr>
          <a:noFill/>
          <a:ln w="31750" cap="flat" cmpd="sng" algn="ctr">
            <a:solidFill>
              <a:schemeClr val="bg2">
                <a:lumMod val="90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76214960"/>
        <c:crosses val="autoZero"/>
        <c:auto val="1"/>
        <c:lblAlgn val="ctr"/>
        <c:lblOffset val="100"/>
        <c:noMultiLvlLbl val="0"/>
      </c:catAx>
      <c:valAx>
        <c:axId val="376214960"/>
        <c:scaling>
          <c:orientation val="minMax"/>
          <c:max val="3"/>
        </c:scaling>
        <c:delete val="0"/>
        <c:axPos val="l"/>
        <c:majorGridlines>
          <c:spPr>
            <a:ln w="9525" cap="flat" cmpd="sng" algn="ctr">
              <a:solidFill>
                <a:schemeClr val="bg2">
                  <a:lumMod val="50000"/>
                  <a:alpha val="20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762132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lgn="just">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0.17329</cdr:x>
      <cdr:y>0.02678</cdr:y>
    </cdr:from>
    <cdr:to>
      <cdr:x>0.24378</cdr:x>
      <cdr:y>0.10443</cdr:y>
    </cdr:to>
    <cdr:sp macro="" textlink="">
      <cdr:nvSpPr>
        <cdr:cNvPr id="2" name="Text Box 1"/>
        <cdr:cNvSpPr txBox="1"/>
      </cdr:nvSpPr>
      <cdr:spPr>
        <a:xfrm xmlns:a="http://schemas.openxmlformats.org/drawingml/2006/main">
          <a:off x="972065" y="82378"/>
          <a:ext cx="395417" cy="2388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C3BF0-79A7-418A-8366-6A9C78A8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4278</TotalTime>
  <Pages>61</Pages>
  <Words>120618</Words>
  <Characters>68753</Characters>
  <Application>Microsoft Office Word</Application>
  <DocSecurity>0</DocSecurity>
  <Lines>572</Lines>
  <Paragraphs>377</Paragraphs>
  <ScaleCrop>false</ScaleCrop>
  <HeadingPairs>
    <vt:vector size="2" baseType="variant">
      <vt:variant>
        <vt:lpstr>Title</vt:lpstr>
      </vt:variant>
      <vt:variant>
        <vt:i4>1</vt:i4>
      </vt:variant>
    </vt:vector>
  </HeadingPairs>
  <TitlesOfParts>
    <vt:vector size="1" baseType="lpstr">
      <vt:lpstr>Informatīvais ziņojums "Fiskālo risku deklarācija"</vt:lpstr>
    </vt:vector>
  </TitlesOfParts>
  <Company>RĪGA, 2023</Company>
  <LinksUpToDate>false</LinksUpToDate>
  <CharactersWithSpaces>188994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"Fiskālo risku deklarācija"</dc:title>
  <dc:subject>Informatīvais ziņojums</dc:subject>
  <dc:creator>Mārtiņš Trautmanis</dc:creator>
  <cp:keywords/>
  <dc:description/>
  <cp:lastModifiedBy>Finanšu ministrija</cp:lastModifiedBy>
  <cp:revision>183</cp:revision>
  <cp:lastPrinted>2023-08-09T05:55:00Z</cp:lastPrinted>
  <dcterms:created xsi:type="dcterms:W3CDTF">2023-07-14T20:24:00Z</dcterms:created>
  <dcterms:modified xsi:type="dcterms:W3CDTF">2023-10-25T17:29:00Z</dcterms:modified>
</cp:coreProperties>
</file>