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29B9" w14:textId="5298CD72" w:rsidR="0002028D" w:rsidRPr="004069B7" w:rsidRDefault="005E3161" w:rsidP="00F64987">
      <w:pPr>
        <w:jc w:val="center"/>
        <w:rPr>
          <w:b/>
          <w:lang w:val="lv-LV"/>
        </w:rPr>
      </w:pPr>
      <w:r w:rsidRPr="004069B7">
        <w:rPr>
          <w:b/>
          <w:lang w:val="lv-LV"/>
        </w:rPr>
        <w:t>Inf</w:t>
      </w:r>
      <w:r w:rsidR="008E0B75" w:rsidRPr="004069B7">
        <w:rPr>
          <w:b/>
          <w:lang w:val="lv-LV"/>
        </w:rPr>
        <w:t>o</w:t>
      </w:r>
      <w:r w:rsidRPr="004069B7">
        <w:rPr>
          <w:b/>
          <w:lang w:val="lv-LV"/>
        </w:rPr>
        <w:t>r</w:t>
      </w:r>
      <w:r w:rsidR="008E0B75" w:rsidRPr="004069B7">
        <w:rPr>
          <w:b/>
          <w:lang w:val="lv-LV"/>
        </w:rPr>
        <w:t xml:space="preserve">matīvais ziņojums par Pārtikas un veterinārā dienesta </w:t>
      </w:r>
      <w:r w:rsidRPr="004069B7">
        <w:rPr>
          <w:b/>
          <w:lang w:val="lv-LV"/>
        </w:rPr>
        <w:t xml:space="preserve">kapacitāti </w:t>
      </w:r>
      <w:r w:rsidR="001165F9">
        <w:rPr>
          <w:b/>
          <w:lang w:val="lv-LV"/>
        </w:rPr>
        <w:t xml:space="preserve">atsevišķu </w:t>
      </w:r>
      <w:r w:rsidR="008426D3" w:rsidRPr="004069B7">
        <w:rPr>
          <w:b/>
          <w:lang w:val="lv-LV"/>
        </w:rPr>
        <w:t xml:space="preserve">dzīvnieku </w:t>
      </w:r>
      <w:r w:rsidR="009968E3" w:rsidRPr="004069B7">
        <w:rPr>
          <w:b/>
          <w:lang w:val="lv-LV"/>
        </w:rPr>
        <w:t>infekcijas slimību uzraudzības,</w:t>
      </w:r>
      <w:r w:rsidR="0002028D" w:rsidRPr="004069B7">
        <w:rPr>
          <w:b/>
          <w:lang w:val="lv-LV"/>
        </w:rPr>
        <w:t xml:space="preserve"> </w:t>
      </w:r>
      <w:r w:rsidRPr="004069B7">
        <w:rPr>
          <w:b/>
          <w:lang w:val="lv-LV"/>
        </w:rPr>
        <w:t>apkarošanas un izplatības ierobežošanas nodrošināšanai</w:t>
      </w:r>
      <w:r w:rsidR="00951FD3">
        <w:rPr>
          <w:rStyle w:val="FootnoteReference"/>
          <w:b/>
          <w:lang w:val="lv-LV"/>
        </w:rPr>
        <w:footnoteReference w:customMarkFollows="1" w:id="1"/>
        <w:t/>
      </w:r>
    </w:p>
    <w:p w14:paraId="56457426" w14:textId="77777777" w:rsidR="005D4119" w:rsidRPr="004069B7" w:rsidRDefault="005D4119" w:rsidP="00F64987">
      <w:pPr>
        <w:rPr>
          <w:lang w:val="lv-LV"/>
        </w:rPr>
      </w:pPr>
    </w:p>
    <w:p w14:paraId="4185BCC2" w14:textId="77777777" w:rsidR="009B1FF7" w:rsidRPr="004069B7" w:rsidRDefault="009B1FF7" w:rsidP="00F64987">
      <w:pPr>
        <w:pStyle w:val="naisf"/>
        <w:spacing w:before="0" w:beforeAutospacing="0" w:after="0" w:afterAutospacing="0"/>
        <w:jc w:val="center"/>
        <w:rPr>
          <w:b/>
          <w:lang w:val="lv-LV"/>
        </w:rPr>
      </w:pPr>
      <w:r w:rsidRPr="004069B7">
        <w:rPr>
          <w:b/>
          <w:lang w:val="lv-LV"/>
        </w:rPr>
        <w:t>I. Situācijas apraksts</w:t>
      </w:r>
    </w:p>
    <w:p w14:paraId="42A727FB" w14:textId="77777777" w:rsidR="009B1FF7" w:rsidRPr="004069B7" w:rsidRDefault="009B1FF7" w:rsidP="00F64987">
      <w:pPr>
        <w:pStyle w:val="naisf"/>
        <w:spacing w:before="0" w:beforeAutospacing="0" w:after="0" w:afterAutospacing="0"/>
        <w:jc w:val="center"/>
        <w:rPr>
          <w:b/>
          <w:lang w:val="lv-LV"/>
        </w:rPr>
      </w:pPr>
    </w:p>
    <w:p w14:paraId="21B5A94B" w14:textId="44CA30C2" w:rsidR="004D4717" w:rsidRPr="009A38D3" w:rsidRDefault="007D1674" w:rsidP="004D4717">
      <w:pPr>
        <w:pStyle w:val="naisf"/>
        <w:spacing w:before="0" w:beforeAutospacing="0" w:after="0" w:afterAutospacing="0"/>
        <w:ind w:firstLine="720"/>
        <w:rPr>
          <w:lang w:val="lv-LV"/>
        </w:rPr>
      </w:pPr>
      <w:r w:rsidRPr="009A38D3">
        <w:rPr>
          <w:lang w:val="lv-LV"/>
        </w:rPr>
        <w:t xml:space="preserve">Ņemot vērā </w:t>
      </w:r>
      <w:r w:rsidR="002518C8" w:rsidRPr="009A38D3">
        <w:rPr>
          <w:lang w:val="lv-LV"/>
        </w:rPr>
        <w:t xml:space="preserve">Eiropas Komisijas Veselības un pārtikas nekaitīguma komisāra </w:t>
      </w:r>
      <w:r w:rsidR="005358FD" w:rsidRPr="009A38D3">
        <w:rPr>
          <w:lang w:val="lv-LV"/>
        </w:rPr>
        <w:t>2016. gada 14. jūlija un 2017. gada 20. februāra vēstulēs zemkopības ministram paustās Eiropas Komisijas bažas</w:t>
      </w:r>
      <w:r w:rsidR="002518C8" w:rsidRPr="009A38D3">
        <w:rPr>
          <w:lang w:val="lv-LV"/>
        </w:rPr>
        <w:t xml:space="preserve"> </w:t>
      </w:r>
      <w:r w:rsidR="005358FD" w:rsidRPr="009A38D3">
        <w:rPr>
          <w:lang w:val="lv-LV"/>
        </w:rPr>
        <w:t xml:space="preserve">par Āfrikas cūku mēra izplatīšanos Latvijā un citās Eiropas Savienības dalībvalstīs, kā arī Eiropas Komisijas veterināro un pārtikas inspektoru 2016. gada septembra vizītes rezultātus, </w:t>
      </w:r>
      <w:r w:rsidR="004D4717" w:rsidRPr="009A38D3">
        <w:rPr>
          <w:lang w:val="lv-LV"/>
        </w:rPr>
        <w:t>Zemkopības ministrija ir sagatav</w:t>
      </w:r>
      <w:r w:rsidR="00A97DC0" w:rsidRPr="009A38D3">
        <w:rPr>
          <w:lang w:val="lv-LV"/>
        </w:rPr>
        <w:t xml:space="preserve">ojusi informatīvo ziņojumu </w:t>
      </w:r>
      <w:r w:rsidR="004D4717" w:rsidRPr="009A38D3">
        <w:rPr>
          <w:lang w:val="lv-LV"/>
        </w:rPr>
        <w:t>Ministru kabinet</w:t>
      </w:r>
      <w:r w:rsidR="00A97DC0" w:rsidRPr="009A38D3">
        <w:rPr>
          <w:lang w:val="lv-LV"/>
        </w:rPr>
        <w:t>a</w:t>
      </w:r>
      <w:r w:rsidR="004D4717" w:rsidRPr="009A38D3">
        <w:rPr>
          <w:lang w:val="lv-LV"/>
        </w:rPr>
        <w:t xml:space="preserve"> </w:t>
      </w:r>
      <w:r w:rsidR="00A97DC0" w:rsidRPr="009A38D3">
        <w:rPr>
          <w:lang w:val="lv-LV"/>
        </w:rPr>
        <w:t xml:space="preserve">informēšanai </w:t>
      </w:r>
      <w:r w:rsidR="004D4717" w:rsidRPr="009A38D3">
        <w:rPr>
          <w:lang w:val="lv-LV"/>
        </w:rPr>
        <w:t xml:space="preserve">par </w:t>
      </w:r>
      <w:r w:rsidR="00DB2F95" w:rsidRPr="009A38D3">
        <w:rPr>
          <w:lang w:val="lv-LV"/>
        </w:rPr>
        <w:t xml:space="preserve">nepieciešamību stiprināt Pārtikas un veterinārajā dienesta (turpmāk – PVD) kapacitāti, lai pietiekamā apjomā īstenotu </w:t>
      </w:r>
      <w:r w:rsidR="00ED043D" w:rsidRPr="009A38D3">
        <w:rPr>
          <w:lang w:val="lv-LV"/>
        </w:rPr>
        <w:t xml:space="preserve">atsevišķu </w:t>
      </w:r>
      <w:r w:rsidR="00062B77" w:rsidRPr="009A38D3">
        <w:rPr>
          <w:lang w:val="lv-LV"/>
        </w:rPr>
        <w:t xml:space="preserve">dzīvnieku infekcijas slimību – </w:t>
      </w:r>
      <w:r w:rsidR="004D4717" w:rsidRPr="009A38D3">
        <w:rPr>
          <w:lang w:val="lv-LV"/>
        </w:rPr>
        <w:t xml:space="preserve">Āfrikas cūku mēra </w:t>
      </w:r>
      <w:r w:rsidR="00062B77" w:rsidRPr="009A38D3">
        <w:rPr>
          <w:lang w:val="lv-LV"/>
        </w:rPr>
        <w:t xml:space="preserve">un </w:t>
      </w:r>
      <w:r w:rsidR="00A97DC0" w:rsidRPr="009A38D3">
        <w:rPr>
          <w:lang w:val="lv-LV"/>
        </w:rPr>
        <w:t>p</w:t>
      </w:r>
      <w:r w:rsidR="00062B77" w:rsidRPr="009A38D3">
        <w:rPr>
          <w:lang w:val="lv-LV"/>
        </w:rPr>
        <w:t xml:space="preserve">utnu gripas – </w:t>
      </w:r>
      <w:r w:rsidR="00DB2F95" w:rsidRPr="009A38D3">
        <w:rPr>
          <w:lang w:val="lv-LV"/>
        </w:rPr>
        <w:t xml:space="preserve">uzraudzības, apkarošanas un </w:t>
      </w:r>
      <w:r w:rsidR="004D4717" w:rsidRPr="009A38D3">
        <w:rPr>
          <w:lang w:val="lv-LV"/>
        </w:rPr>
        <w:t>izplatīb</w:t>
      </w:r>
      <w:r w:rsidR="00DB2F95" w:rsidRPr="009A38D3">
        <w:rPr>
          <w:lang w:val="lv-LV"/>
        </w:rPr>
        <w:t>as ierobežošanas pasākumus</w:t>
      </w:r>
      <w:r w:rsidRPr="009A38D3">
        <w:rPr>
          <w:lang w:val="lv-LV"/>
        </w:rPr>
        <w:t xml:space="preserve">, lai </w:t>
      </w:r>
      <w:r w:rsidR="00067F1B" w:rsidRPr="009A38D3">
        <w:rPr>
          <w:lang w:val="lv-LV"/>
        </w:rPr>
        <w:t>novērstu iespējamu Eiropas Savienības institūciju aizliegumu noteikšanu Latvijai tirdzniecības, tostarp starptautiskās tirdzniecības,</w:t>
      </w:r>
      <w:r w:rsidR="009A38D3" w:rsidRPr="009A38D3">
        <w:rPr>
          <w:lang w:val="lv-LV"/>
        </w:rPr>
        <w:t xml:space="preserve"> jomā</w:t>
      </w:r>
      <w:r w:rsidR="004D4717" w:rsidRPr="009A38D3">
        <w:rPr>
          <w:lang w:val="lv-LV"/>
        </w:rPr>
        <w:t xml:space="preserve">. </w:t>
      </w:r>
    </w:p>
    <w:p w14:paraId="512C654E" w14:textId="433374A7" w:rsidR="004D4717" w:rsidRPr="009A38D3" w:rsidRDefault="004D4717" w:rsidP="009A38D3">
      <w:pPr>
        <w:pStyle w:val="naisf"/>
        <w:spacing w:before="0" w:beforeAutospacing="0" w:after="0" w:afterAutospacing="0"/>
        <w:rPr>
          <w:lang w:val="lv-LV"/>
        </w:rPr>
      </w:pPr>
    </w:p>
    <w:p w14:paraId="2F3750FB" w14:textId="52FB8E36" w:rsidR="00062B77" w:rsidRPr="009A38D3" w:rsidRDefault="0078499A" w:rsidP="00FA0A26">
      <w:pPr>
        <w:pStyle w:val="naisf"/>
        <w:spacing w:before="0" w:beforeAutospacing="0" w:after="0" w:afterAutospacing="0"/>
        <w:rPr>
          <w:b/>
          <w:bCs/>
          <w:lang w:val="lv-LV"/>
        </w:rPr>
      </w:pPr>
      <w:r w:rsidRPr="009A38D3">
        <w:rPr>
          <w:b/>
          <w:bCs/>
          <w:lang w:val="lv-LV"/>
        </w:rPr>
        <w:t>Aktuālā situācija Āfrikas cūku mēra</w:t>
      </w:r>
      <w:r w:rsidR="00062B77" w:rsidRPr="009A38D3">
        <w:rPr>
          <w:b/>
          <w:bCs/>
          <w:lang w:val="lv-LV"/>
        </w:rPr>
        <w:t xml:space="preserve"> </w:t>
      </w:r>
      <w:r w:rsidRPr="009A38D3">
        <w:rPr>
          <w:b/>
          <w:bCs/>
          <w:lang w:val="lv-LV"/>
        </w:rPr>
        <w:t>izplatībā</w:t>
      </w:r>
    </w:p>
    <w:p w14:paraId="782A7962" w14:textId="77777777" w:rsidR="006D4C05" w:rsidRPr="004069B7" w:rsidRDefault="006D4C05" w:rsidP="004D4717">
      <w:pPr>
        <w:pStyle w:val="naisf"/>
        <w:spacing w:before="0" w:beforeAutospacing="0" w:after="0" w:afterAutospacing="0"/>
        <w:ind w:firstLine="720"/>
        <w:rPr>
          <w:bCs/>
          <w:lang w:val="lv-LV"/>
        </w:rPr>
      </w:pPr>
    </w:p>
    <w:p w14:paraId="107F9A64" w14:textId="22BFA21F" w:rsidR="006D4C05" w:rsidRPr="004069B7" w:rsidRDefault="00A97DC0" w:rsidP="006D4C05">
      <w:pPr>
        <w:pStyle w:val="naisf"/>
        <w:spacing w:before="0" w:beforeAutospacing="0" w:after="0" w:afterAutospacing="0"/>
        <w:ind w:firstLine="720"/>
        <w:rPr>
          <w:lang w:val="lv-LV"/>
        </w:rPr>
      </w:pPr>
      <w:r>
        <w:rPr>
          <w:lang w:val="lv-LV"/>
        </w:rPr>
        <w:t>Pēc</w:t>
      </w:r>
      <w:r w:rsidR="006D4C05" w:rsidRPr="004069B7">
        <w:rPr>
          <w:lang w:val="lv-LV"/>
        </w:rPr>
        <w:t xml:space="preserve"> epidemioloģisk</w:t>
      </w:r>
      <w:r>
        <w:rPr>
          <w:lang w:val="lv-LV"/>
        </w:rPr>
        <w:t>ajiem</w:t>
      </w:r>
      <w:r w:rsidR="006D4C05" w:rsidRPr="004069B7">
        <w:rPr>
          <w:lang w:val="lv-LV"/>
        </w:rPr>
        <w:t xml:space="preserve"> dat</w:t>
      </w:r>
      <w:r>
        <w:rPr>
          <w:lang w:val="lv-LV"/>
        </w:rPr>
        <w:t>iem</w:t>
      </w:r>
      <w:r w:rsidR="006D4C05" w:rsidRPr="004069B7">
        <w:rPr>
          <w:lang w:val="lv-LV"/>
        </w:rPr>
        <w:t xml:space="preserve"> par ĀCM </w:t>
      </w:r>
      <w:r w:rsidRPr="004069B7">
        <w:rPr>
          <w:lang w:val="lv-LV"/>
        </w:rPr>
        <w:t xml:space="preserve">(turpmāk – ĀCM) </w:t>
      </w:r>
      <w:r w:rsidR="006D4C05" w:rsidRPr="004069B7">
        <w:rPr>
          <w:lang w:val="lv-LV"/>
        </w:rPr>
        <w:t>izplatības tendencēm ir konstatēts, ka infekcijas slimības izplatības areāls pa</w:t>
      </w:r>
      <w:r>
        <w:rPr>
          <w:lang w:val="lv-LV"/>
        </w:rPr>
        <w:t>plašinās</w:t>
      </w:r>
      <w:r w:rsidR="006D4C05" w:rsidRPr="004069B7">
        <w:rPr>
          <w:lang w:val="lv-LV"/>
        </w:rPr>
        <w:t xml:space="preserve"> un inficēto un saslimušo dzīvnieku skaits, sevišķi mežacūku populācijā, ar katru gadu palielinās, un tas liedz prognozēt pozitīvu tendenci šīs slimības ierobežošanā. </w:t>
      </w:r>
      <w:r w:rsidR="006D4C05" w:rsidRPr="004069B7">
        <w:rPr>
          <w:bCs/>
          <w:lang w:val="lv-LV"/>
        </w:rPr>
        <w:t>Patlaban ar ĀCM skartā Latvijas teritorija aptver divas trešdaļas no visas valsts teritorijas.</w:t>
      </w:r>
    </w:p>
    <w:p w14:paraId="0A52B67D" w14:textId="5DD0D55D" w:rsidR="006D4C05" w:rsidRPr="004069B7" w:rsidRDefault="00A77183" w:rsidP="00A77183">
      <w:pPr>
        <w:pStyle w:val="naisf"/>
        <w:spacing w:before="0" w:beforeAutospacing="0" w:after="0" w:afterAutospacing="0"/>
        <w:ind w:firstLine="720"/>
        <w:rPr>
          <w:bCs/>
          <w:lang w:val="lv-LV"/>
        </w:rPr>
      </w:pPr>
      <w:r w:rsidRPr="004069B7">
        <w:rPr>
          <w:lang w:val="lv-LV"/>
        </w:rPr>
        <w:t>Ņemot vērā darbu, ko PVD ir ieguldījis, īstenojot slimības uzraudzību un kontroli, kā arī daudzās novietnēs dzīvnieku īpašnieku ieviestos biodrošības pasākumus, līdz šī gada februārim 2015. gada laikā tika konstatēti tikai 10 ĀCM uzliesmojumi mājas cūku novietnēs. Pēc mājas cūku saslimšanas konstatēšanas kop</w:t>
      </w:r>
      <w:r w:rsidR="00A97DC0">
        <w:rPr>
          <w:lang w:val="lv-LV"/>
        </w:rPr>
        <w:t>um</w:t>
      </w:r>
      <w:r w:rsidRPr="004069B7">
        <w:rPr>
          <w:lang w:val="lv-LV"/>
        </w:rPr>
        <w:t>ā iznīcināts 213 cūk</w:t>
      </w:r>
      <w:r w:rsidR="00A97DC0">
        <w:rPr>
          <w:lang w:val="lv-LV"/>
        </w:rPr>
        <w:t>u</w:t>
      </w:r>
      <w:r w:rsidRPr="004069B7">
        <w:rPr>
          <w:lang w:val="lv-LV"/>
        </w:rPr>
        <w:t>. 2016. gadā ĀCM uzliesmojumu dēļ iznīcinātas 311 mājas cūk</w:t>
      </w:r>
      <w:r w:rsidR="00A97DC0">
        <w:rPr>
          <w:lang w:val="lv-LV"/>
        </w:rPr>
        <w:t>u</w:t>
      </w:r>
      <w:r w:rsidRPr="004069B7">
        <w:rPr>
          <w:lang w:val="lv-LV"/>
        </w:rPr>
        <w:t xml:space="preserve"> trīs saimniecībās. Visi </w:t>
      </w:r>
      <w:r w:rsidR="00C042A1" w:rsidRPr="004069B7">
        <w:rPr>
          <w:lang w:val="lv-LV"/>
        </w:rPr>
        <w:t xml:space="preserve">minētie </w:t>
      </w:r>
      <w:r w:rsidRPr="004069B7">
        <w:rPr>
          <w:lang w:val="lv-LV"/>
        </w:rPr>
        <w:t>mājas cūku saslimšanas gadījumi atklāti nelielās piemājas saimniecībās, kurās ne</w:t>
      </w:r>
      <w:r w:rsidR="00A97DC0">
        <w:rPr>
          <w:lang w:val="lv-LV"/>
        </w:rPr>
        <w:t>bija ieviesti</w:t>
      </w:r>
      <w:r w:rsidRPr="004069B7">
        <w:rPr>
          <w:lang w:val="lv-LV"/>
        </w:rPr>
        <w:t xml:space="preserve"> biodrošības pasākumi. </w:t>
      </w:r>
      <w:r w:rsidR="006D4C05" w:rsidRPr="004069B7">
        <w:rPr>
          <w:bCs/>
          <w:lang w:val="lv-LV"/>
        </w:rPr>
        <w:t>PVD epizootoloģiskos pētījumos ir konstatējis likumsakarību par ĀCM izplatību veicinošiem apstākļiem, kuros galvenā nozīme ir cilvēciskajam faktoram.</w:t>
      </w:r>
    </w:p>
    <w:p w14:paraId="3A3CF144" w14:textId="77777777" w:rsidR="002256A6" w:rsidRPr="004069B7" w:rsidRDefault="002256A6" w:rsidP="004D4717">
      <w:pPr>
        <w:pStyle w:val="naisf"/>
        <w:spacing w:before="0" w:beforeAutospacing="0" w:after="0" w:afterAutospacing="0"/>
        <w:ind w:firstLine="720"/>
        <w:rPr>
          <w:bCs/>
          <w:lang w:val="lv-LV"/>
        </w:rPr>
      </w:pPr>
    </w:p>
    <w:p w14:paraId="222F89D1" w14:textId="599CB6E5" w:rsidR="0002338B" w:rsidRPr="004069B7" w:rsidRDefault="00A77183" w:rsidP="004D4717">
      <w:pPr>
        <w:pStyle w:val="naisf"/>
        <w:spacing w:before="0" w:beforeAutospacing="0" w:after="0" w:afterAutospacing="0"/>
        <w:ind w:firstLine="720"/>
        <w:rPr>
          <w:bCs/>
          <w:lang w:val="lv-LV"/>
        </w:rPr>
      </w:pPr>
      <w:r w:rsidRPr="004069B7">
        <w:rPr>
          <w:bCs/>
          <w:lang w:val="lv-LV"/>
        </w:rPr>
        <w:t xml:space="preserve">2017. gada </w:t>
      </w:r>
      <w:r w:rsidR="0046224F" w:rsidRPr="004069B7">
        <w:rPr>
          <w:bCs/>
          <w:lang w:val="lv-LV"/>
        </w:rPr>
        <w:t>janvārī un februārī ĀCM konstatēts divās</w:t>
      </w:r>
      <w:r w:rsidR="00FF015C" w:rsidRPr="004069B7">
        <w:rPr>
          <w:bCs/>
          <w:lang w:val="lv-LV"/>
        </w:rPr>
        <w:t xml:space="preserve"> komercsaimniecībās, kurās kopā iznīcinātas 13 544 mājas cūkas.</w:t>
      </w:r>
      <w:r w:rsidR="00C042A1" w:rsidRPr="004069B7">
        <w:rPr>
          <w:bCs/>
          <w:lang w:val="lv-LV"/>
        </w:rPr>
        <w:t xml:space="preserve"> Par nokautajiem dzīvniekiem saimniecību īpašniekiem piešķirta kompensācija 1 544 542,36 </w:t>
      </w:r>
      <w:r w:rsidR="00C042A1" w:rsidRPr="004069B7">
        <w:rPr>
          <w:bCs/>
          <w:i/>
          <w:lang w:val="lv-LV"/>
        </w:rPr>
        <w:t>euro</w:t>
      </w:r>
      <w:r w:rsidR="00C042A1" w:rsidRPr="004069B7">
        <w:rPr>
          <w:bCs/>
          <w:lang w:val="lv-LV"/>
        </w:rPr>
        <w:t xml:space="preserve"> apmērā no valsts budžeta (ar daļēju Eiropas Savienības līdzfinansējumu). </w:t>
      </w:r>
    </w:p>
    <w:p w14:paraId="14C6D771" w14:textId="76307EEA" w:rsidR="004D4717" w:rsidRPr="004069B7" w:rsidRDefault="00A97DC0" w:rsidP="004D4717">
      <w:pPr>
        <w:pStyle w:val="naisf"/>
        <w:spacing w:before="0" w:beforeAutospacing="0" w:after="0" w:afterAutospacing="0"/>
        <w:ind w:firstLine="720"/>
        <w:rPr>
          <w:bCs/>
          <w:lang w:val="lv-LV"/>
        </w:rPr>
      </w:pPr>
      <w:r>
        <w:rPr>
          <w:bCs/>
          <w:lang w:val="lv-LV"/>
        </w:rPr>
        <w:t>Tā kā</w:t>
      </w:r>
      <w:r w:rsidR="0002338B" w:rsidRPr="004069B7">
        <w:rPr>
          <w:bCs/>
          <w:lang w:val="lv-LV"/>
        </w:rPr>
        <w:t xml:space="preserve"> ĀCM tika konstatēts lielās komercsaimniecībās, </w:t>
      </w:r>
      <w:r w:rsidR="008F1834" w:rsidRPr="004069B7">
        <w:rPr>
          <w:bCs/>
          <w:lang w:val="lv-LV"/>
        </w:rPr>
        <w:t>Latvija</w:t>
      </w:r>
      <w:r w:rsidR="0002338B" w:rsidRPr="004069B7">
        <w:rPr>
          <w:bCs/>
          <w:lang w:val="lv-LV"/>
        </w:rPr>
        <w:t>s kompetentās iestādes</w:t>
      </w:r>
      <w:r w:rsidR="008F1834" w:rsidRPr="004069B7">
        <w:rPr>
          <w:bCs/>
          <w:lang w:val="lv-LV"/>
        </w:rPr>
        <w:t xml:space="preserve"> no Eiropas Sav</w:t>
      </w:r>
      <w:r w:rsidR="0002338B" w:rsidRPr="004069B7">
        <w:rPr>
          <w:bCs/>
          <w:lang w:val="lv-LV"/>
        </w:rPr>
        <w:t>ienības institūcijām ir saņēmušas</w:t>
      </w:r>
      <w:r w:rsidR="008F1834" w:rsidRPr="004069B7">
        <w:rPr>
          <w:bCs/>
          <w:lang w:val="lv-LV"/>
        </w:rPr>
        <w:t xml:space="preserve"> </w:t>
      </w:r>
      <w:r w:rsidR="00B50DB9" w:rsidRPr="004069B7">
        <w:rPr>
          <w:bCs/>
          <w:lang w:val="lv-LV"/>
        </w:rPr>
        <w:t>aizrādījumus par nepietiekama uzraudzības un kontroles līmeņa nodrošināšanu</w:t>
      </w:r>
      <w:r w:rsidR="0002338B" w:rsidRPr="004069B7">
        <w:rPr>
          <w:bCs/>
          <w:lang w:val="lv-LV"/>
        </w:rPr>
        <w:t>.</w:t>
      </w:r>
    </w:p>
    <w:p w14:paraId="499EBD54" w14:textId="77777777" w:rsidR="002133DD" w:rsidRDefault="002133DD" w:rsidP="00F64987">
      <w:pPr>
        <w:pStyle w:val="naisf"/>
        <w:spacing w:before="0" w:beforeAutospacing="0" w:after="0" w:afterAutospacing="0"/>
        <w:ind w:firstLine="720"/>
        <w:rPr>
          <w:lang w:val="lv-LV"/>
        </w:rPr>
      </w:pPr>
    </w:p>
    <w:p w14:paraId="630C7BB8" w14:textId="563730C7" w:rsidR="004D4717" w:rsidRDefault="006C0786" w:rsidP="00F64987">
      <w:pPr>
        <w:pStyle w:val="naisf"/>
        <w:spacing w:before="0" w:beforeAutospacing="0" w:after="0" w:afterAutospacing="0"/>
        <w:ind w:firstLine="720"/>
        <w:rPr>
          <w:lang w:val="lv-LV"/>
        </w:rPr>
      </w:pPr>
      <w:r w:rsidRPr="004069B7">
        <w:rPr>
          <w:lang w:val="lv-LV"/>
        </w:rPr>
        <w:t>1. t</w:t>
      </w:r>
      <w:r w:rsidR="00277822" w:rsidRPr="004069B7">
        <w:rPr>
          <w:lang w:val="lv-LV"/>
        </w:rPr>
        <w:t>abulā redzama informācija par laikā no 2014. gada konstatētajiem mājas cūku saslimšanas gadījumiem.</w:t>
      </w:r>
    </w:p>
    <w:p w14:paraId="1E57360F" w14:textId="5B809468" w:rsidR="00951FD3" w:rsidRDefault="00951FD3" w:rsidP="00F64987">
      <w:pPr>
        <w:pStyle w:val="naisf"/>
        <w:spacing w:before="0" w:beforeAutospacing="0" w:after="0" w:afterAutospacing="0"/>
        <w:ind w:firstLine="720"/>
        <w:rPr>
          <w:lang w:val="lv-LV"/>
        </w:rPr>
      </w:pPr>
    </w:p>
    <w:p w14:paraId="70F32AE4" w14:textId="77777777" w:rsidR="006C0786" w:rsidRPr="004069B7" w:rsidRDefault="006C0786" w:rsidP="006C0786">
      <w:pPr>
        <w:pStyle w:val="naisf"/>
        <w:spacing w:before="0" w:beforeAutospacing="0" w:after="0" w:afterAutospacing="0"/>
        <w:ind w:firstLine="720"/>
        <w:jc w:val="right"/>
        <w:rPr>
          <w:lang w:val="lv-LV"/>
        </w:rPr>
      </w:pPr>
      <w:r w:rsidRPr="004069B7">
        <w:rPr>
          <w:lang w:val="lv-LV"/>
        </w:rPr>
        <w:lastRenderedPageBreak/>
        <w:t>1.</w:t>
      </w:r>
      <w:r w:rsidR="001B7ECA" w:rsidRPr="004069B7">
        <w:rPr>
          <w:lang w:val="lv-LV"/>
        </w:rPr>
        <w:t> </w:t>
      </w:r>
      <w:r w:rsidRPr="004069B7">
        <w:rPr>
          <w:lang w:val="lv-LV"/>
        </w:rPr>
        <w:t>tabula</w:t>
      </w:r>
    </w:p>
    <w:tbl>
      <w:tblPr>
        <w:tblW w:w="9069" w:type="dxa"/>
        <w:tblInd w:w="113" w:type="dxa"/>
        <w:tblLayout w:type="fixed"/>
        <w:tblLook w:val="04A0" w:firstRow="1" w:lastRow="0" w:firstColumn="1" w:lastColumn="0" w:noHBand="0" w:noVBand="1"/>
      </w:tblPr>
      <w:tblGrid>
        <w:gridCol w:w="2789"/>
        <w:gridCol w:w="1317"/>
        <w:gridCol w:w="1276"/>
        <w:gridCol w:w="1276"/>
        <w:gridCol w:w="1417"/>
        <w:gridCol w:w="994"/>
      </w:tblGrid>
      <w:tr w:rsidR="001961D6" w:rsidRPr="004069B7" w14:paraId="048C7429" w14:textId="77777777" w:rsidTr="00485F8D">
        <w:trPr>
          <w:trHeight w:val="315"/>
        </w:trPr>
        <w:tc>
          <w:tcPr>
            <w:tcW w:w="90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C15FFE" w14:textId="77777777" w:rsidR="001961D6" w:rsidRPr="004069B7" w:rsidRDefault="00834789">
            <w:pPr>
              <w:jc w:val="center"/>
              <w:rPr>
                <w:b/>
                <w:bCs/>
                <w:color w:val="000000"/>
                <w:lang w:val="lv-LV"/>
              </w:rPr>
            </w:pPr>
            <w:r w:rsidRPr="004069B7">
              <w:rPr>
                <w:b/>
                <w:bCs/>
                <w:color w:val="000000"/>
                <w:lang w:val="lv-LV"/>
              </w:rPr>
              <w:t>MĀJAS CŪKAS</w:t>
            </w:r>
          </w:p>
        </w:tc>
      </w:tr>
      <w:tr w:rsidR="001961D6" w:rsidRPr="004069B7" w14:paraId="5262928E" w14:textId="77777777" w:rsidTr="00485F8D">
        <w:trPr>
          <w:trHeight w:val="315"/>
        </w:trPr>
        <w:tc>
          <w:tcPr>
            <w:tcW w:w="2789" w:type="dxa"/>
            <w:tcBorders>
              <w:top w:val="nil"/>
              <w:left w:val="single" w:sz="4" w:space="0" w:color="auto"/>
              <w:bottom w:val="single" w:sz="4" w:space="0" w:color="auto"/>
              <w:right w:val="single" w:sz="4" w:space="0" w:color="auto"/>
            </w:tcBorders>
            <w:shd w:val="clear" w:color="auto" w:fill="auto"/>
            <w:vAlign w:val="center"/>
            <w:hideMark/>
          </w:tcPr>
          <w:p w14:paraId="1B50F70E" w14:textId="77777777" w:rsidR="001961D6" w:rsidRPr="004069B7" w:rsidRDefault="001961D6">
            <w:pPr>
              <w:jc w:val="center"/>
              <w:rPr>
                <w:b/>
                <w:bCs/>
                <w:color w:val="000000"/>
                <w:lang w:val="lv-LV"/>
              </w:rPr>
            </w:pPr>
            <w:r w:rsidRPr="004069B7">
              <w:rPr>
                <w:b/>
                <w:bCs/>
                <w:color w:val="000000"/>
                <w:lang w:val="lv-LV"/>
              </w:rPr>
              <w:t> </w:t>
            </w:r>
          </w:p>
        </w:tc>
        <w:tc>
          <w:tcPr>
            <w:tcW w:w="1317" w:type="dxa"/>
            <w:tcBorders>
              <w:top w:val="nil"/>
              <w:left w:val="nil"/>
              <w:bottom w:val="single" w:sz="4" w:space="0" w:color="auto"/>
              <w:right w:val="single" w:sz="4" w:space="0" w:color="auto"/>
            </w:tcBorders>
            <w:shd w:val="clear" w:color="auto" w:fill="auto"/>
            <w:vAlign w:val="center"/>
            <w:hideMark/>
          </w:tcPr>
          <w:p w14:paraId="0C22835F" w14:textId="77777777" w:rsidR="001961D6" w:rsidRPr="004069B7" w:rsidRDefault="004549F7">
            <w:pPr>
              <w:jc w:val="center"/>
              <w:rPr>
                <w:bCs/>
                <w:color w:val="000000"/>
                <w:lang w:val="lv-LV"/>
              </w:rPr>
            </w:pPr>
            <w:r w:rsidRPr="004069B7">
              <w:rPr>
                <w:bCs/>
                <w:color w:val="000000"/>
                <w:lang w:val="lv-LV"/>
              </w:rPr>
              <w:t>2014. </w:t>
            </w:r>
            <w:r w:rsidR="001961D6" w:rsidRPr="004069B7">
              <w:rPr>
                <w:bCs/>
                <w:color w:val="000000"/>
                <w:lang w:val="lv-LV"/>
              </w:rPr>
              <w:t>gads</w:t>
            </w:r>
          </w:p>
        </w:tc>
        <w:tc>
          <w:tcPr>
            <w:tcW w:w="1276" w:type="dxa"/>
            <w:tcBorders>
              <w:top w:val="nil"/>
              <w:left w:val="nil"/>
              <w:bottom w:val="single" w:sz="4" w:space="0" w:color="auto"/>
              <w:right w:val="single" w:sz="4" w:space="0" w:color="auto"/>
            </w:tcBorders>
            <w:shd w:val="clear" w:color="auto" w:fill="auto"/>
            <w:vAlign w:val="center"/>
            <w:hideMark/>
          </w:tcPr>
          <w:p w14:paraId="2316783B" w14:textId="77777777" w:rsidR="001961D6" w:rsidRPr="004069B7" w:rsidRDefault="004549F7">
            <w:pPr>
              <w:jc w:val="center"/>
              <w:rPr>
                <w:bCs/>
                <w:color w:val="000000"/>
                <w:lang w:val="lv-LV"/>
              </w:rPr>
            </w:pPr>
            <w:r w:rsidRPr="004069B7">
              <w:rPr>
                <w:bCs/>
                <w:color w:val="000000"/>
                <w:lang w:val="lv-LV"/>
              </w:rPr>
              <w:t>2015. </w:t>
            </w:r>
            <w:r w:rsidR="001961D6" w:rsidRPr="004069B7">
              <w:rPr>
                <w:bCs/>
                <w:color w:val="000000"/>
                <w:lang w:val="lv-LV"/>
              </w:rPr>
              <w:t>gads</w:t>
            </w:r>
          </w:p>
        </w:tc>
        <w:tc>
          <w:tcPr>
            <w:tcW w:w="1276" w:type="dxa"/>
            <w:tcBorders>
              <w:top w:val="nil"/>
              <w:left w:val="nil"/>
              <w:bottom w:val="single" w:sz="4" w:space="0" w:color="auto"/>
              <w:right w:val="single" w:sz="4" w:space="0" w:color="auto"/>
            </w:tcBorders>
            <w:shd w:val="clear" w:color="auto" w:fill="auto"/>
            <w:vAlign w:val="center"/>
            <w:hideMark/>
          </w:tcPr>
          <w:p w14:paraId="300F230F" w14:textId="77777777" w:rsidR="001961D6" w:rsidRPr="004069B7" w:rsidRDefault="001961D6">
            <w:pPr>
              <w:jc w:val="center"/>
              <w:rPr>
                <w:bCs/>
                <w:color w:val="000000"/>
                <w:lang w:val="lv-LV"/>
              </w:rPr>
            </w:pPr>
            <w:r w:rsidRPr="004069B7">
              <w:rPr>
                <w:bCs/>
                <w:color w:val="000000"/>
                <w:lang w:val="lv-LV"/>
              </w:rPr>
              <w:t>2016. gads</w:t>
            </w:r>
          </w:p>
        </w:tc>
        <w:tc>
          <w:tcPr>
            <w:tcW w:w="1417" w:type="dxa"/>
            <w:tcBorders>
              <w:top w:val="nil"/>
              <w:left w:val="nil"/>
              <w:bottom w:val="single" w:sz="4" w:space="0" w:color="auto"/>
              <w:right w:val="single" w:sz="4" w:space="0" w:color="auto"/>
            </w:tcBorders>
            <w:shd w:val="clear" w:color="auto" w:fill="auto"/>
            <w:vAlign w:val="center"/>
            <w:hideMark/>
          </w:tcPr>
          <w:p w14:paraId="4FC0D60F" w14:textId="77777777" w:rsidR="001961D6" w:rsidRPr="004069B7" w:rsidRDefault="001961D6">
            <w:pPr>
              <w:jc w:val="center"/>
              <w:rPr>
                <w:bCs/>
                <w:color w:val="000000"/>
                <w:lang w:val="lv-LV"/>
              </w:rPr>
            </w:pPr>
            <w:r w:rsidRPr="004069B7">
              <w:rPr>
                <w:bCs/>
                <w:color w:val="000000"/>
                <w:lang w:val="lv-LV"/>
              </w:rPr>
              <w:t>2017.</w:t>
            </w:r>
            <w:r w:rsidR="002829FD" w:rsidRPr="004069B7">
              <w:rPr>
                <w:bCs/>
                <w:color w:val="000000"/>
                <w:lang w:val="lv-LV"/>
              </w:rPr>
              <w:t> </w:t>
            </w:r>
            <w:r w:rsidR="00834789" w:rsidRPr="004069B7">
              <w:rPr>
                <w:bCs/>
                <w:color w:val="000000"/>
                <w:lang w:val="lv-LV"/>
              </w:rPr>
              <w:t>gads*</w:t>
            </w:r>
          </w:p>
        </w:tc>
        <w:tc>
          <w:tcPr>
            <w:tcW w:w="992" w:type="dxa"/>
            <w:tcBorders>
              <w:top w:val="nil"/>
              <w:left w:val="nil"/>
              <w:bottom w:val="single" w:sz="4" w:space="0" w:color="auto"/>
              <w:right w:val="single" w:sz="4" w:space="0" w:color="auto"/>
            </w:tcBorders>
            <w:shd w:val="clear" w:color="auto" w:fill="auto"/>
            <w:vAlign w:val="center"/>
            <w:hideMark/>
          </w:tcPr>
          <w:p w14:paraId="33E0CE99" w14:textId="77777777" w:rsidR="001961D6" w:rsidRPr="004069B7" w:rsidRDefault="001961D6">
            <w:pPr>
              <w:jc w:val="center"/>
              <w:rPr>
                <w:bCs/>
                <w:color w:val="000000"/>
                <w:lang w:val="lv-LV"/>
              </w:rPr>
            </w:pPr>
            <w:r w:rsidRPr="004069B7">
              <w:rPr>
                <w:bCs/>
                <w:color w:val="000000"/>
                <w:lang w:val="lv-LV"/>
              </w:rPr>
              <w:t>KOPĀ</w:t>
            </w:r>
          </w:p>
        </w:tc>
      </w:tr>
      <w:tr w:rsidR="001961D6" w:rsidRPr="004069B7" w14:paraId="7A4D33A8" w14:textId="77777777" w:rsidTr="00485F8D">
        <w:trPr>
          <w:trHeight w:val="315"/>
        </w:trPr>
        <w:tc>
          <w:tcPr>
            <w:tcW w:w="2789" w:type="dxa"/>
            <w:tcBorders>
              <w:top w:val="nil"/>
              <w:left w:val="single" w:sz="4" w:space="0" w:color="auto"/>
              <w:bottom w:val="single" w:sz="4" w:space="0" w:color="auto"/>
              <w:right w:val="single" w:sz="4" w:space="0" w:color="auto"/>
            </w:tcBorders>
            <w:shd w:val="clear" w:color="auto" w:fill="auto"/>
            <w:vAlign w:val="center"/>
            <w:hideMark/>
          </w:tcPr>
          <w:p w14:paraId="2A9D3CA9" w14:textId="77777777" w:rsidR="001961D6" w:rsidRPr="004069B7" w:rsidRDefault="001961D6">
            <w:pPr>
              <w:jc w:val="both"/>
              <w:rPr>
                <w:bCs/>
                <w:color w:val="000000"/>
                <w:lang w:val="lv-LV"/>
              </w:rPr>
            </w:pPr>
            <w:r w:rsidRPr="004069B7">
              <w:rPr>
                <w:bCs/>
                <w:color w:val="000000"/>
                <w:lang w:val="lv-LV"/>
              </w:rPr>
              <w:t>ĀCM inficēto cūku skaits</w:t>
            </w:r>
          </w:p>
        </w:tc>
        <w:tc>
          <w:tcPr>
            <w:tcW w:w="1317" w:type="dxa"/>
            <w:tcBorders>
              <w:top w:val="nil"/>
              <w:left w:val="nil"/>
              <w:bottom w:val="single" w:sz="4" w:space="0" w:color="auto"/>
              <w:right w:val="single" w:sz="4" w:space="0" w:color="auto"/>
            </w:tcBorders>
            <w:shd w:val="clear" w:color="auto" w:fill="auto"/>
            <w:vAlign w:val="center"/>
            <w:hideMark/>
          </w:tcPr>
          <w:p w14:paraId="6D2CE886" w14:textId="77777777" w:rsidR="001961D6" w:rsidRPr="004069B7" w:rsidRDefault="001961D6">
            <w:pPr>
              <w:jc w:val="center"/>
              <w:rPr>
                <w:color w:val="000000"/>
                <w:lang w:val="lv-LV"/>
              </w:rPr>
            </w:pPr>
            <w:r w:rsidRPr="004069B7">
              <w:rPr>
                <w:color w:val="000000"/>
                <w:lang w:val="lv-LV"/>
              </w:rPr>
              <w:t>72</w:t>
            </w:r>
          </w:p>
        </w:tc>
        <w:tc>
          <w:tcPr>
            <w:tcW w:w="1276" w:type="dxa"/>
            <w:tcBorders>
              <w:top w:val="nil"/>
              <w:left w:val="nil"/>
              <w:bottom w:val="single" w:sz="4" w:space="0" w:color="auto"/>
              <w:right w:val="single" w:sz="4" w:space="0" w:color="auto"/>
            </w:tcBorders>
            <w:shd w:val="clear" w:color="auto" w:fill="auto"/>
            <w:vAlign w:val="center"/>
            <w:hideMark/>
          </w:tcPr>
          <w:p w14:paraId="6EE1414E" w14:textId="77777777" w:rsidR="001961D6" w:rsidRPr="004069B7" w:rsidRDefault="001961D6">
            <w:pPr>
              <w:jc w:val="center"/>
              <w:rPr>
                <w:color w:val="000000"/>
                <w:lang w:val="lv-LV"/>
              </w:rPr>
            </w:pPr>
            <w:r w:rsidRPr="004069B7">
              <w:rPr>
                <w:color w:val="000000"/>
                <w:lang w:val="lv-LV"/>
              </w:rPr>
              <w:t>213</w:t>
            </w:r>
          </w:p>
        </w:tc>
        <w:tc>
          <w:tcPr>
            <w:tcW w:w="1276" w:type="dxa"/>
            <w:tcBorders>
              <w:top w:val="nil"/>
              <w:left w:val="nil"/>
              <w:bottom w:val="single" w:sz="4" w:space="0" w:color="auto"/>
              <w:right w:val="single" w:sz="4" w:space="0" w:color="auto"/>
            </w:tcBorders>
            <w:shd w:val="clear" w:color="auto" w:fill="auto"/>
            <w:vAlign w:val="center"/>
            <w:hideMark/>
          </w:tcPr>
          <w:p w14:paraId="52934B70" w14:textId="77777777" w:rsidR="001961D6" w:rsidRPr="004069B7" w:rsidRDefault="001961D6">
            <w:pPr>
              <w:jc w:val="center"/>
              <w:rPr>
                <w:color w:val="000000"/>
                <w:lang w:val="lv-LV"/>
              </w:rPr>
            </w:pPr>
            <w:r w:rsidRPr="004069B7">
              <w:rPr>
                <w:color w:val="000000"/>
                <w:lang w:val="lv-LV"/>
              </w:rPr>
              <w:t>311</w:t>
            </w:r>
          </w:p>
        </w:tc>
        <w:tc>
          <w:tcPr>
            <w:tcW w:w="1417" w:type="dxa"/>
            <w:tcBorders>
              <w:top w:val="nil"/>
              <w:left w:val="nil"/>
              <w:bottom w:val="single" w:sz="4" w:space="0" w:color="auto"/>
              <w:right w:val="single" w:sz="4" w:space="0" w:color="auto"/>
            </w:tcBorders>
            <w:shd w:val="clear" w:color="auto" w:fill="auto"/>
            <w:vAlign w:val="center"/>
            <w:hideMark/>
          </w:tcPr>
          <w:p w14:paraId="77C1FC7F" w14:textId="77777777" w:rsidR="001961D6" w:rsidRPr="004069B7" w:rsidRDefault="001961D6">
            <w:pPr>
              <w:jc w:val="center"/>
              <w:rPr>
                <w:color w:val="000000"/>
                <w:lang w:val="lv-LV"/>
              </w:rPr>
            </w:pPr>
            <w:r w:rsidRPr="004069B7">
              <w:rPr>
                <w:color w:val="000000"/>
                <w:lang w:val="lv-LV"/>
              </w:rPr>
              <w:t>13</w:t>
            </w:r>
            <w:r w:rsidR="00997B09" w:rsidRPr="004069B7">
              <w:rPr>
                <w:color w:val="000000"/>
                <w:lang w:val="lv-LV"/>
              </w:rPr>
              <w:t> </w:t>
            </w:r>
            <w:r w:rsidRPr="004069B7">
              <w:rPr>
                <w:color w:val="000000"/>
                <w:lang w:val="lv-LV"/>
              </w:rPr>
              <w:t>544</w:t>
            </w:r>
          </w:p>
        </w:tc>
        <w:tc>
          <w:tcPr>
            <w:tcW w:w="992" w:type="dxa"/>
            <w:tcBorders>
              <w:top w:val="nil"/>
              <w:left w:val="nil"/>
              <w:bottom w:val="single" w:sz="4" w:space="0" w:color="auto"/>
              <w:right w:val="single" w:sz="4" w:space="0" w:color="auto"/>
            </w:tcBorders>
            <w:shd w:val="clear" w:color="auto" w:fill="auto"/>
            <w:vAlign w:val="center"/>
            <w:hideMark/>
          </w:tcPr>
          <w:p w14:paraId="68009B28" w14:textId="77777777" w:rsidR="001961D6" w:rsidRPr="004069B7" w:rsidRDefault="001961D6">
            <w:pPr>
              <w:jc w:val="center"/>
              <w:rPr>
                <w:color w:val="000000"/>
                <w:lang w:val="lv-LV"/>
              </w:rPr>
            </w:pPr>
            <w:r w:rsidRPr="004069B7">
              <w:rPr>
                <w:color w:val="000000"/>
                <w:lang w:val="lv-LV"/>
              </w:rPr>
              <w:t>14</w:t>
            </w:r>
            <w:r w:rsidR="00997B09" w:rsidRPr="004069B7">
              <w:rPr>
                <w:color w:val="000000"/>
                <w:lang w:val="lv-LV"/>
              </w:rPr>
              <w:t> </w:t>
            </w:r>
            <w:r w:rsidRPr="004069B7">
              <w:rPr>
                <w:color w:val="000000"/>
                <w:lang w:val="lv-LV"/>
              </w:rPr>
              <w:t>140</w:t>
            </w:r>
          </w:p>
        </w:tc>
      </w:tr>
      <w:tr w:rsidR="001961D6" w:rsidRPr="004069B7" w14:paraId="4562DDC5" w14:textId="77777777" w:rsidTr="00485F8D">
        <w:trPr>
          <w:trHeight w:val="315"/>
        </w:trPr>
        <w:tc>
          <w:tcPr>
            <w:tcW w:w="2789" w:type="dxa"/>
            <w:tcBorders>
              <w:top w:val="nil"/>
              <w:left w:val="single" w:sz="4" w:space="0" w:color="auto"/>
              <w:bottom w:val="single" w:sz="4" w:space="0" w:color="auto"/>
              <w:right w:val="single" w:sz="4" w:space="0" w:color="auto"/>
            </w:tcBorders>
            <w:shd w:val="clear" w:color="auto" w:fill="auto"/>
            <w:vAlign w:val="center"/>
            <w:hideMark/>
          </w:tcPr>
          <w:p w14:paraId="7EC3A3F8" w14:textId="77777777" w:rsidR="001961D6" w:rsidRPr="004069B7" w:rsidRDefault="001961D6">
            <w:pPr>
              <w:jc w:val="both"/>
              <w:rPr>
                <w:bCs/>
                <w:color w:val="000000"/>
                <w:lang w:val="lv-LV"/>
              </w:rPr>
            </w:pPr>
            <w:r w:rsidRPr="004069B7">
              <w:rPr>
                <w:bCs/>
                <w:color w:val="000000"/>
                <w:lang w:val="lv-LV"/>
              </w:rPr>
              <w:t>ĀCM skartās saimniecības</w:t>
            </w:r>
          </w:p>
        </w:tc>
        <w:tc>
          <w:tcPr>
            <w:tcW w:w="1317" w:type="dxa"/>
            <w:tcBorders>
              <w:top w:val="nil"/>
              <w:left w:val="nil"/>
              <w:bottom w:val="single" w:sz="4" w:space="0" w:color="auto"/>
              <w:right w:val="single" w:sz="4" w:space="0" w:color="auto"/>
            </w:tcBorders>
            <w:shd w:val="clear" w:color="auto" w:fill="auto"/>
            <w:vAlign w:val="center"/>
            <w:hideMark/>
          </w:tcPr>
          <w:p w14:paraId="32766FAF" w14:textId="77777777" w:rsidR="001961D6" w:rsidRPr="004069B7" w:rsidRDefault="001961D6">
            <w:pPr>
              <w:jc w:val="center"/>
              <w:rPr>
                <w:color w:val="000000"/>
                <w:lang w:val="lv-LV"/>
              </w:rPr>
            </w:pPr>
            <w:r w:rsidRPr="004069B7">
              <w:rPr>
                <w:color w:val="000000"/>
                <w:lang w:val="lv-LV"/>
              </w:rPr>
              <w:t>32</w:t>
            </w:r>
          </w:p>
        </w:tc>
        <w:tc>
          <w:tcPr>
            <w:tcW w:w="1276" w:type="dxa"/>
            <w:tcBorders>
              <w:top w:val="nil"/>
              <w:left w:val="nil"/>
              <w:bottom w:val="single" w:sz="4" w:space="0" w:color="auto"/>
              <w:right w:val="single" w:sz="4" w:space="0" w:color="auto"/>
            </w:tcBorders>
            <w:shd w:val="clear" w:color="auto" w:fill="auto"/>
            <w:vAlign w:val="center"/>
            <w:hideMark/>
          </w:tcPr>
          <w:p w14:paraId="04A75988" w14:textId="77777777" w:rsidR="001961D6" w:rsidRPr="004069B7" w:rsidRDefault="001961D6">
            <w:pPr>
              <w:jc w:val="center"/>
              <w:rPr>
                <w:color w:val="000000"/>
                <w:lang w:val="lv-LV"/>
              </w:rPr>
            </w:pPr>
            <w:r w:rsidRPr="004069B7">
              <w:rPr>
                <w:color w:val="000000"/>
                <w:lang w:val="lv-LV"/>
              </w:rPr>
              <w:t>10</w:t>
            </w:r>
          </w:p>
        </w:tc>
        <w:tc>
          <w:tcPr>
            <w:tcW w:w="1276" w:type="dxa"/>
            <w:tcBorders>
              <w:top w:val="nil"/>
              <w:left w:val="nil"/>
              <w:bottom w:val="single" w:sz="4" w:space="0" w:color="auto"/>
              <w:right w:val="single" w:sz="4" w:space="0" w:color="auto"/>
            </w:tcBorders>
            <w:shd w:val="clear" w:color="auto" w:fill="auto"/>
            <w:vAlign w:val="center"/>
            <w:hideMark/>
          </w:tcPr>
          <w:p w14:paraId="2322586D" w14:textId="77777777" w:rsidR="001961D6" w:rsidRPr="004069B7" w:rsidRDefault="001961D6">
            <w:pPr>
              <w:jc w:val="center"/>
              <w:rPr>
                <w:color w:val="000000"/>
                <w:lang w:val="lv-LV"/>
              </w:rPr>
            </w:pPr>
            <w:r w:rsidRPr="004069B7">
              <w:rPr>
                <w:color w:val="000000"/>
                <w:lang w:val="lv-LV"/>
              </w:rPr>
              <w:t>3</w:t>
            </w:r>
          </w:p>
        </w:tc>
        <w:tc>
          <w:tcPr>
            <w:tcW w:w="1417" w:type="dxa"/>
            <w:tcBorders>
              <w:top w:val="nil"/>
              <w:left w:val="nil"/>
              <w:bottom w:val="single" w:sz="4" w:space="0" w:color="auto"/>
              <w:right w:val="single" w:sz="4" w:space="0" w:color="auto"/>
            </w:tcBorders>
            <w:shd w:val="clear" w:color="auto" w:fill="auto"/>
            <w:vAlign w:val="center"/>
            <w:hideMark/>
          </w:tcPr>
          <w:p w14:paraId="77A712E7" w14:textId="77777777" w:rsidR="001961D6" w:rsidRPr="004069B7" w:rsidRDefault="001961D6">
            <w:pPr>
              <w:jc w:val="center"/>
              <w:rPr>
                <w:color w:val="000000"/>
                <w:lang w:val="lv-LV"/>
              </w:rPr>
            </w:pPr>
            <w:r w:rsidRPr="004069B7">
              <w:rPr>
                <w:color w:val="000000"/>
                <w:lang w:val="lv-LV"/>
              </w:rPr>
              <w:t>2</w:t>
            </w:r>
          </w:p>
        </w:tc>
        <w:tc>
          <w:tcPr>
            <w:tcW w:w="992" w:type="dxa"/>
            <w:tcBorders>
              <w:top w:val="nil"/>
              <w:left w:val="nil"/>
              <w:bottom w:val="single" w:sz="4" w:space="0" w:color="auto"/>
              <w:right w:val="single" w:sz="4" w:space="0" w:color="auto"/>
            </w:tcBorders>
            <w:shd w:val="clear" w:color="auto" w:fill="auto"/>
            <w:vAlign w:val="center"/>
            <w:hideMark/>
          </w:tcPr>
          <w:p w14:paraId="5F8D28CB" w14:textId="77777777" w:rsidR="001961D6" w:rsidRPr="004069B7" w:rsidRDefault="001961D6">
            <w:pPr>
              <w:jc w:val="center"/>
              <w:rPr>
                <w:color w:val="000000"/>
                <w:lang w:val="lv-LV"/>
              </w:rPr>
            </w:pPr>
            <w:r w:rsidRPr="004069B7">
              <w:rPr>
                <w:color w:val="000000"/>
                <w:lang w:val="lv-LV"/>
              </w:rPr>
              <w:t>47</w:t>
            </w:r>
          </w:p>
        </w:tc>
      </w:tr>
      <w:tr w:rsidR="001961D6" w:rsidRPr="004069B7" w14:paraId="3557139F" w14:textId="77777777" w:rsidTr="00485F8D">
        <w:trPr>
          <w:trHeight w:val="315"/>
        </w:trPr>
        <w:tc>
          <w:tcPr>
            <w:tcW w:w="2789" w:type="dxa"/>
            <w:tcBorders>
              <w:top w:val="nil"/>
              <w:left w:val="single" w:sz="4" w:space="0" w:color="auto"/>
              <w:bottom w:val="single" w:sz="4" w:space="0" w:color="auto"/>
              <w:right w:val="single" w:sz="4" w:space="0" w:color="auto"/>
            </w:tcBorders>
            <w:shd w:val="clear" w:color="auto" w:fill="auto"/>
            <w:vAlign w:val="center"/>
            <w:hideMark/>
          </w:tcPr>
          <w:p w14:paraId="7CE2A93A" w14:textId="77777777" w:rsidR="001961D6" w:rsidRPr="004069B7" w:rsidRDefault="001961D6">
            <w:pPr>
              <w:jc w:val="both"/>
              <w:rPr>
                <w:bCs/>
                <w:color w:val="000000"/>
                <w:lang w:val="lv-LV"/>
              </w:rPr>
            </w:pPr>
            <w:r w:rsidRPr="004069B7">
              <w:rPr>
                <w:bCs/>
                <w:color w:val="000000"/>
                <w:lang w:val="lv-LV"/>
              </w:rPr>
              <w:t>ĀCM skartie novadi</w:t>
            </w:r>
          </w:p>
        </w:tc>
        <w:tc>
          <w:tcPr>
            <w:tcW w:w="1317" w:type="dxa"/>
            <w:tcBorders>
              <w:top w:val="nil"/>
              <w:left w:val="nil"/>
              <w:bottom w:val="single" w:sz="4" w:space="0" w:color="auto"/>
              <w:right w:val="single" w:sz="4" w:space="0" w:color="auto"/>
            </w:tcBorders>
            <w:shd w:val="clear" w:color="auto" w:fill="auto"/>
            <w:vAlign w:val="center"/>
            <w:hideMark/>
          </w:tcPr>
          <w:p w14:paraId="1E830E08" w14:textId="77777777" w:rsidR="001961D6" w:rsidRPr="004069B7" w:rsidRDefault="001961D6">
            <w:pPr>
              <w:jc w:val="center"/>
              <w:rPr>
                <w:color w:val="000000"/>
                <w:lang w:val="lv-LV"/>
              </w:rPr>
            </w:pPr>
            <w:r w:rsidRPr="004069B7">
              <w:rPr>
                <w:color w:val="000000"/>
                <w:lang w:val="lv-LV"/>
              </w:rPr>
              <w:t>3</w:t>
            </w:r>
          </w:p>
        </w:tc>
        <w:tc>
          <w:tcPr>
            <w:tcW w:w="1276" w:type="dxa"/>
            <w:tcBorders>
              <w:top w:val="nil"/>
              <w:left w:val="nil"/>
              <w:bottom w:val="single" w:sz="4" w:space="0" w:color="auto"/>
              <w:right w:val="single" w:sz="4" w:space="0" w:color="auto"/>
            </w:tcBorders>
            <w:shd w:val="clear" w:color="auto" w:fill="auto"/>
            <w:vAlign w:val="center"/>
            <w:hideMark/>
          </w:tcPr>
          <w:p w14:paraId="24BE1B67" w14:textId="77777777" w:rsidR="001961D6" w:rsidRPr="004069B7" w:rsidRDefault="001961D6">
            <w:pPr>
              <w:jc w:val="center"/>
              <w:rPr>
                <w:color w:val="000000"/>
                <w:lang w:val="lv-LV"/>
              </w:rPr>
            </w:pPr>
            <w:r w:rsidRPr="004069B7">
              <w:rPr>
                <w:color w:val="000000"/>
                <w:lang w:val="lv-LV"/>
              </w:rPr>
              <w:t>6</w:t>
            </w:r>
          </w:p>
        </w:tc>
        <w:tc>
          <w:tcPr>
            <w:tcW w:w="1276" w:type="dxa"/>
            <w:tcBorders>
              <w:top w:val="nil"/>
              <w:left w:val="nil"/>
              <w:bottom w:val="single" w:sz="4" w:space="0" w:color="auto"/>
              <w:right w:val="single" w:sz="4" w:space="0" w:color="auto"/>
            </w:tcBorders>
            <w:shd w:val="clear" w:color="auto" w:fill="auto"/>
            <w:vAlign w:val="center"/>
            <w:hideMark/>
          </w:tcPr>
          <w:p w14:paraId="2C2E17BC" w14:textId="77777777" w:rsidR="001961D6" w:rsidRPr="004069B7" w:rsidRDefault="001961D6">
            <w:pPr>
              <w:jc w:val="center"/>
              <w:rPr>
                <w:color w:val="000000"/>
                <w:lang w:val="lv-LV"/>
              </w:rPr>
            </w:pPr>
            <w:r w:rsidRPr="004069B7">
              <w:rPr>
                <w:color w:val="000000"/>
                <w:lang w:val="lv-LV"/>
              </w:rPr>
              <w:t>2</w:t>
            </w:r>
          </w:p>
        </w:tc>
        <w:tc>
          <w:tcPr>
            <w:tcW w:w="1417" w:type="dxa"/>
            <w:tcBorders>
              <w:top w:val="nil"/>
              <w:left w:val="nil"/>
              <w:bottom w:val="single" w:sz="4" w:space="0" w:color="auto"/>
              <w:right w:val="single" w:sz="4" w:space="0" w:color="auto"/>
            </w:tcBorders>
            <w:shd w:val="clear" w:color="auto" w:fill="auto"/>
            <w:vAlign w:val="center"/>
            <w:hideMark/>
          </w:tcPr>
          <w:p w14:paraId="7F514E8D" w14:textId="77777777" w:rsidR="001961D6" w:rsidRPr="004069B7" w:rsidRDefault="001961D6">
            <w:pPr>
              <w:jc w:val="center"/>
              <w:rPr>
                <w:color w:val="000000"/>
                <w:lang w:val="lv-LV"/>
              </w:rPr>
            </w:pPr>
            <w:r w:rsidRPr="004069B7">
              <w:rPr>
                <w:color w:val="000000"/>
                <w:lang w:val="lv-LV"/>
              </w:rPr>
              <w:t>2</w:t>
            </w:r>
          </w:p>
        </w:tc>
        <w:tc>
          <w:tcPr>
            <w:tcW w:w="992" w:type="dxa"/>
            <w:tcBorders>
              <w:top w:val="nil"/>
              <w:left w:val="nil"/>
              <w:bottom w:val="single" w:sz="4" w:space="0" w:color="auto"/>
              <w:right w:val="single" w:sz="4" w:space="0" w:color="auto"/>
            </w:tcBorders>
            <w:shd w:val="clear" w:color="auto" w:fill="auto"/>
            <w:vAlign w:val="center"/>
            <w:hideMark/>
          </w:tcPr>
          <w:p w14:paraId="6D3F6D75" w14:textId="7CACB0D9" w:rsidR="001961D6" w:rsidRPr="004069B7" w:rsidRDefault="002133DD">
            <w:pPr>
              <w:jc w:val="center"/>
              <w:rPr>
                <w:color w:val="000000"/>
                <w:lang w:val="lv-LV"/>
              </w:rPr>
            </w:pPr>
            <w:r>
              <w:rPr>
                <w:color w:val="000000"/>
                <w:lang w:val="lv-LV"/>
              </w:rPr>
              <w:t>–</w:t>
            </w:r>
          </w:p>
        </w:tc>
      </w:tr>
      <w:tr w:rsidR="001961D6" w:rsidRPr="004069B7" w14:paraId="508E8F04" w14:textId="77777777" w:rsidTr="00485F8D">
        <w:trPr>
          <w:trHeight w:val="31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86D0" w14:textId="77777777" w:rsidR="001961D6" w:rsidRPr="004069B7" w:rsidRDefault="001961D6">
            <w:pPr>
              <w:jc w:val="both"/>
              <w:rPr>
                <w:bCs/>
                <w:color w:val="000000"/>
                <w:lang w:val="lv-LV"/>
              </w:rPr>
            </w:pPr>
            <w:r w:rsidRPr="004069B7">
              <w:rPr>
                <w:bCs/>
                <w:color w:val="000000"/>
                <w:lang w:val="lv-LV"/>
              </w:rPr>
              <w:t>ĀCM skartie pagasti</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3E78C16A" w14:textId="77777777" w:rsidR="001961D6" w:rsidRPr="004069B7" w:rsidRDefault="001961D6">
            <w:pPr>
              <w:jc w:val="center"/>
              <w:rPr>
                <w:color w:val="000000"/>
                <w:lang w:val="lv-LV"/>
              </w:rPr>
            </w:pPr>
            <w:r w:rsidRPr="004069B7">
              <w:rPr>
                <w:color w:val="000000"/>
                <w:lang w:val="lv-LV"/>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A0CFE8" w14:textId="77777777" w:rsidR="001961D6" w:rsidRPr="004069B7" w:rsidRDefault="001961D6">
            <w:pPr>
              <w:jc w:val="center"/>
              <w:rPr>
                <w:color w:val="000000"/>
                <w:lang w:val="lv-LV"/>
              </w:rPr>
            </w:pPr>
            <w:r w:rsidRPr="004069B7">
              <w:rPr>
                <w:color w:val="000000"/>
                <w:lang w:val="lv-LV"/>
              </w:rPr>
              <w:t>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54CD4C" w14:textId="77777777" w:rsidR="001961D6" w:rsidRPr="004069B7" w:rsidRDefault="001961D6">
            <w:pPr>
              <w:jc w:val="center"/>
              <w:rPr>
                <w:color w:val="000000"/>
                <w:lang w:val="lv-LV"/>
              </w:rPr>
            </w:pPr>
            <w:r w:rsidRPr="004069B7">
              <w:rPr>
                <w:color w:val="000000"/>
                <w:lang w:val="lv-LV"/>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54CA87" w14:textId="77777777" w:rsidR="001961D6" w:rsidRPr="004069B7" w:rsidRDefault="001961D6">
            <w:pPr>
              <w:jc w:val="center"/>
              <w:rPr>
                <w:color w:val="000000"/>
                <w:lang w:val="lv-LV"/>
              </w:rPr>
            </w:pPr>
            <w:r w:rsidRPr="004069B7">
              <w:rPr>
                <w:color w:val="000000"/>
                <w:lang w:val="lv-LV"/>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EA88CA" w14:textId="74E0FA21" w:rsidR="001961D6" w:rsidRPr="004069B7" w:rsidRDefault="002133DD">
            <w:pPr>
              <w:jc w:val="center"/>
              <w:rPr>
                <w:color w:val="000000"/>
                <w:lang w:val="lv-LV"/>
              </w:rPr>
            </w:pPr>
            <w:r>
              <w:rPr>
                <w:color w:val="000000"/>
                <w:lang w:val="lv-LV"/>
              </w:rPr>
              <w:t>–</w:t>
            </w:r>
          </w:p>
        </w:tc>
      </w:tr>
      <w:tr w:rsidR="001961D6" w:rsidRPr="004069B7" w14:paraId="1CB3D242" w14:textId="77777777" w:rsidTr="00485F8D">
        <w:trPr>
          <w:trHeight w:val="300"/>
        </w:trPr>
        <w:tc>
          <w:tcPr>
            <w:tcW w:w="9069" w:type="dxa"/>
            <w:gridSpan w:val="6"/>
            <w:tcBorders>
              <w:top w:val="single" w:sz="4" w:space="0" w:color="auto"/>
            </w:tcBorders>
            <w:shd w:val="clear" w:color="auto" w:fill="auto"/>
            <w:vAlign w:val="center"/>
            <w:hideMark/>
          </w:tcPr>
          <w:p w14:paraId="081159EF" w14:textId="296ED208" w:rsidR="001961D6" w:rsidRPr="004069B7" w:rsidRDefault="001961D6">
            <w:pPr>
              <w:rPr>
                <w:color w:val="000000"/>
                <w:sz w:val="22"/>
                <w:lang w:val="lv-LV"/>
              </w:rPr>
            </w:pPr>
            <w:r w:rsidRPr="004069B7">
              <w:rPr>
                <w:color w:val="000000"/>
                <w:sz w:val="22"/>
                <w:lang w:val="lv-LV"/>
              </w:rPr>
              <w:t xml:space="preserve">* </w:t>
            </w:r>
            <w:r w:rsidR="00A97DC0">
              <w:rPr>
                <w:color w:val="000000"/>
                <w:sz w:val="22"/>
                <w:lang w:val="lv-LV"/>
              </w:rPr>
              <w:t>P</w:t>
            </w:r>
            <w:r w:rsidRPr="004069B7">
              <w:rPr>
                <w:color w:val="000000"/>
                <w:sz w:val="22"/>
                <w:lang w:val="lv-LV"/>
              </w:rPr>
              <w:t>ēdējais saslimš</w:t>
            </w:r>
            <w:r w:rsidR="00B4765A" w:rsidRPr="004069B7">
              <w:rPr>
                <w:color w:val="000000"/>
                <w:sz w:val="22"/>
                <w:lang w:val="lv-LV"/>
              </w:rPr>
              <w:t>a</w:t>
            </w:r>
            <w:r w:rsidRPr="004069B7">
              <w:rPr>
                <w:color w:val="000000"/>
                <w:sz w:val="22"/>
                <w:lang w:val="lv-LV"/>
              </w:rPr>
              <w:t>nas gadījums 17.02.2017.</w:t>
            </w:r>
          </w:p>
        </w:tc>
      </w:tr>
    </w:tbl>
    <w:p w14:paraId="3995FCCD" w14:textId="77777777" w:rsidR="00FF015C" w:rsidRPr="004069B7" w:rsidRDefault="00FF015C"/>
    <w:p w14:paraId="4A10219C" w14:textId="4321BDA3" w:rsidR="00277822" w:rsidRPr="004069B7" w:rsidRDefault="00277822" w:rsidP="00277822">
      <w:pPr>
        <w:pStyle w:val="naisf"/>
        <w:spacing w:before="0" w:beforeAutospacing="0" w:after="0" w:afterAutospacing="0"/>
        <w:ind w:firstLine="720"/>
        <w:rPr>
          <w:lang w:val="lv-LV"/>
        </w:rPr>
      </w:pPr>
      <w:r w:rsidRPr="004069B7">
        <w:rPr>
          <w:lang w:val="lv-LV"/>
        </w:rPr>
        <w:t>Regulāri tiek konstatētas ar</w:t>
      </w:r>
      <w:r w:rsidR="00A97DC0">
        <w:rPr>
          <w:lang w:val="lv-LV"/>
        </w:rPr>
        <w:t>ī ar</w:t>
      </w:r>
      <w:r w:rsidRPr="004069B7">
        <w:rPr>
          <w:lang w:val="lv-LV"/>
        </w:rPr>
        <w:t xml:space="preserve"> ĀCM inficētas mežacūkas (informācija skatāma </w:t>
      </w:r>
      <w:r w:rsidR="006C0786" w:rsidRPr="004069B7">
        <w:rPr>
          <w:lang w:val="lv-LV"/>
        </w:rPr>
        <w:t>2.</w:t>
      </w:r>
      <w:r w:rsidR="00A97DC0">
        <w:rPr>
          <w:lang w:val="lv-LV"/>
        </w:rPr>
        <w:t> </w:t>
      </w:r>
      <w:r w:rsidRPr="004069B7">
        <w:rPr>
          <w:lang w:val="lv-LV"/>
        </w:rPr>
        <w:t>tabulā)</w:t>
      </w:r>
      <w:r w:rsidR="00A97DC0">
        <w:rPr>
          <w:lang w:val="lv-LV"/>
        </w:rPr>
        <w:t>, bet šīs slimības</w:t>
      </w:r>
      <w:r w:rsidRPr="004069B7">
        <w:rPr>
          <w:lang w:val="lv-LV"/>
        </w:rPr>
        <w:t xml:space="preserve"> apkarošanai mežacūku populācijā joprojām nav pieejamas efektīvas metodes. Dažādos zinātniskos projektos turpinās darbs pie vakcīnas izstrādes. </w:t>
      </w:r>
    </w:p>
    <w:p w14:paraId="67E62F0B" w14:textId="77777777" w:rsidR="00FF015C" w:rsidRPr="004069B7" w:rsidRDefault="006C0786" w:rsidP="006C0786">
      <w:pPr>
        <w:jc w:val="right"/>
        <w:rPr>
          <w:lang w:val="lv-LV"/>
        </w:rPr>
      </w:pPr>
      <w:r w:rsidRPr="004069B7">
        <w:rPr>
          <w:lang w:val="lv-LV"/>
        </w:rPr>
        <w:t>2.</w:t>
      </w:r>
      <w:r w:rsidR="002614D3" w:rsidRPr="004069B7">
        <w:rPr>
          <w:lang w:val="lv-LV"/>
        </w:rPr>
        <w:t> </w:t>
      </w:r>
      <w:r w:rsidRPr="004069B7">
        <w:rPr>
          <w:lang w:val="lv-LV"/>
        </w:rPr>
        <w:t>tabula</w:t>
      </w:r>
    </w:p>
    <w:tbl>
      <w:tblPr>
        <w:tblW w:w="8975" w:type="dxa"/>
        <w:tblInd w:w="113" w:type="dxa"/>
        <w:tblLayout w:type="fixed"/>
        <w:tblLook w:val="04A0" w:firstRow="1" w:lastRow="0" w:firstColumn="1" w:lastColumn="0" w:noHBand="0" w:noVBand="1"/>
      </w:tblPr>
      <w:tblGrid>
        <w:gridCol w:w="2547"/>
        <w:gridCol w:w="1317"/>
        <w:gridCol w:w="1276"/>
        <w:gridCol w:w="1276"/>
        <w:gridCol w:w="1559"/>
        <w:gridCol w:w="992"/>
        <w:gridCol w:w="8"/>
      </w:tblGrid>
      <w:tr w:rsidR="001961D6" w:rsidRPr="004069B7" w14:paraId="2D3A1C16" w14:textId="77777777" w:rsidTr="00F85DB8">
        <w:trPr>
          <w:trHeight w:val="330"/>
        </w:trPr>
        <w:tc>
          <w:tcPr>
            <w:tcW w:w="89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A79CE1" w14:textId="77777777" w:rsidR="001961D6" w:rsidRPr="004069B7" w:rsidRDefault="001961D6">
            <w:pPr>
              <w:jc w:val="center"/>
              <w:rPr>
                <w:b/>
                <w:bCs/>
                <w:color w:val="000000"/>
                <w:lang w:val="lv-LV"/>
              </w:rPr>
            </w:pPr>
            <w:r w:rsidRPr="004069B7">
              <w:rPr>
                <w:b/>
                <w:bCs/>
                <w:color w:val="000000"/>
                <w:lang w:val="lv-LV"/>
              </w:rPr>
              <w:t>MEŽACŪKAS</w:t>
            </w:r>
          </w:p>
        </w:tc>
      </w:tr>
      <w:tr w:rsidR="001961D6" w:rsidRPr="004069B7" w14:paraId="7658F5EB" w14:textId="77777777" w:rsidTr="00F85DB8">
        <w:trPr>
          <w:gridAfter w:val="1"/>
          <w:wAfter w:w="8" w:type="dxa"/>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54423F" w14:textId="77777777" w:rsidR="001961D6" w:rsidRPr="004069B7" w:rsidRDefault="001961D6">
            <w:pPr>
              <w:jc w:val="center"/>
              <w:rPr>
                <w:bCs/>
                <w:color w:val="000000"/>
                <w:lang w:val="lv-LV"/>
              </w:rPr>
            </w:pPr>
            <w:r w:rsidRPr="004069B7">
              <w:rPr>
                <w:bCs/>
                <w:color w:val="000000"/>
                <w:lang w:val="lv-LV"/>
              </w:rPr>
              <w:t> </w:t>
            </w:r>
          </w:p>
        </w:tc>
        <w:tc>
          <w:tcPr>
            <w:tcW w:w="1317" w:type="dxa"/>
            <w:tcBorders>
              <w:top w:val="nil"/>
              <w:left w:val="nil"/>
              <w:bottom w:val="single" w:sz="4" w:space="0" w:color="auto"/>
              <w:right w:val="single" w:sz="4" w:space="0" w:color="auto"/>
            </w:tcBorders>
            <w:shd w:val="clear" w:color="auto" w:fill="auto"/>
            <w:vAlign w:val="center"/>
            <w:hideMark/>
          </w:tcPr>
          <w:p w14:paraId="207E44F4" w14:textId="77777777" w:rsidR="001961D6" w:rsidRPr="004069B7" w:rsidRDefault="001961D6">
            <w:pPr>
              <w:jc w:val="center"/>
              <w:rPr>
                <w:bCs/>
                <w:color w:val="000000"/>
                <w:lang w:val="lv-LV"/>
              </w:rPr>
            </w:pPr>
            <w:r w:rsidRPr="004069B7">
              <w:rPr>
                <w:bCs/>
                <w:color w:val="000000"/>
                <w:lang w:val="lv-LV"/>
              </w:rPr>
              <w:t>2014. gads</w:t>
            </w:r>
          </w:p>
        </w:tc>
        <w:tc>
          <w:tcPr>
            <w:tcW w:w="1276" w:type="dxa"/>
            <w:tcBorders>
              <w:top w:val="nil"/>
              <w:left w:val="nil"/>
              <w:bottom w:val="single" w:sz="4" w:space="0" w:color="auto"/>
              <w:right w:val="single" w:sz="4" w:space="0" w:color="auto"/>
            </w:tcBorders>
            <w:shd w:val="clear" w:color="auto" w:fill="auto"/>
            <w:vAlign w:val="center"/>
            <w:hideMark/>
          </w:tcPr>
          <w:p w14:paraId="272804DB" w14:textId="77777777" w:rsidR="001961D6" w:rsidRPr="004069B7" w:rsidRDefault="001961D6" w:rsidP="004549F7">
            <w:pPr>
              <w:jc w:val="center"/>
              <w:rPr>
                <w:bCs/>
                <w:color w:val="000000"/>
                <w:lang w:val="lv-LV"/>
              </w:rPr>
            </w:pPr>
            <w:r w:rsidRPr="004069B7">
              <w:rPr>
                <w:bCs/>
                <w:color w:val="000000"/>
                <w:lang w:val="lv-LV"/>
              </w:rPr>
              <w:t>2015.</w:t>
            </w:r>
            <w:r w:rsidR="004549F7" w:rsidRPr="004069B7">
              <w:rPr>
                <w:bCs/>
                <w:color w:val="000000"/>
                <w:lang w:val="lv-LV"/>
              </w:rPr>
              <w:t> </w:t>
            </w:r>
            <w:r w:rsidRPr="004069B7">
              <w:rPr>
                <w:bCs/>
                <w:color w:val="000000"/>
                <w:lang w:val="lv-LV"/>
              </w:rPr>
              <w:t>gads</w:t>
            </w:r>
          </w:p>
        </w:tc>
        <w:tc>
          <w:tcPr>
            <w:tcW w:w="1276" w:type="dxa"/>
            <w:tcBorders>
              <w:top w:val="nil"/>
              <w:left w:val="nil"/>
              <w:bottom w:val="single" w:sz="4" w:space="0" w:color="auto"/>
              <w:right w:val="single" w:sz="4" w:space="0" w:color="auto"/>
            </w:tcBorders>
            <w:shd w:val="clear" w:color="auto" w:fill="auto"/>
            <w:vAlign w:val="center"/>
            <w:hideMark/>
          </w:tcPr>
          <w:p w14:paraId="454F1296" w14:textId="77777777" w:rsidR="001961D6" w:rsidRPr="004069B7" w:rsidRDefault="001961D6">
            <w:pPr>
              <w:jc w:val="center"/>
              <w:rPr>
                <w:bCs/>
                <w:color w:val="000000"/>
                <w:lang w:val="lv-LV"/>
              </w:rPr>
            </w:pPr>
            <w:r w:rsidRPr="004069B7">
              <w:rPr>
                <w:bCs/>
                <w:color w:val="000000"/>
                <w:lang w:val="lv-LV"/>
              </w:rPr>
              <w:t>2016. gads</w:t>
            </w:r>
          </w:p>
        </w:tc>
        <w:tc>
          <w:tcPr>
            <w:tcW w:w="1559" w:type="dxa"/>
            <w:tcBorders>
              <w:top w:val="nil"/>
              <w:left w:val="nil"/>
              <w:bottom w:val="single" w:sz="4" w:space="0" w:color="auto"/>
              <w:right w:val="single" w:sz="4" w:space="0" w:color="auto"/>
            </w:tcBorders>
            <w:shd w:val="clear" w:color="auto" w:fill="auto"/>
            <w:vAlign w:val="center"/>
            <w:hideMark/>
          </w:tcPr>
          <w:p w14:paraId="0588D3D8" w14:textId="77777777" w:rsidR="001961D6" w:rsidRPr="004069B7" w:rsidRDefault="001961D6">
            <w:pPr>
              <w:jc w:val="center"/>
              <w:rPr>
                <w:bCs/>
                <w:color w:val="000000"/>
                <w:lang w:val="lv-LV"/>
              </w:rPr>
            </w:pPr>
            <w:r w:rsidRPr="004069B7">
              <w:rPr>
                <w:bCs/>
                <w:color w:val="000000"/>
                <w:lang w:val="lv-LV"/>
              </w:rPr>
              <w:t>2017.</w:t>
            </w:r>
            <w:r w:rsidR="004549F7" w:rsidRPr="004069B7">
              <w:rPr>
                <w:bCs/>
                <w:color w:val="000000"/>
                <w:lang w:val="lv-LV"/>
              </w:rPr>
              <w:t> </w:t>
            </w:r>
            <w:r w:rsidRPr="004069B7">
              <w:rPr>
                <w:bCs/>
                <w:color w:val="000000"/>
                <w:lang w:val="lv-LV"/>
              </w:rPr>
              <w:t>gads*</w:t>
            </w:r>
          </w:p>
        </w:tc>
        <w:tc>
          <w:tcPr>
            <w:tcW w:w="992" w:type="dxa"/>
            <w:tcBorders>
              <w:top w:val="nil"/>
              <w:left w:val="nil"/>
              <w:bottom w:val="single" w:sz="4" w:space="0" w:color="auto"/>
              <w:right w:val="single" w:sz="4" w:space="0" w:color="auto"/>
            </w:tcBorders>
            <w:shd w:val="clear" w:color="auto" w:fill="auto"/>
            <w:vAlign w:val="center"/>
            <w:hideMark/>
          </w:tcPr>
          <w:p w14:paraId="6D33C6A7" w14:textId="77777777" w:rsidR="001961D6" w:rsidRPr="004069B7" w:rsidRDefault="001961D6">
            <w:pPr>
              <w:jc w:val="center"/>
              <w:rPr>
                <w:bCs/>
                <w:color w:val="000000"/>
                <w:lang w:val="lv-LV"/>
              </w:rPr>
            </w:pPr>
            <w:r w:rsidRPr="004069B7">
              <w:rPr>
                <w:bCs/>
                <w:color w:val="000000"/>
                <w:lang w:val="lv-LV"/>
              </w:rPr>
              <w:t>KOPĀ</w:t>
            </w:r>
          </w:p>
        </w:tc>
      </w:tr>
      <w:tr w:rsidR="001961D6" w:rsidRPr="004069B7" w14:paraId="07A38CB0" w14:textId="77777777" w:rsidTr="00BA2E53">
        <w:trPr>
          <w:gridAfter w:val="1"/>
          <w:wAfter w:w="8" w:type="dxa"/>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DDF1EF3" w14:textId="1124C64C" w:rsidR="001961D6" w:rsidRPr="004069B7" w:rsidRDefault="00A97DC0">
            <w:pPr>
              <w:jc w:val="both"/>
              <w:rPr>
                <w:bCs/>
                <w:color w:val="000000"/>
                <w:lang w:val="lv-LV"/>
              </w:rPr>
            </w:pPr>
            <w:r>
              <w:rPr>
                <w:bCs/>
                <w:color w:val="000000"/>
                <w:lang w:val="lv-LV"/>
              </w:rPr>
              <w:t xml:space="preserve">Ar </w:t>
            </w:r>
            <w:r w:rsidR="001961D6" w:rsidRPr="004069B7">
              <w:rPr>
                <w:bCs/>
                <w:color w:val="000000"/>
                <w:lang w:val="lv-LV"/>
              </w:rPr>
              <w:t>ĀCM slimās mežacūkas</w:t>
            </w:r>
          </w:p>
        </w:tc>
        <w:tc>
          <w:tcPr>
            <w:tcW w:w="1317" w:type="dxa"/>
            <w:tcBorders>
              <w:top w:val="nil"/>
              <w:left w:val="nil"/>
              <w:bottom w:val="single" w:sz="4" w:space="0" w:color="auto"/>
              <w:right w:val="single" w:sz="4" w:space="0" w:color="auto"/>
            </w:tcBorders>
            <w:shd w:val="clear" w:color="auto" w:fill="auto"/>
            <w:vAlign w:val="center"/>
            <w:hideMark/>
          </w:tcPr>
          <w:p w14:paraId="03B31D62" w14:textId="77777777" w:rsidR="001961D6" w:rsidRPr="004069B7" w:rsidRDefault="001961D6">
            <w:pPr>
              <w:jc w:val="center"/>
              <w:rPr>
                <w:color w:val="000000"/>
                <w:lang w:val="lv-LV"/>
              </w:rPr>
            </w:pPr>
            <w:r w:rsidRPr="004069B7">
              <w:rPr>
                <w:color w:val="000000"/>
                <w:lang w:val="lv-LV"/>
              </w:rPr>
              <w:t>217</w:t>
            </w:r>
          </w:p>
        </w:tc>
        <w:tc>
          <w:tcPr>
            <w:tcW w:w="1276" w:type="dxa"/>
            <w:tcBorders>
              <w:top w:val="nil"/>
              <w:left w:val="nil"/>
              <w:bottom w:val="single" w:sz="4" w:space="0" w:color="auto"/>
              <w:right w:val="single" w:sz="4" w:space="0" w:color="auto"/>
            </w:tcBorders>
            <w:shd w:val="clear" w:color="auto" w:fill="auto"/>
            <w:vAlign w:val="center"/>
            <w:hideMark/>
          </w:tcPr>
          <w:p w14:paraId="097AE88F" w14:textId="77777777" w:rsidR="001961D6" w:rsidRPr="004069B7" w:rsidRDefault="001961D6">
            <w:pPr>
              <w:jc w:val="center"/>
              <w:rPr>
                <w:color w:val="000000"/>
                <w:lang w:val="lv-LV"/>
              </w:rPr>
            </w:pPr>
            <w:r w:rsidRPr="004069B7">
              <w:rPr>
                <w:color w:val="000000"/>
                <w:lang w:val="lv-LV"/>
              </w:rPr>
              <w:t>1048</w:t>
            </w:r>
          </w:p>
        </w:tc>
        <w:tc>
          <w:tcPr>
            <w:tcW w:w="1276" w:type="dxa"/>
            <w:tcBorders>
              <w:top w:val="nil"/>
              <w:left w:val="nil"/>
              <w:bottom w:val="single" w:sz="4" w:space="0" w:color="auto"/>
              <w:right w:val="single" w:sz="4" w:space="0" w:color="auto"/>
            </w:tcBorders>
            <w:shd w:val="clear" w:color="auto" w:fill="auto"/>
            <w:vAlign w:val="center"/>
            <w:hideMark/>
          </w:tcPr>
          <w:p w14:paraId="4B387304" w14:textId="77777777" w:rsidR="001961D6" w:rsidRPr="004069B7" w:rsidRDefault="001961D6">
            <w:pPr>
              <w:jc w:val="center"/>
              <w:rPr>
                <w:color w:val="000000"/>
                <w:lang w:val="lv-LV"/>
              </w:rPr>
            </w:pPr>
            <w:r w:rsidRPr="004069B7">
              <w:rPr>
                <w:color w:val="000000"/>
                <w:lang w:val="lv-LV"/>
              </w:rPr>
              <w:t>1146</w:t>
            </w:r>
          </w:p>
        </w:tc>
        <w:tc>
          <w:tcPr>
            <w:tcW w:w="1559" w:type="dxa"/>
            <w:tcBorders>
              <w:top w:val="nil"/>
              <w:left w:val="nil"/>
              <w:bottom w:val="single" w:sz="4" w:space="0" w:color="auto"/>
              <w:right w:val="single" w:sz="4" w:space="0" w:color="auto"/>
            </w:tcBorders>
            <w:shd w:val="clear" w:color="auto" w:fill="auto"/>
            <w:noWrap/>
            <w:vAlign w:val="center"/>
            <w:hideMark/>
          </w:tcPr>
          <w:p w14:paraId="4FA13BB7" w14:textId="48508872" w:rsidR="001961D6" w:rsidRPr="004069B7" w:rsidRDefault="00A87E89" w:rsidP="00BA2E53">
            <w:pPr>
              <w:jc w:val="center"/>
              <w:rPr>
                <w:color w:val="000000"/>
                <w:lang w:val="lv-LV"/>
              </w:rPr>
            </w:pPr>
            <w:r w:rsidRPr="004069B7">
              <w:rPr>
                <w:color w:val="000000"/>
                <w:lang w:val="lv-LV"/>
              </w:rPr>
              <w:t>397</w:t>
            </w:r>
          </w:p>
        </w:tc>
        <w:tc>
          <w:tcPr>
            <w:tcW w:w="992" w:type="dxa"/>
            <w:tcBorders>
              <w:top w:val="nil"/>
              <w:left w:val="nil"/>
              <w:bottom w:val="single" w:sz="4" w:space="0" w:color="auto"/>
              <w:right w:val="single" w:sz="4" w:space="0" w:color="auto"/>
            </w:tcBorders>
            <w:shd w:val="clear" w:color="auto" w:fill="auto"/>
            <w:vAlign w:val="center"/>
            <w:hideMark/>
          </w:tcPr>
          <w:p w14:paraId="777CBE75" w14:textId="61E38369" w:rsidR="001961D6" w:rsidRPr="004069B7" w:rsidRDefault="00A87E89">
            <w:pPr>
              <w:jc w:val="center"/>
              <w:rPr>
                <w:color w:val="000000"/>
                <w:lang w:val="lv-LV"/>
              </w:rPr>
            </w:pPr>
            <w:r w:rsidRPr="004069B7">
              <w:rPr>
                <w:color w:val="000000"/>
                <w:lang w:val="lv-LV"/>
              </w:rPr>
              <w:t>2808</w:t>
            </w:r>
          </w:p>
        </w:tc>
      </w:tr>
      <w:tr w:rsidR="001961D6" w:rsidRPr="004069B7" w14:paraId="6389D088" w14:textId="77777777" w:rsidTr="00F85DB8">
        <w:trPr>
          <w:gridAfter w:val="1"/>
          <w:wAfter w:w="8"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EAEB" w14:textId="77777777" w:rsidR="001961D6" w:rsidRPr="004069B7" w:rsidRDefault="001961D6">
            <w:pPr>
              <w:jc w:val="both"/>
              <w:rPr>
                <w:bCs/>
                <w:color w:val="000000"/>
                <w:lang w:val="lv-LV"/>
              </w:rPr>
            </w:pPr>
            <w:r w:rsidRPr="004069B7">
              <w:rPr>
                <w:bCs/>
                <w:color w:val="000000"/>
                <w:lang w:val="lv-LV"/>
              </w:rPr>
              <w:t>ĀCM skartās pilsētas</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0EF0" w14:textId="77777777" w:rsidR="001961D6" w:rsidRPr="004069B7" w:rsidRDefault="001961D6">
            <w:pPr>
              <w:jc w:val="center"/>
              <w:rPr>
                <w:color w:val="000000"/>
                <w:lang w:val="lv-LV"/>
              </w:rPr>
            </w:pPr>
            <w:r w:rsidRPr="004069B7">
              <w:rPr>
                <w:color w:val="000000"/>
                <w:lang w:val="lv-LV"/>
              </w:rPr>
              <w:t> </w:t>
            </w:r>
            <w:r w:rsidR="00FF015C" w:rsidRPr="004069B7">
              <w:rPr>
                <w:color w:val="000000"/>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EF7AA" w14:textId="77777777" w:rsidR="001961D6" w:rsidRPr="004069B7" w:rsidRDefault="001961D6">
            <w:pPr>
              <w:jc w:val="center"/>
              <w:rPr>
                <w:color w:val="000000"/>
                <w:lang w:val="lv-LV"/>
              </w:rPr>
            </w:pPr>
            <w:r w:rsidRPr="004069B7">
              <w:rPr>
                <w:color w:val="000000"/>
                <w:lang w:val="lv-LV"/>
              </w:rPr>
              <w:t> </w:t>
            </w:r>
            <w:r w:rsidR="00FF015C" w:rsidRPr="004069B7">
              <w:rPr>
                <w:color w:val="000000"/>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FEC95" w14:textId="77777777" w:rsidR="001961D6" w:rsidRPr="004069B7" w:rsidRDefault="001961D6">
            <w:pPr>
              <w:jc w:val="center"/>
              <w:rPr>
                <w:color w:val="000000"/>
                <w:lang w:val="lv-LV"/>
              </w:rPr>
            </w:pPr>
            <w:r w:rsidRPr="004069B7">
              <w:rPr>
                <w:color w:val="000000"/>
                <w:lang w:val="lv-LV"/>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CFF7" w14:textId="77777777" w:rsidR="001961D6" w:rsidRPr="004069B7" w:rsidRDefault="001961D6">
            <w:pPr>
              <w:jc w:val="center"/>
              <w:rPr>
                <w:color w:val="000000"/>
                <w:lang w:val="lv-LV"/>
              </w:rPr>
            </w:pPr>
            <w:r w:rsidRPr="004069B7">
              <w:rPr>
                <w:color w:val="000000"/>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E2DA5" w14:textId="390A99DE" w:rsidR="001961D6" w:rsidRPr="004069B7" w:rsidRDefault="00F85DB8">
            <w:pPr>
              <w:jc w:val="center"/>
              <w:rPr>
                <w:color w:val="000000"/>
                <w:lang w:val="lv-LV"/>
              </w:rPr>
            </w:pPr>
            <w:r w:rsidRPr="004069B7">
              <w:rPr>
                <w:color w:val="000000"/>
                <w:lang w:val="lv-LV"/>
              </w:rPr>
              <w:t>–</w:t>
            </w:r>
            <w:r w:rsidR="001961D6" w:rsidRPr="004069B7">
              <w:rPr>
                <w:color w:val="000000"/>
                <w:lang w:val="lv-LV"/>
              </w:rPr>
              <w:t> </w:t>
            </w:r>
          </w:p>
        </w:tc>
      </w:tr>
      <w:tr w:rsidR="001961D6" w:rsidRPr="004069B7" w14:paraId="7988FA00" w14:textId="77777777" w:rsidTr="00F85DB8">
        <w:trPr>
          <w:gridAfter w:val="1"/>
          <w:wAfter w:w="8"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1D716" w14:textId="77777777" w:rsidR="001961D6" w:rsidRPr="004069B7" w:rsidRDefault="001961D6">
            <w:pPr>
              <w:jc w:val="both"/>
              <w:rPr>
                <w:bCs/>
                <w:color w:val="000000"/>
                <w:lang w:val="lv-LV"/>
              </w:rPr>
            </w:pPr>
            <w:r w:rsidRPr="004069B7">
              <w:rPr>
                <w:bCs/>
                <w:color w:val="000000"/>
                <w:lang w:val="lv-LV"/>
              </w:rPr>
              <w:t>ĀCM skartie novadi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2D1F" w14:textId="77777777" w:rsidR="001961D6" w:rsidRPr="004069B7" w:rsidRDefault="001961D6">
            <w:pPr>
              <w:jc w:val="center"/>
              <w:rPr>
                <w:color w:val="000000"/>
                <w:lang w:val="lv-LV"/>
              </w:rPr>
            </w:pPr>
            <w:r w:rsidRPr="004069B7">
              <w:rPr>
                <w:color w:val="000000"/>
                <w:lang w:val="lv-LV"/>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FF10" w14:textId="77777777" w:rsidR="001961D6" w:rsidRPr="004069B7" w:rsidRDefault="001961D6">
            <w:pPr>
              <w:jc w:val="center"/>
              <w:rPr>
                <w:color w:val="000000"/>
                <w:lang w:val="lv-LV"/>
              </w:rPr>
            </w:pPr>
            <w:r w:rsidRPr="004069B7">
              <w:rPr>
                <w:color w:val="000000"/>
                <w:lang w:val="lv-LV"/>
              </w:rPr>
              <w:t>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EBF1" w14:textId="77777777" w:rsidR="001961D6" w:rsidRPr="004069B7" w:rsidRDefault="001961D6">
            <w:pPr>
              <w:jc w:val="center"/>
              <w:rPr>
                <w:color w:val="000000"/>
                <w:lang w:val="lv-LV"/>
              </w:rPr>
            </w:pPr>
            <w:r w:rsidRPr="004069B7">
              <w:rPr>
                <w:color w:val="000000"/>
                <w:lang w:val="lv-LV"/>
              </w:rPr>
              <w:t>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624D" w14:textId="77777777" w:rsidR="001961D6" w:rsidRPr="004069B7" w:rsidRDefault="001961D6">
            <w:pPr>
              <w:jc w:val="center"/>
              <w:rPr>
                <w:color w:val="000000"/>
                <w:lang w:val="lv-LV"/>
              </w:rPr>
            </w:pPr>
            <w:r w:rsidRPr="004069B7">
              <w:rPr>
                <w:color w:val="000000"/>
                <w:lang w:val="lv-LV"/>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1771" w14:textId="5EDF3DAC" w:rsidR="001961D6" w:rsidRPr="004069B7" w:rsidRDefault="00F85DB8">
            <w:pPr>
              <w:jc w:val="center"/>
              <w:rPr>
                <w:color w:val="000000"/>
                <w:lang w:val="lv-LV"/>
              </w:rPr>
            </w:pPr>
            <w:r w:rsidRPr="004069B7">
              <w:rPr>
                <w:color w:val="000000"/>
                <w:lang w:val="lv-LV"/>
              </w:rPr>
              <w:t>–</w:t>
            </w:r>
          </w:p>
        </w:tc>
      </w:tr>
      <w:tr w:rsidR="001961D6" w:rsidRPr="004069B7" w14:paraId="704E304B" w14:textId="77777777" w:rsidTr="00F85DB8">
        <w:trPr>
          <w:gridAfter w:val="1"/>
          <w:wAfter w:w="8"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DBCC" w14:textId="77777777" w:rsidR="001961D6" w:rsidRPr="004069B7" w:rsidRDefault="001961D6">
            <w:pPr>
              <w:jc w:val="both"/>
              <w:rPr>
                <w:bCs/>
                <w:color w:val="000000"/>
                <w:lang w:val="lv-LV"/>
              </w:rPr>
            </w:pPr>
            <w:r w:rsidRPr="004069B7">
              <w:rPr>
                <w:bCs/>
                <w:color w:val="000000"/>
                <w:lang w:val="lv-LV"/>
              </w:rPr>
              <w:t>ĀCM skartie pagasti</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715BD615" w14:textId="77777777" w:rsidR="001961D6" w:rsidRPr="004069B7" w:rsidRDefault="001961D6">
            <w:pPr>
              <w:jc w:val="center"/>
              <w:rPr>
                <w:color w:val="000000"/>
                <w:lang w:val="lv-LV"/>
              </w:rPr>
            </w:pPr>
            <w:r w:rsidRPr="004069B7">
              <w:rPr>
                <w:color w:val="000000"/>
                <w:lang w:val="lv-LV"/>
              </w:rPr>
              <w:t>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30CD93" w14:textId="77777777" w:rsidR="001961D6" w:rsidRPr="004069B7" w:rsidRDefault="001961D6">
            <w:pPr>
              <w:jc w:val="center"/>
              <w:rPr>
                <w:color w:val="000000"/>
                <w:lang w:val="lv-LV"/>
              </w:rPr>
            </w:pPr>
            <w:r w:rsidRPr="004069B7">
              <w:rPr>
                <w:color w:val="000000"/>
                <w:lang w:val="lv-LV"/>
              </w:rPr>
              <w:t>184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4B7A9C" w14:textId="77777777" w:rsidR="001961D6" w:rsidRPr="004069B7" w:rsidRDefault="001961D6">
            <w:pPr>
              <w:jc w:val="center"/>
              <w:rPr>
                <w:color w:val="000000"/>
                <w:lang w:val="lv-LV"/>
              </w:rPr>
            </w:pPr>
            <w:r w:rsidRPr="004069B7">
              <w:rPr>
                <w:color w:val="000000"/>
                <w:lang w:val="lv-LV"/>
              </w:rPr>
              <w:t>245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B9667" w14:textId="066F1A3C" w:rsidR="001961D6" w:rsidRPr="004069B7" w:rsidRDefault="00A87E89">
            <w:pPr>
              <w:jc w:val="center"/>
              <w:rPr>
                <w:color w:val="000000"/>
                <w:lang w:val="lv-LV"/>
              </w:rPr>
            </w:pPr>
            <w:r w:rsidRPr="004069B7">
              <w:rPr>
                <w:color w:val="000000"/>
                <w:lang w:val="lv-LV"/>
              </w:rPr>
              <w:t>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5BE30" w14:textId="0FFD11D3" w:rsidR="001961D6" w:rsidRPr="004069B7" w:rsidRDefault="00F85DB8">
            <w:pPr>
              <w:jc w:val="center"/>
              <w:rPr>
                <w:color w:val="000000"/>
                <w:lang w:val="lv-LV"/>
              </w:rPr>
            </w:pPr>
            <w:r w:rsidRPr="004069B7">
              <w:rPr>
                <w:color w:val="000000"/>
                <w:lang w:val="lv-LV"/>
              </w:rPr>
              <w:t>–</w:t>
            </w:r>
          </w:p>
        </w:tc>
      </w:tr>
      <w:tr w:rsidR="001961D6" w:rsidRPr="004069B7" w14:paraId="42BCA74D" w14:textId="77777777" w:rsidTr="00F85DB8">
        <w:trPr>
          <w:trHeight w:val="315"/>
        </w:trPr>
        <w:tc>
          <w:tcPr>
            <w:tcW w:w="8975" w:type="dxa"/>
            <w:gridSpan w:val="7"/>
            <w:tcBorders>
              <w:top w:val="nil"/>
              <w:left w:val="nil"/>
              <w:bottom w:val="nil"/>
              <w:right w:val="nil"/>
            </w:tcBorders>
            <w:shd w:val="clear" w:color="auto" w:fill="auto"/>
            <w:vAlign w:val="center"/>
            <w:hideMark/>
          </w:tcPr>
          <w:p w14:paraId="029FAD01" w14:textId="7FB3B6C8" w:rsidR="001961D6" w:rsidRPr="004069B7" w:rsidRDefault="00A87E89" w:rsidP="00834789">
            <w:pPr>
              <w:rPr>
                <w:color w:val="000000"/>
                <w:sz w:val="22"/>
                <w:lang w:val="lv-LV"/>
              </w:rPr>
            </w:pPr>
            <w:r w:rsidRPr="004069B7">
              <w:rPr>
                <w:color w:val="000000"/>
                <w:sz w:val="22"/>
                <w:lang w:val="lv-LV"/>
              </w:rPr>
              <w:t xml:space="preserve">* </w:t>
            </w:r>
            <w:r w:rsidR="00A97DC0">
              <w:rPr>
                <w:color w:val="000000"/>
                <w:sz w:val="22"/>
                <w:lang w:val="lv-LV"/>
              </w:rPr>
              <w:t>P</w:t>
            </w:r>
            <w:r w:rsidRPr="004069B7">
              <w:rPr>
                <w:color w:val="000000"/>
                <w:sz w:val="22"/>
                <w:lang w:val="lv-LV"/>
              </w:rPr>
              <w:t>ar periodu līdz 13</w:t>
            </w:r>
            <w:r w:rsidR="001961D6" w:rsidRPr="004069B7">
              <w:rPr>
                <w:color w:val="000000"/>
                <w:sz w:val="22"/>
                <w:lang w:val="lv-LV"/>
              </w:rPr>
              <w:t>.0</w:t>
            </w:r>
            <w:r w:rsidR="00834789" w:rsidRPr="004069B7">
              <w:rPr>
                <w:color w:val="000000"/>
                <w:sz w:val="22"/>
                <w:lang w:val="lv-LV"/>
              </w:rPr>
              <w:t>4</w:t>
            </w:r>
            <w:r w:rsidR="001961D6" w:rsidRPr="004069B7">
              <w:rPr>
                <w:color w:val="000000"/>
                <w:sz w:val="22"/>
                <w:lang w:val="lv-LV"/>
              </w:rPr>
              <w:t>.2017.</w:t>
            </w:r>
          </w:p>
        </w:tc>
      </w:tr>
    </w:tbl>
    <w:p w14:paraId="5A6B07B2" w14:textId="77777777" w:rsidR="00081ED6" w:rsidRPr="004069B7" w:rsidRDefault="00081ED6" w:rsidP="00EF4879">
      <w:pPr>
        <w:pStyle w:val="naisf"/>
        <w:spacing w:before="0" w:beforeAutospacing="0" w:after="0" w:afterAutospacing="0"/>
        <w:rPr>
          <w:lang w:val="lv-LV"/>
        </w:rPr>
      </w:pPr>
    </w:p>
    <w:p w14:paraId="57131686" w14:textId="284591CB" w:rsidR="00640BA6" w:rsidRPr="004069B7" w:rsidRDefault="00640BA6" w:rsidP="00640BA6">
      <w:pPr>
        <w:pStyle w:val="naisf"/>
        <w:spacing w:before="0" w:beforeAutospacing="0" w:after="0" w:afterAutospacing="0"/>
        <w:ind w:firstLine="720"/>
        <w:rPr>
          <w:lang w:val="lv-LV"/>
        </w:rPr>
      </w:pPr>
      <w:r w:rsidRPr="004069B7">
        <w:rPr>
          <w:lang w:val="lv-LV"/>
        </w:rPr>
        <w:t xml:space="preserve">Eiropas Komisijas 2014. gada 9. oktobra Īstenošanas lēmums 2014/709/ES par dzīvnieku veselības kontroles pasākumiem saistībā ar Āfrikas cūku mēri dažās dalībvalstīs un ar ko atceļ īstenošanas lēmumu 2014/178/ES (turpmāk – lēmums 2014/709/ES) nosaka riska zonu teritorijas Latvijā, kā arī reglamentē slimības uzraudzības pasākumus, dzīvnieku kustības, dzīvnieku izcelsmes produktu un dzīvnieku produktu pārvietošanas nosacījumus riska zonu teritorijās. Lēmuma 2014/709/ES prasības ir ietvertas Ministru kabineta </w:t>
      </w:r>
      <w:r w:rsidRPr="004069B7">
        <w:rPr>
          <w:bCs/>
          <w:lang w:val="lv-LV"/>
        </w:rPr>
        <w:t>2004.</w:t>
      </w:r>
      <w:r w:rsidR="00A97DC0">
        <w:rPr>
          <w:bCs/>
          <w:lang w:val="lv-LV"/>
        </w:rPr>
        <w:t> </w:t>
      </w:r>
      <w:r w:rsidRPr="004069B7">
        <w:rPr>
          <w:bCs/>
          <w:lang w:val="lv-LV"/>
        </w:rPr>
        <w:t>gada 17.</w:t>
      </w:r>
      <w:r w:rsidR="00A97DC0">
        <w:rPr>
          <w:bCs/>
          <w:lang w:val="lv-LV"/>
        </w:rPr>
        <w:t> </w:t>
      </w:r>
      <w:r w:rsidRPr="004069B7">
        <w:rPr>
          <w:bCs/>
          <w:lang w:val="lv-LV"/>
        </w:rPr>
        <w:t>februāra noteikumos Nr. 83 „Āfrikas cūku mēra likvidēšanas un draudu novēršanas kārtība”</w:t>
      </w:r>
      <w:r w:rsidR="00F150C8" w:rsidRPr="004069B7">
        <w:rPr>
          <w:lang w:val="lv-LV"/>
        </w:rPr>
        <w:t>.</w:t>
      </w:r>
    </w:p>
    <w:p w14:paraId="75C6F88A" w14:textId="77777777" w:rsidR="00BE499E" w:rsidRDefault="00BE499E" w:rsidP="00640BA6">
      <w:pPr>
        <w:pStyle w:val="naisf"/>
        <w:spacing w:before="0" w:beforeAutospacing="0" w:after="0" w:afterAutospacing="0"/>
        <w:ind w:firstLine="720"/>
        <w:rPr>
          <w:lang w:val="lv-LV"/>
        </w:rPr>
      </w:pPr>
    </w:p>
    <w:p w14:paraId="1253EAE0" w14:textId="5A8D3213" w:rsidR="00B51D13" w:rsidRPr="004069B7" w:rsidRDefault="00B51D13" w:rsidP="00640BA6">
      <w:pPr>
        <w:pStyle w:val="naisf"/>
        <w:spacing w:before="0" w:beforeAutospacing="0" w:after="0" w:afterAutospacing="0"/>
        <w:ind w:firstLine="720"/>
        <w:rPr>
          <w:lang w:val="lv-LV"/>
        </w:rPr>
      </w:pPr>
      <w:r w:rsidRPr="004069B7">
        <w:rPr>
          <w:lang w:val="lv-LV"/>
        </w:rPr>
        <w:t xml:space="preserve">Par aktuālajiem pasākumiem ĀCM apkarošanā un izplatības ierobežošanā un nepieciešamo finansējumu Ministru kabinets tika informēts 2016. gada </w:t>
      </w:r>
      <w:r w:rsidR="004936D6" w:rsidRPr="004069B7">
        <w:rPr>
          <w:lang w:val="lv-LV"/>
        </w:rPr>
        <w:t>23. augusta sēdē ar i</w:t>
      </w:r>
      <w:r w:rsidR="004936D6" w:rsidRPr="004069B7">
        <w:rPr>
          <w:rFonts w:eastAsia="Times New Roman"/>
          <w:lang w:val="lv-LV" w:eastAsia="lv-LV"/>
        </w:rPr>
        <w:t>nformatīvo ziņojumu „Par Āfrikas cūku mēra uzraudzības un apkarošanas programmas īstenošanu un Pārtikas un veterinārā dienesta kapacitāti Āfrikas cūku mēra uzraudzības un izplatības ierobežošanas nodrošināšanai”.</w:t>
      </w:r>
    </w:p>
    <w:p w14:paraId="38663ED6" w14:textId="77777777" w:rsidR="00B51D13" w:rsidRPr="004069B7" w:rsidRDefault="00B51D13" w:rsidP="00EF4879">
      <w:pPr>
        <w:pStyle w:val="naisf"/>
        <w:spacing w:before="0" w:beforeAutospacing="0" w:after="0" w:afterAutospacing="0"/>
        <w:rPr>
          <w:lang w:val="lv-LV"/>
        </w:rPr>
      </w:pPr>
    </w:p>
    <w:p w14:paraId="458558B4" w14:textId="1166A187" w:rsidR="0004085B" w:rsidRPr="004069B7" w:rsidRDefault="0004085B" w:rsidP="00FA0A26">
      <w:pPr>
        <w:pStyle w:val="NormalWeb"/>
        <w:spacing w:before="0" w:beforeAutospacing="0" w:after="0" w:afterAutospacing="0"/>
        <w:jc w:val="both"/>
        <w:rPr>
          <w:b/>
        </w:rPr>
      </w:pPr>
      <w:r w:rsidRPr="004069B7">
        <w:rPr>
          <w:b/>
        </w:rPr>
        <w:t>Augsti patogēnā putnu gripas ierosinātāja raksturojums, klīniskās pazīmes, slimības ierosinātāja izturība</w:t>
      </w:r>
      <w:r w:rsidR="00A97DC0">
        <w:rPr>
          <w:b/>
        </w:rPr>
        <w:t xml:space="preserve"> un</w:t>
      </w:r>
      <w:r w:rsidRPr="004069B7">
        <w:rPr>
          <w:b/>
        </w:rPr>
        <w:t xml:space="preserve"> izplatība ES dalībvalstīs</w:t>
      </w:r>
    </w:p>
    <w:p w14:paraId="27A8DDBD" w14:textId="77777777" w:rsidR="0004085B" w:rsidRPr="004069B7" w:rsidRDefault="0004085B" w:rsidP="0004085B">
      <w:pPr>
        <w:pStyle w:val="NormalWeb"/>
        <w:spacing w:before="0" w:beforeAutospacing="0" w:after="0" w:afterAutospacing="0"/>
        <w:jc w:val="center"/>
        <w:rPr>
          <w:b/>
        </w:rPr>
      </w:pPr>
    </w:p>
    <w:p w14:paraId="144F682A" w14:textId="195C0408" w:rsidR="0004085B" w:rsidRPr="004069B7" w:rsidRDefault="0004085B" w:rsidP="0004085B">
      <w:pPr>
        <w:pStyle w:val="NormalWeb"/>
        <w:spacing w:before="0" w:beforeAutospacing="0" w:after="0" w:afterAutospacing="0"/>
        <w:jc w:val="both"/>
      </w:pPr>
      <w:r w:rsidRPr="004069B7">
        <w:tab/>
        <w:t>Augsti patogēnā putnu gripa (turpmāk – putnu gripa) ir akūta, ļoti lipīga putnu infekcijas slimība, kas rada bojājumus dažādās orgānu sistēmās</w:t>
      </w:r>
      <w:r w:rsidR="00A97DC0">
        <w:t>,</w:t>
      </w:r>
      <w:r w:rsidRPr="004069B7">
        <w:t xml:space="preserve"> un tās klīniskā izpausme </w:t>
      </w:r>
      <w:r w:rsidR="00A97DC0">
        <w:t xml:space="preserve">ir </w:t>
      </w:r>
      <w:r w:rsidRPr="004069B7">
        <w:t>atkarīga no ierosinātāja patogenitātes. Parasti</w:t>
      </w:r>
      <w:r w:rsidR="00A97DC0">
        <w:t>,</w:t>
      </w:r>
      <w:r w:rsidRPr="004069B7">
        <w:t xml:space="preserve"> augsti patogēnā putnu gripas ierosinātāja</w:t>
      </w:r>
      <w:r w:rsidR="00A97DC0">
        <w:t>m</w:t>
      </w:r>
      <w:r w:rsidRPr="004069B7">
        <w:t xml:space="preserve"> nonāk</w:t>
      </w:r>
      <w:r w:rsidR="00A97DC0">
        <w:t>ot</w:t>
      </w:r>
      <w:r w:rsidRPr="004069B7">
        <w:t xml:space="preserve"> ganāmpulkā</w:t>
      </w:r>
      <w:r w:rsidR="00A97DC0">
        <w:t>, ir</w:t>
      </w:r>
      <w:r w:rsidRPr="004069B7">
        <w:t xml:space="preserve"> novēro</w:t>
      </w:r>
      <w:r w:rsidR="00A97DC0">
        <w:t>jama</w:t>
      </w:r>
      <w:r w:rsidRPr="004069B7">
        <w:t xml:space="preserve"> putnu </w:t>
      </w:r>
      <w:r w:rsidR="00A97DC0" w:rsidRPr="004069B7">
        <w:t xml:space="preserve">masveida </w:t>
      </w:r>
      <w:r w:rsidRPr="004069B7">
        <w:t>nobeigšan</w:t>
      </w:r>
      <w:r w:rsidR="00A97DC0">
        <w:t>ā</w:t>
      </w:r>
      <w:r w:rsidRPr="004069B7">
        <w:t>s</w:t>
      </w:r>
      <w:r w:rsidR="00A97DC0">
        <w:t>, tā ka b</w:t>
      </w:r>
      <w:r w:rsidR="00D36660">
        <w:t>o</w:t>
      </w:r>
      <w:r w:rsidR="00A97DC0">
        <w:t>jā var iet pat viss</w:t>
      </w:r>
      <w:r w:rsidRPr="004069B7">
        <w:t xml:space="preserve"> ganāmpulk</w:t>
      </w:r>
      <w:r w:rsidR="00A97DC0">
        <w:t>s</w:t>
      </w:r>
      <w:r w:rsidRPr="004069B7">
        <w:t>.</w:t>
      </w:r>
      <w:r w:rsidR="005D2A50" w:rsidRPr="004069B7">
        <w:t xml:space="preserve"> </w:t>
      </w:r>
      <w:r w:rsidRPr="004069B7">
        <w:t>Ar putnu gripu slimo visi putni, bet vis</w:t>
      </w:r>
      <w:r w:rsidR="00A97DC0">
        <w:t>vairāk</w:t>
      </w:r>
      <w:r w:rsidR="00210110" w:rsidRPr="004069B7">
        <w:t xml:space="preserve"> </w:t>
      </w:r>
      <w:r w:rsidR="00A97DC0">
        <w:t>tādi</w:t>
      </w:r>
      <w:r w:rsidRPr="004069B7">
        <w:t xml:space="preserve"> ūdensputni</w:t>
      </w:r>
      <w:r w:rsidR="00A97DC0">
        <w:t xml:space="preserve"> kā</w:t>
      </w:r>
      <w:r w:rsidRPr="004069B7">
        <w:t xml:space="preserve"> pīles, zosis, </w:t>
      </w:r>
      <w:r w:rsidR="00A97DC0">
        <w:t>pēc tiem nākamie vairāk uzņēmīgie ir</w:t>
      </w:r>
      <w:r w:rsidRPr="004069B7">
        <w:t xml:space="preserve"> tītari, vistas, paipalas, pāvi, fazāni un strausi, retāk citas putnu sugas.</w:t>
      </w:r>
    </w:p>
    <w:p w14:paraId="455BD831" w14:textId="1D296F63" w:rsidR="0004085B" w:rsidRPr="004069B7" w:rsidRDefault="008B3F5A" w:rsidP="0004085B">
      <w:pPr>
        <w:pStyle w:val="NormalWeb"/>
        <w:spacing w:before="0" w:beforeAutospacing="0" w:after="0" w:afterAutospacing="0"/>
        <w:jc w:val="both"/>
      </w:pPr>
      <w:r w:rsidRPr="004069B7">
        <w:lastRenderedPageBreak/>
        <w:t> </w:t>
      </w:r>
      <w:r w:rsidRPr="004069B7">
        <w:tab/>
        <w:t xml:space="preserve">Slimības ierosinātājs ir </w:t>
      </w:r>
      <w:r w:rsidR="0004085B" w:rsidRPr="004069B7">
        <w:rPr>
          <w:rStyle w:val="Emphasis"/>
        </w:rPr>
        <w:t>Orthomyxviridae</w:t>
      </w:r>
      <w:r w:rsidRPr="004069B7">
        <w:t xml:space="preserve"> ģints </w:t>
      </w:r>
      <w:r w:rsidR="0004085B" w:rsidRPr="004069B7">
        <w:rPr>
          <w:rStyle w:val="Emphasis"/>
        </w:rPr>
        <w:t>Influenza A</w:t>
      </w:r>
      <w:r w:rsidRPr="004069B7">
        <w:t xml:space="preserve"> </w:t>
      </w:r>
      <w:r w:rsidR="0004085B" w:rsidRPr="004069B7">
        <w:t>vīruss. Vispatogēnākie putnu gripas vīrusa apakštipi pieder H5 un H7 variantiem. Pa</w:t>
      </w:r>
      <w:r w:rsidR="00A97DC0">
        <w:t>tlaban</w:t>
      </w:r>
      <w:r w:rsidR="0004085B" w:rsidRPr="004069B7">
        <w:t xml:space="preserve"> Eiropas Savienības dalībvalstīs izplatās H5 apakštips. </w:t>
      </w:r>
    </w:p>
    <w:p w14:paraId="2826DFD1" w14:textId="433225F7" w:rsidR="002256A6" w:rsidRPr="004069B7" w:rsidRDefault="0004085B" w:rsidP="0004085B">
      <w:pPr>
        <w:pStyle w:val="NormalWeb"/>
        <w:spacing w:before="0" w:beforeAutospacing="0" w:after="0" w:afterAutospacing="0"/>
        <w:jc w:val="both"/>
      </w:pPr>
      <w:r w:rsidRPr="004069B7">
        <w:tab/>
        <w:t>Vidē vīruss atkarībā no temperatūras var saglabāties ilgstoši, sevišķi, ja vides temperatūra ir zema. Piemēram</w:t>
      </w:r>
      <w:r w:rsidR="00A97DC0">
        <w:t>,</w:t>
      </w:r>
      <w:r w:rsidRPr="004069B7">
        <w:t xml:space="preserve"> + 4</w:t>
      </w:r>
      <w:r w:rsidR="00A97DC0">
        <w:sym w:font="Symbol" w:char="F0B0"/>
      </w:r>
      <w:r w:rsidR="00A97DC0">
        <w:t> </w:t>
      </w:r>
      <w:r w:rsidRPr="004069B7">
        <w:t>C temperatūrā putnu mēslos vīruss savu dzīvotspēju saglabā 35 dienas, bet +</w:t>
      </w:r>
      <w:r w:rsidR="00A97DC0">
        <w:t> </w:t>
      </w:r>
      <w:r w:rsidRPr="004069B7">
        <w:t>37</w:t>
      </w:r>
      <w:r w:rsidR="00A97DC0">
        <w:sym w:font="Symbol" w:char="F0B0"/>
      </w:r>
      <w:r w:rsidR="00A97DC0">
        <w:t> </w:t>
      </w:r>
      <w:r w:rsidRPr="004069B7">
        <w:t xml:space="preserve">C temperatūrā </w:t>
      </w:r>
      <w:r w:rsidR="00A97DC0">
        <w:t xml:space="preserve">– </w:t>
      </w:r>
      <w:r w:rsidRPr="004069B7">
        <w:t>līdz 6</w:t>
      </w:r>
      <w:r w:rsidR="00A97DC0">
        <w:t> </w:t>
      </w:r>
      <w:r w:rsidRPr="004069B7">
        <w:t>dienām.</w:t>
      </w:r>
      <w:r w:rsidR="00A97DC0">
        <w:t xml:space="preserve"> </w:t>
      </w:r>
      <w:r w:rsidRPr="004069B7">
        <w:t>Sasaldēts vīruss zemā temperatūrā var saglabāties ilgus gadus.</w:t>
      </w:r>
    </w:p>
    <w:p w14:paraId="5CF6C302" w14:textId="51DE8266" w:rsidR="0004085B" w:rsidRPr="004069B7" w:rsidRDefault="002256A6" w:rsidP="002256A6">
      <w:pPr>
        <w:pStyle w:val="NormalWeb"/>
        <w:spacing w:before="0" w:beforeAutospacing="0" w:after="0" w:afterAutospacing="0"/>
        <w:ind w:firstLine="720"/>
        <w:jc w:val="both"/>
      </w:pPr>
      <w:r w:rsidRPr="004069B7">
        <w:t xml:space="preserve">Epidemioloģiskie izmeklējumi </w:t>
      </w:r>
      <w:r w:rsidR="00A97DC0">
        <w:t>liecina</w:t>
      </w:r>
      <w:r w:rsidRPr="004069B7">
        <w:t>, ka biežāk sastopamās savvaļas putnu sugas, kas pārn</w:t>
      </w:r>
      <w:r w:rsidR="00A97DC0">
        <w:t>ēsā</w:t>
      </w:r>
      <w:r w:rsidRPr="004069B7">
        <w:t xml:space="preserve"> putnu gripu, ir dažādu sugu nirējpīles, gulbji, zosis</w:t>
      </w:r>
      <w:r w:rsidR="00A97DC0">
        <w:t xml:space="preserve"> un</w:t>
      </w:r>
      <w:r w:rsidRPr="004069B7">
        <w:t xml:space="preserve"> kaijas.</w:t>
      </w:r>
      <w:r w:rsidR="0004085B" w:rsidRPr="004069B7">
        <w:t xml:space="preserve"> Mājputni var inficēties</w:t>
      </w:r>
      <w:r w:rsidR="005D2A50" w:rsidRPr="004069B7">
        <w:t>,</w:t>
      </w:r>
      <w:r w:rsidR="0004085B" w:rsidRPr="004069B7">
        <w:t xml:space="preserve"> nonākot tiešā </w:t>
      </w:r>
      <w:r w:rsidR="00A97DC0">
        <w:t>saskarē</w:t>
      </w:r>
      <w:r w:rsidR="0004085B" w:rsidRPr="004069B7">
        <w:t xml:space="preserve"> ar inficētajiem putniem vai uzņemot slimības ierosinātāju ar inficētu barību vai ūdeni (</w:t>
      </w:r>
      <w:r w:rsidR="00A97DC0">
        <w:t>tad</w:t>
      </w:r>
      <w:r w:rsidR="0004085B" w:rsidRPr="004069B7">
        <w:t xml:space="preserve"> inficētā materiāla pārnesējs var būt jebkurš gan dzīvs organisms, gan inficēti priekšmeti).</w:t>
      </w:r>
      <w:r w:rsidR="005D2A50" w:rsidRPr="004069B7">
        <w:t xml:space="preserve"> </w:t>
      </w:r>
      <w:r w:rsidR="0004085B" w:rsidRPr="004069B7">
        <w:t>Ar putnu gripas vīrusu var inficēties un saslimt cūkas un kaķi. Sevišķi uzņēmīgas ir cūkas, jo t</w:t>
      </w:r>
      <w:r w:rsidR="00A97DC0">
        <w:t>o populācijā</w:t>
      </w:r>
      <w:r w:rsidR="0004085B" w:rsidRPr="004069B7">
        <w:t xml:space="preserve"> ir </w:t>
      </w:r>
      <w:r w:rsidR="00A97DC0">
        <w:t xml:space="preserve">vislielākā vīrusa </w:t>
      </w:r>
      <w:r w:rsidR="0004085B" w:rsidRPr="004069B7">
        <w:t>mut</w:t>
      </w:r>
      <w:r w:rsidR="00A97DC0">
        <w:t>ācijas</w:t>
      </w:r>
      <w:r w:rsidR="0004085B" w:rsidRPr="004069B7">
        <w:t xml:space="preserve"> un vairo</w:t>
      </w:r>
      <w:r w:rsidR="00A97DC0">
        <w:t>šanās</w:t>
      </w:r>
      <w:r w:rsidR="00A97DC0" w:rsidRPr="00A97DC0">
        <w:t xml:space="preserve"> </w:t>
      </w:r>
      <w:r w:rsidR="00A97DC0" w:rsidRPr="004069B7">
        <w:t>iespēja</w:t>
      </w:r>
      <w:r w:rsidR="0004085B" w:rsidRPr="004069B7">
        <w:t xml:space="preserve">. </w:t>
      </w:r>
      <w:r w:rsidR="00A97DC0">
        <w:t>T</w:t>
      </w:r>
      <w:r w:rsidR="00A97DC0" w:rsidRPr="004069B7">
        <w:t xml:space="preserve">urklāt </w:t>
      </w:r>
      <w:r w:rsidR="00A97DC0">
        <w:t>c</w:t>
      </w:r>
      <w:r w:rsidR="0004085B" w:rsidRPr="004069B7">
        <w:t>ūkas ir uzņēmīgas pret cilvēku gripas vīrusu.</w:t>
      </w:r>
      <w:r w:rsidR="005D2A50" w:rsidRPr="004069B7">
        <w:t xml:space="preserve"> </w:t>
      </w:r>
      <w:r w:rsidR="0004085B" w:rsidRPr="004069B7">
        <w:t>Ar putnu gripas vīrusu var inficēties arī cilvēks, sevišķ</w:t>
      </w:r>
      <w:r w:rsidR="00210110" w:rsidRPr="004069B7">
        <w:t>i</w:t>
      </w:r>
      <w:r w:rsidR="0004085B" w:rsidRPr="004069B7">
        <w:t>, ja</w:t>
      </w:r>
      <w:r w:rsidR="00A97DC0">
        <w:t xml:space="preserve"> viņam</w:t>
      </w:r>
      <w:r w:rsidR="0004085B" w:rsidRPr="004069B7">
        <w:t xml:space="preserve"> ir ciešs kontakts ar inficētiem putniem un vide, kurā viņš darboj</w:t>
      </w:r>
      <w:r w:rsidR="00210110" w:rsidRPr="004069B7">
        <w:t>a</w:t>
      </w:r>
      <w:r w:rsidR="0004085B" w:rsidRPr="004069B7">
        <w:t>s, ir ļoti inficēta.</w:t>
      </w:r>
    </w:p>
    <w:p w14:paraId="56939111" w14:textId="77777777" w:rsidR="002256A6" w:rsidRPr="004069B7" w:rsidRDefault="0004085B" w:rsidP="0004085B">
      <w:pPr>
        <w:pStyle w:val="NormalWeb"/>
        <w:spacing w:before="0" w:beforeAutospacing="0" w:after="0" w:afterAutospacing="0"/>
        <w:jc w:val="both"/>
      </w:pPr>
      <w:r w:rsidRPr="004069B7">
        <w:tab/>
      </w:r>
    </w:p>
    <w:p w14:paraId="01A3FCAC" w14:textId="22D817FF" w:rsidR="0004085B" w:rsidRPr="004069B7" w:rsidRDefault="0004085B" w:rsidP="002256A6">
      <w:pPr>
        <w:pStyle w:val="NormalWeb"/>
        <w:spacing w:before="0" w:beforeAutospacing="0" w:after="0" w:afterAutospacing="0"/>
        <w:ind w:firstLine="720"/>
        <w:jc w:val="both"/>
      </w:pPr>
      <w:r w:rsidRPr="004069B7">
        <w:t xml:space="preserve">Kopš </w:t>
      </w:r>
      <w:r w:rsidR="00640BA6" w:rsidRPr="004069B7">
        <w:t>2017. </w:t>
      </w:r>
      <w:r w:rsidRPr="004069B7">
        <w:t>gada sākuma Eiropas Savienības dalībvalstīs un arī Eiropas reģiona valstīs ir ziņots par 580 uzliesmojumiem mājputnu novietnēs, 32 uzliesmojumiem nebrīvē turētu putnu platībās (zooloģiskajos dārzos, putnu dārzos un citās ierobežotās platībās), kā arī par 849 savvaļas putnu saslimšanas gadījumiem. Slimības ierosinātājs ir augsti patogēn</w:t>
      </w:r>
      <w:r w:rsidR="00BF4063" w:rsidRPr="004069B7">
        <w:t>ā putnu gripas ierosinātāja H5</w:t>
      </w:r>
      <w:r w:rsidRPr="004069B7">
        <w:t xml:space="preserve">N8 apakštips, kas ir atklāts </w:t>
      </w:r>
      <w:r w:rsidR="001C3024">
        <w:t>gandrīz</w:t>
      </w:r>
      <w:r w:rsidRPr="004069B7">
        <w:t xml:space="preserve"> visos reģionos. Sevišķi daudz putnu gripas uzliesmojumu šogad ir </w:t>
      </w:r>
      <w:r w:rsidR="001C3024">
        <w:t xml:space="preserve">bijis </w:t>
      </w:r>
      <w:r w:rsidRPr="004069B7">
        <w:t>Francijā, Vācijā, Polijā, Bulgārijā</w:t>
      </w:r>
      <w:r w:rsidR="001C3024">
        <w:t xml:space="preserve"> un</w:t>
      </w:r>
      <w:r w:rsidRPr="004069B7">
        <w:t xml:space="preserve"> Rumānijā. </w:t>
      </w:r>
    </w:p>
    <w:p w14:paraId="0B20F6E7" w14:textId="35946061" w:rsidR="0004085B" w:rsidRPr="004069B7" w:rsidRDefault="0004085B" w:rsidP="0004085B">
      <w:pPr>
        <w:pStyle w:val="NormalWeb"/>
        <w:spacing w:before="0" w:beforeAutospacing="0" w:after="0" w:afterAutospacing="0"/>
        <w:jc w:val="both"/>
      </w:pPr>
      <w:r w:rsidRPr="004069B7">
        <w:tab/>
        <w:t xml:space="preserve"> </w:t>
      </w:r>
    </w:p>
    <w:p w14:paraId="0AACBA0A" w14:textId="717E3836" w:rsidR="0004085B" w:rsidRPr="004069B7" w:rsidRDefault="0004085B" w:rsidP="0004085B">
      <w:pPr>
        <w:pStyle w:val="NormalWeb"/>
        <w:spacing w:before="0" w:beforeAutospacing="0" w:after="0" w:afterAutospacing="0"/>
        <w:jc w:val="both"/>
      </w:pPr>
      <w:r w:rsidRPr="004069B7">
        <w:tab/>
        <w:t xml:space="preserve">Par </w:t>
      </w:r>
      <w:r w:rsidR="001C3024">
        <w:t>putnu gripas vīrusa sevišķo patogenitāti</w:t>
      </w:r>
      <w:r w:rsidRPr="004069B7">
        <w:t xml:space="preserve"> š</w:t>
      </w:r>
      <w:r w:rsidR="001C3024">
        <w:t xml:space="preserve">ajā </w:t>
      </w:r>
      <w:r w:rsidRPr="004069B7">
        <w:t>gad</w:t>
      </w:r>
      <w:r w:rsidR="001C3024">
        <w:t xml:space="preserve">ā </w:t>
      </w:r>
      <w:r w:rsidRPr="004069B7">
        <w:t xml:space="preserve">liecina tas, ka </w:t>
      </w:r>
      <w:r w:rsidR="001C3024">
        <w:t xml:space="preserve">vismaz </w:t>
      </w:r>
      <w:r w:rsidRPr="004069B7">
        <w:t xml:space="preserve">40 % mājputnu saslimšanas gadījumu ir sekundāri slimības ierosinātāja uzliesmojumi. Šo sekundāro uzliesmojumu biežākais </w:t>
      </w:r>
      <w:r w:rsidR="001C3024">
        <w:t>iemesls</w:t>
      </w:r>
      <w:r w:rsidRPr="004069B7">
        <w:t xml:space="preserve"> ir cilvēku rīcība: novietnē strādājošais personāls neievēro biodrošības prasības</w:t>
      </w:r>
      <w:r w:rsidR="001C3024">
        <w:t xml:space="preserve"> un</w:t>
      </w:r>
      <w:r w:rsidRPr="004069B7">
        <w:t xml:space="preserve"> netiek pienācīgi </w:t>
      </w:r>
      <w:r w:rsidR="001C3024">
        <w:t>dezinficēti</w:t>
      </w:r>
      <w:r w:rsidRPr="004069B7">
        <w:t xml:space="preserve"> transportlīdzekļ</w:t>
      </w:r>
      <w:r w:rsidR="001C3024">
        <w:t>i</w:t>
      </w:r>
      <w:r w:rsidRPr="004069B7">
        <w:t xml:space="preserve"> un ar putniem saskarē esoš</w:t>
      </w:r>
      <w:r w:rsidR="001C3024">
        <w:t>ie</w:t>
      </w:r>
      <w:r w:rsidRPr="004069B7">
        <w:t xml:space="preserve"> materiāl</w:t>
      </w:r>
      <w:r w:rsidR="001C3024">
        <w:t>i</w:t>
      </w:r>
      <w:r w:rsidRPr="004069B7">
        <w:t xml:space="preserve"> un priekšmet</w:t>
      </w:r>
      <w:r w:rsidR="001C3024">
        <w:t>i, tāpēc</w:t>
      </w:r>
      <w:r w:rsidRPr="004069B7">
        <w:t xml:space="preserve"> slimības ierosinātājs no inficētās novietnes </w:t>
      </w:r>
      <w:r w:rsidR="001C3024" w:rsidRPr="004069B7">
        <w:t xml:space="preserve">viegli </w:t>
      </w:r>
      <w:r w:rsidRPr="004069B7">
        <w:t xml:space="preserve">pārceļo uz </w:t>
      </w:r>
      <w:r w:rsidR="001C3024">
        <w:t>slimības neskarto</w:t>
      </w:r>
      <w:r w:rsidRPr="004069B7">
        <w:t xml:space="preserve"> novietni.</w:t>
      </w:r>
    </w:p>
    <w:p w14:paraId="1F69C081" w14:textId="5A921AEC" w:rsidR="0004085B" w:rsidRPr="004069B7" w:rsidRDefault="0004085B" w:rsidP="00F85D3D">
      <w:pPr>
        <w:pStyle w:val="NormalWeb"/>
        <w:spacing w:before="0" w:beforeAutospacing="0" w:after="0" w:afterAutospacing="0"/>
        <w:jc w:val="both"/>
      </w:pPr>
      <w:r w:rsidRPr="004069B7">
        <w:tab/>
      </w:r>
      <w:r w:rsidR="001C3024">
        <w:t xml:space="preserve">Pēc </w:t>
      </w:r>
      <w:r w:rsidRPr="004069B7">
        <w:t xml:space="preserve">Eiropas </w:t>
      </w:r>
      <w:r w:rsidR="001C3024">
        <w:t>Savienības</w:t>
      </w:r>
      <w:r w:rsidRPr="004069B7">
        <w:t xml:space="preserve"> references laboratorijas sniegt</w:t>
      </w:r>
      <w:r w:rsidR="001C3024">
        <w:t>ās</w:t>
      </w:r>
      <w:r w:rsidRPr="004069B7">
        <w:t xml:space="preserve"> informācij</w:t>
      </w:r>
      <w:r w:rsidR="001C3024">
        <w:t>as,</w:t>
      </w:r>
      <w:r w:rsidRPr="004069B7">
        <w:t xml:space="preserve"> Eiropas reģiona valstīs šogad putnu gripas vīrusa apakštipi veido vienotu grupu, kas ir atšķirīga no tā vīr</w:t>
      </w:r>
      <w:r w:rsidR="005E528D" w:rsidRPr="004069B7">
        <w:t>usa, kurš tika konstatēts 2014.</w:t>
      </w:r>
      <w:r w:rsidRPr="004069B7">
        <w:t>–2015.</w:t>
      </w:r>
      <w:r w:rsidR="005B5844" w:rsidRPr="004069B7">
        <w:t> </w:t>
      </w:r>
      <w:r w:rsidRPr="004069B7">
        <w:t>gadā. Salīdzinošajos datos putnu gripas izplatībā pa nedēļām var novērot</w:t>
      </w:r>
      <w:r w:rsidR="00210110" w:rsidRPr="004069B7">
        <w:t>,</w:t>
      </w:r>
      <w:r w:rsidRPr="004069B7">
        <w:t xml:space="preserve"> kā ierosinātājs pārceļo kopā ar migrējošiem savvaļas putniem. Pagājušā gada nogalē (oktobrī) vīruss tika konstatēts Ungārijā mājputnu ganāmpulkos, vislielāko </w:t>
      </w:r>
      <w:r w:rsidR="001C3024" w:rsidRPr="004069B7">
        <w:t xml:space="preserve">uzliesmojumu </w:t>
      </w:r>
      <w:r w:rsidRPr="004069B7">
        <w:t xml:space="preserve">skaitu sasniedzot decembra beigās. </w:t>
      </w:r>
      <w:r w:rsidR="0090633C" w:rsidRPr="004069B7">
        <w:t>Eiropā</w:t>
      </w:r>
      <w:r w:rsidRPr="004069B7">
        <w:t xml:space="preserve"> putnu gripas uzliesmojumi </w:t>
      </w:r>
      <w:r w:rsidR="0090633C" w:rsidRPr="004069B7">
        <w:t xml:space="preserve">konstatēti </w:t>
      </w:r>
      <w:r w:rsidR="005507DD" w:rsidRPr="004069B7">
        <w:t xml:space="preserve">arī </w:t>
      </w:r>
      <w:r w:rsidR="0090633C" w:rsidRPr="004069B7">
        <w:t>Austrijā</w:t>
      </w:r>
      <w:r w:rsidR="00FC0FA0" w:rsidRPr="004069B7">
        <w:t>*</w:t>
      </w:r>
      <w:r w:rsidR="0090633C" w:rsidRPr="004069B7">
        <w:t>, Beļģijā</w:t>
      </w:r>
      <w:r w:rsidR="00FC0FA0" w:rsidRPr="004069B7">
        <w:t>*</w:t>
      </w:r>
      <w:r w:rsidR="0090633C" w:rsidRPr="004069B7">
        <w:t>, Bosnijā un Hercegovinā</w:t>
      </w:r>
      <w:r w:rsidR="00FC0FA0" w:rsidRPr="004069B7">
        <w:t>*</w:t>
      </w:r>
      <w:r w:rsidR="0090633C" w:rsidRPr="004069B7">
        <w:t>, Bulgārijā</w:t>
      </w:r>
      <w:r w:rsidR="00FC0FA0" w:rsidRPr="004069B7">
        <w:t>*</w:t>
      </w:r>
      <w:r w:rsidR="0090633C" w:rsidRPr="004069B7">
        <w:t>,</w:t>
      </w:r>
      <w:r w:rsidRPr="004069B7">
        <w:t xml:space="preserve"> </w:t>
      </w:r>
      <w:r w:rsidR="0090633C" w:rsidRPr="004069B7">
        <w:t>Čehijā</w:t>
      </w:r>
      <w:r w:rsidR="00FC0FA0" w:rsidRPr="004069B7">
        <w:t>*</w:t>
      </w:r>
      <w:r w:rsidR="0090633C" w:rsidRPr="004069B7">
        <w:t>, Dānijā</w:t>
      </w:r>
      <w:r w:rsidR="00FC0FA0" w:rsidRPr="004069B7">
        <w:t>*</w:t>
      </w:r>
      <w:r w:rsidR="0090633C" w:rsidRPr="004069B7">
        <w:t xml:space="preserve">, </w:t>
      </w:r>
      <w:r w:rsidR="00CD11D5" w:rsidRPr="004069B7">
        <w:t>Francijā</w:t>
      </w:r>
      <w:r w:rsidR="00FC0FA0" w:rsidRPr="004069B7">
        <w:t>*</w:t>
      </w:r>
      <w:r w:rsidR="00CD11D5" w:rsidRPr="004069B7">
        <w:t>, Grieķijā</w:t>
      </w:r>
      <w:r w:rsidR="00FC0FA0" w:rsidRPr="004069B7">
        <w:t>*</w:t>
      </w:r>
      <w:r w:rsidR="00CD11D5" w:rsidRPr="004069B7">
        <w:t>, Horvātijā</w:t>
      </w:r>
      <w:r w:rsidR="00FC0FA0" w:rsidRPr="004069B7">
        <w:t>*</w:t>
      </w:r>
      <w:r w:rsidR="00CD11D5" w:rsidRPr="004069B7">
        <w:t xml:space="preserve">, </w:t>
      </w:r>
      <w:r w:rsidR="00E92D87" w:rsidRPr="004069B7">
        <w:t>Īrijā, Itālijā</w:t>
      </w:r>
      <w:r w:rsidR="00777A58" w:rsidRPr="004069B7">
        <w:t>*</w:t>
      </w:r>
      <w:r w:rsidR="00E92D87" w:rsidRPr="004069B7">
        <w:t xml:space="preserve">, </w:t>
      </w:r>
      <w:r w:rsidR="0085397E" w:rsidRPr="004069B7">
        <w:t>Lielbritānijā</w:t>
      </w:r>
      <w:r w:rsidR="00F52539" w:rsidRPr="004069B7">
        <w:t>*</w:t>
      </w:r>
      <w:r w:rsidR="0085397E" w:rsidRPr="004069B7">
        <w:t xml:space="preserve">, </w:t>
      </w:r>
      <w:r w:rsidR="00CD11D5" w:rsidRPr="004069B7">
        <w:t>Maķedonijā</w:t>
      </w:r>
      <w:r w:rsidR="00F52539" w:rsidRPr="004069B7">
        <w:t>*</w:t>
      </w:r>
      <w:r w:rsidR="00CD11D5" w:rsidRPr="004069B7">
        <w:t>,</w:t>
      </w:r>
      <w:r w:rsidR="00A021A3" w:rsidRPr="004069B7">
        <w:t xml:space="preserve"> </w:t>
      </w:r>
      <w:r w:rsidR="00E92D87" w:rsidRPr="004069B7">
        <w:t>Nīderlandē</w:t>
      </w:r>
      <w:r w:rsidR="008F66D6" w:rsidRPr="004069B7">
        <w:t>*</w:t>
      </w:r>
      <w:r w:rsidR="00E92D87" w:rsidRPr="004069B7">
        <w:t xml:space="preserve">, </w:t>
      </w:r>
      <w:r w:rsidR="00CE6172" w:rsidRPr="004069B7">
        <w:t>Polijā</w:t>
      </w:r>
      <w:r w:rsidR="008F66D6" w:rsidRPr="004069B7">
        <w:t>*</w:t>
      </w:r>
      <w:r w:rsidR="00CE6172" w:rsidRPr="004069B7">
        <w:t xml:space="preserve">, </w:t>
      </w:r>
      <w:r w:rsidR="00D30856" w:rsidRPr="004069B7">
        <w:t>Portugālē</w:t>
      </w:r>
      <w:r w:rsidR="008F66D6" w:rsidRPr="004069B7">
        <w:t>*</w:t>
      </w:r>
      <w:r w:rsidR="00D30856" w:rsidRPr="004069B7">
        <w:t>, Rumānijā</w:t>
      </w:r>
      <w:r w:rsidR="008F66D6" w:rsidRPr="004069B7">
        <w:t>*</w:t>
      </w:r>
      <w:r w:rsidR="00D30856" w:rsidRPr="004069B7">
        <w:t xml:space="preserve">, </w:t>
      </w:r>
      <w:r w:rsidR="0085397E" w:rsidRPr="004069B7">
        <w:t>Serbijā</w:t>
      </w:r>
      <w:r w:rsidR="001035A5" w:rsidRPr="004069B7">
        <w:t>*</w:t>
      </w:r>
      <w:r w:rsidR="0085397E" w:rsidRPr="004069B7">
        <w:t>, Slovākijā</w:t>
      </w:r>
      <w:r w:rsidR="001035A5" w:rsidRPr="004069B7">
        <w:t>*</w:t>
      </w:r>
      <w:r w:rsidR="0085397E" w:rsidRPr="004069B7">
        <w:t xml:space="preserve">, </w:t>
      </w:r>
      <w:r w:rsidR="001035A5" w:rsidRPr="004069B7">
        <w:t xml:space="preserve">Slovēnijā, </w:t>
      </w:r>
      <w:r w:rsidR="00CD11D5" w:rsidRPr="004069B7">
        <w:t xml:space="preserve">Somijā, </w:t>
      </w:r>
      <w:r w:rsidR="0085397E" w:rsidRPr="004069B7">
        <w:t>Spānijā</w:t>
      </w:r>
      <w:r w:rsidR="00DF5357" w:rsidRPr="004069B7">
        <w:t>*</w:t>
      </w:r>
      <w:r w:rsidR="0085397E" w:rsidRPr="004069B7">
        <w:t xml:space="preserve">, Šveicē, </w:t>
      </w:r>
      <w:r w:rsidR="0008422B" w:rsidRPr="004069B7">
        <w:t>Ukrainā</w:t>
      </w:r>
      <w:r w:rsidR="002C1CCD" w:rsidRPr="004069B7">
        <w:t>*</w:t>
      </w:r>
      <w:r w:rsidR="00DF5357" w:rsidRPr="004069B7">
        <w:t>,</w:t>
      </w:r>
      <w:r w:rsidR="0008422B" w:rsidRPr="004069B7">
        <w:t xml:space="preserve"> </w:t>
      </w:r>
      <w:r w:rsidRPr="004069B7">
        <w:t>Vācijā</w:t>
      </w:r>
      <w:r w:rsidR="00FC0FA0" w:rsidRPr="004069B7">
        <w:t>*</w:t>
      </w:r>
      <w:r w:rsidR="00DF5357" w:rsidRPr="004069B7">
        <w:t xml:space="preserve"> un Zviedrijā</w:t>
      </w:r>
      <w:r w:rsidR="001D2F1E" w:rsidRPr="004069B7">
        <w:t>*</w:t>
      </w:r>
      <w:r w:rsidR="007F0C22" w:rsidRPr="004069B7">
        <w:t xml:space="preserve"> (ar * apzīmētajās valstīs putnu gripa konstatēta mājputniem)</w:t>
      </w:r>
      <w:r w:rsidRPr="004069B7">
        <w:t xml:space="preserve">. </w:t>
      </w:r>
      <w:r w:rsidR="00BF4063" w:rsidRPr="004069B7">
        <w:t>P</w:t>
      </w:r>
      <w:r w:rsidRPr="004069B7">
        <w:t xml:space="preserve">utnu gripas vīruss divos gadījumos gulbjiem tika konstatēts </w:t>
      </w:r>
      <w:r w:rsidR="00B54861" w:rsidRPr="004069B7">
        <w:t xml:space="preserve">arī </w:t>
      </w:r>
      <w:r w:rsidR="00AD53D6" w:rsidRPr="004069B7">
        <w:t xml:space="preserve">kaimiņvalstī </w:t>
      </w:r>
      <w:r w:rsidRPr="004069B7">
        <w:t>Lietuvā</w:t>
      </w:r>
      <w:r w:rsidR="000F5767" w:rsidRPr="004069B7">
        <w:t>,</w:t>
      </w:r>
      <w:r w:rsidRPr="004069B7">
        <w:t xml:space="preserve"> Kauņas apgabalā.</w:t>
      </w:r>
    </w:p>
    <w:p w14:paraId="48D73B3E" w14:textId="77777777" w:rsidR="00E61FE9" w:rsidRPr="004069B7" w:rsidRDefault="00E61FE9" w:rsidP="00F64987">
      <w:pPr>
        <w:pStyle w:val="naisf"/>
        <w:spacing w:before="0" w:beforeAutospacing="0" w:after="0" w:afterAutospacing="0"/>
        <w:ind w:firstLine="720"/>
        <w:rPr>
          <w:lang w:val="lv-LV"/>
        </w:rPr>
      </w:pPr>
    </w:p>
    <w:p w14:paraId="370ACCCC" w14:textId="01F31726" w:rsidR="0004085B" w:rsidRPr="004069B7" w:rsidRDefault="005F3906" w:rsidP="00F64987">
      <w:pPr>
        <w:pStyle w:val="naisf"/>
        <w:spacing w:before="0" w:beforeAutospacing="0" w:after="0" w:afterAutospacing="0"/>
        <w:ind w:firstLine="720"/>
        <w:rPr>
          <w:lang w:val="lv-LV"/>
        </w:rPr>
      </w:pPr>
      <w:r w:rsidRPr="004069B7">
        <w:rPr>
          <w:lang w:val="lv-LV"/>
        </w:rPr>
        <w:t>Līdz šim Putnu gripas uzraudzības programm</w:t>
      </w:r>
      <w:r w:rsidR="001C3024">
        <w:rPr>
          <w:lang w:val="lv-LV"/>
        </w:rPr>
        <w:t>ā</w:t>
      </w:r>
      <w:r w:rsidRPr="004069B7">
        <w:rPr>
          <w:lang w:val="lv-LV"/>
        </w:rPr>
        <w:t xml:space="preserve"> </w:t>
      </w:r>
      <w:r w:rsidR="001C3024">
        <w:rPr>
          <w:lang w:val="lv-LV"/>
        </w:rPr>
        <w:t>izdarī</w:t>
      </w:r>
      <w:r w:rsidRPr="004069B7">
        <w:rPr>
          <w:lang w:val="lv-LV"/>
        </w:rPr>
        <w:t>ti tikai laboratoriskie izmeklējumi, k</w:t>
      </w:r>
      <w:r w:rsidR="001C3024">
        <w:rPr>
          <w:lang w:val="lv-LV"/>
        </w:rPr>
        <w:t>o</w:t>
      </w:r>
      <w:r w:rsidRPr="004069B7">
        <w:rPr>
          <w:lang w:val="lv-LV"/>
        </w:rPr>
        <w:t xml:space="preserve"> nodrošina Pārtikas drošības, dzīvnieku veselības un vides zinātniskais institūts „BIOR” (turpmāk – BIOR).</w:t>
      </w:r>
    </w:p>
    <w:p w14:paraId="2AD4B3A5" w14:textId="77777777" w:rsidR="00BE499E" w:rsidRDefault="00BE499E" w:rsidP="009719B4">
      <w:pPr>
        <w:pStyle w:val="tv2132"/>
        <w:spacing w:line="240" w:lineRule="auto"/>
        <w:ind w:firstLine="720"/>
        <w:jc w:val="both"/>
        <w:rPr>
          <w:color w:val="auto"/>
          <w:sz w:val="24"/>
          <w:szCs w:val="24"/>
        </w:rPr>
      </w:pPr>
    </w:p>
    <w:p w14:paraId="3D005764" w14:textId="72D685B7" w:rsidR="00671D03" w:rsidRPr="004069B7" w:rsidRDefault="003F11CA" w:rsidP="009719B4">
      <w:pPr>
        <w:pStyle w:val="tv2132"/>
        <w:spacing w:line="240" w:lineRule="auto"/>
        <w:ind w:firstLine="720"/>
        <w:jc w:val="both"/>
        <w:rPr>
          <w:color w:val="auto"/>
          <w:sz w:val="24"/>
          <w:szCs w:val="24"/>
        </w:rPr>
      </w:pPr>
      <w:r w:rsidRPr="004069B7">
        <w:rPr>
          <w:color w:val="auto"/>
          <w:sz w:val="24"/>
          <w:szCs w:val="24"/>
        </w:rPr>
        <w:lastRenderedPageBreak/>
        <w:t>Putnu gripas uzliesmojuma likvidēšanas un draudu novēršanas kārtību pēc augsti patogēna vai mazpatogēna jebkura tipa slimības ierosinātāja parādīšanās uzņēmīgu dzīvnieku, īpaši putnu, populācijā, kā arī valsts pārvaldes iestāžu kompetenci nosaka</w:t>
      </w:r>
      <w:r w:rsidR="006D050D" w:rsidRPr="004069B7">
        <w:rPr>
          <w:color w:val="auto"/>
          <w:sz w:val="24"/>
          <w:szCs w:val="24"/>
        </w:rPr>
        <w:t xml:space="preserve"> 2007.</w:t>
      </w:r>
      <w:r w:rsidRPr="004069B7">
        <w:rPr>
          <w:color w:val="auto"/>
          <w:sz w:val="24"/>
          <w:szCs w:val="24"/>
        </w:rPr>
        <w:t> </w:t>
      </w:r>
      <w:r w:rsidR="006D050D" w:rsidRPr="004069B7">
        <w:rPr>
          <w:color w:val="auto"/>
          <w:sz w:val="24"/>
          <w:szCs w:val="24"/>
        </w:rPr>
        <w:t>gada 19.</w:t>
      </w:r>
      <w:r w:rsidRPr="004069B7">
        <w:rPr>
          <w:color w:val="auto"/>
          <w:sz w:val="24"/>
          <w:szCs w:val="24"/>
        </w:rPr>
        <w:t> </w:t>
      </w:r>
      <w:r w:rsidR="006D050D" w:rsidRPr="004069B7">
        <w:rPr>
          <w:color w:val="auto"/>
          <w:sz w:val="24"/>
          <w:szCs w:val="24"/>
        </w:rPr>
        <w:t>jūnija noteikumi Nr.</w:t>
      </w:r>
      <w:r w:rsidRPr="004069B7">
        <w:rPr>
          <w:color w:val="auto"/>
          <w:sz w:val="24"/>
          <w:szCs w:val="24"/>
        </w:rPr>
        <w:t> </w:t>
      </w:r>
      <w:r w:rsidR="006D050D" w:rsidRPr="004069B7">
        <w:rPr>
          <w:color w:val="auto"/>
          <w:sz w:val="24"/>
          <w:szCs w:val="24"/>
        </w:rPr>
        <w:t xml:space="preserve">405 „Putnu gripas uzliesmojuma likvidēšanas un draudu novēršanas kārtība” un </w:t>
      </w:r>
      <w:r w:rsidR="007D11BD" w:rsidRPr="004069B7">
        <w:rPr>
          <w:color w:val="auto"/>
          <w:sz w:val="24"/>
          <w:szCs w:val="24"/>
        </w:rPr>
        <w:t>Komisijas 2010.</w:t>
      </w:r>
      <w:r w:rsidR="001356AB">
        <w:rPr>
          <w:color w:val="auto"/>
          <w:sz w:val="24"/>
          <w:szCs w:val="24"/>
        </w:rPr>
        <w:t> </w:t>
      </w:r>
      <w:r w:rsidR="007D11BD" w:rsidRPr="004069B7">
        <w:rPr>
          <w:color w:val="auto"/>
          <w:sz w:val="24"/>
          <w:szCs w:val="24"/>
        </w:rPr>
        <w:t>gada 25.</w:t>
      </w:r>
      <w:r w:rsidR="001356AB">
        <w:rPr>
          <w:color w:val="auto"/>
          <w:sz w:val="24"/>
          <w:szCs w:val="24"/>
        </w:rPr>
        <w:t> </w:t>
      </w:r>
      <w:r w:rsidR="007D11BD" w:rsidRPr="004069B7">
        <w:rPr>
          <w:color w:val="auto"/>
          <w:sz w:val="24"/>
          <w:szCs w:val="24"/>
        </w:rPr>
        <w:t>jūnija Lēmums 2010/367/EK par putnu gripas uzraudzības programmu mājputniem un savvaļas putniem īstenošanu dalībvalstīs.</w:t>
      </w:r>
    </w:p>
    <w:p w14:paraId="0DD7516F" w14:textId="2895F422" w:rsidR="00F416A0" w:rsidRDefault="00F416A0" w:rsidP="00F416A0">
      <w:pPr>
        <w:pStyle w:val="naisf"/>
        <w:spacing w:before="0" w:beforeAutospacing="0" w:after="0" w:afterAutospacing="0"/>
        <w:ind w:firstLine="720"/>
        <w:rPr>
          <w:lang w:val="lv-LV"/>
        </w:rPr>
      </w:pPr>
    </w:p>
    <w:p w14:paraId="1BC38FC0" w14:textId="77777777" w:rsidR="00ED27D4" w:rsidRPr="004069B7" w:rsidRDefault="00ED27D4" w:rsidP="00F416A0">
      <w:pPr>
        <w:pStyle w:val="naisf"/>
        <w:spacing w:before="0" w:beforeAutospacing="0" w:after="0" w:afterAutospacing="0"/>
        <w:ind w:firstLine="720"/>
        <w:rPr>
          <w:lang w:val="lv-LV"/>
        </w:rPr>
      </w:pPr>
    </w:p>
    <w:p w14:paraId="3BF1A8E9" w14:textId="77777777" w:rsidR="00BE499E" w:rsidRDefault="00BE499E" w:rsidP="00860EA4">
      <w:pPr>
        <w:pStyle w:val="ListParagraph"/>
        <w:ind w:left="0"/>
        <w:jc w:val="center"/>
        <w:rPr>
          <w:b/>
          <w:szCs w:val="24"/>
        </w:rPr>
      </w:pPr>
    </w:p>
    <w:p w14:paraId="185BB83D" w14:textId="2AFCB67D" w:rsidR="00860EA4" w:rsidRPr="004069B7" w:rsidRDefault="00860EA4" w:rsidP="00860EA4">
      <w:pPr>
        <w:pStyle w:val="ListParagraph"/>
        <w:ind w:left="0"/>
        <w:jc w:val="center"/>
        <w:rPr>
          <w:b/>
          <w:szCs w:val="24"/>
        </w:rPr>
      </w:pPr>
      <w:r w:rsidRPr="004069B7">
        <w:rPr>
          <w:b/>
          <w:szCs w:val="24"/>
        </w:rPr>
        <w:t>II. Problēmas un iespējamais risinājums</w:t>
      </w:r>
    </w:p>
    <w:p w14:paraId="11B7B662" w14:textId="77777777" w:rsidR="0049347C" w:rsidRPr="004069B7" w:rsidRDefault="0049347C" w:rsidP="00860EA4">
      <w:pPr>
        <w:pStyle w:val="ListParagraph"/>
        <w:ind w:left="0" w:firstLine="720"/>
        <w:jc w:val="both"/>
        <w:rPr>
          <w:szCs w:val="24"/>
        </w:rPr>
      </w:pPr>
    </w:p>
    <w:p w14:paraId="3B2470A7" w14:textId="3531AEC9" w:rsidR="00A859E3" w:rsidRPr="004069B7" w:rsidRDefault="001356AB" w:rsidP="0063376A">
      <w:pPr>
        <w:ind w:firstLine="720"/>
        <w:jc w:val="both"/>
        <w:rPr>
          <w:lang w:val="lv-LV"/>
        </w:rPr>
      </w:pPr>
      <w:r>
        <w:rPr>
          <w:lang w:val="lv-LV"/>
        </w:rPr>
        <w:t>Ievērojot</w:t>
      </w:r>
      <w:r w:rsidR="0049347C" w:rsidRPr="004069B7">
        <w:rPr>
          <w:lang w:val="lv-LV"/>
        </w:rPr>
        <w:t xml:space="preserve"> ĀCM plašo izplatību Latvijas teritorijā</w:t>
      </w:r>
      <w:r w:rsidR="00087EDF">
        <w:rPr>
          <w:lang w:val="lv-LV"/>
        </w:rPr>
        <w:t xml:space="preserve"> un kaimiņvalstīs</w:t>
      </w:r>
      <w:r w:rsidR="0049347C" w:rsidRPr="004069B7">
        <w:rPr>
          <w:lang w:val="lv-LV"/>
        </w:rPr>
        <w:t xml:space="preserve">, kā arī to, ka šogad nepieciešama pastiprināta biodrošības pasākumu </w:t>
      </w:r>
      <w:r>
        <w:rPr>
          <w:lang w:val="lv-LV"/>
        </w:rPr>
        <w:t>papildu</w:t>
      </w:r>
      <w:r w:rsidRPr="004069B7">
        <w:rPr>
          <w:lang w:val="lv-LV"/>
        </w:rPr>
        <w:t xml:space="preserve"> </w:t>
      </w:r>
      <w:r w:rsidR="0049347C" w:rsidRPr="004069B7">
        <w:rPr>
          <w:lang w:val="lv-LV"/>
        </w:rPr>
        <w:t>uzraudzība arī mājputnu novietnēs</w:t>
      </w:r>
      <w:r>
        <w:rPr>
          <w:lang w:val="lv-LV"/>
        </w:rPr>
        <w:t>, jo pastāv</w:t>
      </w:r>
      <w:r w:rsidR="0049347C" w:rsidRPr="004069B7">
        <w:rPr>
          <w:lang w:val="lv-LV"/>
        </w:rPr>
        <w:t xml:space="preserve"> draudi</w:t>
      </w:r>
      <w:r>
        <w:rPr>
          <w:lang w:val="lv-LV"/>
        </w:rPr>
        <w:t>, ka</w:t>
      </w:r>
      <w:r w:rsidR="0049347C" w:rsidRPr="004069B7">
        <w:rPr>
          <w:lang w:val="lv-LV"/>
        </w:rPr>
        <w:t xml:space="preserve"> putnu gripa</w:t>
      </w:r>
      <w:r>
        <w:rPr>
          <w:lang w:val="lv-LV"/>
        </w:rPr>
        <w:t xml:space="preserve"> var</w:t>
      </w:r>
      <w:r w:rsidR="0049347C" w:rsidRPr="004069B7">
        <w:rPr>
          <w:lang w:val="lv-LV"/>
        </w:rPr>
        <w:t xml:space="preserve"> parādīties Latvijas teritorijā, PVD pēdējos trīs gados dubultojies pienākumu un uzraudzības pasākumu skaits tieši infekcijas slimību kontroles nolūkā. </w:t>
      </w:r>
      <w:r w:rsidR="00B616B9" w:rsidRPr="004069B7">
        <w:rPr>
          <w:lang w:val="lv-LV"/>
        </w:rPr>
        <w:t>Tāpat lieli resursi tiek tērēti slimību uzliesmojumu apkarošana</w:t>
      </w:r>
      <w:r>
        <w:rPr>
          <w:lang w:val="lv-LV"/>
        </w:rPr>
        <w:t>i</w:t>
      </w:r>
      <w:r w:rsidR="00B616B9" w:rsidRPr="004069B7">
        <w:rPr>
          <w:lang w:val="lv-LV"/>
        </w:rPr>
        <w:t>, kā arī pastāvīg</w:t>
      </w:r>
      <w:r>
        <w:rPr>
          <w:lang w:val="lv-LV"/>
        </w:rPr>
        <w:t>a</w:t>
      </w:r>
      <w:r w:rsidR="00B616B9" w:rsidRPr="004069B7">
        <w:rPr>
          <w:lang w:val="lv-LV"/>
        </w:rPr>
        <w:t>i ĀCM uzraudzība</w:t>
      </w:r>
      <w:r w:rsidR="00A859E3" w:rsidRPr="004069B7">
        <w:rPr>
          <w:lang w:val="lv-LV"/>
        </w:rPr>
        <w:t xml:space="preserve">s pasākumu </w:t>
      </w:r>
      <w:r>
        <w:rPr>
          <w:lang w:val="lv-LV"/>
        </w:rPr>
        <w:t>nodrošināšanai</w:t>
      </w:r>
      <w:r w:rsidRPr="004069B7">
        <w:rPr>
          <w:lang w:val="lv-LV"/>
        </w:rPr>
        <w:t xml:space="preserve"> </w:t>
      </w:r>
      <w:r w:rsidR="00A859E3" w:rsidRPr="004069B7">
        <w:rPr>
          <w:lang w:val="lv-LV"/>
        </w:rPr>
        <w:t>mežacūku populācijā.</w:t>
      </w:r>
    </w:p>
    <w:p w14:paraId="7F154F10" w14:textId="77777777" w:rsidR="002256A6" w:rsidRPr="004069B7" w:rsidRDefault="002256A6" w:rsidP="0063376A">
      <w:pPr>
        <w:ind w:firstLine="720"/>
        <w:jc w:val="both"/>
        <w:rPr>
          <w:szCs w:val="28"/>
          <w:lang w:val="lv-LV"/>
        </w:rPr>
      </w:pPr>
    </w:p>
    <w:p w14:paraId="3AD68554" w14:textId="5CA69E57" w:rsidR="0063376A" w:rsidRPr="004069B7" w:rsidRDefault="0063376A" w:rsidP="0063376A">
      <w:pPr>
        <w:ind w:firstLine="720"/>
        <w:jc w:val="both"/>
        <w:rPr>
          <w:szCs w:val="28"/>
          <w:lang w:val="lv-LV"/>
        </w:rPr>
      </w:pPr>
      <w:r w:rsidRPr="004069B7">
        <w:rPr>
          <w:szCs w:val="28"/>
          <w:lang w:val="lv-LV"/>
        </w:rPr>
        <w:t>PVD veic šādas darbības:</w:t>
      </w:r>
    </w:p>
    <w:p w14:paraId="52C5CCE5" w14:textId="11D6F3CE" w:rsidR="0063376A" w:rsidRPr="004069B7" w:rsidRDefault="0063376A" w:rsidP="0063376A">
      <w:pPr>
        <w:ind w:firstLine="720"/>
        <w:jc w:val="both"/>
        <w:rPr>
          <w:szCs w:val="28"/>
          <w:lang w:val="lv-LV"/>
        </w:rPr>
      </w:pPr>
      <w:r w:rsidRPr="004069B7">
        <w:rPr>
          <w:szCs w:val="28"/>
          <w:lang w:val="lv-LV"/>
        </w:rPr>
        <w:t>1) I, II un III riska zonā organizē pārbaudes novietnēs, kurās t</w:t>
      </w:r>
      <w:r w:rsidR="00EA6605" w:rsidRPr="004069B7">
        <w:rPr>
          <w:szCs w:val="28"/>
          <w:lang w:val="lv-LV"/>
        </w:rPr>
        <w:t>iek turēti cūku sugas dzīvnieki</w:t>
      </w:r>
      <w:r w:rsidRPr="004069B7">
        <w:rPr>
          <w:szCs w:val="28"/>
          <w:lang w:val="lv-LV"/>
        </w:rPr>
        <w:t>;</w:t>
      </w:r>
    </w:p>
    <w:p w14:paraId="09523DD1" w14:textId="77777777" w:rsidR="0063376A" w:rsidRPr="004069B7" w:rsidRDefault="0063376A" w:rsidP="0063376A">
      <w:pPr>
        <w:ind w:firstLine="720"/>
        <w:jc w:val="both"/>
        <w:rPr>
          <w:szCs w:val="28"/>
          <w:lang w:val="lv-LV"/>
        </w:rPr>
      </w:pPr>
      <w:r w:rsidRPr="004069B7">
        <w:rPr>
          <w:szCs w:val="28"/>
          <w:lang w:val="lv-LV"/>
        </w:rPr>
        <w:t>2) noņem paraugus laboratoriskajiem izmeklējumiem un kontrolē dzīvnieku kravas dokumentus, lai pārliecinātos par dzīvnieku veselību un ĀCM vīrusa neesamību pirms to nosūtīšanas uz citu novietni vai kautuvi;</w:t>
      </w:r>
    </w:p>
    <w:p w14:paraId="331A3F7C" w14:textId="77777777" w:rsidR="0063376A" w:rsidRPr="004069B7" w:rsidRDefault="0063376A" w:rsidP="0063376A">
      <w:pPr>
        <w:ind w:firstLine="720"/>
        <w:jc w:val="both"/>
        <w:rPr>
          <w:szCs w:val="28"/>
          <w:lang w:val="lv-LV"/>
        </w:rPr>
      </w:pPr>
      <w:r w:rsidRPr="004069B7">
        <w:rPr>
          <w:szCs w:val="28"/>
          <w:lang w:val="lv-LV"/>
        </w:rPr>
        <w:t>3) uzrauga dzīvnieku un dzīvnieku izcelsmes produktu pārvietošanu starp riska zonām un ārpus tām;</w:t>
      </w:r>
    </w:p>
    <w:p w14:paraId="1102599B" w14:textId="77777777" w:rsidR="0063376A" w:rsidRPr="004069B7" w:rsidRDefault="0063376A" w:rsidP="0063376A">
      <w:pPr>
        <w:ind w:firstLine="720"/>
        <w:jc w:val="both"/>
        <w:rPr>
          <w:szCs w:val="28"/>
          <w:lang w:val="lv-LV"/>
        </w:rPr>
      </w:pPr>
      <w:r w:rsidRPr="004069B7">
        <w:rPr>
          <w:szCs w:val="28"/>
          <w:lang w:val="lv-LV"/>
        </w:rPr>
        <w:t>4) kontrolē atsevišķu transportlīdzekļu mazgāšanu un dezinfekciju, kad transportlīdzekļi atstāj riska zonas;</w:t>
      </w:r>
    </w:p>
    <w:p w14:paraId="223455D1" w14:textId="77777777" w:rsidR="0063376A" w:rsidRPr="004069B7" w:rsidRDefault="0063376A" w:rsidP="0063376A">
      <w:pPr>
        <w:ind w:firstLine="720"/>
        <w:jc w:val="both"/>
        <w:rPr>
          <w:szCs w:val="28"/>
          <w:lang w:val="lv-LV"/>
        </w:rPr>
      </w:pPr>
      <w:r w:rsidRPr="004069B7">
        <w:rPr>
          <w:szCs w:val="28"/>
          <w:lang w:val="lv-LV"/>
        </w:rPr>
        <w:t>5) konstatējot ĀCM mājas cūku novietnēs, nosaka ierobežojumus un kontrolē to ievērošanu, nodrošina dzīvnieku nokaušanu un iznīcināšanu, kā arī novietnes dezinfekciju un kontrolē dezinfekciju;</w:t>
      </w:r>
    </w:p>
    <w:p w14:paraId="4CCD09D8" w14:textId="01BDC12D" w:rsidR="0063376A" w:rsidRPr="004069B7" w:rsidRDefault="0063376A" w:rsidP="0063376A">
      <w:pPr>
        <w:ind w:firstLine="720"/>
        <w:jc w:val="both"/>
        <w:rPr>
          <w:szCs w:val="28"/>
          <w:lang w:val="lv-LV"/>
        </w:rPr>
      </w:pPr>
      <w:r w:rsidRPr="004069B7">
        <w:rPr>
          <w:szCs w:val="28"/>
          <w:lang w:val="lv-LV"/>
        </w:rPr>
        <w:t xml:space="preserve">6) izņem un iznīcina nomedītos inficētos mežacūku liemeņus, </w:t>
      </w:r>
      <w:r w:rsidR="001356AB">
        <w:rPr>
          <w:szCs w:val="28"/>
          <w:lang w:val="lv-LV"/>
        </w:rPr>
        <w:t xml:space="preserve">kā arī </w:t>
      </w:r>
      <w:r w:rsidRPr="004069B7">
        <w:rPr>
          <w:szCs w:val="28"/>
          <w:lang w:val="lv-LV"/>
        </w:rPr>
        <w:t>sagatavo atlīdzības saņemšanas dokumentus medniekiem par paraugu noņemšanu un konfiscēto liemeni;</w:t>
      </w:r>
    </w:p>
    <w:p w14:paraId="12C22508" w14:textId="0B7C398A" w:rsidR="0063376A" w:rsidRPr="004069B7" w:rsidRDefault="0063376A" w:rsidP="0063376A">
      <w:pPr>
        <w:ind w:firstLine="720"/>
        <w:jc w:val="both"/>
        <w:rPr>
          <w:szCs w:val="28"/>
          <w:lang w:val="lv-LV"/>
        </w:rPr>
      </w:pPr>
      <w:r w:rsidRPr="004069B7">
        <w:rPr>
          <w:szCs w:val="28"/>
          <w:lang w:val="lv-LV"/>
        </w:rPr>
        <w:t>7) sagatavo dokumentu, lai dzīvnieku īpašnieki varētu saņemt kompensāciju par iznīcinātajām slimības skartajām cūkām, iznīcināto dzīvnieku barību, dezinfekcijas izdevumiem, iznīcinātajiem dzīvnieku kautķermeņiem, dzīvnieku izcelsmes produktiem un inventāru saskaņā ar Ministru kabineta 2005.</w:t>
      </w:r>
      <w:r w:rsidR="00A859E3" w:rsidRPr="004069B7">
        <w:rPr>
          <w:szCs w:val="28"/>
          <w:lang w:val="lv-LV"/>
        </w:rPr>
        <w:t> </w:t>
      </w:r>
      <w:r w:rsidRPr="004069B7">
        <w:rPr>
          <w:szCs w:val="28"/>
          <w:lang w:val="lv-LV"/>
        </w:rPr>
        <w:t>gada 15.</w:t>
      </w:r>
      <w:r w:rsidR="00A859E3" w:rsidRPr="004069B7">
        <w:rPr>
          <w:szCs w:val="28"/>
          <w:lang w:val="lv-LV"/>
        </w:rPr>
        <w:t> </w:t>
      </w:r>
      <w:r w:rsidRPr="004069B7">
        <w:rPr>
          <w:szCs w:val="28"/>
          <w:lang w:val="lv-LV"/>
        </w:rPr>
        <w:t>marta noteikumiem Nr.</w:t>
      </w:r>
      <w:r w:rsidR="00A859E3" w:rsidRPr="004069B7">
        <w:rPr>
          <w:szCs w:val="28"/>
          <w:lang w:val="lv-LV"/>
        </w:rPr>
        <w:t> </w:t>
      </w:r>
      <w:r w:rsidRPr="004069B7">
        <w:rPr>
          <w:szCs w:val="28"/>
          <w:lang w:val="lv-LV"/>
        </w:rPr>
        <w:t xml:space="preserve">177 „Kārtība, kādā piešķir un dzīvnieku īpašnieks saņem kompensāciju par zaudējumiem, kas radušies valsts uzraudzībā esošās dzīvnieku infekcijas slimības vai </w:t>
      </w:r>
      <w:r w:rsidR="000700F5" w:rsidRPr="004069B7">
        <w:rPr>
          <w:szCs w:val="28"/>
          <w:lang w:val="lv-LV"/>
        </w:rPr>
        <w:t>epizootijas uzliesmojuma laikā”;</w:t>
      </w:r>
    </w:p>
    <w:p w14:paraId="11F72D7F" w14:textId="07894645" w:rsidR="0063376A" w:rsidRPr="004069B7" w:rsidRDefault="004A3C81" w:rsidP="004A3C81">
      <w:pPr>
        <w:pStyle w:val="naisf"/>
        <w:spacing w:before="0" w:beforeAutospacing="0" w:after="0" w:afterAutospacing="0"/>
        <w:ind w:firstLine="720"/>
        <w:rPr>
          <w:szCs w:val="28"/>
          <w:lang w:val="lv-LV"/>
        </w:rPr>
      </w:pPr>
      <w:r w:rsidRPr="004069B7">
        <w:rPr>
          <w:szCs w:val="28"/>
          <w:lang w:val="lv-LV"/>
        </w:rPr>
        <w:t xml:space="preserve">8) </w:t>
      </w:r>
      <w:r w:rsidR="0063376A" w:rsidRPr="004069B7">
        <w:rPr>
          <w:szCs w:val="28"/>
          <w:lang w:val="lv-LV"/>
        </w:rPr>
        <w:t>sadarbībā ar Valsts meža dienestu nodrošina atbalstu mednieku kolektīviem mežacūku populācijas blīvuma samazināšanai, kad par nomedītajām sieviešu kārtas mežacūkām tiek</w:t>
      </w:r>
      <w:r w:rsidRPr="004069B7">
        <w:rPr>
          <w:szCs w:val="28"/>
          <w:lang w:val="lv-LV"/>
        </w:rPr>
        <w:t xml:space="preserve"> izmaksāta kompensācija;</w:t>
      </w:r>
    </w:p>
    <w:p w14:paraId="3859674F" w14:textId="19462724" w:rsidR="004A3C81" w:rsidRPr="004069B7" w:rsidRDefault="004A3C81" w:rsidP="004A3C81">
      <w:pPr>
        <w:pStyle w:val="naisf"/>
        <w:spacing w:before="0" w:beforeAutospacing="0" w:after="0" w:afterAutospacing="0"/>
        <w:ind w:firstLine="720"/>
        <w:rPr>
          <w:szCs w:val="28"/>
          <w:lang w:val="lv-LV"/>
        </w:rPr>
      </w:pPr>
      <w:r w:rsidRPr="004069B7">
        <w:rPr>
          <w:szCs w:val="28"/>
          <w:lang w:val="lv-LV"/>
        </w:rPr>
        <w:t xml:space="preserve">9) </w:t>
      </w:r>
      <w:r w:rsidR="001356AB" w:rsidRPr="004069B7">
        <w:rPr>
          <w:szCs w:val="28"/>
          <w:lang w:val="lv-LV"/>
        </w:rPr>
        <w:t xml:space="preserve">sadarbībā ar vietējām pašvaldībām </w:t>
      </w:r>
      <w:r w:rsidR="001356AB">
        <w:rPr>
          <w:szCs w:val="28"/>
          <w:lang w:val="lv-LV"/>
        </w:rPr>
        <w:t>organizē</w:t>
      </w:r>
      <w:r w:rsidR="001356AB" w:rsidRPr="004069B7">
        <w:rPr>
          <w:szCs w:val="28"/>
          <w:lang w:val="lv-LV"/>
        </w:rPr>
        <w:t xml:space="preserve"> </w:t>
      </w:r>
      <w:r w:rsidRPr="004069B7">
        <w:rPr>
          <w:szCs w:val="28"/>
          <w:lang w:val="lv-LV"/>
        </w:rPr>
        <w:t>atrasto mirušo mežacūku līķu savākšan</w:t>
      </w:r>
      <w:r w:rsidR="001356AB">
        <w:rPr>
          <w:szCs w:val="28"/>
          <w:lang w:val="lv-LV"/>
        </w:rPr>
        <w:t>u</w:t>
      </w:r>
      <w:r w:rsidRPr="004069B7">
        <w:rPr>
          <w:szCs w:val="28"/>
          <w:lang w:val="lv-LV"/>
        </w:rPr>
        <w:t xml:space="preserve"> un iznīcināšan</w:t>
      </w:r>
      <w:r w:rsidR="001356AB">
        <w:rPr>
          <w:szCs w:val="28"/>
          <w:lang w:val="lv-LV"/>
        </w:rPr>
        <w:t>u</w:t>
      </w:r>
      <w:r w:rsidRPr="004069B7">
        <w:rPr>
          <w:szCs w:val="28"/>
          <w:lang w:val="lv-LV"/>
        </w:rPr>
        <w:t>;</w:t>
      </w:r>
    </w:p>
    <w:p w14:paraId="3D96D541" w14:textId="19A79166" w:rsidR="0063376A" w:rsidRPr="004069B7" w:rsidRDefault="004A3C81" w:rsidP="0063376A">
      <w:pPr>
        <w:pStyle w:val="PlainText"/>
        <w:ind w:firstLine="720"/>
        <w:jc w:val="both"/>
        <w:rPr>
          <w:szCs w:val="24"/>
        </w:rPr>
      </w:pPr>
      <w:r w:rsidRPr="004069B7">
        <w:rPr>
          <w:szCs w:val="28"/>
        </w:rPr>
        <w:t xml:space="preserve">10) </w:t>
      </w:r>
      <w:r w:rsidR="0063376A" w:rsidRPr="004069B7">
        <w:rPr>
          <w:szCs w:val="28"/>
        </w:rPr>
        <w:t>īsteno virkni informatīvo pasākumu, lai informētu sabiedrību un dzīvnieku īpašniekus par rīcību ĀCM skartajās teritorijās</w:t>
      </w:r>
      <w:r w:rsidR="0063376A" w:rsidRPr="004069B7">
        <w:rPr>
          <w:szCs w:val="24"/>
        </w:rPr>
        <w:t xml:space="preserve"> un par nepieciešamajiem profilakses pasākumiem</w:t>
      </w:r>
      <w:r w:rsidR="0063376A" w:rsidRPr="004069B7">
        <w:rPr>
          <w:szCs w:val="28"/>
        </w:rPr>
        <w:t xml:space="preserve">. </w:t>
      </w:r>
      <w:r w:rsidR="0063376A" w:rsidRPr="004069B7">
        <w:rPr>
          <w:szCs w:val="24"/>
        </w:rPr>
        <w:t>Tiek organizēti semināri gan cūkaudzētājiem, gan medniekiem, gan inficētajā terito</w:t>
      </w:r>
      <w:r w:rsidRPr="004069B7">
        <w:rPr>
          <w:szCs w:val="24"/>
        </w:rPr>
        <w:t>rijā dzīvojošiem iedzīvotājiem.</w:t>
      </w:r>
    </w:p>
    <w:p w14:paraId="5E800051" w14:textId="77777777" w:rsidR="0063376A" w:rsidRPr="004069B7" w:rsidRDefault="0063376A" w:rsidP="0063376A">
      <w:pPr>
        <w:pStyle w:val="PlainText"/>
        <w:ind w:firstLine="720"/>
        <w:jc w:val="both"/>
        <w:rPr>
          <w:szCs w:val="24"/>
        </w:rPr>
      </w:pPr>
    </w:p>
    <w:p w14:paraId="5A170503" w14:textId="37E4FA3F" w:rsidR="00B616B9" w:rsidRPr="004069B7" w:rsidRDefault="00B616B9" w:rsidP="00B616B9">
      <w:pPr>
        <w:ind w:firstLine="720"/>
        <w:jc w:val="both"/>
        <w:rPr>
          <w:lang w:val="lv-LV"/>
        </w:rPr>
      </w:pPr>
      <w:r w:rsidRPr="004069B7">
        <w:rPr>
          <w:lang w:val="lv-LV"/>
        </w:rPr>
        <w:t xml:space="preserve">Jau </w:t>
      </w:r>
      <w:r w:rsidR="00AF15D7">
        <w:rPr>
          <w:lang w:val="lv-LV"/>
        </w:rPr>
        <w:t>patlaban</w:t>
      </w:r>
      <w:r w:rsidRPr="004069B7">
        <w:rPr>
          <w:lang w:val="lv-LV"/>
        </w:rPr>
        <w:t xml:space="preserve"> PVD</w:t>
      </w:r>
      <w:r w:rsidR="00AF15D7">
        <w:rPr>
          <w:lang w:val="lv-LV"/>
        </w:rPr>
        <w:t xml:space="preserve"> nespēj pilnībā </w:t>
      </w:r>
      <w:r w:rsidRPr="004069B7">
        <w:rPr>
          <w:lang w:val="lv-LV"/>
        </w:rPr>
        <w:t>nodroši</w:t>
      </w:r>
      <w:r w:rsidR="00AF15D7">
        <w:rPr>
          <w:lang w:val="lv-LV"/>
        </w:rPr>
        <w:t>nāt</w:t>
      </w:r>
      <w:r w:rsidRPr="004069B7">
        <w:rPr>
          <w:lang w:val="lv-LV"/>
        </w:rPr>
        <w:t xml:space="preserve"> ĀCM uzraudzību visā</w:t>
      </w:r>
      <w:r w:rsidR="00FC2C1E" w:rsidRPr="004069B7">
        <w:rPr>
          <w:lang w:val="lv-LV"/>
        </w:rPr>
        <w:t>s</w:t>
      </w:r>
      <w:r w:rsidRPr="004069B7">
        <w:rPr>
          <w:lang w:val="lv-LV"/>
        </w:rPr>
        <w:t xml:space="preserve"> I, II un III riska zonās, </w:t>
      </w:r>
      <w:r w:rsidR="00D731E2" w:rsidRPr="004069B7">
        <w:rPr>
          <w:lang w:val="lv-LV"/>
        </w:rPr>
        <w:t>kur</w:t>
      </w:r>
      <w:r w:rsidR="00CA522C" w:rsidRPr="004069B7">
        <w:rPr>
          <w:lang w:val="lv-LV"/>
        </w:rPr>
        <w:t>ās</w:t>
      </w:r>
      <w:r w:rsidR="00D731E2" w:rsidRPr="004069B7">
        <w:rPr>
          <w:lang w:val="lv-LV"/>
        </w:rPr>
        <w:t xml:space="preserve"> </w:t>
      </w:r>
      <w:r w:rsidR="00AF15D7" w:rsidRPr="004069B7">
        <w:rPr>
          <w:lang w:val="lv-LV"/>
        </w:rPr>
        <w:t xml:space="preserve">divas reizes gadā </w:t>
      </w:r>
      <w:r w:rsidR="00AF15D7">
        <w:rPr>
          <w:lang w:val="lv-LV"/>
        </w:rPr>
        <w:t xml:space="preserve">jāinspicē </w:t>
      </w:r>
      <w:r w:rsidRPr="004069B7">
        <w:rPr>
          <w:lang w:val="lv-LV"/>
        </w:rPr>
        <w:t>noviet</w:t>
      </w:r>
      <w:r w:rsidR="00AF15D7">
        <w:rPr>
          <w:lang w:val="lv-LV"/>
        </w:rPr>
        <w:t>nes</w:t>
      </w:r>
      <w:r w:rsidRPr="004069B7">
        <w:rPr>
          <w:lang w:val="lv-LV"/>
        </w:rPr>
        <w:t xml:space="preserve">, </w:t>
      </w:r>
      <w:r w:rsidR="00D731E2" w:rsidRPr="004069B7">
        <w:rPr>
          <w:lang w:val="lv-LV"/>
        </w:rPr>
        <w:t>jā</w:t>
      </w:r>
      <w:r w:rsidRPr="004069B7">
        <w:rPr>
          <w:lang w:val="lv-LV"/>
        </w:rPr>
        <w:t>noņem paraug</w:t>
      </w:r>
      <w:r w:rsidR="00D731E2" w:rsidRPr="004069B7">
        <w:rPr>
          <w:lang w:val="lv-LV"/>
        </w:rPr>
        <w:t>i</w:t>
      </w:r>
      <w:r w:rsidRPr="004069B7">
        <w:rPr>
          <w:lang w:val="lv-LV"/>
        </w:rPr>
        <w:t xml:space="preserve"> laboratoriskajiem izmeklējumiem</w:t>
      </w:r>
      <w:r w:rsidR="00CA522C" w:rsidRPr="004069B7">
        <w:rPr>
          <w:lang w:val="lv-LV"/>
        </w:rPr>
        <w:t>, kā arī</w:t>
      </w:r>
      <w:r w:rsidRPr="004069B7">
        <w:rPr>
          <w:lang w:val="lv-LV"/>
        </w:rPr>
        <w:t xml:space="preserve"> </w:t>
      </w:r>
      <w:r w:rsidR="00D731E2" w:rsidRPr="004069B7">
        <w:rPr>
          <w:lang w:val="lv-LV"/>
        </w:rPr>
        <w:t>jāveic</w:t>
      </w:r>
      <w:r w:rsidRPr="004069B7">
        <w:rPr>
          <w:lang w:val="lv-LV"/>
        </w:rPr>
        <w:t xml:space="preserve"> mājas apstākļos kau</w:t>
      </w:r>
      <w:r w:rsidR="00AF15D7">
        <w:rPr>
          <w:lang w:val="lv-LV"/>
        </w:rPr>
        <w:t>jamu</w:t>
      </w:r>
      <w:r w:rsidRPr="004069B7">
        <w:rPr>
          <w:lang w:val="lv-LV"/>
        </w:rPr>
        <w:t xml:space="preserve"> dzīvnieku pirmskaušanas apskat</w:t>
      </w:r>
      <w:r w:rsidR="00900CE1" w:rsidRPr="004069B7">
        <w:rPr>
          <w:lang w:val="lv-LV"/>
        </w:rPr>
        <w:t>e</w:t>
      </w:r>
      <w:r w:rsidRPr="004069B7">
        <w:rPr>
          <w:lang w:val="lv-LV"/>
        </w:rPr>
        <w:t xml:space="preserve"> un pēckaušanas veterināro ekspertīz</w:t>
      </w:r>
      <w:r w:rsidR="00900CE1" w:rsidRPr="004069B7">
        <w:rPr>
          <w:lang w:val="lv-LV"/>
        </w:rPr>
        <w:t>e</w:t>
      </w:r>
      <w:r w:rsidRPr="004069B7">
        <w:rPr>
          <w:lang w:val="lv-LV"/>
        </w:rPr>
        <w:t>, kā to paredz tiesību akti. Eiropas Komisijas veterinār</w:t>
      </w:r>
      <w:r w:rsidR="00FC2C1E" w:rsidRPr="004069B7">
        <w:rPr>
          <w:lang w:val="lv-LV"/>
        </w:rPr>
        <w:t>o un pārtikas inspektoru 2016. </w:t>
      </w:r>
      <w:r w:rsidRPr="004069B7">
        <w:rPr>
          <w:lang w:val="lv-LV"/>
        </w:rPr>
        <w:t>gada septembra vizītes laikā konstatētie trūkumi attiecas tieši uz šiem jautājumiem, kur</w:t>
      </w:r>
      <w:r w:rsidR="00FC2C1E" w:rsidRPr="004069B7">
        <w:rPr>
          <w:lang w:val="lv-LV"/>
        </w:rPr>
        <w:t xml:space="preserve">u </w:t>
      </w:r>
      <w:r w:rsidR="00AF15D7">
        <w:rPr>
          <w:lang w:val="lv-LV"/>
        </w:rPr>
        <w:t>atrisinā</w:t>
      </w:r>
      <w:r w:rsidR="00FC2C1E" w:rsidRPr="004069B7">
        <w:rPr>
          <w:lang w:val="lv-LV"/>
        </w:rPr>
        <w:t>šanai</w:t>
      </w:r>
      <w:r w:rsidRPr="004069B7">
        <w:rPr>
          <w:lang w:val="lv-LV"/>
        </w:rPr>
        <w:t xml:space="preserve"> </w:t>
      </w:r>
      <w:r w:rsidR="00AF15D7">
        <w:rPr>
          <w:lang w:val="lv-LV"/>
        </w:rPr>
        <w:t>kompetentajai institūcijai</w:t>
      </w:r>
      <w:r w:rsidR="00AF15D7" w:rsidRPr="004069B7">
        <w:rPr>
          <w:lang w:val="lv-LV"/>
        </w:rPr>
        <w:t xml:space="preserve"> </w:t>
      </w:r>
      <w:r w:rsidRPr="004069B7">
        <w:rPr>
          <w:lang w:val="lv-LV"/>
        </w:rPr>
        <w:t xml:space="preserve">nepieciešami lieli cilvēkresursi. </w:t>
      </w:r>
    </w:p>
    <w:p w14:paraId="210C0504" w14:textId="77777777" w:rsidR="00507DB6" w:rsidRDefault="00507DB6" w:rsidP="004F0629">
      <w:pPr>
        <w:ind w:firstLine="720"/>
        <w:jc w:val="both"/>
        <w:rPr>
          <w:lang w:val="lv-LV"/>
        </w:rPr>
      </w:pPr>
    </w:p>
    <w:p w14:paraId="10908003" w14:textId="6B77677E" w:rsidR="004F0629" w:rsidRPr="004F0629" w:rsidRDefault="000D487C" w:rsidP="004F0629">
      <w:pPr>
        <w:ind w:firstLine="720"/>
        <w:jc w:val="both"/>
        <w:rPr>
          <w:szCs w:val="22"/>
          <w:lang w:val="lv-LV"/>
        </w:rPr>
      </w:pPr>
      <w:r>
        <w:rPr>
          <w:lang w:val="lv-LV"/>
        </w:rPr>
        <w:t xml:space="preserve">Tāpat arī </w:t>
      </w:r>
      <w:r w:rsidR="004F0629" w:rsidRPr="004F0629">
        <w:rPr>
          <w:lang w:val="lv-LV"/>
        </w:rPr>
        <w:t xml:space="preserve">Eiropas Komisijas Veselības un pārtikas nekaitīguma komisārs Vītenis Andrjukaitis vairākkārtīgi vēstulēs </w:t>
      </w:r>
      <w:r>
        <w:rPr>
          <w:lang w:val="lv-LV"/>
        </w:rPr>
        <w:t xml:space="preserve">(2016. gada 14. jūlijā un 2017. gada 20. februārī) </w:t>
      </w:r>
      <w:r w:rsidR="004F0629" w:rsidRPr="004F0629">
        <w:rPr>
          <w:lang w:val="lv-LV"/>
        </w:rPr>
        <w:t>zemkopības ministram ir norādījis par Eiropas Komisijas bažām par Ā</w:t>
      </w:r>
      <w:r w:rsidR="007D28D2">
        <w:rPr>
          <w:lang w:val="lv-LV"/>
        </w:rPr>
        <w:t>CM</w:t>
      </w:r>
      <w:r w:rsidR="004F0629" w:rsidRPr="004F0629">
        <w:rPr>
          <w:lang w:val="lv-LV"/>
        </w:rPr>
        <w:t xml:space="preserve"> izplatīšanos Latvijā un citās Baltijas valstīs</w:t>
      </w:r>
      <w:r w:rsidR="007D28D2">
        <w:rPr>
          <w:lang w:val="lv-LV"/>
        </w:rPr>
        <w:t>, kā arī</w:t>
      </w:r>
      <w:r w:rsidR="004F0629" w:rsidRPr="004F0629">
        <w:rPr>
          <w:lang w:val="lv-LV"/>
        </w:rPr>
        <w:t xml:space="preserve"> Polijā. Komisārs ir uzsvēris nepieciešamību veikt visus iespējamos pasākumus biodrošības nodrošināšanai gan dzīvnieku novietnēs, gan medījumu apstrādes vietās, lai ierobežotu Ā</w:t>
      </w:r>
      <w:r w:rsidR="005D2376">
        <w:rPr>
          <w:lang w:val="lv-LV"/>
        </w:rPr>
        <w:t>CM</w:t>
      </w:r>
      <w:r w:rsidR="004F0629" w:rsidRPr="004F0629">
        <w:rPr>
          <w:lang w:val="lv-LV"/>
        </w:rPr>
        <w:t xml:space="preserve"> izplatību Latvijā</w:t>
      </w:r>
      <w:r w:rsidR="00A338BF">
        <w:rPr>
          <w:lang w:val="lv-LV"/>
        </w:rPr>
        <w:t>,</w:t>
      </w:r>
      <w:r w:rsidR="004F0629" w:rsidRPr="004F0629">
        <w:rPr>
          <w:lang w:val="lv-LV"/>
        </w:rPr>
        <w:t xml:space="preserve"> jo īpaši mājas cūkā</w:t>
      </w:r>
      <w:r w:rsidR="00A338BF">
        <w:rPr>
          <w:lang w:val="lv-LV"/>
        </w:rPr>
        <w:t>s</w:t>
      </w:r>
      <w:r w:rsidR="004F0629" w:rsidRPr="004F0629">
        <w:rPr>
          <w:lang w:val="lv-LV"/>
        </w:rPr>
        <w:t>.</w:t>
      </w:r>
    </w:p>
    <w:p w14:paraId="40283408" w14:textId="77777777" w:rsidR="00DC4FDC" w:rsidRPr="004069B7" w:rsidRDefault="00DC4FDC" w:rsidP="00D731E2">
      <w:pPr>
        <w:ind w:firstLine="720"/>
        <w:jc w:val="both"/>
        <w:rPr>
          <w:lang w:val="lv-LV"/>
        </w:rPr>
      </w:pPr>
    </w:p>
    <w:p w14:paraId="6122C87C" w14:textId="0630EA6E" w:rsidR="00D731E2" w:rsidRPr="004069B7" w:rsidRDefault="00D731E2" w:rsidP="00EC4233">
      <w:pPr>
        <w:ind w:firstLine="720"/>
        <w:jc w:val="both"/>
        <w:rPr>
          <w:lang w:val="lv-LV"/>
        </w:rPr>
      </w:pPr>
      <w:r w:rsidRPr="004069B7">
        <w:rPr>
          <w:lang w:val="lv-LV"/>
        </w:rPr>
        <w:t>Nepietiekam</w:t>
      </w:r>
      <w:r w:rsidR="00707A6F">
        <w:rPr>
          <w:lang w:val="lv-LV"/>
        </w:rPr>
        <w:t>i</w:t>
      </w:r>
      <w:r w:rsidRPr="004069B7">
        <w:rPr>
          <w:lang w:val="lv-LV"/>
        </w:rPr>
        <w:t xml:space="preserve"> efektīva infekcijas slimību izplatības valsts uzraudzība un kontrole rada risku, ka Latvijai tiks noteikti tirdzniecības, tostarp starptautiskās tirdzniecības, aizliegumi. Infekcijas slimību apkarošana ir laikietilpīgāks pasākums nekā to uzraudzība, un tā prasa daudzkārt lielākus finanšu resursus.</w:t>
      </w:r>
    </w:p>
    <w:p w14:paraId="0E722D11" w14:textId="77777777" w:rsidR="00860EA4" w:rsidRPr="004069B7" w:rsidRDefault="00860EA4" w:rsidP="00860EA4">
      <w:pPr>
        <w:pStyle w:val="ListParagraph"/>
        <w:ind w:left="0" w:firstLine="720"/>
        <w:jc w:val="both"/>
        <w:rPr>
          <w:szCs w:val="24"/>
        </w:rPr>
      </w:pPr>
    </w:p>
    <w:p w14:paraId="4D37ADDB" w14:textId="2DE6B62E" w:rsidR="00860EA4" w:rsidRDefault="00DC2BB6" w:rsidP="0079724B">
      <w:pPr>
        <w:ind w:firstLine="720"/>
        <w:jc w:val="both"/>
        <w:rPr>
          <w:lang w:val="lv-LV"/>
        </w:rPr>
      </w:pPr>
      <w:r w:rsidRPr="004069B7">
        <w:rPr>
          <w:lang w:val="lv-LV"/>
        </w:rPr>
        <w:t>ĀCM</w:t>
      </w:r>
      <w:r w:rsidR="00860EA4" w:rsidRPr="004069B7">
        <w:rPr>
          <w:lang w:val="lv-LV"/>
        </w:rPr>
        <w:t xml:space="preserve"> izplatoties valstī ir </w:t>
      </w:r>
      <w:r w:rsidR="00AF15D7">
        <w:rPr>
          <w:lang w:val="lv-LV"/>
        </w:rPr>
        <w:t>daudzkārt</w:t>
      </w:r>
      <w:r w:rsidR="0079724B" w:rsidRPr="004069B7">
        <w:rPr>
          <w:lang w:val="lv-LV"/>
        </w:rPr>
        <w:t xml:space="preserve"> </w:t>
      </w:r>
      <w:r w:rsidR="00860EA4" w:rsidRPr="004069B7">
        <w:rPr>
          <w:lang w:val="lv-LV"/>
        </w:rPr>
        <w:t xml:space="preserve">palielinājies pārbaudīto objektu skaits </w:t>
      </w:r>
      <w:r w:rsidR="0079724B" w:rsidRPr="004069B7">
        <w:rPr>
          <w:lang w:val="lv-LV"/>
        </w:rPr>
        <w:t>(salīdzinājumā ar 2012. gadu pat divkāršojies)</w:t>
      </w:r>
      <w:r w:rsidR="00AF15D7">
        <w:rPr>
          <w:lang w:val="lv-LV"/>
        </w:rPr>
        <w:t>:</w:t>
      </w:r>
      <w:r w:rsidR="00860EA4" w:rsidRPr="004069B7">
        <w:rPr>
          <w:lang w:val="lv-LV"/>
        </w:rPr>
        <w:t xml:space="preserve"> 2012.</w:t>
      </w:r>
      <w:r w:rsidR="0079724B" w:rsidRPr="004069B7">
        <w:rPr>
          <w:lang w:val="lv-LV"/>
        </w:rPr>
        <w:t> </w:t>
      </w:r>
      <w:r w:rsidR="00860EA4" w:rsidRPr="004069B7">
        <w:rPr>
          <w:lang w:val="lv-LV"/>
        </w:rPr>
        <w:t xml:space="preserve">gadā pārbaudītas 8744 </w:t>
      </w:r>
      <w:r w:rsidR="00ED7510">
        <w:rPr>
          <w:lang w:val="lv-LV"/>
        </w:rPr>
        <w:t xml:space="preserve">cūku sugas dzīvnieku </w:t>
      </w:r>
      <w:r w:rsidR="00860EA4" w:rsidRPr="004069B7">
        <w:rPr>
          <w:lang w:val="lv-LV"/>
        </w:rPr>
        <w:t>novietnes, bet 2016.</w:t>
      </w:r>
      <w:r w:rsidR="0079724B" w:rsidRPr="004069B7">
        <w:rPr>
          <w:lang w:val="lv-LV"/>
        </w:rPr>
        <w:t xml:space="preserve"> gadā </w:t>
      </w:r>
      <w:r w:rsidR="00AF15D7">
        <w:rPr>
          <w:lang w:val="lv-LV"/>
        </w:rPr>
        <w:t xml:space="preserve">– </w:t>
      </w:r>
      <w:r w:rsidR="0079724B" w:rsidRPr="004069B7">
        <w:rPr>
          <w:lang w:val="lv-LV"/>
        </w:rPr>
        <w:t>19</w:t>
      </w:r>
      <w:r w:rsidR="0047023D" w:rsidRPr="004069B7">
        <w:rPr>
          <w:lang w:val="lv-LV"/>
        </w:rPr>
        <w:t> </w:t>
      </w:r>
      <w:r w:rsidR="0079724B" w:rsidRPr="004069B7">
        <w:rPr>
          <w:lang w:val="lv-LV"/>
        </w:rPr>
        <w:t xml:space="preserve">398 novietnes (skatīt </w:t>
      </w:r>
      <w:r w:rsidR="00860EA4" w:rsidRPr="004069B7">
        <w:rPr>
          <w:lang w:val="lv-LV"/>
        </w:rPr>
        <w:t>attēl</w:t>
      </w:r>
      <w:r w:rsidR="0079724B" w:rsidRPr="004069B7">
        <w:rPr>
          <w:lang w:val="lv-LV"/>
        </w:rPr>
        <w:t>u</w:t>
      </w:r>
      <w:r w:rsidR="00860EA4" w:rsidRPr="004069B7">
        <w:rPr>
          <w:lang w:val="lv-LV"/>
        </w:rPr>
        <w:t xml:space="preserve">). </w:t>
      </w:r>
    </w:p>
    <w:p w14:paraId="15BBEC9A" w14:textId="77777777" w:rsidR="00AF15D7" w:rsidRPr="004069B7" w:rsidRDefault="00AF15D7" w:rsidP="0079724B">
      <w:pPr>
        <w:ind w:firstLine="720"/>
        <w:jc w:val="both"/>
        <w:rPr>
          <w:lang w:val="lv-LV"/>
        </w:rPr>
      </w:pPr>
    </w:p>
    <w:p w14:paraId="6C158BBD" w14:textId="77777777" w:rsidR="00860EA4" w:rsidRPr="004069B7" w:rsidRDefault="0079724B" w:rsidP="00860EA4">
      <w:pPr>
        <w:jc w:val="right"/>
        <w:rPr>
          <w:lang w:val="lv-LV"/>
        </w:rPr>
      </w:pPr>
      <w:r w:rsidRPr="004069B7">
        <w:rPr>
          <w:lang w:val="lv-LV"/>
        </w:rPr>
        <w:t>Attēls</w:t>
      </w:r>
    </w:p>
    <w:p w14:paraId="119EC20E" w14:textId="77777777" w:rsidR="00860EA4" w:rsidRPr="004069B7" w:rsidRDefault="00860EA4" w:rsidP="00860EA4">
      <w:pPr>
        <w:jc w:val="both"/>
        <w:rPr>
          <w:lang w:val="lv-LV"/>
        </w:rPr>
      </w:pPr>
    </w:p>
    <w:p w14:paraId="1287583F" w14:textId="77777777" w:rsidR="00860EA4" w:rsidRPr="004069B7" w:rsidRDefault="00860EA4" w:rsidP="00165ED5">
      <w:pPr>
        <w:jc w:val="center"/>
        <w:rPr>
          <w:color w:val="FF0000"/>
          <w:lang w:val="lv-LV"/>
        </w:rPr>
      </w:pPr>
      <w:r w:rsidRPr="004069B7">
        <w:rPr>
          <w:noProof/>
          <w:color w:val="FF0000"/>
          <w:lang w:val="lv-LV" w:eastAsia="lv-LV"/>
        </w:rPr>
        <w:drawing>
          <wp:inline distT="0" distB="0" distL="0" distR="0" wp14:anchorId="7FF03B8C" wp14:editId="3E2955D5">
            <wp:extent cx="4484370" cy="27114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370" cy="2711450"/>
                    </a:xfrm>
                    <a:prstGeom prst="rect">
                      <a:avLst/>
                    </a:prstGeom>
                    <a:noFill/>
                    <a:ln>
                      <a:noFill/>
                    </a:ln>
                  </pic:spPr>
                </pic:pic>
              </a:graphicData>
            </a:graphic>
          </wp:inline>
        </w:drawing>
      </w:r>
    </w:p>
    <w:p w14:paraId="6D513576" w14:textId="77777777" w:rsidR="00860EA4" w:rsidRPr="004069B7" w:rsidRDefault="00860EA4" w:rsidP="00860EA4">
      <w:pPr>
        <w:pStyle w:val="ListParagraph"/>
        <w:ind w:left="0"/>
        <w:jc w:val="both"/>
        <w:rPr>
          <w:color w:val="FF0000"/>
          <w:szCs w:val="24"/>
        </w:rPr>
      </w:pPr>
    </w:p>
    <w:p w14:paraId="5F7CE222" w14:textId="67CA1E76" w:rsidR="00DE6531" w:rsidRPr="004069B7" w:rsidRDefault="00DE6531" w:rsidP="00DE6531">
      <w:pPr>
        <w:ind w:firstLine="720"/>
        <w:jc w:val="both"/>
        <w:rPr>
          <w:bCs/>
          <w:lang w:val="lv-LV"/>
        </w:rPr>
      </w:pPr>
      <w:r w:rsidRPr="004069B7">
        <w:rPr>
          <w:bCs/>
          <w:lang w:val="lv-LV"/>
        </w:rPr>
        <w:t xml:space="preserve">Ar Ministru kabineta </w:t>
      </w:r>
      <w:r w:rsidRPr="004069B7">
        <w:rPr>
          <w:color w:val="414142"/>
          <w:lang w:val="lv-LV"/>
        </w:rPr>
        <w:t>2017. gada 28. februār</w:t>
      </w:r>
      <w:r w:rsidR="00040101" w:rsidRPr="004069B7">
        <w:rPr>
          <w:color w:val="414142"/>
          <w:lang w:val="lv-LV"/>
        </w:rPr>
        <w:t>a</w:t>
      </w:r>
      <w:r w:rsidRPr="004069B7">
        <w:rPr>
          <w:bCs/>
          <w:color w:val="414142"/>
          <w:lang w:val="lv-LV"/>
        </w:rPr>
        <w:t xml:space="preserve"> </w:t>
      </w:r>
      <w:r w:rsidRPr="004069B7">
        <w:rPr>
          <w:bCs/>
          <w:lang w:val="lv-LV"/>
        </w:rPr>
        <w:t>noteikumiem Nr. 112 „Grozījumi Ministru kabineta 2015. gada 9. jūnija noteikumos Nr. 291 „Noteikumi par biodrošības pasākumu kopumu dzīvnieku turēšanas vietām”</w:t>
      </w:r>
      <w:r w:rsidR="00AF15D7">
        <w:rPr>
          <w:bCs/>
          <w:lang w:val="lv-LV"/>
        </w:rPr>
        <w:t>”</w:t>
      </w:r>
      <w:r w:rsidRPr="004069B7">
        <w:rPr>
          <w:bCs/>
          <w:lang w:val="lv-LV"/>
        </w:rPr>
        <w:t xml:space="preserve"> noteikti biodrošības pasākumi novietnēs, kurās tur mājputnus.</w:t>
      </w:r>
      <w:r w:rsidR="009164C3" w:rsidRPr="004069B7">
        <w:rPr>
          <w:bCs/>
          <w:lang w:val="lv-LV"/>
        </w:rPr>
        <w:t xml:space="preserve"> </w:t>
      </w:r>
    </w:p>
    <w:p w14:paraId="54FC0C57" w14:textId="00E6BA34" w:rsidR="009164C3" w:rsidRPr="004069B7" w:rsidRDefault="00860EA4" w:rsidP="009164C3">
      <w:pPr>
        <w:ind w:firstLine="720"/>
        <w:jc w:val="both"/>
        <w:rPr>
          <w:lang w:val="lv-LV"/>
        </w:rPr>
      </w:pPr>
      <w:r w:rsidRPr="004069B7">
        <w:rPr>
          <w:lang w:val="lv-LV"/>
        </w:rPr>
        <w:lastRenderedPageBreak/>
        <w:t>PVD inspektoriem ir jā</w:t>
      </w:r>
      <w:r w:rsidR="00AF15D7">
        <w:rPr>
          <w:lang w:val="lv-LV"/>
        </w:rPr>
        <w:t>kontrolē</w:t>
      </w:r>
      <w:r w:rsidRPr="004069B7">
        <w:rPr>
          <w:lang w:val="lv-LV"/>
        </w:rPr>
        <w:t xml:space="preserve"> arī šo biodrošības prasību ievērošana. </w:t>
      </w:r>
      <w:r w:rsidR="009164C3" w:rsidRPr="004069B7">
        <w:rPr>
          <w:lang w:val="lv-LV"/>
        </w:rPr>
        <w:t xml:space="preserve">Latvijā ir šāds putnu saimniecību skaits: </w:t>
      </w:r>
    </w:p>
    <w:p w14:paraId="64724536" w14:textId="14649165" w:rsidR="009164C3" w:rsidRPr="004069B7" w:rsidRDefault="009164C3" w:rsidP="009164C3">
      <w:pPr>
        <w:ind w:left="709"/>
        <w:jc w:val="both"/>
        <w:rPr>
          <w:lang w:val="lv-LV"/>
        </w:rPr>
      </w:pPr>
      <w:r w:rsidRPr="004069B7">
        <w:rPr>
          <w:lang w:val="lv-LV"/>
        </w:rPr>
        <w:t>• vairāk nekā 1000 mājputn</w:t>
      </w:r>
      <w:r w:rsidR="00AF15D7">
        <w:rPr>
          <w:lang w:val="lv-LV"/>
        </w:rPr>
        <w:t>u</w:t>
      </w:r>
      <w:r w:rsidRPr="004069B7">
        <w:rPr>
          <w:lang w:val="lv-LV"/>
        </w:rPr>
        <w:t xml:space="preserve"> – 30 saimniecības; </w:t>
      </w:r>
    </w:p>
    <w:p w14:paraId="0ED62022" w14:textId="77777777" w:rsidR="009164C3" w:rsidRPr="004069B7" w:rsidRDefault="009164C3" w:rsidP="009164C3">
      <w:pPr>
        <w:ind w:left="709"/>
        <w:jc w:val="both"/>
        <w:rPr>
          <w:lang w:val="lv-LV"/>
        </w:rPr>
      </w:pPr>
      <w:r w:rsidRPr="004069B7">
        <w:rPr>
          <w:lang w:val="lv-LV"/>
        </w:rPr>
        <w:t xml:space="preserve">• no 100 līdz 1000 mājputniem </w:t>
      </w:r>
      <w:r w:rsidR="009B1766" w:rsidRPr="004069B7">
        <w:rPr>
          <w:lang w:val="lv-LV"/>
        </w:rPr>
        <w:t xml:space="preserve">– </w:t>
      </w:r>
      <w:r w:rsidRPr="004069B7">
        <w:rPr>
          <w:lang w:val="lv-LV"/>
        </w:rPr>
        <w:t>278 saimniecības;</w:t>
      </w:r>
    </w:p>
    <w:p w14:paraId="479B60F6" w14:textId="77777777" w:rsidR="009164C3" w:rsidRPr="004069B7" w:rsidRDefault="009164C3" w:rsidP="009164C3">
      <w:pPr>
        <w:ind w:left="709"/>
        <w:jc w:val="both"/>
        <w:rPr>
          <w:lang w:val="lv-LV"/>
        </w:rPr>
      </w:pPr>
      <w:r w:rsidRPr="004069B7">
        <w:rPr>
          <w:lang w:val="lv-LV"/>
        </w:rPr>
        <w:t xml:space="preserve">• līdz 100 mājputniem – 4000 saimniecības. </w:t>
      </w:r>
    </w:p>
    <w:p w14:paraId="2EE3A871" w14:textId="77777777" w:rsidR="009B1766" w:rsidRPr="004069B7" w:rsidRDefault="009B1766" w:rsidP="009164C3">
      <w:pPr>
        <w:pStyle w:val="ListParagraph"/>
        <w:ind w:left="0" w:firstLine="720"/>
        <w:jc w:val="both"/>
        <w:rPr>
          <w:szCs w:val="24"/>
        </w:rPr>
      </w:pPr>
    </w:p>
    <w:p w14:paraId="32136115" w14:textId="038FB732" w:rsidR="00EE0258" w:rsidRPr="004069B7" w:rsidRDefault="002C7308" w:rsidP="009164C3">
      <w:pPr>
        <w:pStyle w:val="ListParagraph"/>
        <w:ind w:left="0" w:firstLine="720"/>
        <w:jc w:val="both"/>
        <w:rPr>
          <w:szCs w:val="24"/>
        </w:rPr>
      </w:pPr>
      <w:r w:rsidRPr="004069B7">
        <w:rPr>
          <w:szCs w:val="24"/>
        </w:rPr>
        <w:t xml:space="preserve">PVD jāveic </w:t>
      </w:r>
      <w:r w:rsidR="009805C8" w:rsidRPr="004069B7">
        <w:rPr>
          <w:szCs w:val="24"/>
        </w:rPr>
        <w:t xml:space="preserve">ne tikai cūku un putnu novietņu, bet </w:t>
      </w:r>
      <w:r w:rsidRPr="004069B7">
        <w:rPr>
          <w:szCs w:val="24"/>
        </w:rPr>
        <w:t>arī citu uzraudzības objektu regulāras un ārpuskārtas (</w:t>
      </w:r>
      <w:r w:rsidR="00AF15D7">
        <w:rPr>
          <w:szCs w:val="24"/>
        </w:rPr>
        <w:t>pēc</w:t>
      </w:r>
      <w:r w:rsidRPr="004069B7">
        <w:rPr>
          <w:szCs w:val="24"/>
        </w:rPr>
        <w:t xml:space="preserve"> saņemtajām sūdzībām vai atkārtotas </w:t>
      </w:r>
      <w:r w:rsidR="007E5ED1" w:rsidRPr="004069B7">
        <w:rPr>
          <w:szCs w:val="24"/>
        </w:rPr>
        <w:t xml:space="preserve">pārbaudes </w:t>
      </w:r>
      <w:r w:rsidRPr="004069B7">
        <w:rPr>
          <w:szCs w:val="24"/>
        </w:rPr>
        <w:t xml:space="preserve">pēc </w:t>
      </w:r>
      <w:r w:rsidR="001F6BB3" w:rsidRPr="004069B7">
        <w:rPr>
          <w:szCs w:val="24"/>
        </w:rPr>
        <w:t>konsta</w:t>
      </w:r>
      <w:r w:rsidRPr="004069B7">
        <w:rPr>
          <w:szCs w:val="24"/>
        </w:rPr>
        <w:t>tēto neatbilstību novēršanas) pārbaudes</w:t>
      </w:r>
      <w:r w:rsidR="00471CC0" w:rsidRPr="004069B7">
        <w:rPr>
          <w:szCs w:val="24"/>
        </w:rPr>
        <w:t>. Tie ir gan</w:t>
      </w:r>
      <w:r w:rsidR="00A12B3C" w:rsidRPr="004069B7">
        <w:rPr>
          <w:szCs w:val="24"/>
        </w:rPr>
        <w:t xml:space="preserve"> pārtikas (tostarp materiālu, kas paredzēti saskarei ar pārtiku) </w:t>
      </w:r>
      <w:r w:rsidR="002473D3" w:rsidRPr="004069B7">
        <w:rPr>
          <w:szCs w:val="24"/>
        </w:rPr>
        <w:t>aprites uzņēmum</w:t>
      </w:r>
      <w:r w:rsidR="00471CC0" w:rsidRPr="004069B7">
        <w:rPr>
          <w:szCs w:val="24"/>
        </w:rPr>
        <w:t>i</w:t>
      </w:r>
      <w:r w:rsidR="002473D3" w:rsidRPr="004069B7">
        <w:rPr>
          <w:szCs w:val="24"/>
        </w:rPr>
        <w:t xml:space="preserve"> (</w:t>
      </w:r>
      <w:r w:rsidR="00A12B3C" w:rsidRPr="004069B7">
        <w:rPr>
          <w:szCs w:val="24"/>
        </w:rPr>
        <w:t>ražošanas, tirdzniecības un uzglabāšanas uzņēmum</w:t>
      </w:r>
      <w:r w:rsidR="002473D3" w:rsidRPr="004069B7">
        <w:rPr>
          <w:szCs w:val="24"/>
        </w:rPr>
        <w:t>i</w:t>
      </w:r>
      <w:r w:rsidR="00A12B3C" w:rsidRPr="004069B7">
        <w:rPr>
          <w:szCs w:val="24"/>
        </w:rPr>
        <w:t>, sabiedriskās ēdināšanas viet</w:t>
      </w:r>
      <w:r w:rsidR="002473D3" w:rsidRPr="004069B7">
        <w:rPr>
          <w:szCs w:val="24"/>
        </w:rPr>
        <w:t>a</w:t>
      </w:r>
      <w:r w:rsidR="00A12B3C" w:rsidRPr="004069B7">
        <w:rPr>
          <w:szCs w:val="24"/>
        </w:rPr>
        <w:t>s</w:t>
      </w:r>
      <w:r w:rsidR="00D04950" w:rsidRPr="004069B7">
        <w:rPr>
          <w:szCs w:val="24"/>
        </w:rPr>
        <w:t>, skol</w:t>
      </w:r>
      <w:r w:rsidR="002473D3" w:rsidRPr="004069B7">
        <w:rPr>
          <w:szCs w:val="24"/>
        </w:rPr>
        <w:t>a</w:t>
      </w:r>
      <w:r w:rsidR="00D04950" w:rsidRPr="004069B7">
        <w:rPr>
          <w:szCs w:val="24"/>
        </w:rPr>
        <w:t>s, bērnudārz</w:t>
      </w:r>
      <w:r w:rsidR="002473D3" w:rsidRPr="004069B7">
        <w:rPr>
          <w:szCs w:val="24"/>
        </w:rPr>
        <w:t>i</w:t>
      </w:r>
      <w:r w:rsidR="00C5125B" w:rsidRPr="004069B7">
        <w:rPr>
          <w:szCs w:val="24"/>
        </w:rPr>
        <w:t xml:space="preserve"> u.c.)</w:t>
      </w:r>
      <w:r w:rsidR="00AF15D7">
        <w:rPr>
          <w:szCs w:val="24"/>
        </w:rPr>
        <w:t>,</w:t>
      </w:r>
      <w:r w:rsidR="00471CC0" w:rsidRPr="004069B7">
        <w:rPr>
          <w:szCs w:val="24"/>
        </w:rPr>
        <w:t xml:space="preserve"> gan</w:t>
      </w:r>
      <w:r w:rsidR="00A12B3C" w:rsidRPr="004069B7">
        <w:rPr>
          <w:szCs w:val="24"/>
        </w:rPr>
        <w:t xml:space="preserve"> veterinārās uzraudz</w:t>
      </w:r>
      <w:r w:rsidR="009335E4" w:rsidRPr="004069B7">
        <w:rPr>
          <w:szCs w:val="24"/>
        </w:rPr>
        <w:t>ības objekt</w:t>
      </w:r>
      <w:r w:rsidR="00A97305" w:rsidRPr="004069B7">
        <w:rPr>
          <w:szCs w:val="24"/>
        </w:rPr>
        <w:t>i</w:t>
      </w:r>
      <w:r w:rsidR="009805C8" w:rsidRPr="004069B7">
        <w:rPr>
          <w:szCs w:val="24"/>
        </w:rPr>
        <w:t xml:space="preserve"> (</w:t>
      </w:r>
      <w:r w:rsidR="002473D3" w:rsidRPr="004069B7">
        <w:rPr>
          <w:szCs w:val="24"/>
        </w:rPr>
        <w:t xml:space="preserve">dzīvnieku novietnes un audzētavas, veterinārmedicīniskās prakses iestādes, </w:t>
      </w:r>
      <w:r w:rsidR="009B1169" w:rsidRPr="004069B7">
        <w:rPr>
          <w:szCs w:val="24"/>
        </w:rPr>
        <w:t>dzīvnieku patversmes un viesnīcas</w:t>
      </w:r>
      <w:r w:rsidR="005865B5" w:rsidRPr="004069B7">
        <w:rPr>
          <w:szCs w:val="24"/>
        </w:rPr>
        <w:t>, blakusproduktu aprites uzņēmumi</w:t>
      </w:r>
      <w:r w:rsidR="00D81940" w:rsidRPr="004069B7">
        <w:rPr>
          <w:szCs w:val="24"/>
        </w:rPr>
        <w:t xml:space="preserve">, veterināro </w:t>
      </w:r>
      <w:r w:rsidR="00A12B3C" w:rsidRPr="004069B7">
        <w:rPr>
          <w:szCs w:val="24"/>
        </w:rPr>
        <w:t>zāļu lieltirgotavas</w:t>
      </w:r>
      <w:r w:rsidR="00D81940" w:rsidRPr="004069B7">
        <w:rPr>
          <w:szCs w:val="24"/>
        </w:rPr>
        <w:t xml:space="preserve"> un</w:t>
      </w:r>
      <w:r w:rsidR="00A12B3C" w:rsidRPr="004069B7">
        <w:rPr>
          <w:szCs w:val="24"/>
        </w:rPr>
        <w:t xml:space="preserve"> aptiekas</w:t>
      </w:r>
      <w:r w:rsidR="002473D3" w:rsidRPr="004069B7">
        <w:rPr>
          <w:szCs w:val="24"/>
        </w:rPr>
        <w:t>, dzīvnieku barības aprites uzņ</w:t>
      </w:r>
      <w:r w:rsidR="00D81940" w:rsidRPr="004069B7">
        <w:rPr>
          <w:szCs w:val="24"/>
        </w:rPr>
        <w:t>ēmumi u.c.)</w:t>
      </w:r>
      <w:r w:rsidR="009B1169" w:rsidRPr="004069B7">
        <w:rPr>
          <w:szCs w:val="24"/>
        </w:rPr>
        <w:t>.</w:t>
      </w:r>
    </w:p>
    <w:p w14:paraId="3B95BAF5" w14:textId="42273097" w:rsidR="001D3275" w:rsidRPr="004069B7" w:rsidRDefault="001D3275" w:rsidP="009164C3">
      <w:pPr>
        <w:pStyle w:val="ListParagraph"/>
        <w:ind w:left="0" w:firstLine="720"/>
        <w:jc w:val="both"/>
        <w:rPr>
          <w:szCs w:val="24"/>
        </w:rPr>
      </w:pPr>
      <w:r w:rsidRPr="004069B7">
        <w:rPr>
          <w:szCs w:val="24"/>
        </w:rPr>
        <w:t xml:space="preserve">2016. gadā PVD inspektori ir veikuši </w:t>
      </w:r>
      <w:r w:rsidR="00337DED" w:rsidRPr="004069B7">
        <w:rPr>
          <w:szCs w:val="24"/>
        </w:rPr>
        <w:t>36 282 pārbaudes pārtikas uzņēmumos</w:t>
      </w:r>
      <w:r w:rsidR="00980B51" w:rsidRPr="004069B7">
        <w:rPr>
          <w:szCs w:val="24"/>
        </w:rPr>
        <w:t xml:space="preserve"> un 25 437 pārbaudes veterinārās uzraudzības objektos.</w:t>
      </w:r>
    </w:p>
    <w:p w14:paraId="604EAD48" w14:textId="77777777" w:rsidR="00165ED5" w:rsidRPr="004069B7" w:rsidRDefault="00165ED5" w:rsidP="009164C3">
      <w:pPr>
        <w:pStyle w:val="ListParagraph"/>
        <w:ind w:left="0" w:firstLine="720"/>
        <w:jc w:val="both"/>
        <w:rPr>
          <w:szCs w:val="24"/>
        </w:rPr>
      </w:pPr>
    </w:p>
    <w:p w14:paraId="6EC1C02E" w14:textId="742DCA3F" w:rsidR="00860EA4" w:rsidRPr="004069B7" w:rsidRDefault="00860EA4" w:rsidP="009164C3">
      <w:pPr>
        <w:pStyle w:val="ListParagraph"/>
        <w:ind w:left="0" w:firstLine="720"/>
        <w:jc w:val="both"/>
        <w:rPr>
          <w:szCs w:val="24"/>
        </w:rPr>
      </w:pPr>
      <w:r w:rsidRPr="004069B7">
        <w:rPr>
          <w:szCs w:val="24"/>
        </w:rPr>
        <w:t xml:space="preserve">Lai </w:t>
      </w:r>
      <w:r w:rsidR="00AF15D7" w:rsidRPr="004069B7">
        <w:rPr>
          <w:szCs w:val="24"/>
        </w:rPr>
        <w:t xml:space="preserve">izpildītu </w:t>
      </w:r>
      <w:r w:rsidRPr="004069B7">
        <w:rPr>
          <w:szCs w:val="24"/>
        </w:rPr>
        <w:t xml:space="preserve">noteiktos uzdevumus, </w:t>
      </w:r>
      <w:r w:rsidR="00040101" w:rsidRPr="004069B7">
        <w:rPr>
          <w:szCs w:val="24"/>
        </w:rPr>
        <w:t xml:space="preserve">PVD </w:t>
      </w:r>
      <w:r w:rsidRPr="004069B7">
        <w:rPr>
          <w:szCs w:val="24"/>
        </w:rPr>
        <w:t xml:space="preserve">inspektoru </w:t>
      </w:r>
      <w:r w:rsidR="00210110" w:rsidRPr="004069B7">
        <w:rPr>
          <w:szCs w:val="24"/>
        </w:rPr>
        <w:t>(</w:t>
      </w:r>
      <w:r w:rsidRPr="004069B7">
        <w:rPr>
          <w:szCs w:val="24"/>
        </w:rPr>
        <w:t>cilvēkresursu</w:t>
      </w:r>
      <w:r w:rsidR="00210110" w:rsidRPr="004069B7">
        <w:rPr>
          <w:szCs w:val="24"/>
        </w:rPr>
        <w:t>)</w:t>
      </w:r>
      <w:r w:rsidRPr="004069B7">
        <w:rPr>
          <w:szCs w:val="24"/>
        </w:rPr>
        <w:t xml:space="preserve"> skaits </w:t>
      </w:r>
      <w:r w:rsidR="00AF15D7">
        <w:rPr>
          <w:szCs w:val="24"/>
        </w:rPr>
        <w:t>nav</w:t>
      </w:r>
      <w:r w:rsidRPr="004069B7">
        <w:rPr>
          <w:szCs w:val="24"/>
        </w:rPr>
        <w:t xml:space="preserve"> pietiek</w:t>
      </w:r>
      <w:r w:rsidR="00AF15D7">
        <w:rPr>
          <w:szCs w:val="24"/>
        </w:rPr>
        <w:t>am</w:t>
      </w:r>
      <w:r w:rsidRPr="004069B7">
        <w:rPr>
          <w:szCs w:val="24"/>
        </w:rPr>
        <w:t>s, tādēļ jārada mehānisms</w:t>
      </w:r>
      <w:r w:rsidR="00040101" w:rsidRPr="004069B7">
        <w:rPr>
          <w:szCs w:val="24"/>
        </w:rPr>
        <w:t>,</w:t>
      </w:r>
      <w:r w:rsidRPr="004069B7">
        <w:rPr>
          <w:szCs w:val="24"/>
        </w:rPr>
        <w:t xml:space="preserve"> kā maksimāli motivēt </w:t>
      </w:r>
      <w:r w:rsidR="00040101" w:rsidRPr="004069B7">
        <w:rPr>
          <w:szCs w:val="24"/>
        </w:rPr>
        <w:t>PVD</w:t>
      </w:r>
      <w:r w:rsidRPr="004069B7">
        <w:rPr>
          <w:szCs w:val="24"/>
        </w:rPr>
        <w:t xml:space="preserve"> strādājošos inspektorus uzņemties papildu pienākumus un </w:t>
      </w:r>
      <w:r w:rsidR="00AF15D7">
        <w:rPr>
          <w:szCs w:val="24"/>
        </w:rPr>
        <w:t xml:space="preserve">viņus </w:t>
      </w:r>
      <w:r w:rsidRPr="004069B7">
        <w:rPr>
          <w:szCs w:val="24"/>
        </w:rPr>
        <w:t>adekvāti atalgot par paveikto darbu.</w:t>
      </w:r>
    </w:p>
    <w:p w14:paraId="19F68958" w14:textId="442A876F" w:rsidR="00860EA4" w:rsidRPr="004069B7" w:rsidRDefault="00DE6531" w:rsidP="00DC4FDC">
      <w:pPr>
        <w:pStyle w:val="ListParagraph"/>
        <w:ind w:left="0"/>
        <w:jc w:val="both"/>
        <w:rPr>
          <w:szCs w:val="24"/>
        </w:rPr>
      </w:pPr>
      <w:r w:rsidRPr="004069B7">
        <w:rPr>
          <w:szCs w:val="24"/>
        </w:rPr>
        <w:tab/>
      </w:r>
      <w:r w:rsidR="004B4337" w:rsidRPr="004069B7">
        <w:rPr>
          <w:szCs w:val="24"/>
        </w:rPr>
        <w:t>N</w:t>
      </w:r>
      <w:r w:rsidRPr="004069B7">
        <w:rPr>
          <w:szCs w:val="24"/>
        </w:rPr>
        <w:t xml:space="preserve">epieciešams rast iespēju </w:t>
      </w:r>
      <w:r w:rsidR="00860EA4" w:rsidRPr="004069B7">
        <w:rPr>
          <w:szCs w:val="24"/>
        </w:rPr>
        <w:t>noteikt</w:t>
      </w:r>
      <w:r w:rsidRPr="004069B7">
        <w:rPr>
          <w:szCs w:val="24"/>
        </w:rPr>
        <w:t xml:space="preserve"> piemaksas </w:t>
      </w:r>
      <w:r w:rsidR="00AF15D7" w:rsidRPr="004069B7">
        <w:rPr>
          <w:szCs w:val="24"/>
        </w:rPr>
        <w:t xml:space="preserve">PVD teritoriālajās struktūrvienībās un robežkontroles punktos </w:t>
      </w:r>
      <w:r w:rsidRPr="004069B7">
        <w:rPr>
          <w:szCs w:val="24"/>
        </w:rPr>
        <w:t xml:space="preserve">strādājošajiem </w:t>
      </w:r>
      <w:r w:rsidR="00860EA4" w:rsidRPr="004069B7">
        <w:rPr>
          <w:szCs w:val="24"/>
        </w:rPr>
        <w:t>ar inspektora pilnvarojumu</w:t>
      </w:r>
      <w:r w:rsidR="00683523" w:rsidRPr="004069B7">
        <w:rPr>
          <w:szCs w:val="24"/>
        </w:rPr>
        <w:t xml:space="preserve"> un jaunākajiem ekspertiem</w:t>
      </w:r>
      <w:r w:rsidR="005A7FF7" w:rsidRPr="004069B7">
        <w:rPr>
          <w:szCs w:val="24"/>
        </w:rPr>
        <w:t xml:space="preserve"> (</w:t>
      </w:r>
      <w:r w:rsidR="00BB16B5" w:rsidRPr="004069B7">
        <w:rPr>
          <w:szCs w:val="24"/>
        </w:rPr>
        <w:t>33</w:t>
      </w:r>
      <w:r w:rsidR="005A7FF7" w:rsidRPr="004069B7">
        <w:rPr>
          <w:szCs w:val="24"/>
        </w:rPr>
        <w:t>0 amata viet</w:t>
      </w:r>
      <w:r w:rsidR="00AF15D7">
        <w:rPr>
          <w:szCs w:val="24"/>
        </w:rPr>
        <w:t>u</w:t>
      </w:r>
      <w:r w:rsidR="005A7FF7" w:rsidRPr="004069B7">
        <w:rPr>
          <w:szCs w:val="24"/>
        </w:rPr>
        <w:t>)</w:t>
      </w:r>
      <w:r w:rsidR="00203730" w:rsidRPr="004069B7">
        <w:rPr>
          <w:szCs w:val="24"/>
        </w:rPr>
        <w:t xml:space="preserve"> </w:t>
      </w:r>
      <w:r w:rsidR="00860EA4" w:rsidRPr="004069B7">
        <w:rPr>
          <w:szCs w:val="24"/>
        </w:rPr>
        <w:t>saskaņā ar Valsts un pašvaldību institūciju amatpersonu un darbinieku atlīdzības likuma 14.</w:t>
      </w:r>
      <w:r w:rsidR="00CE79A8" w:rsidRPr="004069B7">
        <w:rPr>
          <w:szCs w:val="24"/>
        </w:rPr>
        <w:t> </w:t>
      </w:r>
      <w:r w:rsidR="00860EA4" w:rsidRPr="004069B7">
        <w:rPr>
          <w:szCs w:val="24"/>
        </w:rPr>
        <w:t>pantu, kā arī</w:t>
      </w:r>
      <w:r w:rsidR="00AF15D7">
        <w:rPr>
          <w:szCs w:val="24"/>
        </w:rPr>
        <w:t>, kad tas</w:t>
      </w:r>
      <w:r w:rsidR="00860EA4" w:rsidRPr="004069B7">
        <w:rPr>
          <w:szCs w:val="24"/>
        </w:rPr>
        <w:t xml:space="preserve"> nepieciešam</w:t>
      </w:r>
      <w:r w:rsidR="00AF15D7">
        <w:rPr>
          <w:szCs w:val="24"/>
        </w:rPr>
        <w:t>s,</w:t>
      </w:r>
      <w:r w:rsidR="00860EA4" w:rsidRPr="004069B7">
        <w:rPr>
          <w:szCs w:val="24"/>
        </w:rPr>
        <w:t xml:space="preserve"> </w:t>
      </w:r>
      <w:r w:rsidR="00AF15D7">
        <w:rPr>
          <w:szCs w:val="24"/>
        </w:rPr>
        <w:t>sa</w:t>
      </w:r>
      <w:r w:rsidR="00CE79A8" w:rsidRPr="004069B7">
        <w:rPr>
          <w:szCs w:val="24"/>
        </w:rPr>
        <w:t xml:space="preserve">maksāt </w:t>
      </w:r>
      <w:r w:rsidR="00AF15D7">
        <w:rPr>
          <w:szCs w:val="24"/>
        </w:rPr>
        <w:t xml:space="preserve">par </w:t>
      </w:r>
      <w:r w:rsidR="00CE79A8" w:rsidRPr="004069B7">
        <w:rPr>
          <w:szCs w:val="24"/>
        </w:rPr>
        <w:t>virsstundu darbu</w:t>
      </w:r>
      <w:r w:rsidR="008455DC" w:rsidRPr="004069B7">
        <w:rPr>
          <w:szCs w:val="24"/>
        </w:rPr>
        <w:t xml:space="preserve"> gan PVD struktūrvienībās, gan centrālajā aparātā strādājošajiem</w:t>
      </w:r>
      <w:r w:rsidR="00860EA4" w:rsidRPr="004069B7">
        <w:rPr>
          <w:szCs w:val="24"/>
        </w:rPr>
        <w:t>.</w:t>
      </w:r>
    </w:p>
    <w:p w14:paraId="21FFA659" w14:textId="77777777" w:rsidR="00860EA4" w:rsidRPr="004069B7" w:rsidRDefault="00860EA4" w:rsidP="00860EA4">
      <w:pPr>
        <w:ind w:firstLine="709"/>
        <w:jc w:val="both"/>
        <w:rPr>
          <w:lang w:val="lv-LV" w:eastAsia="lv-LV"/>
        </w:rPr>
      </w:pPr>
    </w:p>
    <w:p w14:paraId="679D72B4" w14:textId="0E8AAD73" w:rsidR="00860EA4" w:rsidRPr="004069B7" w:rsidRDefault="004B4337" w:rsidP="00860EA4">
      <w:pPr>
        <w:pStyle w:val="ListParagraph"/>
        <w:ind w:left="0" w:firstLine="709"/>
        <w:jc w:val="both"/>
        <w:rPr>
          <w:szCs w:val="24"/>
        </w:rPr>
      </w:pPr>
      <w:r w:rsidRPr="004069B7">
        <w:rPr>
          <w:szCs w:val="24"/>
        </w:rPr>
        <w:t xml:space="preserve">PVD </w:t>
      </w:r>
      <w:r w:rsidR="00C52319" w:rsidRPr="004069B7">
        <w:rPr>
          <w:szCs w:val="24"/>
        </w:rPr>
        <w:t>33</w:t>
      </w:r>
      <w:r w:rsidR="00860EA4" w:rsidRPr="004069B7">
        <w:rPr>
          <w:szCs w:val="24"/>
        </w:rPr>
        <w:t xml:space="preserve">0 amata vietu </w:t>
      </w:r>
      <w:r w:rsidR="00C52319" w:rsidRPr="004069B7">
        <w:rPr>
          <w:szCs w:val="24"/>
        </w:rPr>
        <w:t>sadalījums</w:t>
      </w:r>
      <w:r w:rsidR="00860EA4" w:rsidRPr="004069B7">
        <w:rPr>
          <w:szCs w:val="24"/>
        </w:rPr>
        <w:t xml:space="preserve">: </w:t>
      </w:r>
    </w:p>
    <w:p w14:paraId="1E466372" w14:textId="6BF617A4" w:rsidR="00860EA4" w:rsidRPr="004069B7" w:rsidRDefault="00AF15D7" w:rsidP="00860EA4">
      <w:pPr>
        <w:pStyle w:val="ListParagraph"/>
        <w:ind w:left="0" w:firstLine="709"/>
        <w:jc w:val="both"/>
        <w:rPr>
          <w:szCs w:val="24"/>
        </w:rPr>
      </w:pPr>
      <w:r>
        <w:rPr>
          <w:szCs w:val="24"/>
        </w:rPr>
        <w:sym w:font="Symbol" w:char="F0B7"/>
      </w:r>
      <w:r w:rsidR="003E2C92" w:rsidRPr="004069B7">
        <w:rPr>
          <w:szCs w:val="24"/>
        </w:rPr>
        <w:t xml:space="preserve"> 7</w:t>
      </w:r>
      <w:r w:rsidR="00471A8D" w:rsidRPr="004069B7">
        <w:rPr>
          <w:szCs w:val="24"/>
        </w:rPr>
        <w:t>7</w:t>
      </w:r>
      <w:r w:rsidR="00860EA4" w:rsidRPr="004069B7">
        <w:rPr>
          <w:szCs w:val="24"/>
        </w:rPr>
        <w:t xml:space="preserve"> veterinārie inspektori – 26.3.</w:t>
      </w:r>
      <w:r w:rsidR="00471A8D" w:rsidRPr="004069B7">
        <w:rPr>
          <w:szCs w:val="24"/>
        </w:rPr>
        <w:t> </w:t>
      </w:r>
      <w:r w:rsidR="00860EA4" w:rsidRPr="004069B7">
        <w:rPr>
          <w:szCs w:val="24"/>
        </w:rPr>
        <w:t>saime, IIIA līmenis;</w:t>
      </w:r>
    </w:p>
    <w:p w14:paraId="0D61D027" w14:textId="3FCF6DF4" w:rsidR="00860EA4" w:rsidRPr="004069B7" w:rsidRDefault="00AF15D7" w:rsidP="00860EA4">
      <w:pPr>
        <w:pStyle w:val="ListParagraph"/>
        <w:ind w:left="0" w:firstLine="709"/>
        <w:jc w:val="both"/>
        <w:rPr>
          <w:szCs w:val="24"/>
        </w:rPr>
      </w:pPr>
      <w:r>
        <w:rPr>
          <w:szCs w:val="24"/>
        </w:rPr>
        <w:sym w:font="Symbol" w:char="F0B7"/>
      </w:r>
      <w:r w:rsidR="00471A8D" w:rsidRPr="004069B7">
        <w:rPr>
          <w:szCs w:val="24"/>
        </w:rPr>
        <w:t xml:space="preserve"> 14</w:t>
      </w:r>
      <w:r w:rsidR="003E2C92" w:rsidRPr="004069B7">
        <w:rPr>
          <w:szCs w:val="24"/>
        </w:rPr>
        <w:t>3</w:t>
      </w:r>
      <w:r w:rsidR="00860EA4" w:rsidRPr="004069B7">
        <w:rPr>
          <w:szCs w:val="24"/>
        </w:rPr>
        <w:t xml:space="preserve"> pārtikas inspektori – 26.3.</w:t>
      </w:r>
      <w:r w:rsidR="00471A8D" w:rsidRPr="004069B7">
        <w:rPr>
          <w:szCs w:val="24"/>
        </w:rPr>
        <w:t> </w:t>
      </w:r>
      <w:r w:rsidR="00860EA4" w:rsidRPr="004069B7">
        <w:rPr>
          <w:szCs w:val="24"/>
        </w:rPr>
        <w:t>saime, IIIA līmenis;</w:t>
      </w:r>
    </w:p>
    <w:p w14:paraId="7C7B236F" w14:textId="7B5B48F4" w:rsidR="00471A8D" w:rsidRPr="004069B7" w:rsidRDefault="00AF15D7" w:rsidP="00860EA4">
      <w:pPr>
        <w:pStyle w:val="ListParagraph"/>
        <w:ind w:left="0" w:firstLine="709"/>
        <w:jc w:val="both"/>
        <w:rPr>
          <w:szCs w:val="24"/>
        </w:rPr>
      </w:pPr>
      <w:r>
        <w:rPr>
          <w:szCs w:val="24"/>
        </w:rPr>
        <w:sym w:font="Symbol" w:char="F0B7"/>
      </w:r>
      <w:r w:rsidR="00471A8D" w:rsidRPr="004069B7">
        <w:rPr>
          <w:szCs w:val="24"/>
        </w:rPr>
        <w:t xml:space="preserve"> </w:t>
      </w:r>
      <w:r w:rsidR="00EF72A3" w:rsidRPr="004069B7">
        <w:rPr>
          <w:szCs w:val="24"/>
        </w:rPr>
        <w:t xml:space="preserve">3 </w:t>
      </w:r>
      <w:r w:rsidR="00471A8D" w:rsidRPr="004069B7">
        <w:rPr>
          <w:szCs w:val="24"/>
        </w:rPr>
        <w:t>jaunākie eksperti – 26.3. saime, I līmenis;</w:t>
      </w:r>
    </w:p>
    <w:p w14:paraId="1B0B4D2A" w14:textId="40AD915D" w:rsidR="00860EA4" w:rsidRPr="004069B7" w:rsidRDefault="00AF15D7" w:rsidP="00860EA4">
      <w:pPr>
        <w:pStyle w:val="ListParagraph"/>
        <w:ind w:left="0" w:firstLine="709"/>
        <w:jc w:val="both"/>
        <w:rPr>
          <w:szCs w:val="24"/>
        </w:rPr>
      </w:pPr>
      <w:r>
        <w:rPr>
          <w:szCs w:val="24"/>
        </w:rPr>
        <w:sym w:font="Symbol" w:char="F0B7"/>
      </w:r>
      <w:r w:rsidR="006657D7" w:rsidRPr="004069B7">
        <w:rPr>
          <w:szCs w:val="24"/>
        </w:rPr>
        <w:t xml:space="preserve"> </w:t>
      </w:r>
      <w:r w:rsidR="00860EA4" w:rsidRPr="004069B7">
        <w:rPr>
          <w:szCs w:val="24"/>
        </w:rPr>
        <w:t>2</w:t>
      </w:r>
      <w:r w:rsidR="001E0B71" w:rsidRPr="004069B7">
        <w:rPr>
          <w:szCs w:val="24"/>
        </w:rPr>
        <w:t>8</w:t>
      </w:r>
      <w:r w:rsidR="00860EA4" w:rsidRPr="004069B7">
        <w:rPr>
          <w:szCs w:val="24"/>
        </w:rPr>
        <w:t xml:space="preserve"> valsts vecākie veterinārie inspektori un valsts vecākie pārtikas inspektori (PVD teritoriālo struktūrvienību vadītāji un vietnieki, kuri papildus tiešajam inspektora darbam veic uzraudzības plānošanas funkciju) – 26.3.</w:t>
      </w:r>
      <w:r w:rsidR="004B4337" w:rsidRPr="004069B7">
        <w:rPr>
          <w:szCs w:val="24"/>
        </w:rPr>
        <w:t> </w:t>
      </w:r>
      <w:r w:rsidR="00860EA4" w:rsidRPr="004069B7">
        <w:rPr>
          <w:szCs w:val="24"/>
        </w:rPr>
        <w:t>saime, IV un V līmenis;</w:t>
      </w:r>
    </w:p>
    <w:p w14:paraId="1B9C1735" w14:textId="667D473C" w:rsidR="00860EA4" w:rsidRPr="004069B7" w:rsidRDefault="00AF15D7" w:rsidP="00860EA4">
      <w:pPr>
        <w:pStyle w:val="ListParagraph"/>
        <w:ind w:left="0" w:firstLine="709"/>
        <w:jc w:val="both"/>
        <w:rPr>
          <w:szCs w:val="24"/>
        </w:rPr>
      </w:pPr>
      <w:r>
        <w:rPr>
          <w:szCs w:val="24"/>
        </w:rPr>
        <w:sym w:font="Symbol" w:char="F0B7"/>
      </w:r>
      <w:r w:rsidR="00C52319" w:rsidRPr="004069B7">
        <w:rPr>
          <w:szCs w:val="24"/>
        </w:rPr>
        <w:t xml:space="preserve"> 50</w:t>
      </w:r>
      <w:r w:rsidR="00860EA4" w:rsidRPr="004069B7">
        <w:rPr>
          <w:szCs w:val="24"/>
        </w:rPr>
        <w:t xml:space="preserve"> robežkontroles inspektori – 26.3.</w:t>
      </w:r>
      <w:r w:rsidR="004B4337" w:rsidRPr="004069B7">
        <w:rPr>
          <w:szCs w:val="24"/>
        </w:rPr>
        <w:t> </w:t>
      </w:r>
      <w:r w:rsidR="00860EA4" w:rsidRPr="004069B7">
        <w:rPr>
          <w:szCs w:val="24"/>
        </w:rPr>
        <w:t>saime, IIIA līmenis;</w:t>
      </w:r>
    </w:p>
    <w:p w14:paraId="4E3302A7" w14:textId="4780FB89" w:rsidR="00860EA4" w:rsidRPr="004069B7" w:rsidRDefault="00AF15D7" w:rsidP="00860EA4">
      <w:pPr>
        <w:pStyle w:val="ListParagraph"/>
        <w:ind w:left="0" w:firstLine="709"/>
        <w:jc w:val="both"/>
        <w:rPr>
          <w:szCs w:val="24"/>
        </w:rPr>
      </w:pPr>
      <w:r>
        <w:rPr>
          <w:szCs w:val="24"/>
        </w:rPr>
        <w:sym w:font="Symbol" w:char="F0B7"/>
      </w:r>
      <w:r w:rsidR="00860EA4" w:rsidRPr="004069B7">
        <w:rPr>
          <w:szCs w:val="24"/>
        </w:rPr>
        <w:t xml:space="preserve"> </w:t>
      </w:r>
      <w:r w:rsidR="00C52319" w:rsidRPr="004069B7">
        <w:rPr>
          <w:szCs w:val="24"/>
        </w:rPr>
        <w:t>29</w:t>
      </w:r>
      <w:r w:rsidR="00860EA4" w:rsidRPr="004069B7">
        <w:rPr>
          <w:szCs w:val="24"/>
        </w:rPr>
        <w:t xml:space="preserve"> robežkontroles punktu (sektora) vadītāji un vietnieki, kuri papildus tiešajam inspektora darbam ir atbildīgi par konkrētu uzraudzības jomu</w:t>
      </w:r>
      <w:r>
        <w:rPr>
          <w:szCs w:val="24"/>
        </w:rPr>
        <w:t>,</w:t>
      </w:r>
      <w:r w:rsidR="00860EA4" w:rsidRPr="004069B7">
        <w:rPr>
          <w:szCs w:val="24"/>
        </w:rPr>
        <w:t xml:space="preserve"> – 26.3.</w:t>
      </w:r>
      <w:r w:rsidR="004B4337" w:rsidRPr="004069B7">
        <w:rPr>
          <w:szCs w:val="24"/>
        </w:rPr>
        <w:t> </w:t>
      </w:r>
      <w:r w:rsidR="00860EA4" w:rsidRPr="004069B7">
        <w:rPr>
          <w:szCs w:val="24"/>
        </w:rPr>
        <w:t>saime, IV un V līmenis.</w:t>
      </w:r>
    </w:p>
    <w:p w14:paraId="15F99591" w14:textId="77777777" w:rsidR="002204AA" w:rsidRPr="004069B7" w:rsidRDefault="002204AA" w:rsidP="002204AA">
      <w:pPr>
        <w:ind w:firstLine="720"/>
        <w:jc w:val="both"/>
        <w:rPr>
          <w:lang w:val="lv-LV"/>
        </w:rPr>
      </w:pPr>
    </w:p>
    <w:p w14:paraId="22EB8770" w14:textId="7BA329AB" w:rsidR="00781F7E" w:rsidRPr="004069B7" w:rsidRDefault="00AF15D7" w:rsidP="002204AA">
      <w:pPr>
        <w:pStyle w:val="PlainText"/>
        <w:ind w:firstLine="720"/>
        <w:jc w:val="both"/>
        <w:rPr>
          <w:szCs w:val="24"/>
        </w:rPr>
      </w:pPr>
      <w:r>
        <w:rPr>
          <w:szCs w:val="24"/>
        </w:rPr>
        <w:t>Patlaban saistībā ar</w:t>
      </w:r>
      <w:r w:rsidR="00AE7326" w:rsidRPr="004069B7">
        <w:rPr>
          <w:szCs w:val="24"/>
        </w:rPr>
        <w:t xml:space="preserve"> </w:t>
      </w:r>
      <w:r w:rsidR="00781F7E" w:rsidRPr="004069B7">
        <w:rPr>
          <w:szCs w:val="24"/>
        </w:rPr>
        <w:t xml:space="preserve">ĀCM </w:t>
      </w:r>
      <w:r w:rsidR="00AE7326" w:rsidRPr="004069B7">
        <w:rPr>
          <w:szCs w:val="24"/>
        </w:rPr>
        <w:t xml:space="preserve">uzraudzības un apkarošanas </w:t>
      </w:r>
      <w:r w:rsidR="00781F7E" w:rsidRPr="004069B7">
        <w:rPr>
          <w:szCs w:val="24"/>
        </w:rPr>
        <w:t>programm</w:t>
      </w:r>
      <w:r>
        <w:rPr>
          <w:szCs w:val="24"/>
        </w:rPr>
        <w:t>u ir</w:t>
      </w:r>
      <w:r w:rsidR="00AE7326" w:rsidRPr="004069B7">
        <w:rPr>
          <w:szCs w:val="24"/>
        </w:rPr>
        <w:t xml:space="preserve"> piešķirts finansējums piemaksām 330 PVD strādājošajiem ar inspektora pilnvarojumu vidēji 22% apmērā no mēnešalgas. Visu programmas </w:t>
      </w:r>
      <w:r w:rsidR="00781F7E" w:rsidRPr="004069B7">
        <w:rPr>
          <w:szCs w:val="24"/>
        </w:rPr>
        <w:t xml:space="preserve">pasākumu </w:t>
      </w:r>
      <w:r w:rsidR="00AE7326" w:rsidRPr="004069B7">
        <w:rPr>
          <w:szCs w:val="24"/>
        </w:rPr>
        <w:t xml:space="preserve">kvalitatīvai </w:t>
      </w:r>
      <w:r w:rsidR="00781F7E" w:rsidRPr="004069B7">
        <w:rPr>
          <w:szCs w:val="24"/>
        </w:rPr>
        <w:t xml:space="preserve">īstenošanai nepieciešams papildu finansējums, lai </w:t>
      </w:r>
      <w:r w:rsidR="005A7FF7" w:rsidRPr="004069B7">
        <w:rPr>
          <w:szCs w:val="24"/>
        </w:rPr>
        <w:t>PVD teritoriālajās struktūrvienībās un robežkontroles punktos strādājoš</w:t>
      </w:r>
      <w:r w:rsidR="007F56BD" w:rsidRPr="004069B7">
        <w:rPr>
          <w:szCs w:val="24"/>
        </w:rPr>
        <w:t>ajiem</w:t>
      </w:r>
      <w:r w:rsidR="005A7FF7" w:rsidRPr="004069B7">
        <w:rPr>
          <w:szCs w:val="24"/>
        </w:rPr>
        <w:t xml:space="preserve"> ar inspektora pilnvarojumu un jaunāk</w:t>
      </w:r>
      <w:r w:rsidR="007F56BD" w:rsidRPr="004069B7">
        <w:rPr>
          <w:szCs w:val="24"/>
        </w:rPr>
        <w:t>ajiem</w:t>
      </w:r>
      <w:r w:rsidR="005A7FF7" w:rsidRPr="004069B7">
        <w:rPr>
          <w:szCs w:val="24"/>
        </w:rPr>
        <w:t xml:space="preserve"> eksperti</w:t>
      </w:r>
      <w:r w:rsidR="007F56BD" w:rsidRPr="004069B7">
        <w:rPr>
          <w:szCs w:val="24"/>
        </w:rPr>
        <w:t>em</w:t>
      </w:r>
      <w:r w:rsidR="005A7FF7" w:rsidRPr="004069B7">
        <w:rPr>
          <w:szCs w:val="24"/>
        </w:rPr>
        <w:t xml:space="preserve"> (26.3.</w:t>
      </w:r>
      <w:r w:rsidR="00CB064F" w:rsidRPr="004069B7">
        <w:rPr>
          <w:szCs w:val="24"/>
        </w:rPr>
        <w:t> </w:t>
      </w:r>
      <w:r w:rsidR="005A7FF7" w:rsidRPr="004069B7">
        <w:rPr>
          <w:szCs w:val="24"/>
        </w:rPr>
        <w:t xml:space="preserve">saime, I, IIIA, IV, V līmenis) </w:t>
      </w:r>
      <w:r w:rsidR="00781F7E" w:rsidRPr="004069B7">
        <w:rPr>
          <w:szCs w:val="24"/>
        </w:rPr>
        <w:t xml:space="preserve">nodrošinātu iespēju saņemt vidēji par 5% lielāku </w:t>
      </w:r>
      <w:r w:rsidR="007F56BD" w:rsidRPr="004069B7">
        <w:rPr>
          <w:szCs w:val="24"/>
        </w:rPr>
        <w:t>p</w:t>
      </w:r>
      <w:r w:rsidR="00616082" w:rsidRPr="004069B7">
        <w:rPr>
          <w:szCs w:val="24"/>
        </w:rPr>
        <w:t>iemaksu</w:t>
      </w:r>
      <w:r w:rsidR="00B76C42" w:rsidRPr="004069B7">
        <w:rPr>
          <w:szCs w:val="24"/>
        </w:rPr>
        <w:t xml:space="preserve"> par personisko darba ieguldījumu un darba kvalitāti</w:t>
      </w:r>
      <w:r w:rsidR="00781F7E" w:rsidRPr="004069B7">
        <w:rPr>
          <w:szCs w:val="24"/>
        </w:rPr>
        <w:t>.</w:t>
      </w:r>
    </w:p>
    <w:p w14:paraId="40B78A29" w14:textId="77777777" w:rsidR="00781F7E" w:rsidRPr="004069B7" w:rsidRDefault="00781F7E" w:rsidP="002204AA">
      <w:pPr>
        <w:pStyle w:val="PlainText"/>
        <w:ind w:firstLine="720"/>
        <w:jc w:val="both"/>
        <w:rPr>
          <w:szCs w:val="24"/>
        </w:rPr>
      </w:pPr>
    </w:p>
    <w:p w14:paraId="5C3C22C1" w14:textId="77777777" w:rsidR="002204AA" w:rsidRPr="004069B7" w:rsidRDefault="00AE7326" w:rsidP="002204AA">
      <w:pPr>
        <w:pStyle w:val="PlainText"/>
        <w:ind w:firstLine="720"/>
        <w:jc w:val="both"/>
        <w:rPr>
          <w:szCs w:val="24"/>
        </w:rPr>
      </w:pPr>
      <w:r w:rsidRPr="004069B7">
        <w:rPr>
          <w:szCs w:val="24"/>
        </w:rPr>
        <w:t xml:space="preserve">Lai nodrošinātu </w:t>
      </w:r>
      <w:r w:rsidR="007F56BD" w:rsidRPr="004069B7">
        <w:rPr>
          <w:szCs w:val="24"/>
        </w:rPr>
        <w:t xml:space="preserve">Putnu gripas </w:t>
      </w:r>
      <w:r w:rsidRPr="004069B7">
        <w:rPr>
          <w:szCs w:val="24"/>
        </w:rPr>
        <w:t xml:space="preserve">uzraudzības </w:t>
      </w:r>
      <w:r w:rsidR="007F56BD" w:rsidRPr="004069B7">
        <w:rPr>
          <w:szCs w:val="24"/>
        </w:rPr>
        <w:t xml:space="preserve">programmas </w:t>
      </w:r>
      <w:r w:rsidR="004B4337" w:rsidRPr="004069B7">
        <w:rPr>
          <w:szCs w:val="24"/>
        </w:rPr>
        <w:t>īstenošan</w:t>
      </w:r>
      <w:r w:rsidRPr="004069B7">
        <w:rPr>
          <w:szCs w:val="24"/>
        </w:rPr>
        <w:t>u biodrošības prasību ievērošanas kontrolē, nepieciešams papildu finansējums:</w:t>
      </w:r>
    </w:p>
    <w:p w14:paraId="0A0E3A7B" w14:textId="77777777" w:rsidR="0068655F" w:rsidRPr="004069B7" w:rsidRDefault="00AE7326" w:rsidP="0068655F">
      <w:pPr>
        <w:pStyle w:val="PlainText"/>
        <w:ind w:firstLine="720"/>
        <w:jc w:val="both"/>
        <w:rPr>
          <w:szCs w:val="24"/>
        </w:rPr>
      </w:pPr>
      <w:r w:rsidRPr="004069B7">
        <w:rPr>
          <w:szCs w:val="24"/>
        </w:rPr>
        <w:lastRenderedPageBreak/>
        <w:t xml:space="preserve">1) </w:t>
      </w:r>
      <w:r w:rsidR="00636DFC" w:rsidRPr="004069B7">
        <w:rPr>
          <w:szCs w:val="24"/>
        </w:rPr>
        <w:t xml:space="preserve">piemaksai par personisko darba ieguldījumu un darba kvalitāti </w:t>
      </w:r>
      <w:r w:rsidR="005A7FF7" w:rsidRPr="004069B7">
        <w:rPr>
          <w:szCs w:val="24"/>
        </w:rPr>
        <w:t>PVD teritoriālajās struktūrvienībās strādājoš</w:t>
      </w:r>
      <w:r w:rsidR="00636DFC" w:rsidRPr="004069B7">
        <w:rPr>
          <w:szCs w:val="24"/>
        </w:rPr>
        <w:t>aj</w:t>
      </w:r>
      <w:r w:rsidR="005A7FF7" w:rsidRPr="004069B7">
        <w:rPr>
          <w:szCs w:val="24"/>
        </w:rPr>
        <w:t>ie</w:t>
      </w:r>
      <w:r w:rsidR="00636DFC" w:rsidRPr="004069B7">
        <w:rPr>
          <w:szCs w:val="24"/>
        </w:rPr>
        <w:t>m</w:t>
      </w:r>
      <w:r w:rsidR="005A7FF7" w:rsidRPr="004069B7">
        <w:rPr>
          <w:szCs w:val="24"/>
        </w:rPr>
        <w:t xml:space="preserve"> ar inspektora pilnvarojumu un jaunāk</w:t>
      </w:r>
      <w:r w:rsidR="00636DFC" w:rsidRPr="004069B7">
        <w:rPr>
          <w:szCs w:val="24"/>
        </w:rPr>
        <w:t>aj</w:t>
      </w:r>
      <w:r w:rsidR="005A7FF7" w:rsidRPr="004069B7">
        <w:rPr>
          <w:szCs w:val="24"/>
        </w:rPr>
        <w:t>ie</w:t>
      </w:r>
      <w:r w:rsidR="00636DFC" w:rsidRPr="004069B7">
        <w:rPr>
          <w:szCs w:val="24"/>
        </w:rPr>
        <w:t>m</w:t>
      </w:r>
      <w:r w:rsidR="005A7FF7" w:rsidRPr="004069B7">
        <w:rPr>
          <w:szCs w:val="24"/>
        </w:rPr>
        <w:t xml:space="preserve"> eksperti</w:t>
      </w:r>
      <w:r w:rsidR="00636DFC" w:rsidRPr="004069B7">
        <w:rPr>
          <w:szCs w:val="24"/>
        </w:rPr>
        <w:t>em</w:t>
      </w:r>
      <w:r w:rsidR="005A7FF7" w:rsidRPr="004069B7">
        <w:rPr>
          <w:szCs w:val="24"/>
        </w:rPr>
        <w:t xml:space="preserve"> (26.3.</w:t>
      </w:r>
      <w:r w:rsidR="00636DFC" w:rsidRPr="004069B7">
        <w:rPr>
          <w:szCs w:val="24"/>
        </w:rPr>
        <w:t>saime, I, IIIA, IV, V līmenis) vidēji 5% apmērā no mēnešalgas;</w:t>
      </w:r>
    </w:p>
    <w:p w14:paraId="5EE63788" w14:textId="6602FECD" w:rsidR="00AE7326" w:rsidRPr="004069B7" w:rsidRDefault="00DD23EA" w:rsidP="0068655F">
      <w:pPr>
        <w:pStyle w:val="PlainText"/>
        <w:ind w:firstLine="720"/>
        <w:jc w:val="both"/>
        <w:rPr>
          <w:szCs w:val="24"/>
        </w:rPr>
      </w:pPr>
      <w:r w:rsidRPr="004069B7">
        <w:rPr>
          <w:szCs w:val="24"/>
        </w:rPr>
        <w:t xml:space="preserve">2) virsstundu darba apmaksai (vidēji </w:t>
      </w:r>
      <w:r w:rsidR="006B26EC" w:rsidRPr="004069B7">
        <w:rPr>
          <w:szCs w:val="24"/>
        </w:rPr>
        <w:t>1</w:t>
      </w:r>
      <w:r w:rsidR="004A60BB" w:rsidRPr="004069B7">
        <w:rPr>
          <w:szCs w:val="24"/>
        </w:rPr>
        <w:t>,</w:t>
      </w:r>
      <w:r w:rsidR="006B26EC" w:rsidRPr="004069B7">
        <w:rPr>
          <w:szCs w:val="24"/>
        </w:rPr>
        <w:t xml:space="preserve">75 </w:t>
      </w:r>
      <w:r w:rsidRPr="004069B7">
        <w:rPr>
          <w:szCs w:val="24"/>
        </w:rPr>
        <w:t xml:space="preserve">virsstundas mēnesī) </w:t>
      </w:r>
      <w:r w:rsidR="00AE7326" w:rsidRPr="004069B7">
        <w:rPr>
          <w:szCs w:val="24"/>
        </w:rPr>
        <w:t>PVD teritoriālajās struktūrvienībās strādājoš</w:t>
      </w:r>
      <w:r w:rsidRPr="004069B7">
        <w:rPr>
          <w:szCs w:val="24"/>
        </w:rPr>
        <w:t>ajiem</w:t>
      </w:r>
      <w:r w:rsidR="00AE7326" w:rsidRPr="004069B7">
        <w:rPr>
          <w:szCs w:val="24"/>
        </w:rPr>
        <w:t xml:space="preserve"> ar ins</w:t>
      </w:r>
      <w:r w:rsidRPr="004069B7">
        <w:rPr>
          <w:szCs w:val="24"/>
        </w:rPr>
        <w:t xml:space="preserve">pektora pilnvarojumu un jaunākajiem ekspertiem </w:t>
      </w:r>
      <w:r w:rsidR="00AE7326" w:rsidRPr="004069B7">
        <w:rPr>
          <w:szCs w:val="24"/>
        </w:rPr>
        <w:t>(26.3</w:t>
      </w:r>
      <w:r w:rsidRPr="004069B7">
        <w:rPr>
          <w:szCs w:val="24"/>
        </w:rPr>
        <w:t xml:space="preserve">.saime, I, IIIA, IV, V līmenis), kā arī daļai </w:t>
      </w:r>
      <w:r w:rsidR="00A57116" w:rsidRPr="004069B7">
        <w:rPr>
          <w:szCs w:val="24"/>
        </w:rPr>
        <w:t xml:space="preserve">no </w:t>
      </w:r>
      <w:r w:rsidRPr="004069B7">
        <w:rPr>
          <w:szCs w:val="24"/>
        </w:rPr>
        <w:t>centrālajā aparātā strādājošajiem</w:t>
      </w:r>
      <w:r w:rsidR="002F687A" w:rsidRPr="004069B7">
        <w:rPr>
          <w:szCs w:val="24"/>
        </w:rPr>
        <w:t>.</w:t>
      </w:r>
    </w:p>
    <w:p w14:paraId="40ED34BF" w14:textId="77777777" w:rsidR="00874A01" w:rsidRPr="004069B7" w:rsidRDefault="00874A01" w:rsidP="00DD23EA">
      <w:pPr>
        <w:pStyle w:val="naisf"/>
        <w:spacing w:before="0" w:beforeAutospacing="0" w:after="0" w:afterAutospacing="0"/>
        <w:ind w:firstLine="720"/>
        <w:rPr>
          <w:lang w:val="lv-LV"/>
        </w:rPr>
      </w:pPr>
    </w:p>
    <w:p w14:paraId="670D6325" w14:textId="0DDAD023" w:rsidR="00874A01" w:rsidRPr="004069B7" w:rsidRDefault="00874A01" w:rsidP="00DD23EA">
      <w:pPr>
        <w:pStyle w:val="naisf"/>
        <w:spacing w:before="0" w:beforeAutospacing="0" w:after="0" w:afterAutospacing="0"/>
        <w:ind w:firstLine="720"/>
        <w:rPr>
          <w:lang w:val="lv-LV"/>
        </w:rPr>
      </w:pPr>
      <w:r w:rsidRPr="004069B7">
        <w:rPr>
          <w:lang w:val="lv-LV"/>
        </w:rPr>
        <w:t>Nepieciešamā finan</w:t>
      </w:r>
      <w:r w:rsidR="0062367D" w:rsidRPr="004069B7">
        <w:rPr>
          <w:lang w:val="lv-LV"/>
        </w:rPr>
        <w:t>sējuma ap</w:t>
      </w:r>
      <w:r w:rsidR="0056396E">
        <w:rPr>
          <w:lang w:val="lv-LV"/>
        </w:rPr>
        <w:t>mērs</w:t>
      </w:r>
      <w:r w:rsidR="0062367D" w:rsidRPr="004069B7">
        <w:rPr>
          <w:lang w:val="lv-LV"/>
        </w:rPr>
        <w:t xml:space="preserve"> (skatīt ziņojuma </w:t>
      </w:r>
      <w:r w:rsidRPr="004069B7">
        <w:rPr>
          <w:lang w:val="lv-LV"/>
        </w:rPr>
        <w:t>V sadaļu) aprēķināts</w:t>
      </w:r>
      <w:r w:rsidR="00575ED0">
        <w:rPr>
          <w:lang w:val="lv-LV"/>
        </w:rPr>
        <w:t>,</w:t>
      </w:r>
      <w:r w:rsidRPr="004069B7">
        <w:rPr>
          <w:lang w:val="lv-LV"/>
        </w:rPr>
        <w:t xml:space="preserve"> precīzi </w:t>
      </w:r>
      <w:r w:rsidR="00575ED0">
        <w:rPr>
          <w:lang w:val="lv-LV"/>
        </w:rPr>
        <w:t>ievērojot</w:t>
      </w:r>
      <w:r w:rsidRPr="004069B7">
        <w:rPr>
          <w:lang w:val="lv-LV"/>
        </w:rPr>
        <w:t xml:space="preserve"> katrai amata vietai noteikto mēnešalgu, bet piemaksa par personisko darba ieguldījumu un darba kvalitāti un piemaksa par virsstundu darbu konkrētam strādājošajam tiks aprēķināta un piešķirta atkarībā no ieguldītā darba apjoma un nostrādāto virsstundu skaita. </w:t>
      </w:r>
    </w:p>
    <w:p w14:paraId="04623237" w14:textId="0C2F0223" w:rsidR="004C77DF" w:rsidRPr="004069B7" w:rsidRDefault="004C77DF" w:rsidP="00DD23EA">
      <w:pPr>
        <w:pStyle w:val="naisf"/>
        <w:spacing w:before="0" w:beforeAutospacing="0" w:after="0" w:afterAutospacing="0"/>
        <w:ind w:firstLine="720"/>
        <w:rPr>
          <w:lang w:val="lv-LV"/>
        </w:rPr>
      </w:pPr>
    </w:p>
    <w:p w14:paraId="4DD65828" w14:textId="53495D99" w:rsidR="00B74E96" w:rsidRPr="00B74E96" w:rsidRDefault="00F85DB8" w:rsidP="00F85DB8">
      <w:pPr>
        <w:pStyle w:val="naisf"/>
        <w:spacing w:before="0" w:beforeAutospacing="0" w:after="0" w:afterAutospacing="0"/>
        <w:ind w:firstLine="720"/>
        <w:rPr>
          <w:lang w:val="lv-LV"/>
        </w:rPr>
      </w:pPr>
      <w:r w:rsidRPr="00B74E96">
        <w:rPr>
          <w:lang w:val="lv-LV"/>
        </w:rPr>
        <w:t xml:space="preserve">Saņemot papildu finansējumu piemaksu piešķiršanai un </w:t>
      </w:r>
      <w:r w:rsidR="00575ED0" w:rsidRPr="00B74E96">
        <w:rPr>
          <w:lang w:val="lv-LV"/>
        </w:rPr>
        <w:t xml:space="preserve">samaksai par </w:t>
      </w:r>
      <w:r w:rsidRPr="00B74E96">
        <w:rPr>
          <w:lang w:val="lv-LV"/>
        </w:rPr>
        <w:t>virsstund</w:t>
      </w:r>
      <w:r w:rsidR="00575ED0" w:rsidRPr="00B74E96">
        <w:rPr>
          <w:lang w:val="lv-LV"/>
        </w:rPr>
        <w:t>ām</w:t>
      </w:r>
      <w:r w:rsidRPr="00B74E96">
        <w:rPr>
          <w:lang w:val="lv-LV"/>
        </w:rPr>
        <w:t>, tiks stiprināta PVD kapacitāte un p</w:t>
      </w:r>
      <w:r w:rsidR="00575ED0" w:rsidRPr="00B74E96">
        <w:rPr>
          <w:lang w:val="lv-LV"/>
        </w:rPr>
        <w:t>alielināsies</w:t>
      </w:r>
      <w:r w:rsidRPr="00B74E96">
        <w:rPr>
          <w:lang w:val="lv-LV"/>
        </w:rPr>
        <w:t xml:space="preserve"> spēja nodrošināt normatīvajos aktos noteikto uzraudzības objektu pārbaužu biežumu</w:t>
      </w:r>
      <w:r w:rsidR="00B74E96" w:rsidRPr="00B74E96">
        <w:rPr>
          <w:lang w:val="lv-LV"/>
        </w:rPr>
        <w:t xml:space="preserve">, pastiprināt infekciju slimību uzraudzību </w:t>
      </w:r>
      <w:r w:rsidR="00B14289">
        <w:rPr>
          <w:lang w:val="lv-LV"/>
        </w:rPr>
        <w:t>un</w:t>
      </w:r>
      <w:r w:rsidR="00B14289" w:rsidRPr="00B74E96">
        <w:rPr>
          <w:lang w:val="lv-LV"/>
        </w:rPr>
        <w:t xml:space="preserve"> </w:t>
      </w:r>
      <w:r w:rsidR="00B14289">
        <w:rPr>
          <w:lang w:val="lv-LV"/>
        </w:rPr>
        <w:t xml:space="preserve">uzlabot </w:t>
      </w:r>
      <w:r w:rsidR="00B14289" w:rsidRPr="00B74E96">
        <w:rPr>
          <w:lang w:val="lv-LV"/>
        </w:rPr>
        <w:t>uzraudzības un kontroles kvalitāti</w:t>
      </w:r>
      <w:r w:rsidR="001F2E9B">
        <w:rPr>
          <w:lang w:val="lv-LV"/>
        </w:rPr>
        <w:t>,</w:t>
      </w:r>
      <w:r w:rsidR="00B14289" w:rsidRPr="00B74E96">
        <w:rPr>
          <w:lang w:val="lv-LV"/>
        </w:rPr>
        <w:t xml:space="preserve"> </w:t>
      </w:r>
      <w:r w:rsidR="00B74E96" w:rsidRPr="00B74E96">
        <w:rPr>
          <w:lang w:val="lv-LV"/>
        </w:rPr>
        <w:t>kā rezultātā plānots ierobežot ĀCM un putnu gripas izplatību Latvijas teritorijā.</w:t>
      </w:r>
    </w:p>
    <w:p w14:paraId="07A16187" w14:textId="77777777" w:rsidR="0080109A" w:rsidRPr="004069B7" w:rsidRDefault="0080109A" w:rsidP="00E2439B">
      <w:pPr>
        <w:pStyle w:val="naisf"/>
        <w:spacing w:before="0" w:beforeAutospacing="0" w:after="0" w:afterAutospacing="0"/>
        <w:rPr>
          <w:lang w:val="lv-LV"/>
        </w:rPr>
      </w:pPr>
    </w:p>
    <w:p w14:paraId="55273EC6" w14:textId="77777777" w:rsidR="00E2439B" w:rsidRPr="004069B7" w:rsidRDefault="00E2439B" w:rsidP="00E2439B">
      <w:pPr>
        <w:pStyle w:val="naisf"/>
        <w:spacing w:before="0" w:beforeAutospacing="0" w:after="0" w:afterAutospacing="0"/>
        <w:jc w:val="center"/>
        <w:rPr>
          <w:b/>
          <w:lang w:val="lv-LV"/>
        </w:rPr>
      </w:pPr>
      <w:r w:rsidRPr="004069B7">
        <w:rPr>
          <w:b/>
          <w:lang w:val="lv-LV"/>
        </w:rPr>
        <w:t>I</w:t>
      </w:r>
      <w:r w:rsidR="007C4477" w:rsidRPr="004069B7">
        <w:rPr>
          <w:b/>
          <w:lang w:val="lv-LV"/>
        </w:rPr>
        <w:t>II</w:t>
      </w:r>
      <w:r w:rsidRPr="004069B7">
        <w:rPr>
          <w:b/>
          <w:lang w:val="lv-LV"/>
        </w:rPr>
        <w:t xml:space="preserve">. Par PVD uz laiku piešķirtajām papildu amata vietām un nepieciešamību pagarināt tām noteikto termiņu </w:t>
      </w:r>
    </w:p>
    <w:p w14:paraId="5DA01DC0" w14:textId="77777777" w:rsidR="00E2439B" w:rsidRPr="004069B7" w:rsidRDefault="00E2439B" w:rsidP="00E2439B">
      <w:pPr>
        <w:pStyle w:val="naisf"/>
        <w:spacing w:before="0" w:beforeAutospacing="0" w:after="0" w:afterAutospacing="0"/>
        <w:ind w:firstLine="720"/>
        <w:rPr>
          <w:lang w:val="lv-LV"/>
        </w:rPr>
      </w:pPr>
    </w:p>
    <w:p w14:paraId="62A23733" w14:textId="3EBC1B76" w:rsidR="00E2439B" w:rsidRPr="004069B7" w:rsidRDefault="00E2439B" w:rsidP="00E2439B">
      <w:pPr>
        <w:pStyle w:val="naisf"/>
        <w:spacing w:before="0" w:beforeAutospacing="0" w:after="0" w:afterAutospacing="0"/>
        <w:ind w:firstLine="720"/>
        <w:rPr>
          <w:lang w:val="lv-LV"/>
        </w:rPr>
      </w:pPr>
      <w:r w:rsidRPr="004069B7">
        <w:rPr>
          <w:color w:val="2A2A2A"/>
          <w:lang w:val="lv-LV"/>
        </w:rPr>
        <w:t>Lai nodrošinātu ĀCM programmas īstenošanu,</w:t>
      </w:r>
      <w:r w:rsidRPr="004069B7">
        <w:rPr>
          <w:lang w:val="lv-LV"/>
        </w:rPr>
        <w:t xml:space="preserve"> Ministru kabinets 2014. gada 4. septembrī pieņēma lēmumu (sēdes protokols Nr. 47 1. §)</w:t>
      </w:r>
      <w:r w:rsidRPr="004069B7">
        <w:rPr>
          <w:color w:val="2A2A2A"/>
          <w:lang w:val="lv-LV"/>
        </w:rPr>
        <w:t xml:space="preserve"> Zemkopības ministrijai uz laiku no 2014. gada 1. oktobra līdz 2017. gada 31. decembrim papildus izveidot 20 amata viet</w:t>
      </w:r>
      <w:r w:rsidR="00575ED0">
        <w:rPr>
          <w:color w:val="2A2A2A"/>
          <w:lang w:val="lv-LV"/>
        </w:rPr>
        <w:t>u</w:t>
      </w:r>
      <w:r w:rsidRPr="004069B7">
        <w:rPr>
          <w:color w:val="2A2A2A"/>
          <w:lang w:val="lv-LV"/>
        </w:rPr>
        <w:t xml:space="preserve"> PVD, kā arī noteica</w:t>
      </w:r>
      <w:r w:rsidRPr="004069B7">
        <w:rPr>
          <w:lang w:val="lv-LV"/>
        </w:rPr>
        <w:t xml:space="preserve"> nepieciešamā finansējuma apmēru un tā avotu (valsts budžeta apakšprogramma 70.06.00).</w:t>
      </w:r>
    </w:p>
    <w:p w14:paraId="37C7758C" w14:textId="77777777" w:rsidR="00722564" w:rsidRDefault="00722564" w:rsidP="00DF3104">
      <w:pPr>
        <w:ind w:firstLine="709"/>
        <w:jc w:val="both"/>
        <w:rPr>
          <w:lang w:val="lv-LV"/>
        </w:rPr>
      </w:pPr>
    </w:p>
    <w:p w14:paraId="042C8150" w14:textId="09951807" w:rsidR="00DF3104" w:rsidRPr="004069B7" w:rsidRDefault="00DF3104" w:rsidP="00DF3104">
      <w:pPr>
        <w:ind w:firstLine="709"/>
        <w:jc w:val="both"/>
        <w:rPr>
          <w:color w:val="000000"/>
          <w:lang w:val="lv-LV"/>
        </w:rPr>
      </w:pPr>
      <w:r w:rsidRPr="004069B7">
        <w:rPr>
          <w:lang w:val="lv-LV"/>
        </w:rPr>
        <w:t xml:space="preserve">Ņemot vērā </w:t>
      </w:r>
      <w:r w:rsidR="00591852" w:rsidRPr="004069B7">
        <w:rPr>
          <w:lang w:val="lv-LV"/>
        </w:rPr>
        <w:t>esošo</w:t>
      </w:r>
      <w:r w:rsidRPr="004069B7">
        <w:rPr>
          <w:lang w:val="lv-LV"/>
        </w:rPr>
        <w:t xml:space="preserve"> epizootisko situāciju, nepieciešams pieņemt lēmumu par 20</w:t>
      </w:r>
      <w:r w:rsidR="00575ED0">
        <w:rPr>
          <w:lang w:val="lv-LV"/>
        </w:rPr>
        <w:t> </w:t>
      </w:r>
      <w:r w:rsidRPr="004069B7">
        <w:rPr>
          <w:lang w:val="lv-LV"/>
        </w:rPr>
        <w:t xml:space="preserve">papildus piešķirto </w:t>
      </w:r>
      <w:r w:rsidR="007C4477" w:rsidRPr="004069B7">
        <w:rPr>
          <w:lang w:val="lv-LV"/>
        </w:rPr>
        <w:t>amata</w:t>
      </w:r>
      <w:r w:rsidRPr="004069B7">
        <w:rPr>
          <w:lang w:val="lv-LV"/>
        </w:rPr>
        <w:t xml:space="preserve"> vietu </w:t>
      </w:r>
      <w:r w:rsidR="00B35FC5" w:rsidRPr="004069B7">
        <w:rPr>
          <w:lang w:val="lv-LV"/>
        </w:rPr>
        <w:t xml:space="preserve">(PVD teritoriālo struktūrvienību un robežkontroles punktu inspektori (26.3.saime, IIIA līmenis) </w:t>
      </w:r>
      <w:r w:rsidRPr="004069B7">
        <w:rPr>
          <w:lang w:val="lv-LV"/>
        </w:rPr>
        <w:t>termiņa pagarināšanu</w:t>
      </w:r>
      <w:r w:rsidRPr="004069B7">
        <w:rPr>
          <w:color w:val="000000"/>
          <w:lang w:val="lv-LV"/>
        </w:rPr>
        <w:t>.</w:t>
      </w:r>
    </w:p>
    <w:p w14:paraId="3A698F1D" w14:textId="77777777" w:rsidR="00DF3104" w:rsidRPr="004069B7" w:rsidRDefault="00DF3104" w:rsidP="00E2439B">
      <w:pPr>
        <w:pStyle w:val="naisf"/>
        <w:spacing w:before="0" w:beforeAutospacing="0" w:after="0" w:afterAutospacing="0"/>
        <w:ind w:firstLine="720"/>
        <w:rPr>
          <w:lang w:val="lv-LV"/>
        </w:rPr>
      </w:pPr>
    </w:p>
    <w:p w14:paraId="7EA41616" w14:textId="52A6CC81" w:rsidR="00E2439B" w:rsidRPr="004069B7" w:rsidRDefault="007053C2" w:rsidP="00E2439B">
      <w:pPr>
        <w:pStyle w:val="naisf"/>
        <w:spacing w:before="0" w:beforeAutospacing="0" w:after="0" w:afterAutospacing="0"/>
        <w:ind w:firstLine="720"/>
        <w:rPr>
          <w:lang w:val="lv-LV"/>
        </w:rPr>
      </w:pPr>
      <w:r w:rsidRPr="004069B7">
        <w:rPr>
          <w:lang w:val="lv-LV"/>
        </w:rPr>
        <w:t xml:space="preserve">Tā kā </w:t>
      </w:r>
      <w:r w:rsidR="00E2439B" w:rsidRPr="004069B7">
        <w:rPr>
          <w:lang w:val="lv-LV"/>
        </w:rPr>
        <w:t xml:space="preserve">ĀCM </w:t>
      </w:r>
      <w:r w:rsidR="008510A0" w:rsidRPr="004069B7">
        <w:rPr>
          <w:lang w:val="lv-LV"/>
        </w:rPr>
        <w:t>izplatības</w:t>
      </w:r>
      <w:r w:rsidRPr="004069B7">
        <w:rPr>
          <w:lang w:val="lv-LV"/>
        </w:rPr>
        <w:t xml:space="preserve"> teritorija paplašinās</w:t>
      </w:r>
      <w:r w:rsidR="00E2439B" w:rsidRPr="004069B7">
        <w:rPr>
          <w:lang w:val="lv-LV"/>
        </w:rPr>
        <w:t xml:space="preserve"> un </w:t>
      </w:r>
      <w:r w:rsidR="00575ED0" w:rsidRPr="004069B7">
        <w:rPr>
          <w:lang w:val="lv-LV"/>
        </w:rPr>
        <w:t xml:space="preserve">PVD amatpersonām </w:t>
      </w:r>
      <w:r w:rsidRPr="004069B7">
        <w:rPr>
          <w:lang w:val="lv-LV"/>
        </w:rPr>
        <w:t>ir noteikts ļoti plašs</w:t>
      </w:r>
      <w:r w:rsidR="00E2439B" w:rsidRPr="004069B7">
        <w:rPr>
          <w:lang w:val="lv-LV"/>
        </w:rPr>
        <w:t xml:space="preserve"> pienākumu</w:t>
      </w:r>
      <w:r w:rsidRPr="004069B7">
        <w:rPr>
          <w:lang w:val="lv-LV"/>
        </w:rPr>
        <w:t xml:space="preserve"> loks</w:t>
      </w:r>
      <w:r w:rsidR="00E2439B" w:rsidRPr="004069B7">
        <w:rPr>
          <w:lang w:val="lv-LV"/>
        </w:rPr>
        <w:t xml:space="preserve">, </w:t>
      </w:r>
      <w:r w:rsidR="008510A0" w:rsidRPr="004069B7">
        <w:rPr>
          <w:lang w:val="lv-LV"/>
        </w:rPr>
        <w:t>nav mainījusies</w:t>
      </w:r>
      <w:r w:rsidR="00E2439B" w:rsidRPr="004069B7">
        <w:rPr>
          <w:lang w:val="lv-LV"/>
        </w:rPr>
        <w:t xml:space="preserve"> situācija, kad ar </w:t>
      </w:r>
      <w:r w:rsidR="008510A0" w:rsidRPr="004069B7">
        <w:rPr>
          <w:lang w:val="lv-LV"/>
        </w:rPr>
        <w:t xml:space="preserve">PVD rīcībā pastāvīgi </w:t>
      </w:r>
      <w:r w:rsidR="00E2439B" w:rsidRPr="004069B7">
        <w:rPr>
          <w:lang w:val="lv-LV"/>
        </w:rPr>
        <w:t xml:space="preserve">esošajiem cilvēkresursiem nav iespējams nodrošināt normatīvo aktu </w:t>
      </w:r>
      <w:r w:rsidR="00575ED0">
        <w:rPr>
          <w:lang w:val="lv-LV"/>
        </w:rPr>
        <w:t xml:space="preserve">prasību </w:t>
      </w:r>
      <w:r w:rsidR="00E2439B" w:rsidRPr="004069B7">
        <w:rPr>
          <w:lang w:val="lv-LV"/>
        </w:rPr>
        <w:t>izpildi ĀCM apkarošanā un izplatības ierobežošanā.</w:t>
      </w:r>
    </w:p>
    <w:p w14:paraId="77F03FED" w14:textId="77777777" w:rsidR="00DC4FDC" w:rsidRPr="004069B7" w:rsidRDefault="00DC4FDC" w:rsidP="00E2439B">
      <w:pPr>
        <w:pStyle w:val="naisf"/>
        <w:spacing w:before="0" w:beforeAutospacing="0" w:after="0" w:afterAutospacing="0"/>
        <w:ind w:firstLine="720"/>
        <w:rPr>
          <w:lang w:val="lv-LV"/>
        </w:rPr>
      </w:pPr>
    </w:p>
    <w:p w14:paraId="56D163B4" w14:textId="0105F1EA" w:rsidR="00E2439B" w:rsidRPr="004069B7" w:rsidRDefault="00575ED0" w:rsidP="00E2439B">
      <w:pPr>
        <w:pStyle w:val="naisf"/>
        <w:spacing w:before="0" w:beforeAutospacing="0" w:after="0" w:afterAutospacing="0"/>
        <w:ind w:firstLine="720"/>
        <w:rPr>
          <w:lang w:val="lv-LV"/>
        </w:rPr>
      </w:pPr>
      <w:r>
        <w:rPr>
          <w:lang w:val="lv-LV"/>
        </w:rPr>
        <w:t>Spēkā esošo</w:t>
      </w:r>
      <w:r w:rsidR="00E2439B" w:rsidRPr="004069B7">
        <w:rPr>
          <w:lang w:val="lv-LV"/>
        </w:rPr>
        <w:t xml:space="preserve"> reglamentu attiecībā uz normatīvajos aktos noteikto pārbaužu biežumu PVD nespēj pildīt, jo visi inspektori tiek iesaistīti </w:t>
      </w:r>
      <w:r w:rsidR="008510A0" w:rsidRPr="004069B7">
        <w:rPr>
          <w:lang w:val="lv-LV"/>
        </w:rPr>
        <w:t xml:space="preserve">arī </w:t>
      </w:r>
      <w:r w:rsidR="00E2439B" w:rsidRPr="004069B7">
        <w:rPr>
          <w:lang w:val="lv-LV"/>
        </w:rPr>
        <w:t>ĀCM apkarošanas pasākumos. Papildus šiem pasākumiem ir jānodrošina pastiprinātas izsekojamības kontrole dzīviem dzīvniekiem un dzīvnieku izcelsmes produktiem visā valsts teritorijā.</w:t>
      </w:r>
    </w:p>
    <w:p w14:paraId="39EACCEE" w14:textId="77777777" w:rsidR="00DC4FDC" w:rsidRPr="004069B7" w:rsidRDefault="00DC4FDC" w:rsidP="007053C2">
      <w:pPr>
        <w:pStyle w:val="naisf"/>
        <w:spacing w:before="0" w:beforeAutospacing="0" w:after="0" w:afterAutospacing="0"/>
        <w:ind w:firstLine="720"/>
        <w:rPr>
          <w:lang w:val="lv-LV"/>
        </w:rPr>
      </w:pPr>
    </w:p>
    <w:p w14:paraId="7FC48672" w14:textId="3519E823" w:rsidR="00E2439B" w:rsidRPr="004069B7" w:rsidRDefault="00E2439B" w:rsidP="007053C2">
      <w:pPr>
        <w:pStyle w:val="naisf"/>
        <w:spacing w:before="0" w:beforeAutospacing="0" w:after="0" w:afterAutospacing="0"/>
        <w:ind w:firstLine="720"/>
        <w:rPr>
          <w:lang w:val="lv-LV"/>
        </w:rPr>
      </w:pPr>
      <w:r w:rsidRPr="004069B7">
        <w:rPr>
          <w:lang w:val="lv-LV"/>
        </w:rPr>
        <w:t>Patlaban PVD inspektori strādā tādā režīmā, kad regulāri tiek sasniegts maksimālais Darba likuma 136.</w:t>
      </w:r>
      <w:r w:rsidR="000C1151" w:rsidRPr="004069B7">
        <w:rPr>
          <w:lang w:val="lv-LV"/>
        </w:rPr>
        <w:t> </w:t>
      </w:r>
      <w:r w:rsidRPr="004069B7">
        <w:rPr>
          <w:lang w:val="lv-LV"/>
        </w:rPr>
        <w:t xml:space="preserve">panta piektajā daļā noteiktais maksimālais virsstundu apjoms. </w:t>
      </w:r>
      <w:r w:rsidR="000C1151" w:rsidRPr="004069B7">
        <w:rPr>
          <w:lang w:val="lv-LV"/>
        </w:rPr>
        <w:t xml:space="preserve">2016. gadā kopējais nostrādāto virsstundu skaits PVD bija </w:t>
      </w:r>
      <w:r w:rsidR="00EA7DC0" w:rsidRPr="004069B7">
        <w:rPr>
          <w:lang w:val="lv-LV"/>
        </w:rPr>
        <w:t xml:space="preserve">25 330 </w:t>
      </w:r>
      <w:r w:rsidR="000C1151" w:rsidRPr="004069B7">
        <w:rPr>
          <w:lang w:val="lv-LV"/>
        </w:rPr>
        <w:t>stundas.</w:t>
      </w:r>
      <w:r w:rsidR="007053C2" w:rsidRPr="004069B7">
        <w:rPr>
          <w:lang w:val="lv-LV"/>
        </w:rPr>
        <w:t xml:space="preserve"> </w:t>
      </w:r>
      <w:r w:rsidRPr="004069B7">
        <w:rPr>
          <w:lang w:val="lv-LV"/>
        </w:rPr>
        <w:t xml:space="preserve">Diemžēl ilgstošs </w:t>
      </w:r>
      <w:r w:rsidR="00591852" w:rsidRPr="004069B7">
        <w:rPr>
          <w:lang w:val="lv-LV"/>
        </w:rPr>
        <w:t xml:space="preserve">vai pastāvīgs virsstundu darbs </w:t>
      </w:r>
      <w:r w:rsidRPr="004069B7">
        <w:rPr>
          <w:lang w:val="lv-LV"/>
        </w:rPr>
        <w:t>ietekmē PVD amatpersonu veselī</w:t>
      </w:r>
      <w:r w:rsidR="007053C2" w:rsidRPr="004069B7">
        <w:rPr>
          <w:lang w:val="lv-LV"/>
        </w:rPr>
        <w:t>bu un darba rezultātu kvalitāti</w:t>
      </w:r>
      <w:r w:rsidRPr="004069B7">
        <w:rPr>
          <w:lang w:val="lv-LV"/>
        </w:rPr>
        <w:t>.</w:t>
      </w:r>
    </w:p>
    <w:p w14:paraId="3166C843" w14:textId="77777777" w:rsidR="00E2450D" w:rsidRPr="004069B7" w:rsidRDefault="00E2450D" w:rsidP="00E36116">
      <w:pPr>
        <w:pStyle w:val="naisf"/>
        <w:spacing w:before="0" w:beforeAutospacing="0" w:after="0" w:afterAutospacing="0"/>
        <w:rPr>
          <w:lang w:val="lv-LV"/>
        </w:rPr>
      </w:pPr>
    </w:p>
    <w:p w14:paraId="4F1D8E20" w14:textId="77777777" w:rsidR="00F828AD" w:rsidRPr="004069B7" w:rsidRDefault="00E36116" w:rsidP="00F828AD">
      <w:pPr>
        <w:pStyle w:val="NoSpacing"/>
        <w:ind w:firstLine="709"/>
        <w:jc w:val="both"/>
        <w:rPr>
          <w:lang w:val="lv-LV"/>
        </w:rPr>
      </w:pPr>
      <w:r w:rsidRPr="004069B7">
        <w:rPr>
          <w:lang w:val="lv-LV"/>
        </w:rPr>
        <w:t>PVD 2017. </w:t>
      </w:r>
      <w:r w:rsidR="00F828AD" w:rsidRPr="004069B7">
        <w:rPr>
          <w:lang w:val="lv-LV"/>
        </w:rPr>
        <w:t xml:space="preserve">gada </w:t>
      </w:r>
      <w:r w:rsidRPr="004069B7">
        <w:rPr>
          <w:lang w:val="lv-LV"/>
        </w:rPr>
        <w:t>4. </w:t>
      </w:r>
      <w:r w:rsidR="00F828AD" w:rsidRPr="004069B7">
        <w:rPr>
          <w:lang w:val="lv-LV"/>
        </w:rPr>
        <w:t xml:space="preserve">aprīlī </w:t>
      </w:r>
      <w:r w:rsidRPr="004069B7">
        <w:rPr>
          <w:lang w:val="lv-LV"/>
        </w:rPr>
        <w:t>bija</w:t>
      </w:r>
      <w:r w:rsidR="00F828AD" w:rsidRPr="004069B7">
        <w:rPr>
          <w:lang w:val="lv-LV"/>
        </w:rPr>
        <w:t xml:space="preserve"> 17 vakantas inspektoru amata vietas. No šīm 17</w:t>
      </w:r>
      <w:r w:rsidRPr="004069B7">
        <w:rPr>
          <w:lang w:val="lv-LV"/>
        </w:rPr>
        <w:t> </w:t>
      </w:r>
      <w:r w:rsidR="00F828AD" w:rsidRPr="004069B7">
        <w:rPr>
          <w:lang w:val="lv-LV"/>
        </w:rPr>
        <w:t xml:space="preserve">vakancēm: </w:t>
      </w:r>
    </w:p>
    <w:p w14:paraId="3BE24F05" w14:textId="3BF5D90B" w:rsidR="00F828AD" w:rsidRPr="004069B7" w:rsidRDefault="00F828AD" w:rsidP="00F828AD">
      <w:pPr>
        <w:pStyle w:val="NoSpacing"/>
        <w:ind w:firstLine="709"/>
        <w:jc w:val="both"/>
        <w:rPr>
          <w:lang w:val="lv-LV"/>
        </w:rPr>
      </w:pPr>
      <w:r w:rsidRPr="004069B7">
        <w:rPr>
          <w:lang w:val="lv-LV"/>
        </w:rPr>
        <w:lastRenderedPageBreak/>
        <w:t>1)</w:t>
      </w:r>
      <w:r w:rsidRPr="004069B7">
        <w:rPr>
          <w:b/>
          <w:bCs/>
          <w:lang w:val="lv-LV"/>
        </w:rPr>
        <w:t xml:space="preserve"> trīs ir vakances, kas saistītas ar robežkontroles nodrošināšanu Eiropas Savienības ā</w:t>
      </w:r>
      <w:r w:rsidR="00E36116" w:rsidRPr="004069B7">
        <w:rPr>
          <w:b/>
          <w:bCs/>
          <w:lang w:val="lv-LV"/>
        </w:rPr>
        <w:t>rējās robežas kontroles punktā „</w:t>
      </w:r>
      <w:r w:rsidRPr="004069B7">
        <w:rPr>
          <w:b/>
          <w:bCs/>
          <w:lang w:val="lv-LV"/>
        </w:rPr>
        <w:t xml:space="preserve">Vientuļi”. </w:t>
      </w:r>
      <w:r w:rsidRPr="004069B7">
        <w:rPr>
          <w:lang w:val="lv-LV"/>
        </w:rPr>
        <w:t xml:space="preserve">Uz vakancēm tiks </w:t>
      </w:r>
      <w:r w:rsidR="00B733F4">
        <w:rPr>
          <w:lang w:val="lv-LV"/>
        </w:rPr>
        <w:t>iz</w:t>
      </w:r>
      <w:r w:rsidRPr="004069B7">
        <w:rPr>
          <w:lang w:val="lv-LV"/>
        </w:rPr>
        <w:t xml:space="preserve">sludināts konkurss, tiklīdz sāksies regulāra kravu kustība </w:t>
      </w:r>
      <w:r w:rsidR="00B733F4">
        <w:rPr>
          <w:lang w:val="lv-LV"/>
        </w:rPr>
        <w:t>š</w:t>
      </w:r>
      <w:r w:rsidRPr="004069B7">
        <w:rPr>
          <w:lang w:val="lv-LV"/>
        </w:rPr>
        <w:t>ajā robežkontroles punktā.</w:t>
      </w:r>
      <w:r w:rsidRPr="004069B7">
        <w:rPr>
          <w:b/>
          <w:bCs/>
          <w:lang w:val="lv-LV"/>
        </w:rPr>
        <w:t xml:space="preserve"> </w:t>
      </w:r>
      <w:r w:rsidRPr="004069B7">
        <w:rPr>
          <w:lang w:val="lv-LV"/>
        </w:rPr>
        <w:t>Amatu vietas ir piešķirtas</w:t>
      </w:r>
      <w:r w:rsidR="00B733F4">
        <w:rPr>
          <w:lang w:val="lv-LV"/>
        </w:rPr>
        <w:t>,</w:t>
      </w:r>
      <w:r w:rsidRPr="004069B7">
        <w:rPr>
          <w:lang w:val="lv-LV"/>
        </w:rPr>
        <w:t xml:space="preserve"> </w:t>
      </w:r>
      <w:r w:rsidR="00B733F4">
        <w:rPr>
          <w:lang w:val="lv-LV"/>
        </w:rPr>
        <w:t>pamatojoties uz</w:t>
      </w:r>
      <w:r w:rsidRPr="004069B7">
        <w:rPr>
          <w:lang w:val="lv-LV"/>
        </w:rPr>
        <w:t xml:space="preserve"> 2014.</w:t>
      </w:r>
      <w:r w:rsidR="00E36116" w:rsidRPr="004069B7">
        <w:rPr>
          <w:lang w:val="lv-LV"/>
        </w:rPr>
        <w:t> gada 29. </w:t>
      </w:r>
      <w:r w:rsidRPr="004069B7">
        <w:rPr>
          <w:lang w:val="lv-LV"/>
        </w:rPr>
        <w:t xml:space="preserve">jūlijā Ministru kabinetā izskatīto informatīvo ziņojumu “Par robežšķērsošanas vietas "Vientuļi" modernizācijas projekta izpildes gaitu un papildu nepieciešamo finansējumu modernizācijas būvniecības darbu pabeigšanai un aprīkojuma iegādes, uzturēšanas, darbinieku atlīdzības un nomas maksas izdevumu segšanai”; </w:t>
      </w:r>
    </w:p>
    <w:p w14:paraId="73FE5425" w14:textId="5CA49FE5" w:rsidR="00F828AD" w:rsidRPr="004069B7" w:rsidRDefault="00F828AD" w:rsidP="00F828AD">
      <w:pPr>
        <w:pStyle w:val="NoSpacing"/>
        <w:ind w:firstLine="709"/>
        <w:jc w:val="both"/>
        <w:rPr>
          <w:lang w:val="lv-LV"/>
        </w:rPr>
      </w:pPr>
      <w:r w:rsidRPr="004069B7">
        <w:rPr>
          <w:lang w:val="lv-LV"/>
        </w:rPr>
        <w:t>2)</w:t>
      </w:r>
      <w:r w:rsidRPr="004069B7">
        <w:rPr>
          <w:b/>
          <w:bCs/>
          <w:lang w:val="lv-LV"/>
        </w:rPr>
        <w:t xml:space="preserve"> četras ir terminētās (ĀCM) inspektoru vakances</w:t>
      </w:r>
      <w:r w:rsidRPr="004069B7">
        <w:rPr>
          <w:lang w:val="lv-LV"/>
        </w:rPr>
        <w:t>. Viena pārtikas un trīs veterinārā inspektora vakance</w:t>
      </w:r>
      <w:r w:rsidR="00B32D8D" w:rsidRPr="004069B7">
        <w:rPr>
          <w:lang w:val="lv-LV"/>
        </w:rPr>
        <w:t>s</w:t>
      </w:r>
      <w:r w:rsidRPr="004069B7">
        <w:rPr>
          <w:lang w:val="lv-LV"/>
        </w:rPr>
        <w:t xml:space="preserve"> </w:t>
      </w:r>
      <w:r w:rsidR="00B733F4">
        <w:rPr>
          <w:lang w:val="lv-LV"/>
        </w:rPr>
        <w:t xml:space="preserve">ir </w:t>
      </w:r>
      <w:r w:rsidRPr="004069B7">
        <w:rPr>
          <w:lang w:val="lv-LV"/>
        </w:rPr>
        <w:t>izveidoju</w:t>
      </w:r>
      <w:r w:rsidR="00B32D8D" w:rsidRPr="004069B7">
        <w:rPr>
          <w:lang w:val="lv-LV"/>
        </w:rPr>
        <w:t>šās</w:t>
      </w:r>
      <w:r w:rsidRPr="004069B7">
        <w:rPr>
          <w:lang w:val="lv-LV"/>
        </w:rPr>
        <w:t xml:space="preserve"> salīdzinoši nesen, jo, reaģējot uz struktūrvienības vadītāja lūgumu, inspektori no </w:t>
      </w:r>
      <w:r w:rsidR="00B733F4" w:rsidRPr="004069B7">
        <w:rPr>
          <w:lang w:val="lv-LV"/>
        </w:rPr>
        <w:t>amata vietām</w:t>
      </w:r>
      <w:r w:rsidR="00B733F4">
        <w:rPr>
          <w:lang w:val="lv-LV"/>
        </w:rPr>
        <w:t>, kas bija izveidotas</w:t>
      </w:r>
      <w:r w:rsidR="00B733F4" w:rsidRPr="004069B7">
        <w:rPr>
          <w:lang w:val="lv-LV"/>
        </w:rPr>
        <w:t xml:space="preserve"> </w:t>
      </w:r>
      <w:r w:rsidRPr="004069B7">
        <w:rPr>
          <w:lang w:val="lv-LV"/>
        </w:rPr>
        <w:t>uz laiku</w:t>
      </w:r>
      <w:r w:rsidR="00B733F4">
        <w:rPr>
          <w:lang w:val="lv-LV"/>
        </w:rPr>
        <w:t>,</w:t>
      </w:r>
      <w:r w:rsidRPr="004069B7">
        <w:rPr>
          <w:lang w:val="lv-LV"/>
        </w:rPr>
        <w:t xml:space="preserve"> tika pārcelti darbā uz nenoteiktu laiku, tādējādi tālredzīgi saglabājot kvalificētu un pārbaudītu darbinieku resursu. Savukārt uz atlikušo veterinārā inspektora amata vietu pēdējā izsludinātajā konkursā nepieteicās neviens kandidāts</w:t>
      </w:r>
      <w:r w:rsidR="00403C85" w:rsidRPr="004069B7">
        <w:rPr>
          <w:lang w:val="lv-LV"/>
        </w:rPr>
        <w:t>, ņemot vērā laiku, uz kādu amats piedāvāts</w:t>
      </w:r>
      <w:r w:rsidRPr="004069B7">
        <w:rPr>
          <w:lang w:val="lv-LV"/>
        </w:rPr>
        <w:t xml:space="preserve">; </w:t>
      </w:r>
    </w:p>
    <w:p w14:paraId="7EEF0DC4" w14:textId="2DFECEEB" w:rsidR="00F828AD" w:rsidRPr="004069B7" w:rsidRDefault="00F828AD" w:rsidP="00F828AD">
      <w:pPr>
        <w:pStyle w:val="NoSpacing"/>
        <w:ind w:firstLine="709"/>
        <w:jc w:val="both"/>
        <w:rPr>
          <w:lang w:val="lv-LV"/>
        </w:rPr>
      </w:pPr>
      <w:r w:rsidRPr="004069B7">
        <w:rPr>
          <w:lang w:val="lv-LV"/>
        </w:rPr>
        <w:t>3)</w:t>
      </w:r>
      <w:r w:rsidRPr="004069B7">
        <w:rPr>
          <w:b/>
          <w:bCs/>
          <w:lang w:val="lv-LV"/>
        </w:rPr>
        <w:t xml:space="preserve"> desmit ir procesa vakances.</w:t>
      </w:r>
      <w:r w:rsidRPr="004069B7">
        <w:rPr>
          <w:lang w:val="lv-LV"/>
        </w:rPr>
        <w:t xml:space="preserve"> Proti, ir izsludināti konkursi un notiek personāla atlase (piemēram, vienā gadījumā konkurss jau ir </w:t>
      </w:r>
      <w:r w:rsidR="00B733F4">
        <w:rPr>
          <w:lang w:val="lv-LV"/>
        </w:rPr>
        <w:t>bei</w:t>
      </w:r>
      <w:r w:rsidRPr="004069B7">
        <w:rPr>
          <w:lang w:val="lv-LV"/>
        </w:rPr>
        <w:t xml:space="preserve">dzies un </w:t>
      </w:r>
      <w:r w:rsidR="00B733F4" w:rsidRPr="004069B7">
        <w:rPr>
          <w:lang w:val="lv-LV"/>
        </w:rPr>
        <w:t xml:space="preserve">darbā </w:t>
      </w:r>
      <w:r w:rsidRPr="004069B7">
        <w:rPr>
          <w:lang w:val="lv-LV"/>
        </w:rPr>
        <w:t xml:space="preserve">tiek gaidīts darbinieks, kuram iepriekšējā darbavietā jāatstrādā noteiktais viena mēneša termiņš, </w:t>
      </w:r>
      <w:r w:rsidR="00B733F4">
        <w:rPr>
          <w:lang w:val="lv-LV"/>
        </w:rPr>
        <w:t xml:space="preserve">un </w:t>
      </w:r>
      <w:r w:rsidRPr="004069B7">
        <w:rPr>
          <w:lang w:val="lv-LV"/>
        </w:rPr>
        <w:t xml:space="preserve">vienā gadījumā ir </w:t>
      </w:r>
      <w:r w:rsidR="00B733F4">
        <w:rPr>
          <w:lang w:val="lv-LV"/>
        </w:rPr>
        <w:t>bei</w:t>
      </w:r>
      <w:r w:rsidRPr="004069B7">
        <w:rPr>
          <w:lang w:val="lv-LV"/>
        </w:rPr>
        <w:t xml:space="preserve">dzies pieteikšanās termiņš, </w:t>
      </w:r>
      <w:r w:rsidR="00B733F4">
        <w:rPr>
          <w:lang w:val="lv-LV"/>
        </w:rPr>
        <w:t>un patlaban</w:t>
      </w:r>
      <w:r w:rsidRPr="004069B7">
        <w:rPr>
          <w:lang w:val="lv-LV"/>
        </w:rPr>
        <w:t xml:space="preserve"> notiek konkursa nākamo kārtu izvērtēšana). </w:t>
      </w:r>
    </w:p>
    <w:p w14:paraId="33F021FF" w14:textId="77777777" w:rsidR="00DC4FDC" w:rsidRPr="004069B7" w:rsidRDefault="00DC4FDC" w:rsidP="00403C85">
      <w:pPr>
        <w:pStyle w:val="NoSpacing"/>
        <w:ind w:firstLine="709"/>
        <w:jc w:val="both"/>
        <w:rPr>
          <w:lang w:val="lv-LV"/>
        </w:rPr>
      </w:pPr>
    </w:p>
    <w:p w14:paraId="1E550EFA" w14:textId="25569950" w:rsidR="00E2439B" w:rsidRPr="004069B7" w:rsidRDefault="00F828AD" w:rsidP="00403C85">
      <w:pPr>
        <w:pStyle w:val="NoSpacing"/>
        <w:ind w:firstLine="709"/>
        <w:jc w:val="both"/>
        <w:rPr>
          <w:lang w:val="lv-LV"/>
        </w:rPr>
      </w:pPr>
      <w:r w:rsidRPr="004069B7">
        <w:rPr>
          <w:lang w:val="lv-LV"/>
        </w:rPr>
        <w:t xml:space="preserve">Papildus </w:t>
      </w:r>
      <w:r w:rsidR="00B32D8D" w:rsidRPr="004069B7">
        <w:rPr>
          <w:lang w:val="lv-LV"/>
        </w:rPr>
        <w:t>jāņem vērā</w:t>
      </w:r>
      <w:r w:rsidRPr="004069B7">
        <w:rPr>
          <w:lang w:val="lv-LV"/>
        </w:rPr>
        <w:t xml:space="preserve">, ka </w:t>
      </w:r>
      <w:r w:rsidR="00C114C0" w:rsidRPr="004069B7">
        <w:rPr>
          <w:lang w:val="lv-LV"/>
        </w:rPr>
        <w:t xml:space="preserve">no darbiniekiem </w:t>
      </w:r>
      <w:r w:rsidR="00C114C0">
        <w:rPr>
          <w:lang w:val="lv-LV"/>
        </w:rPr>
        <w:t xml:space="preserve">pieprasītais </w:t>
      </w:r>
      <w:r w:rsidRPr="004069B7">
        <w:rPr>
          <w:lang w:val="lv-LV"/>
        </w:rPr>
        <w:t>darba apjoms</w:t>
      </w:r>
      <w:r w:rsidR="00C114C0">
        <w:rPr>
          <w:lang w:val="lv-LV"/>
        </w:rPr>
        <w:t xml:space="preserve"> </w:t>
      </w:r>
      <w:r w:rsidRPr="004069B7">
        <w:rPr>
          <w:lang w:val="lv-LV"/>
        </w:rPr>
        <w:t xml:space="preserve">ir nesamērīgs </w:t>
      </w:r>
      <w:r w:rsidR="00C114C0">
        <w:rPr>
          <w:lang w:val="lv-LV"/>
        </w:rPr>
        <w:t>salīdzinājumā ar</w:t>
      </w:r>
      <w:r w:rsidRPr="004069B7">
        <w:rPr>
          <w:lang w:val="lv-LV"/>
        </w:rPr>
        <w:t xml:space="preserve"> </w:t>
      </w:r>
      <w:r w:rsidR="00C114C0">
        <w:rPr>
          <w:lang w:val="lv-LV"/>
        </w:rPr>
        <w:t>inspektoru</w:t>
      </w:r>
      <w:r w:rsidR="00C114C0" w:rsidRPr="004069B7">
        <w:rPr>
          <w:lang w:val="lv-LV"/>
        </w:rPr>
        <w:t xml:space="preserve"> </w:t>
      </w:r>
      <w:r w:rsidRPr="004069B7">
        <w:rPr>
          <w:lang w:val="lv-LV"/>
        </w:rPr>
        <w:t>algas likmi, savukārt personāla atlas</w:t>
      </w:r>
      <w:r w:rsidR="00C114C0">
        <w:rPr>
          <w:lang w:val="lv-LV"/>
        </w:rPr>
        <w:t>ē</w:t>
      </w:r>
      <w:r w:rsidRPr="004069B7">
        <w:rPr>
          <w:lang w:val="lv-LV"/>
        </w:rPr>
        <w:t xml:space="preserve"> PVD nevar garantēt pretendentiem piemaksas, virsstundas utt., bet algas likme </w:t>
      </w:r>
      <w:r w:rsidR="007539F5" w:rsidRPr="004069B7">
        <w:rPr>
          <w:lang w:val="lv-LV"/>
        </w:rPr>
        <w:t>nav konkurētspējīga</w:t>
      </w:r>
      <w:r w:rsidRPr="004069B7">
        <w:rPr>
          <w:lang w:val="lv-LV"/>
        </w:rPr>
        <w:t xml:space="preserve">. </w:t>
      </w:r>
      <w:r w:rsidR="00E2439B" w:rsidRPr="004069B7">
        <w:rPr>
          <w:lang w:val="lv-LV"/>
        </w:rPr>
        <w:t>Salīdzin</w:t>
      </w:r>
      <w:r w:rsidR="00C114C0">
        <w:rPr>
          <w:lang w:val="lv-LV"/>
        </w:rPr>
        <w:t>ājumā</w:t>
      </w:r>
      <w:r w:rsidR="00E2439B" w:rsidRPr="004069B7">
        <w:rPr>
          <w:lang w:val="lv-LV"/>
        </w:rPr>
        <w:t xml:space="preserve"> ar privāti praktizējošo veterinārārstu atalgojumu PVD inspektora atalgojums ir m</w:t>
      </w:r>
      <w:r w:rsidR="00C114C0">
        <w:rPr>
          <w:lang w:val="lv-LV"/>
        </w:rPr>
        <w:t>az</w:t>
      </w:r>
      <w:r w:rsidR="00E2439B" w:rsidRPr="004069B7">
        <w:rPr>
          <w:lang w:val="lv-LV"/>
        </w:rPr>
        <w:t xml:space="preserve">āks, </w:t>
      </w:r>
      <w:r w:rsidR="00C114C0">
        <w:rPr>
          <w:lang w:val="lv-LV"/>
        </w:rPr>
        <w:t>lai gan</w:t>
      </w:r>
      <w:r w:rsidR="00E2439B" w:rsidRPr="004069B7">
        <w:rPr>
          <w:lang w:val="lv-LV"/>
        </w:rPr>
        <w:t xml:space="preserve"> </w:t>
      </w:r>
      <w:r w:rsidR="00C114C0">
        <w:rPr>
          <w:lang w:val="lv-LV"/>
        </w:rPr>
        <w:t>vairāk</w:t>
      </w:r>
      <w:r w:rsidR="00E2439B" w:rsidRPr="004069B7">
        <w:rPr>
          <w:lang w:val="lv-LV"/>
        </w:rPr>
        <w:t>ās jomās prasības inspektoru kvalifikācijai ir būtiski augstākas (inspektora sākotnējais apmācīb</w:t>
      </w:r>
      <w:r w:rsidR="00C114C0">
        <w:rPr>
          <w:lang w:val="lv-LV"/>
        </w:rPr>
        <w:t>as</w:t>
      </w:r>
      <w:r w:rsidR="00E2439B" w:rsidRPr="004069B7">
        <w:rPr>
          <w:lang w:val="lv-LV"/>
        </w:rPr>
        <w:t xml:space="preserve"> periods ilgst 4</w:t>
      </w:r>
      <w:r w:rsidR="00C114C0">
        <w:rPr>
          <w:lang w:val="lv-LV"/>
        </w:rPr>
        <w:t>–</w:t>
      </w:r>
      <w:r w:rsidR="00E2439B" w:rsidRPr="004069B7">
        <w:rPr>
          <w:lang w:val="lv-LV"/>
        </w:rPr>
        <w:t xml:space="preserve">6 mēnešus). </w:t>
      </w:r>
    </w:p>
    <w:p w14:paraId="402C5068" w14:textId="77777777" w:rsidR="00E2439B" w:rsidRPr="004069B7" w:rsidRDefault="00E2439B" w:rsidP="002C4BEC">
      <w:pPr>
        <w:ind w:firstLine="709"/>
        <w:jc w:val="both"/>
        <w:rPr>
          <w:lang w:val="lv-LV"/>
        </w:rPr>
      </w:pPr>
    </w:p>
    <w:p w14:paraId="7F157979" w14:textId="3200C1B2" w:rsidR="004F4ED9" w:rsidRPr="004069B7" w:rsidRDefault="00403C85" w:rsidP="0049347C">
      <w:pPr>
        <w:ind w:firstLine="709"/>
        <w:jc w:val="both"/>
        <w:rPr>
          <w:lang w:val="lv-LV"/>
        </w:rPr>
      </w:pPr>
      <w:r w:rsidRPr="004069B7">
        <w:rPr>
          <w:lang w:val="lv-LV"/>
        </w:rPr>
        <w:t xml:space="preserve">Ņemot vērā PVD </w:t>
      </w:r>
      <w:r w:rsidR="00420BE8" w:rsidRPr="004069B7">
        <w:rPr>
          <w:lang w:val="lv-LV"/>
        </w:rPr>
        <w:t>pieredzi</w:t>
      </w:r>
      <w:r w:rsidRPr="004069B7">
        <w:rPr>
          <w:lang w:val="lv-LV"/>
        </w:rPr>
        <w:t xml:space="preserve"> konkursu rīkošan</w:t>
      </w:r>
      <w:r w:rsidR="00420BE8" w:rsidRPr="004069B7">
        <w:rPr>
          <w:lang w:val="lv-LV"/>
        </w:rPr>
        <w:t>ā</w:t>
      </w:r>
      <w:r w:rsidRPr="004069B7">
        <w:rPr>
          <w:lang w:val="lv-LV"/>
        </w:rPr>
        <w:t xml:space="preserve"> un darbinieku atlas</w:t>
      </w:r>
      <w:r w:rsidR="00420BE8" w:rsidRPr="004069B7">
        <w:rPr>
          <w:lang w:val="lv-LV"/>
        </w:rPr>
        <w:t>ē</w:t>
      </w:r>
      <w:r w:rsidRPr="004069B7">
        <w:rPr>
          <w:lang w:val="lv-LV"/>
        </w:rPr>
        <w:t xml:space="preserve"> uz terminētajām amata vietām, kā arī esošo un prognozējamo epizootisko situāciju attiecībā uz ĀCM izplatību Latvijā</w:t>
      </w:r>
      <w:r w:rsidR="000E222D">
        <w:rPr>
          <w:lang w:val="lv-LV"/>
        </w:rPr>
        <w:t xml:space="preserve"> un kaimiņvalstīs</w:t>
      </w:r>
      <w:r w:rsidRPr="004069B7">
        <w:rPr>
          <w:lang w:val="lv-LV"/>
        </w:rPr>
        <w:t xml:space="preserve">, </w:t>
      </w:r>
      <w:r w:rsidR="006B296C" w:rsidRPr="004069B7">
        <w:rPr>
          <w:lang w:val="lv-LV"/>
        </w:rPr>
        <w:t>papildus piešķirto 20 amata vietu termiņš jāpagarina</w:t>
      </w:r>
      <w:r w:rsidR="00F245DB" w:rsidRPr="004069B7">
        <w:rPr>
          <w:lang w:val="lv-LV"/>
        </w:rPr>
        <w:t xml:space="preserve"> </w:t>
      </w:r>
      <w:r w:rsidR="009607C0">
        <w:rPr>
          <w:lang w:val="lv-LV"/>
        </w:rPr>
        <w:t>līdz 2020</w:t>
      </w:r>
      <w:r w:rsidR="004E465C" w:rsidRPr="004069B7">
        <w:rPr>
          <w:lang w:val="lv-LV"/>
        </w:rPr>
        <w:t>. gada 31. decembrim, piešķirot finansējumu atalgojumam, piemaksām par personisko darba ieguldījumu un darba kvalitāti, veselības un nelaimes gadījumu apdrošināšanai un netiešo izdevumu segšanai.</w:t>
      </w:r>
    </w:p>
    <w:p w14:paraId="75E21309" w14:textId="77777777" w:rsidR="00AE0D96" w:rsidRPr="004069B7" w:rsidRDefault="00AE0D96" w:rsidP="00AE0D96">
      <w:pPr>
        <w:pStyle w:val="naisf"/>
        <w:spacing w:before="0" w:beforeAutospacing="0" w:after="0" w:afterAutospacing="0"/>
        <w:jc w:val="center"/>
        <w:rPr>
          <w:b/>
          <w:lang w:val="lv-LV"/>
        </w:rPr>
      </w:pPr>
    </w:p>
    <w:p w14:paraId="4ED267DB" w14:textId="1D53DC04" w:rsidR="007E79AF" w:rsidRPr="004069B7" w:rsidRDefault="00ED61D2" w:rsidP="007E79AF">
      <w:pPr>
        <w:pStyle w:val="naisf"/>
        <w:spacing w:before="0" w:beforeAutospacing="0" w:after="0" w:afterAutospacing="0"/>
        <w:jc w:val="center"/>
        <w:rPr>
          <w:b/>
          <w:szCs w:val="28"/>
          <w:lang w:val="lv-LV"/>
        </w:rPr>
      </w:pPr>
      <w:r w:rsidRPr="004069B7">
        <w:rPr>
          <w:b/>
          <w:lang w:val="lv-LV"/>
        </w:rPr>
        <w:t>I</w:t>
      </w:r>
      <w:r w:rsidR="00AE0FF1" w:rsidRPr="004069B7">
        <w:rPr>
          <w:b/>
          <w:lang w:val="lv-LV"/>
        </w:rPr>
        <w:t>V.</w:t>
      </w:r>
      <w:r w:rsidR="007E79AF" w:rsidRPr="004069B7">
        <w:rPr>
          <w:b/>
          <w:szCs w:val="28"/>
          <w:lang w:val="lv-LV"/>
        </w:rPr>
        <w:t xml:space="preserve"> ĀCM </w:t>
      </w:r>
      <w:r w:rsidR="0021709E">
        <w:rPr>
          <w:b/>
          <w:szCs w:val="28"/>
          <w:lang w:val="lv-LV"/>
        </w:rPr>
        <w:t>un p</w:t>
      </w:r>
      <w:r w:rsidR="001E5D6C" w:rsidRPr="004069B7">
        <w:rPr>
          <w:b/>
          <w:szCs w:val="28"/>
          <w:lang w:val="lv-LV"/>
        </w:rPr>
        <w:t xml:space="preserve">utnu gripas </w:t>
      </w:r>
      <w:r w:rsidR="007E79AF" w:rsidRPr="004069B7">
        <w:rPr>
          <w:b/>
          <w:szCs w:val="28"/>
          <w:lang w:val="lv-LV"/>
        </w:rPr>
        <w:t>programm</w:t>
      </w:r>
      <w:r w:rsidR="001E5D6C" w:rsidRPr="004069B7">
        <w:rPr>
          <w:b/>
          <w:szCs w:val="28"/>
          <w:lang w:val="lv-LV"/>
        </w:rPr>
        <w:t>u</w:t>
      </w:r>
      <w:r w:rsidR="007E79AF" w:rsidRPr="004069B7">
        <w:rPr>
          <w:b/>
          <w:szCs w:val="28"/>
          <w:lang w:val="lv-LV"/>
        </w:rPr>
        <w:t xml:space="preserve"> finansēšana </w:t>
      </w:r>
    </w:p>
    <w:p w14:paraId="78E72A07" w14:textId="77777777" w:rsidR="007E79AF" w:rsidRPr="004069B7" w:rsidRDefault="007E79AF" w:rsidP="007E79AF">
      <w:pPr>
        <w:pStyle w:val="naisf"/>
        <w:spacing w:before="0" w:beforeAutospacing="0" w:after="0" w:afterAutospacing="0"/>
        <w:jc w:val="center"/>
        <w:rPr>
          <w:b/>
          <w:szCs w:val="28"/>
          <w:lang w:val="lv-LV"/>
        </w:rPr>
      </w:pPr>
    </w:p>
    <w:p w14:paraId="574436D8" w14:textId="15640733" w:rsidR="007E79AF" w:rsidRPr="004069B7" w:rsidRDefault="007E79AF" w:rsidP="007E79AF">
      <w:pPr>
        <w:pStyle w:val="naisf"/>
        <w:spacing w:before="0" w:beforeAutospacing="0" w:after="0" w:afterAutospacing="0"/>
        <w:rPr>
          <w:lang w:val="lv-LV"/>
        </w:rPr>
      </w:pPr>
      <w:r w:rsidRPr="004069B7">
        <w:rPr>
          <w:szCs w:val="28"/>
          <w:lang w:val="lv-LV"/>
        </w:rPr>
        <w:tab/>
      </w:r>
      <w:r w:rsidRPr="004069B7">
        <w:rPr>
          <w:bCs/>
          <w:szCs w:val="28"/>
          <w:lang w:val="lv-LV"/>
        </w:rPr>
        <w:t xml:space="preserve">Finansējums ĀCM </w:t>
      </w:r>
      <w:r w:rsidR="003249D0" w:rsidRPr="004069B7">
        <w:rPr>
          <w:lang w:val="lv-LV"/>
        </w:rPr>
        <w:t>uzraudzības un apkarošanas programmas</w:t>
      </w:r>
      <w:r w:rsidR="003249D0" w:rsidRPr="004069B7">
        <w:rPr>
          <w:bCs/>
          <w:szCs w:val="28"/>
          <w:lang w:val="lv-LV"/>
        </w:rPr>
        <w:t xml:space="preserve"> un Putnu gripas uzraudzības </w:t>
      </w:r>
      <w:r w:rsidRPr="004069B7">
        <w:rPr>
          <w:bCs/>
          <w:szCs w:val="28"/>
          <w:lang w:val="lv-LV"/>
        </w:rPr>
        <w:t>programmas īstenošanai tiek plānots Zemkopības ministrijas b</w:t>
      </w:r>
      <w:r w:rsidR="003C42E9" w:rsidRPr="004069B7">
        <w:rPr>
          <w:bCs/>
          <w:szCs w:val="28"/>
          <w:lang w:val="lv-LV"/>
        </w:rPr>
        <w:t>udžeta apakšprogrammā 70.06.00 „</w:t>
      </w:r>
      <w:r w:rsidRPr="004069B7">
        <w:rPr>
          <w:bCs/>
          <w:szCs w:val="28"/>
          <w:lang w:val="lv-LV"/>
        </w:rPr>
        <w:t>Izdevumi citu Eiropas Savienības politiku instrumentu projektu un pasākumu īstenošanai</w:t>
      </w:r>
      <w:r w:rsidRPr="004069B7">
        <w:rPr>
          <w:bCs/>
          <w:lang w:val="lv-LV"/>
        </w:rPr>
        <w:t>”</w:t>
      </w:r>
      <w:r w:rsidRPr="004069B7">
        <w:rPr>
          <w:lang w:val="lv-LV"/>
        </w:rPr>
        <w:t xml:space="preserve">” </w:t>
      </w:r>
      <w:r w:rsidR="009E0CE9" w:rsidRPr="004069B7">
        <w:rPr>
          <w:lang w:val="lv-LV"/>
        </w:rPr>
        <w:t>(</w:t>
      </w:r>
      <w:r w:rsidR="00CE7D2B" w:rsidRPr="004069B7">
        <w:rPr>
          <w:lang w:val="lv-LV"/>
        </w:rPr>
        <w:t>pasākums</w:t>
      </w:r>
      <w:r w:rsidR="009E0CE9" w:rsidRPr="004069B7">
        <w:rPr>
          <w:lang w:val="lv-LV"/>
        </w:rPr>
        <w:t xml:space="preserve"> – Dzīvnieku infekcijas slimību profilakses un apkarošanas, mikroorganismu rezistences uzraudzības, kā arī pārtikas produktu nekaitīguma un kvalitātes nodrošināšanas pasākumi)</w:t>
      </w:r>
      <w:r w:rsidRPr="004069B7">
        <w:rPr>
          <w:lang w:val="lv-LV"/>
        </w:rPr>
        <w:t xml:space="preserve">. </w:t>
      </w:r>
    </w:p>
    <w:p w14:paraId="3974ED32" w14:textId="4AB5574C" w:rsidR="00C41496" w:rsidRPr="004069B7" w:rsidRDefault="00C41496" w:rsidP="007E79AF">
      <w:pPr>
        <w:pStyle w:val="naisf"/>
        <w:spacing w:before="0" w:beforeAutospacing="0" w:after="0" w:afterAutospacing="0"/>
        <w:rPr>
          <w:lang w:val="lv-LV"/>
        </w:rPr>
      </w:pPr>
    </w:p>
    <w:p w14:paraId="29E2C8B7" w14:textId="41737962" w:rsidR="00C41496" w:rsidRPr="004069B7" w:rsidRDefault="00C41496" w:rsidP="00C41496">
      <w:pPr>
        <w:pStyle w:val="naisf"/>
        <w:spacing w:before="0" w:beforeAutospacing="0" w:after="0" w:afterAutospacing="0"/>
        <w:ind w:firstLine="720"/>
        <w:rPr>
          <w:szCs w:val="28"/>
          <w:lang w:val="lv-LV"/>
        </w:rPr>
      </w:pPr>
      <w:r w:rsidRPr="004069B7">
        <w:rPr>
          <w:szCs w:val="28"/>
          <w:lang w:val="lv-LV"/>
        </w:rPr>
        <w:t xml:space="preserve">Līdzfinansējumu ĀCM un </w:t>
      </w:r>
      <w:r w:rsidR="00C114C0">
        <w:rPr>
          <w:szCs w:val="28"/>
          <w:lang w:val="lv-LV"/>
        </w:rPr>
        <w:t>p</w:t>
      </w:r>
      <w:r w:rsidRPr="004069B7">
        <w:rPr>
          <w:szCs w:val="28"/>
          <w:lang w:val="lv-LV"/>
        </w:rPr>
        <w:t>utnu gripas uzraudzībai un kontrolei valstī nodrošina Eiropas Komisijas apstiprinātās ilgtermiņa programmas</w:t>
      </w:r>
      <w:r w:rsidR="00C114C0">
        <w:rPr>
          <w:szCs w:val="28"/>
          <w:lang w:val="lv-LV"/>
        </w:rPr>
        <w:t>,</w:t>
      </w:r>
      <w:r w:rsidRPr="004069B7">
        <w:rPr>
          <w:szCs w:val="28"/>
          <w:lang w:val="lv-LV"/>
        </w:rPr>
        <w:t xml:space="preserve"> un līdzfinansējums no Eiropas Savienības budžeta par vairākiem programmu pasākumiem (programmas attiecināmām izmaksām, ko Eiropas Komisija</w:t>
      </w:r>
      <w:r w:rsidR="00C114C0">
        <w:rPr>
          <w:szCs w:val="28"/>
          <w:lang w:val="lv-LV"/>
        </w:rPr>
        <w:t>, apstiprinot</w:t>
      </w:r>
      <w:r w:rsidRPr="004069B7">
        <w:rPr>
          <w:szCs w:val="28"/>
          <w:lang w:val="lv-LV"/>
        </w:rPr>
        <w:t xml:space="preserve"> programm</w:t>
      </w:r>
      <w:r w:rsidR="00C114C0">
        <w:rPr>
          <w:szCs w:val="28"/>
          <w:lang w:val="lv-LV"/>
        </w:rPr>
        <w:t>u,</w:t>
      </w:r>
      <w:r w:rsidRPr="004069B7">
        <w:rPr>
          <w:szCs w:val="28"/>
          <w:lang w:val="lv-LV"/>
        </w:rPr>
        <w:t xml:space="preserve"> pieņem kā līdzfinansējamu pozīciju) tiek piešķirts pārsvarā līdz 50% apmērā. Līdzfinansējuma apmēru un līdzfinansējamās pozīcijas Eiropas Komisija katru gadu apstiprina atsevišķi</w:t>
      </w:r>
      <w:r w:rsidR="00C114C0">
        <w:rPr>
          <w:szCs w:val="28"/>
          <w:lang w:val="lv-LV"/>
        </w:rPr>
        <w:t>,</w:t>
      </w:r>
      <w:r w:rsidRPr="004069B7">
        <w:rPr>
          <w:szCs w:val="28"/>
          <w:lang w:val="lv-LV"/>
        </w:rPr>
        <w:t xml:space="preserve"> </w:t>
      </w:r>
      <w:r w:rsidR="00C114C0">
        <w:rPr>
          <w:szCs w:val="28"/>
          <w:lang w:val="lv-LV"/>
        </w:rPr>
        <w:t>t</w:t>
      </w:r>
      <w:r w:rsidRPr="004069B7">
        <w:rPr>
          <w:szCs w:val="28"/>
          <w:lang w:val="lv-LV"/>
        </w:rPr>
        <w:t>ādēļ nav iespējams precīzi aprēķināt Eiropas Komisijas līdzfinansējumu turpmākajiem gadiem.</w:t>
      </w:r>
    </w:p>
    <w:p w14:paraId="52DA1EEB" w14:textId="5EBF16B1" w:rsidR="00C41496" w:rsidRPr="004069B7" w:rsidRDefault="00C41496" w:rsidP="00C41496">
      <w:pPr>
        <w:pStyle w:val="naisf"/>
        <w:spacing w:before="0" w:beforeAutospacing="0" w:after="0" w:afterAutospacing="0"/>
        <w:ind w:firstLine="720"/>
        <w:rPr>
          <w:szCs w:val="28"/>
          <w:lang w:val="lv-LV"/>
        </w:rPr>
      </w:pPr>
    </w:p>
    <w:p w14:paraId="63D675D1" w14:textId="7F397BC7" w:rsidR="00C41496" w:rsidRPr="004069B7" w:rsidRDefault="00C41496" w:rsidP="00C41496">
      <w:pPr>
        <w:pStyle w:val="naisf"/>
        <w:spacing w:before="0" w:beforeAutospacing="0" w:after="0" w:afterAutospacing="0"/>
        <w:ind w:firstLine="720"/>
        <w:rPr>
          <w:lang w:val="lv-LV"/>
        </w:rPr>
      </w:pPr>
      <w:r w:rsidRPr="004069B7">
        <w:rPr>
          <w:lang w:val="lv-LV"/>
        </w:rPr>
        <w:t>2017. gada programmas un Eiropas Komisijas finansējums apstiprināts ar Eiropas Komisijas 2017. gada 31. janvāra dotāciju lēmumu SANTE/VP/2017/LV/SI2.749874.</w:t>
      </w:r>
    </w:p>
    <w:p w14:paraId="25AD4547" w14:textId="1FEA82E3" w:rsidR="00B55154" w:rsidRPr="004069B7" w:rsidRDefault="00B55154" w:rsidP="007E79AF">
      <w:pPr>
        <w:pStyle w:val="naisf"/>
        <w:spacing w:before="0" w:beforeAutospacing="0" w:after="0" w:afterAutospacing="0"/>
        <w:rPr>
          <w:lang w:val="lv-LV"/>
        </w:rPr>
      </w:pPr>
    </w:p>
    <w:p w14:paraId="02AC0A72" w14:textId="711F9E53" w:rsidR="00B55154" w:rsidRPr="004069B7" w:rsidRDefault="00B55154" w:rsidP="00B55154">
      <w:pPr>
        <w:pStyle w:val="naisf"/>
        <w:spacing w:before="0" w:beforeAutospacing="0" w:after="0" w:afterAutospacing="0"/>
        <w:rPr>
          <w:b/>
          <w:lang w:val="lv-LV"/>
        </w:rPr>
      </w:pPr>
      <w:r w:rsidRPr="004069B7">
        <w:rPr>
          <w:b/>
          <w:bCs/>
          <w:szCs w:val="28"/>
          <w:lang w:val="lv-LV"/>
        </w:rPr>
        <w:t xml:space="preserve">ĀCM </w:t>
      </w:r>
      <w:r w:rsidRPr="004069B7">
        <w:rPr>
          <w:b/>
          <w:lang w:val="lv-LV"/>
        </w:rPr>
        <w:t>uzraudzības un apkarošanas programma</w:t>
      </w:r>
    </w:p>
    <w:tbl>
      <w:tblPr>
        <w:tblStyle w:val="TableGrid"/>
        <w:tblW w:w="0" w:type="auto"/>
        <w:tblInd w:w="108" w:type="dxa"/>
        <w:tblLook w:val="04A0" w:firstRow="1" w:lastRow="0" w:firstColumn="1" w:lastColumn="0" w:noHBand="0" w:noVBand="1"/>
      </w:tblPr>
      <w:tblGrid>
        <w:gridCol w:w="1134"/>
        <w:gridCol w:w="2536"/>
        <w:gridCol w:w="2268"/>
        <w:gridCol w:w="2127"/>
      </w:tblGrid>
      <w:tr w:rsidR="00C7370D" w:rsidRPr="004069B7" w14:paraId="081972C3" w14:textId="77777777" w:rsidTr="008608B4">
        <w:tc>
          <w:tcPr>
            <w:tcW w:w="1134" w:type="dxa"/>
          </w:tcPr>
          <w:p w14:paraId="215A4307" w14:textId="77777777" w:rsidR="00C7370D" w:rsidRPr="004069B7" w:rsidRDefault="00C7370D" w:rsidP="00B55154">
            <w:pPr>
              <w:pStyle w:val="naisf"/>
              <w:spacing w:before="0" w:beforeAutospacing="0" w:after="0" w:afterAutospacing="0"/>
              <w:rPr>
                <w:lang w:val="lv-LV"/>
              </w:rPr>
            </w:pPr>
          </w:p>
        </w:tc>
        <w:tc>
          <w:tcPr>
            <w:tcW w:w="2536" w:type="dxa"/>
          </w:tcPr>
          <w:p w14:paraId="1ECA19DE" w14:textId="14A8A421" w:rsidR="00C7370D" w:rsidRPr="004069B7" w:rsidRDefault="00800429" w:rsidP="00800429">
            <w:pPr>
              <w:pStyle w:val="naisf"/>
              <w:spacing w:before="0" w:beforeAutospacing="0" w:after="0" w:afterAutospacing="0"/>
              <w:jc w:val="center"/>
              <w:rPr>
                <w:lang w:val="lv-LV"/>
              </w:rPr>
            </w:pPr>
            <w:r w:rsidRPr="004069B7">
              <w:rPr>
                <w:lang w:val="lv-LV"/>
              </w:rPr>
              <w:t xml:space="preserve">2017. gadā piešķirtais finansējums </w:t>
            </w:r>
            <w:r w:rsidR="00C7370D" w:rsidRPr="004069B7">
              <w:rPr>
                <w:lang w:val="lv-LV"/>
              </w:rPr>
              <w:t>(EUR)</w:t>
            </w:r>
            <w:r w:rsidR="009D1FC9">
              <w:rPr>
                <w:lang w:val="lv-LV"/>
              </w:rPr>
              <w:t>*</w:t>
            </w:r>
          </w:p>
        </w:tc>
        <w:tc>
          <w:tcPr>
            <w:tcW w:w="2268" w:type="dxa"/>
          </w:tcPr>
          <w:p w14:paraId="4215310A" w14:textId="77777777" w:rsidR="00C7370D" w:rsidRPr="004069B7" w:rsidRDefault="00C7370D" w:rsidP="00800429">
            <w:pPr>
              <w:pStyle w:val="naisf"/>
              <w:spacing w:before="0" w:beforeAutospacing="0" w:after="0" w:afterAutospacing="0"/>
              <w:jc w:val="center"/>
              <w:rPr>
                <w:lang w:val="lv-LV"/>
              </w:rPr>
            </w:pPr>
            <w:r w:rsidRPr="004069B7">
              <w:rPr>
                <w:lang w:val="lv-LV"/>
              </w:rPr>
              <w:t>ES līdzfinansējums</w:t>
            </w:r>
          </w:p>
          <w:p w14:paraId="4A4F2793" w14:textId="7E7FC13E" w:rsidR="00C7370D" w:rsidRPr="004069B7" w:rsidRDefault="00C7370D" w:rsidP="00800429">
            <w:pPr>
              <w:pStyle w:val="naisf"/>
              <w:spacing w:before="0" w:beforeAutospacing="0" w:after="0" w:afterAutospacing="0"/>
              <w:jc w:val="center"/>
              <w:rPr>
                <w:lang w:val="lv-LV"/>
              </w:rPr>
            </w:pPr>
            <w:r w:rsidRPr="004069B7">
              <w:rPr>
                <w:lang w:val="lv-LV"/>
              </w:rPr>
              <w:t>(EUR)*</w:t>
            </w:r>
            <w:r w:rsidR="009D1FC9">
              <w:rPr>
                <w:lang w:val="lv-LV"/>
              </w:rPr>
              <w:t>*</w:t>
            </w:r>
          </w:p>
        </w:tc>
        <w:tc>
          <w:tcPr>
            <w:tcW w:w="2127" w:type="dxa"/>
          </w:tcPr>
          <w:p w14:paraId="59AE08A5" w14:textId="3156253F" w:rsidR="00C7370D" w:rsidRPr="004069B7" w:rsidRDefault="00C7370D" w:rsidP="00800429">
            <w:pPr>
              <w:pStyle w:val="naisf"/>
              <w:spacing w:before="0" w:beforeAutospacing="0" w:after="0" w:afterAutospacing="0"/>
              <w:jc w:val="center"/>
              <w:rPr>
                <w:lang w:val="lv-LV"/>
              </w:rPr>
            </w:pPr>
            <w:r w:rsidRPr="004069B7">
              <w:rPr>
                <w:lang w:val="lv-LV"/>
              </w:rPr>
              <w:t>LV</w:t>
            </w:r>
            <w:r w:rsidR="00800429" w:rsidRPr="004069B7">
              <w:rPr>
                <w:lang w:val="lv-LV"/>
              </w:rPr>
              <w:t xml:space="preserve"> budžeta finansējums (EUR)</w:t>
            </w:r>
          </w:p>
        </w:tc>
      </w:tr>
      <w:tr w:rsidR="00C7370D" w:rsidRPr="004069B7" w14:paraId="0455B5EF" w14:textId="77777777" w:rsidTr="008608B4">
        <w:tc>
          <w:tcPr>
            <w:tcW w:w="1134" w:type="dxa"/>
          </w:tcPr>
          <w:p w14:paraId="53544E13" w14:textId="3E50FFCC" w:rsidR="00C7370D" w:rsidRPr="004069B7" w:rsidRDefault="00C7370D" w:rsidP="00B55154">
            <w:pPr>
              <w:pStyle w:val="naisf"/>
              <w:spacing w:before="0" w:beforeAutospacing="0" w:after="0" w:afterAutospacing="0"/>
              <w:rPr>
                <w:lang w:val="lv-LV"/>
              </w:rPr>
            </w:pPr>
            <w:r w:rsidRPr="004069B7">
              <w:rPr>
                <w:lang w:val="lv-LV"/>
              </w:rPr>
              <w:t>PVD</w:t>
            </w:r>
          </w:p>
        </w:tc>
        <w:tc>
          <w:tcPr>
            <w:tcW w:w="2536" w:type="dxa"/>
          </w:tcPr>
          <w:p w14:paraId="64440152" w14:textId="49D6C525" w:rsidR="00C7370D" w:rsidRPr="004069B7" w:rsidRDefault="00C7370D" w:rsidP="008608B4">
            <w:pPr>
              <w:pStyle w:val="naisf"/>
              <w:spacing w:before="0" w:beforeAutospacing="0" w:after="0" w:afterAutospacing="0"/>
              <w:jc w:val="center"/>
              <w:rPr>
                <w:lang w:val="lv-LV"/>
              </w:rPr>
            </w:pPr>
            <w:r w:rsidRPr="006A02A8">
              <w:rPr>
                <w:lang w:val="lv-LV"/>
              </w:rPr>
              <w:t>2</w:t>
            </w:r>
            <w:r w:rsidR="008608B4" w:rsidRPr="006A02A8">
              <w:rPr>
                <w:lang w:val="lv-LV"/>
              </w:rPr>
              <w:t> </w:t>
            </w:r>
            <w:r w:rsidRPr="006A02A8">
              <w:rPr>
                <w:lang w:val="lv-LV"/>
              </w:rPr>
              <w:t>851</w:t>
            </w:r>
            <w:r w:rsidR="008608B4" w:rsidRPr="006A02A8">
              <w:rPr>
                <w:lang w:val="lv-LV"/>
              </w:rPr>
              <w:t> </w:t>
            </w:r>
            <w:r w:rsidRPr="006A02A8">
              <w:rPr>
                <w:lang w:val="lv-LV"/>
              </w:rPr>
              <w:t>522</w:t>
            </w:r>
            <w:r w:rsidR="008608B4" w:rsidRPr="006A02A8">
              <w:rPr>
                <w:lang w:val="lv-LV"/>
              </w:rPr>
              <w:t>,00</w:t>
            </w:r>
          </w:p>
        </w:tc>
        <w:tc>
          <w:tcPr>
            <w:tcW w:w="2268" w:type="dxa"/>
          </w:tcPr>
          <w:p w14:paraId="1FF39F80" w14:textId="77F36399" w:rsidR="00C7370D" w:rsidRPr="004069B7" w:rsidRDefault="00C7370D" w:rsidP="00C41496">
            <w:pPr>
              <w:pStyle w:val="naisf"/>
              <w:spacing w:before="0" w:beforeAutospacing="0" w:after="0" w:afterAutospacing="0"/>
              <w:jc w:val="center"/>
              <w:rPr>
                <w:lang w:val="lv-LV"/>
              </w:rPr>
            </w:pPr>
            <w:r w:rsidRPr="004069B7">
              <w:rPr>
                <w:lang w:val="lv-LV"/>
              </w:rPr>
              <w:t>1</w:t>
            </w:r>
            <w:r w:rsidR="008608B4" w:rsidRPr="004069B7">
              <w:rPr>
                <w:lang w:val="lv-LV"/>
              </w:rPr>
              <w:t> </w:t>
            </w:r>
            <w:r w:rsidRPr="004069B7">
              <w:rPr>
                <w:lang w:val="lv-LV"/>
              </w:rPr>
              <w:t>528</w:t>
            </w:r>
            <w:r w:rsidR="008608B4" w:rsidRPr="004069B7">
              <w:rPr>
                <w:lang w:val="lv-LV"/>
              </w:rPr>
              <w:t> </w:t>
            </w:r>
            <w:r w:rsidRPr="004069B7">
              <w:rPr>
                <w:lang w:val="lv-LV"/>
              </w:rPr>
              <w:t>620</w:t>
            </w:r>
            <w:r w:rsidR="008608B4" w:rsidRPr="004069B7">
              <w:rPr>
                <w:lang w:val="lv-LV"/>
              </w:rPr>
              <w:t>,00</w:t>
            </w:r>
          </w:p>
        </w:tc>
        <w:tc>
          <w:tcPr>
            <w:tcW w:w="2127" w:type="dxa"/>
          </w:tcPr>
          <w:p w14:paraId="603ABCE0" w14:textId="5BCBAEC2" w:rsidR="00C7370D" w:rsidRPr="004069B7" w:rsidRDefault="00C7370D" w:rsidP="008608B4">
            <w:pPr>
              <w:pStyle w:val="naisf"/>
              <w:spacing w:before="0" w:beforeAutospacing="0" w:after="0" w:afterAutospacing="0"/>
              <w:jc w:val="center"/>
              <w:rPr>
                <w:lang w:val="lv-LV"/>
              </w:rPr>
            </w:pPr>
            <w:r w:rsidRPr="004069B7">
              <w:rPr>
                <w:lang w:val="lv-LV"/>
              </w:rPr>
              <w:t>1</w:t>
            </w:r>
            <w:r w:rsidR="008608B4" w:rsidRPr="004069B7">
              <w:rPr>
                <w:lang w:val="lv-LV"/>
              </w:rPr>
              <w:t> </w:t>
            </w:r>
            <w:r w:rsidRPr="004069B7">
              <w:rPr>
                <w:lang w:val="lv-LV"/>
              </w:rPr>
              <w:t>322</w:t>
            </w:r>
            <w:r w:rsidR="008608B4" w:rsidRPr="004069B7">
              <w:rPr>
                <w:lang w:val="lv-LV"/>
              </w:rPr>
              <w:t> </w:t>
            </w:r>
            <w:r w:rsidRPr="004069B7">
              <w:rPr>
                <w:lang w:val="lv-LV"/>
              </w:rPr>
              <w:t>902</w:t>
            </w:r>
            <w:r w:rsidR="008608B4" w:rsidRPr="004069B7">
              <w:rPr>
                <w:lang w:val="lv-LV"/>
              </w:rPr>
              <w:t>,00</w:t>
            </w:r>
          </w:p>
        </w:tc>
      </w:tr>
      <w:tr w:rsidR="00C7370D" w:rsidRPr="004069B7" w14:paraId="37EBA063" w14:textId="77777777" w:rsidTr="008608B4">
        <w:tc>
          <w:tcPr>
            <w:tcW w:w="1134" w:type="dxa"/>
          </w:tcPr>
          <w:p w14:paraId="04985B9A" w14:textId="0F48EC98" w:rsidR="00C7370D" w:rsidRPr="004069B7" w:rsidRDefault="00C7370D" w:rsidP="00B55154">
            <w:pPr>
              <w:pStyle w:val="naisf"/>
              <w:spacing w:before="0" w:beforeAutospacing="0" w:after="0" w:afterAutospacing="0"/>
              <w:rPr>
                <w:lang w:val="lv-LV"/>
              </w:rPr>
            </w:pPr>
            <w:r w:rsidRPr="004069B7">
              <w:rPr>
                <w:lang w:val="lv-LV"/>
              </w:rPr>
              <w:t>BIOR</w:t>
            </w:r>
          </w:p>
        </w:tc>
        <w:tc>
          <w:tcPr>
            <w:tcW w:w="2536" w:type="dxa"/>
          </w:tcPr>
          <w:p w14:paraId="63FEDA2A" w14:textId="1E0D511B" w:rsidR="00C7370D" w:rsidRPr="004069B7" w:rsidRDefault="00C7370D" w:rsidP="008608B4">
            <w:pPr>
              <w:pStyle w:val="naisf"/>
              <w:spacing w:before="0" w:beforeAutospacing="0" w:after="0" w:afterAutospacing="0"/>
              <w:jc w:val="center"/>
              <w:rPr>
                <w:lang w:val="lv-LV"/>
              </w:rPr>
            </w:pPr>
            <w:r w:rsidRPr="004069B7">
              <w:rPr>
                <w:lang w:val="lv-LV"/>
              </w:rPr>
              <w:t>816</w:t>
            </w:r>
            <w:r w:rsidR="008608B4" w:rsidRPr="004069B7">
              <w:rPr>
                <w:lang w:val="lv-LV"/>
              </w:rPr>
              <w:t> </w:t>
            </w:r>
            <w:r w:rsidRPr="004069B7">
              <w:rPr>
                <w:lang w:val="lv-LV"/>
              </w:rPr>
              <w:t>310</w:t>
            </w:r>
            <w:r w:rsidR="008608B4" w:rsidRPr="004069B7">
              <w:rPr>
                <w:lang w:val="lv-LV"/>
              </w:rPr>
              <w:t>,00</w:t>
            </w:r>
          </w:p>
        </w:tc>
        <w:tc>
          <w:tcPr>
            <w:tcW w:w="2268" w:type="dxa"/>
          </w:tcPr>
          <w:p w14:paraId="43047871" w14:textId="7CEC2029" w:rsidR="00C7370D" w:rsidRPr="004069B7" w:rsidRDefault="00C7370D" w:rsidP="008608B4">
            <w:pPr>
              <w:pStyle w:val="naisf"/>
              <w:spacing w:before="0" w:beforeAutospacing="0" w:after="0" w:afterAutospacing="0"/>
              <w:jc w:val="center"/>
              <w:rPr>
                <w:lang w:val="lv-LV"/>
              </w:rPr>
            </w:pPr>
            <w:r w:rsidRPr="004069B7">
              <w:rPr>
                <w:lang w:val="lv-LV"/>
              </w:rPr>
              <w:t>338</w:t>
            </w:r>
            <w:r w:rsidR="008608B4" w:rsidRPr="004069B7">
              <w:rPr>
                <w:lang w:val="lv-LV"/>
              </w:rPr>
              <w:t> </w:t>
            </w:r>
            <w:r w:rsidRPr="004069B7">
              <w:rPr>
                <w:lang w:val="lv-LV"/>
              </w:rPr>
              <w:t>143,5</w:t>
            </w:r>
            <w:r w:rsidR="008608B4" w:rsidRPr="004069B7">
              <w:rPr>
                <w:lang w:val="lv-LV"/>
              </w:rPr>
              <w:t>0</w:t>
            </w:r>
          </w:p>
        </w:tc>
        <w:tc>
          <w:tcPr>
            <w:tcW w:w="2127" w:type="dxa"/>
          </w:tcPr>
          <w:p w14:paraId="1D8D5235" w14:textId="61D4548D" w:rsidR="00C7370D" w:rsidRPr="004069B7" w:rsidRDefault="00C7370D" w:rsidP="008608B4">
            <w:pPr>
              <w:pStyle w:val="naisf"/>
              <w:spacing w:before="0" w:beforeAutospacing="0" w:after="0" w:afterAutospacing="0"/>
              <w:jc w:val="center"/>
              <w:rPr>
                <w:lang w:val="lv-LV"/>
              </w:rPr>
            </w:pPr>
            <w:r w:rsidRPr="004069B7">
              <w:rPr>
                <w:lang w:val="lv-LV"/>
              </w:rPr>
              <w:t>478</w:t>
            </w:r>
            <w:r w:rsidR="00D269C0" w:rsidRPr="004069B7">
              <w:rPr>
                <w:lang w:val="lv-LV"/>
              </w:rPr>
              <w:t> </w:t>
            </w:r>
            <w:r w:rsidRPr="004069B7">
              <w:rPr>
                <w:lang w:val="lv-LV"/>
              </w:rPr>
              <w:t>166,5</w:t>
            </w:r>
            <w:r w:rsidR="008608B4" w:rsidRPr="004069B7">
              <w:rPr>
                <w:lang w:val="lv-LV"/>
              </w:rPr>
              <w:t>0</w:t>
            </w:r>
          </w:p>
        </w:tc>
      </w:tr>
      <w:tr w:rsidR="008608B4" w:rsidRPr="004069B7" w14:paraId="7D290F70" w14:textId="77777777" w:rsidTr="008608B4">
        <w:tc>
          <w:tcPr>
            <w:tcW w:w="1134" w:type="dxa"/>
          </w:tcPr>
          <w:p w14:paraId="65BE6324" w14:textId="45150177" w:rsidR="008608B4" w:rsidRPr="004069B7" w:rsidRDefault="008608B4" w:rsidP="00B55154">
            <w:pPr>
              <w:pStyle w:val="naisf"/>
              <w:spacing w:before="0" w:beforeAutospacing="0" w:after="0" w:afterAutospacing="0"/>
              <w:rPr>
                <w:lang w:val="lv-LV"/>
              </w:rPr>
            </w:pPr>
            <w:r w:rsidRPr="004069B7">
              <w:rPr>
                <w:lang w:val="lv-LV"/>
              </w:rPr>
              <w:t>KOPĀ</w:t>
            </w:r>
          </w:p>
        </w:tc>
        <w:tc>
          <w:tcPr>
            <w:tcW w:w="2536" w:type="dxa"/>
          </w:tcPr>
          <w:p w14:paraId="53EE4CEB" w14:textId="4F18C3B7" w:rsidR="008608B4" w:rsidRPr="004069B7" w:rsidRDefault="00C41496" w:rsidP="008608B4">
            <w:pPr>
              <w:pStyle w:val="naisf"/>
              <w:spacing w:before="0" w:beforeAutospacing="0" w:after="0" w:afterAutospacing="0"/>
              <w:jc w:val="center"/>
              <w:rPr>
                <w:lang w:val="lv-LV"/>
              </w:rPr>
            </w:pPr>
            <w:r w:rsidRPr="004069B7">
              <w:rPr>
                <w:lang w:val="lv-LV"/>
              </w:rPr>
              <w:t>3 667 832,00</w:t>
            </w:r>
          </w:p>
        </w:tc>
        <w:tc>
          <w:tcPr>
            <w:tcW w:w="2268" w:type="dxa"/>
          </w:tcPr>
          <w:p w14:paraId="7809C256" w14:textId="1DA1A5F0" w:rsidR="008608B4" w:rsidRPr="004069B7" w:rsidRDefault="00C41496" w:rsidP="008608B4">
            <w:pPr>
              <w:pStyle w:val="naisf"/>
              <w:spacing w:before="0" w:beforeAutospacing="0" w:after="0" w:afterAutospacing="0"/>
              <w:jc w:val="center"/>
              <w:rPr>
                <w:lang w:val="lv-LV"/>
              </w:rPr>
            </w:pPr>
            <w:r w:rsidRPr="004069B7">
              <w:rPr>
                <w:lang w:val="lv-LV"/>
              </w:rPr>
              <w:t>1 866 763,50</w:t>
            </w:r>
          </w:p>
        </w:tc>
        <w:tc>
          <w:tcPr>
            <w:tcW w:w="2127" w:type="dxa"/>
          </w:tcPr>
          <w:p w14:paraId="29715DD2" w14:textId="7A0D1199" w:rsidR="008608B4" w:rsidRPr="004069B7" w:rsidRDefault="00C41496" w:rsidP="008608B4">
            <w:pPr>
              <w:pStyle w:val="naisf"/>
              <w:spacing w:before="0" w:beforeAutospacing="0" w:after="0" w:afterAutospacing="0"/>
              <w:jc w:val="center"/>
              <w:rPr>
                <w:lang w:val="lv-LV"/>
              </w:rPr>
            </w:pPr>
            <w:r w:rsidRPr="004069B7">
              <w:rPr>
                <w:lang w:val="lv-LV"/>
              </w:rPr>
              <w:t>1</w:t>
            </w:r>
            <w:r w:rsidR="00D269C0" w:rsidRPr="004069B7">
              <w:rPr>
                <w:lang w:val="lv-LV"/>
              </w:rPr>
              <w:t> </w:t>
            </w:r>
            <w:r w:rsidRPr="004069B7">
              <w:rPr>
                <w:lang w:val="lv-LV"/>
              </w:rPr>
              <w:t>801</w:t>
            </w:r>
            <w:r w:rsidR="00D269C0" w:rsidRPr="004069B7">
              <w:rPr>
                <w:lang w:val="lv-LV"/>
              </w:rPr>
              <w:t> </w:t>
            </w:r>
            <w:r w:rsidRPr="004069B7">
              <w:rPr>
                <w:lang w:val="lv-LV"/>
              </w:rPr>
              <w:t>068,50</w:t>
            </w:r>
          </w:p>
        </w:tc>
      </w:tr>
    </w:tbl>
    <w:p w14:paraId="42C97559" w14:textId="77777777" w:rsidR="00722564" w:rsidRPr="006A02A8" w:rsidRDefault="00722564" w:rsidP="006A1DF7">
      <w:pPr>
        <w:pStyle w:val="naisf"/>
        <w:spacing w:before="0" w:beforeAutospacing="0" w:after="0" w:afterAutospacing="0"/>
        <w:ind w:left="142"/>
        <w:rPr>
          <w:sz w:val="22"/>
          <w:szCs w:val="22"/>
          <w:lang w:val="lv-LV"/>
        </w:rPr>
      </w:pPr>
      <w:r w:rsidRPr="006A02A8">
        <w:rPr>
          <w:sz w:val="22"/>
          <w:szCs w:val="22"/>
          <w:lang w:val="lv-LV"/>
        </w:rPr>
        <w:t xml:space="preserve">* Saskaņā ar Ministru kabineta 2016. gada 23. augusta lēmumu (sēdes protokols Nr. 42 38. §), Finanšu ministrijas 2017. gada 8. marta rīkojumu Nr. 101 un finanšu līdzekļu pārdali starp </w:t>
      </w:r>
      <w:r w:rsidRPr="006A02A8">
        <w:rPr>
          <w:bCs/>
          <w:sz w:val="22"/>
          <w:szCs w:val="22"/>
          <w:lang w:val="lv-LV"/>
        </w:rPr>
        <w:t>budžeta apakšprogrammā 70.06.00 iekļautajiem pasākumiem</w:t>
      </w:r>
    </w:p>
    <w:p w14:paraId="61B52C0A" w14:textId="77777777" w:rsidR="005F624E" w:rsidRPr="004069B7" w:rsidRDefault="005F624E" w:rsidP="005F624E">
      <w:pPr>
        <w:rPr>
          <w:bCs/>
          <w:szCs w:val="28"/>
          <w:lang w:val="lv-LV"/>
        </w:rPr>
      </w:pPr>
    </w:p>
    <w:p w14:paraId="3ED78E43" w14:textId="77777777" w:rsidR="00722564" w:rsidRDefault="00722564" w:rsidP="005F624E">
      <w:pPr>
        <w:rPr>
          <w:b/>
          <w:bCs/>
          <w:szCs w:val="28"/>
          <w:lang w:val="lv-LV"/>
        </w:rPr>
      </w:pPr>
    </w:p>
    <w:p w14:paraId="50E326E7" w14:textId="77777777" w:rsidR="00722564" w:rsidRDefault="00722564" w:rsidP="005F624E">
      <w:pPr>
        <w:rPr>
          <w:b/>
          <w:bCs/>
          <w:szCs w:val="28"/>
          <w:lang w:val="lv-LV"/>
        </w:rPr>
      </w:pPr>
    </w:p>
    <w:p w14:paraId="0F809A49" w14:textId="4492DADD" w:rsidR="0044224B" w:rsidRPr="004069B7" w:rsidRDefault="005F624E" w:rsidP="005F624E">
      <w:pPr>
        <w:rPr>
          <w:b/>
        </w:rPr>
      </w:pPr>
      <w:r w:rsidRPr="004069B7">
        <w:rPr>
          <w:b/>
          <w:bCs/>
          <w:szCs w:val="28"/>
          <w:lang w:val="lv-LV"/>
        </w:rPr>
        <w:t>Putnu gripas uzraudzības programma</w:t>
      </w:r>
    </w:p>
    <w:tbl>
      <w:tblPr>
        <w:tblStyle w:val="TableGrid"/>
        <w:tblW w:w="0" w:type="auto"/>
        <w:tblInd w:w="108" w:type="dxa"/>
        <w:tblLook w:val="04A0" w:firstRow="1" w:lastRow="0" w:firstColumn="1" w:lastColumn="0" w:noHBand="0" w:noVBand="1"/>
      </w:tblPr>
      <w:tblGrid>
        <w:gridCol w:w="1134"/>
        <w:gridCol w:w="2536"/>
        <w:gridCol w:w="2268"/>
        <w:gridCol w:w="2127"/>
      </w:tblGrid>
      <w:tr w:rsidR="00800429" w:rsidRPr="004069B7" w14:paraId="7B322C65" w14:textId="77777777" w:rsidTr="008608B4">
        <w:tc>
          <w:tcPr>
            <w:tcW w:w="1134" w:type="dxa"/>
          </w:tcPr>
          <w:p w14:paraId="510A70AD" w14:textId="77777777" w:rsidR="00800429" w:rsidRPr="004069B7" w:rsidRDefault="00800429" w:rsidP="00800429">
            <w:pPr>
              <w:pStyle w:val="naisf"/>
              <w:spacing w:before="0" w:beforeAutospacing="0" w:after="0" w:afterAutospacing="0"/>
              <w:rPr>
                <w:lang w:val="lv-LV"/>
              </w:rPr>
            </w:pPr>
          </w:p>
        </w:tc>
        <w:tc>
          <w:tcPr>
            <w:tcW w:w="2536" w:type="dxa"/>
          </w:tcPr>
          <w:p w14:paraId="18918AFF" w14:textId="573C4D33" w:rsidR="00800429" w:rsidRPr="004069B7" w:rsidRDefault="00800429" w:rsidP="00800429">
            <w:pPr>
              <w:pStyle w:val="naisf"/>
              <w:spacing w:before="0" w:beforeAutospacing="0" w:after="0" w:afterAutospacing="0"/>
              <w:jc w:val="center"/>
              <w:rPr>
                <w:lang w:val="lv-LV"/>
              </w:rPr>
            </w:pPr>
            <w:r w:rsidRPr="004069B7">
              <w:rPr>
                <w:lang w:val="lv-LV"/>
              </w:rPr>
              <w:t>2017. gadā piešķirtais finansējums (EUR)</w:t>
            </w:r>
          </w:p>
        </w:tc>
        <w:tc>
          <w:tcPr>
            <w:tcW w:w="2268" w:type="dxa"/>
          </w:tcPr>
          <w:p w14:paraId="7A534A37" w14:textId="77777777" w:rsidR="00800429" w:rsidRPr="004069B7" w:rsidRDefault="00800429" w:rsidP="00800429">
            <w:pPr>
              <w:pStyle w:val="naisf"/>
              <w:spacing w:before="0" w:beforeAutospacing="0" w:after="0" w:afterAutospacing="0"/>
              <w:jc w:val="center"/>
              <w:rPr>
                <w:lang w:val="lv-LV"/>
              </w:rPr>
            </w:pPr>
            <w:r w:rsidRPr="004069B7">
              <w:rPr>
                <w:lang w:val="lv-LV"/>
              </w:rPr>
              <w:t>ES līdzfinansējums</w:t>
            </w:r>
          </w:p>
          <w:p w14:paraId="228E0C90" w14:textId="6FBBB359" w:rsidR="00800429" w:rsidRPr="004069B7" w:rsidRDefault="00800429" w:rsidP="00800429">
            <w:pPr>
              <w:pStyle w:val="naisf"/>
              <w:spacing w:before="0" w:beforeAutospacing="0" w:after="0" w:afterAutospacing="0"/>
              <w:jc w:val="center"/>
              <w:rPr>
                <w:lang w:val="lv-LV"/>
              </w:rPr>
            </w:pPr>
            <w:r w:rsidRPr="004069B7">
              <w:rPr>
                <w:lang w:val="lv-LV"/>
              </w:rPr>
              <w:t>(EUR)*</w:t>
            </w:r>
            <w:r w:rsidR="00BD79A6">
              <w:rPr>
                <w:lang w:val="lv-LV"/>
              </w:rPr>
              <w:t>*</w:t>
            </w:r>
          </w:p>
        </w:tc>
        <w:tc>
          <w:tcPr>
            <w:tcW w:w="2127" w:type="dxa"/>
          </w:tcPr>
          <w:p w14:paraId="3E84C56E" w14:textId="4B182FDA" w:rsidR="00800429" w:rsidRPr="004069B7" w:rsidRDefault="00800429" w:rsidP="00800429">
            <w:pPr>
              <w:pStyle w:val="naisf"/>
              <w:spacing w:before="0" w:beforeAutospacing="0" w:after="0" w:afterAutospacing="0"/>
              <w:jc w:val="center"/>
              <w:rPr>
                <w:lang w:val="lv-LV"/>
              </w:rPr>
            </w:pPr>
            <w:r w:rsidRPr="004069B7">
              <w:rPr>
                <w:lang w:val="lv-LV"/>
              </w:rPr>
              <w:t>LV budžeta finansējums (EUR)</w:t>
            </w:r>
          </w:p>
        </w:tc>
      </w:tr>
      <w:tr w:rsidR="00C7370D" w:rsidRPr="004069B7" w14:paraId="446F6436" w14:textId="77777777" w:rsidTr="008608B4">
        <w:tc>
          <w:tcPr>
            <w:tcW w:w="1134" w:type="dxa"/>
          </w:tcPr>
          <w:p w14:paraId="64A64A01" w14:textId="3C996A8B" w:rsidR="00C7370D" w:rsidRPr="004069B7" w:rsidRDefault="00C7370D" w:rsidP="0044224B">
            <w:pPr>
              <w:pStyle w:val="naisf"/>
              <w:spacing w:before="0" w:beforeAutospacing="0" w:after="0" w:afterAutospacing="0"/>
              <w:rPr>
                <w:lang w:val="lv-LV"/>
              </w:rPr>
            </w:pPr>
            <w:r w:rsidRPr="004069B7">
              <w:rPr>
                <w:lang w:val="lv-LV"/>
              </w:rPr>
              <w:t>PVD</w:t>
            </w:r>
          </w:p>
        </w:tc>
        <w:tc>
          <w:tcPr>
            <w:tcW w:w="2536" w:type="dxa"/>
          </w:tcPr>
          <w:p w14:paraId="5A71E1C0" w14:textId="0FEA53E8" w:rsidR="00C7370D" w:rsidRPr="004069B7" w:rsidRDefault="00C7370D" w:rsidP="008608B4">
            <w:pPr>
              <w:pStyle w:val="naisf"/>
              <w:spacing w:before="0" w:beforeAutospacing="0" w:after="0" w:afterAutospacing="0"/>
              <w:jc w:val="center"/>
              <w:rPr>
                <w:lang w:val="lv-LV"/>
              </w:rPr>
            </w:pPr>
            <w:r w:rsidRPr="004069B7">
              <w:rPr>
                <w:lang w:val="lv-LV"/>
              </w:rPr>
              <w:t>1017</w:t>
            </w:r>
            <w:r w:rsidR="008608B4" w:rsidRPr="004069B7">
              <w:rPr>
                <w:lang w:val="lv-LV"/>
              </w:rPr>
              <w:t>,00</w:t>
            </w:r>
          </w:p>
        </w:tc>
        <w:tc>
          <w:tcPr>
            <w:tcW w:w="2268" w:type="dxa"/>
          </w:tcPr>
          <w:p w14:paraId="5DEE7756" w14:textId="43EA7FA6" w:rsidR="00C7370D" w:rsidRPr="004069B7" w:rsidRDefault="00C7370D" w:rsidP="008608B4">
            <w:pPr>
              <w:pStyle w:val="naisf"/>
              <w:spacing w:before="0" w:beforeAutospacing="0" w:after="0" w:afterAutospacing="0"/>
              <w:jc w:val="center"/>
              <w:rPr>
                <w:lang w:val="lv-LV"/>
              </w:rPr>
            </w:pPr>
            <w:r w:rsidRPr="004069B7">
              <w:rPr>
                <w:lang w:val="lv-LV"/>
              </w:rPr>
              <w:t>846,15</w:t>
            </w:r>
          </w:p>
        </w:tc>
        <w:tc>
          <w:tcPr>
            <w:tcW w:w="2127" w:type="dxa"/>
          </w:tcPr>
          <w:p w14:paraId="2065105C" w14:textId="6E70A734" w:rsidR="00C7370D" w:rsidRPr="004069B7" w:rsidRDefault="00C7370D" w:rsidP="008608B4">
            <w:pPr>
              <w:pStyle w:val="naisf"/>
              <w:spacing w:before="0" w:beforeAutospacing="0" w:after="0" w:afterAutospacing="0"/>
              <w:jc w:val="center"/>
              <w:rPr>
                <w:lang w:val="lv-LV"/>
              </w:rPr>
            </w:pPr>
            <w:r w:rsidRPr="004069B7">
              <w:rPr>
                <w:lang w:val="lv-LV"/>
              </w:rPr>
              <w:t>170,85</w:t>
            </w:r>
          </w:p>
        </w:tc>
      </w:tr>
      <w:tr w:rsidR="00C7370D" w:rsidRPr="004069B7" w14:paraId="65F8F505" w14:textId="77777777" w:rsidTr="008608B4">
        <w:tc>
          <w:tcPr>
            <w:tcW w:w="1134" w:type="dxa"/>
          </w:tcPr>
          <w:p w14:paraId="055C5C0F" w14:textId="6499204C" w:rsidR="00C7370D" w:rsidRPr="004069B7" w:rsidRDefault="00C7370D" w:rsidP="0044224B">
            <w:pPr>
              <w:pStyle w:val="naisf"/>
              <w:spacing w:before="0" w:beforeAutospacing="0" w:after="0" w:afterAutospacing="0"/>
              <w:rPr>
                <w:lang w:val="lv-LV"/>
              </w:rPr>
            </w:pPr>
            <w:r w:rsidRPr="004069B7">
              <w:rPr>
                <w:lang w:val="lv-LV"/>
              </w:rPr>
              <w:t>BIOR</w:t>
            </w:r>
          </w:p>
        </w:tc>
        <w:tc>
          <w:tcPr>
            <w:tcW w:w="2536" w:type="dxa"/>
          </w:tcPr>
          <w:p w14:paraId="43446A2A" w14:textId="6F4CEB7D" w:rsidR="00C7370D" w:rsidRPr="004069B7" w:rsidRDefault="00C7370D" w:rsidP="008608B4">
            <w:pPr>
              <w:pStyle w:val="naisf"/>
              <w:spacing w:before="0" w:beforeAutospacing="0" w:after="0" w:afterAutospacing="0"/>
              <w:jc w:val="center"/>
              <w:rPr>
                <w:lang w:val="lv-LV"/>
              </w:rPr>
            </w:pPr>
            <w:r w:rsidRPr="004069B7">
              <w:rPr>
                <w:lang w:val="lv-LV"/>
              </w:rPr>
              <w:t>31</w:t>
            </w:r>
            <w:r w:rsidR="008608B4" w:rsidRPr="004069B7">
              <w:rPr>
                <w:lang w:val="lv-LV"/>
              </w:rPr>
              <w:t> </w:t>
            </w:r>
            <w:r w:rsidRPr="004069B7">
              <w:rPr>
                <w:lang w:val="lv-LV"/>
              </w:rPr>
              <w:t>877</w:t>
            </w:r>
            <w:r w:rsidR="008608B4" w:rsidRPr="004069B7">
              <w:rPr>
                <w:lang w:val="lv-LV"/>
              </w:rPr>
              <w:t>,00</w:t>
            </w:r>
          </w:p>
        </w:tc>
        <w:tc>
          <w:tcPr>
            <w:tcW w:w="2268" w:type="dxa"/>
          </w:tcPr>
          <w:p w14:paraId="32A9A85F" w14:textId="0C1CF7C2" w:rsidR="00C7370D" w:rsidRPr="004069B7" w:rsidRDefault="00C7370D" w:rsidP="008608B4">
            <w:pPr>
              <w:pStyle w:val="naisf"/>
              <w:spacing w:before="0" w:beforeAutospacing="0" w:after="0" w:afterAutospacing="0"/>
              <w:jc w:val="center"/>
              <w:rPr>
                <w:lang w:val="lv-LV"/>
              </w:rPr>
            </w:pPr>
            <w:r w:rsidRPr="004069B7">
              <w:rPr>
                <w:lang w:val="lv-LV"/>
              </w:rPr>
              <w:t>11</w:t>
            </w:r>
            <w:r w:rsidR="008608B4" w:rsidRPr="004069B7">
              <w:rPr>
                <w:lang w:val="lv-LV"/>
              </w:rPr>
              <w:t> </w:t>
            </w:r>
            <w:r w:rsidRPr="004069B7">
              <w:rPr>
                <w:lang w:val="lv-LV"/>
              </w:rPr>
              <w:t>716,95</w:t>
            </w:r>
          </w:p>
        </w:tc>
        <w:tc>
          <w:tcPr>
            <w:tcW w:w="2127" w:type="dxa"/>
          </w:tcPr>
          <w:p w14:paraId="31AD198E" w14:textId="68FD8AD5" w:rsidR="00C7370D" w:rsidRPr="004069B7" w:rsidRDefault="00C7370D" w:rsidP="008608B4">
            <w:pPr>
              <w:pStyle w:val="naisf"/>
              <w:spacing w:before="0" w:beforeAutospacing="0" w:after="0" w:afterAutospacing="0"/>
              <w:jc w:val="center"/>
              <w:rPr>
                <w:lang w:val="lv-LV"/>
              </w:rPr>
            </w:pPr>
            <w:r w:rsidRPr="004069B7">
              <w:rPr>
                <w:lang w:val="lv-LV"/>
              </w:rPr>
              <w:t>20</w:t>
            </w:r>
            <w:r w:rsidR="008608B4" w:rsidRPr="004069B7">
              <w:rPr>
                <w:lang w:val="lv-LV"/>
              </w:rPr>
              <w:t> </w:t>
            </w:r>
            <w:r w:rsidRPr="004069B7">
              <w:rPr>
                <w:lang w:val="lv-LV"/>
              </w:rPr>
              <w:t>160,05</w:t>
            </w:r>
          </w:p>
        </w:tc>
      </w:tr>
      <w:tr w:rsidR="008608B4" w:rsidRPr="004069B7" w14:paraId="659AD9FE" w14:textId="77777777" w:rsidTr="008608B4">
        <w:tc>
          <w:tcPr>
            <w:tcW w:w="1134" w:type="dxa"/>
          </w:tcPr>
          <w:p w14:paraId="19667D28" w14:textId="328E3BC2" w:rsidR="008608B4" w:rsidRPr="004069B7" w:rsidRDefault="008608B4" w:rsidP="0044224B">
            <w:pPr>
              <w:pStyle w:val="naisf"/>
              <w:spacing w:before="0" w:beforeAutospacing="0" w:after="0" w:afterAutospacing="0"/>
              <w:rPr>
                <w:lang w:val="lv-LV"/>
              </w:rPr>
            </w:pPr>
            <w:r w:rsidRPr="004069B7">
              <w:rPr>
                <w:lang w:val="lv-LV"/>
              </w:rPr>
              <w:t>KOPĀ</w:t>
            </w:r>
          </w:p>
        </w:tc>
        <w:tc>
          <w:tcPr>
            <w:tcW w:w="2536" w:type="dxa"/>
          </w:tcPr>
          <w:p w14:paraId="0BDC2F77" w14:textId="5F2B1FA0" w:rsidR="008608B4" w:rsidRPr="004069B7" w:rsidRDefault="008608B4" w:rsidP="008608B4">
            <w:pPr>
              <w:pStyle w:val="naisf"/>
              <w:spacing w:before="0" w:beforeAutospacing="0" w:after="0" w:afterAutospacing="0"/>
              <w:jc w:val="center"/>
              <w:rPr>
                <w:lang w:val="lv-LV"/>
              </w:rPr>
            </w:pPr>
            <w:r w:rsidRPr="004069B7">
              <w:rPr>
                <w:lang w:val="lv-LV"/>
              </w:rPr>
              <w:t>32 894,00</w:t>
            </w:r>
          </w:p>
        </w:tc>
        <w:tc>
          <w:tcPr>
            <w:tcW w:w="2268" w:type="dxa"/>
          </w:tcPr>
          <w:p w14:paraId="1915AA18" w14:textId="190E8715" w:rsidR="008608B4" w:rsidRPr="004069B7" w:rsidRDefault="008608B4" w:rsidP="008608B4">
            <w:pPr>
              <w:pStyle w:val="naisf"/>
              <w:spacing w:before="0" w:beforeAutospacing="0" w:after="0" w:afterAutospacing="0"/>
              <w:jc w:val="center"/>
              <w:rPr>
                <w:lang w:val="lv-LV"/>
              </w:rPr>
            </w:pPr>
            <w:r w:rsidRPr="004069B7">
              <w:rPr>
                <w:lang w:val="lv-LV"/>
              </w:rPr>
              <w:t>12 563,10</w:t>
            </w:r>
          </w:p>
        </w:tc>
        <w:tc>
          <w:tcPr>
            <w:tcW w:w="2127" w:type="dxa"/>
          </w:tcPr>
          <w:p w14:paraId="6F2B2798" w14:textId="08A74C37" w:rsidR="008608B4" w:rsidRPr="004069B7" w:rsidRDefault="00EE1EC9" w:rsidP="008608B4">
            <w:pPr>
              <w:pStyle w:val="naisf"/>
              <w:spacing w:before="0" w:beforeAutospacing="0" w:after="0" w:afterAutospacing="0"/>
              <w:jc w:val="center"/>
              <w:rPr>
                <w:lang w:val="lv-LV"/>
              </w:rPr>
            </w:pPr>
            <w:r w:rsidRPr="004069B7">
              <w:rPr>
                <w:lang w:val="lv-LV"/>
              </w:rPr>
              <w:t>20 330,90</w:t>
            </w:r>
          </w:p>
        </w:tc>
      </w:tr>
    </w:tbl>
    <w:p w14:paraId="6EF8D050" w14:textId="195C8F79" w:rsidR="007E79AF" w:rsidRPr="004069B7" w:rsidRDefault="00CC4066" w:rsidP="006A1DF7">
      <w:pPr>
        <w:pStyle w:val="naisf"/>
        <w:spacing w:before="0" w:beforeAutospacing="0" w:after="0" w:afterAutospacing="0"/>
        <w:ind w:left="142"/>
        <w:rPr>
          <w:sz w:val="22"/>
          <w:szCs w:val="28"/>
          <w:lang w:val="lv-LV"/>
        </w:rPr>
      </w:pPr>
      <w:r w:rsidRPr="004069B7">
        <w:rPr>
          <w:sz w:val="22"/>
          <w:szCs w:val="28"/>
          <w:lang w:val="lv-LV"/>
        </w:rPr>
        <w:t>*</w:t>
      </w:r>
      <w:r w:rsidR="009D1FC9">
        <w:rPr>
          <w:sz w:val="22"/>
          <w:szCs w:val="28"/>
          <w:lang w:val="lv-LV"/>
        </w:rPr>
        <w:t>*</w:t>
      </w:r>
      <w:r w:rsidRPr="004069B7">
        <w:rPr>
          <w:sz w:val="22"/>
          <w:szCs w:val="28"/>
          <w:lang w:val="lv-LV"/>
        </w:rPr>
        <w:t xml:space="preserve"> </w:t>
      </w:r>
      <w:r w:rsidR="00C114C0">
        <w:rPr>
          <w:sz w:val="22"/>
          <w:szCs w:val="28"/>
          <w:lang w:val="lv-LV"/>
        </w:rPr>
        <w:t>S</w:t>
      </w:r>
      <w:r w:rsidRPr="004069B7">
        <w:rPr>
          <w:sz w:val="22"/>
          <w:szCs w:val="28"/>
          <w:lang w:val="lv-LV"/>
        </w:rPr>
        <w:t>askaņā ar E</w:t>
      </w:r>
      <w:r w:rsidR="00145B9E" w:rsidRPr="004069B7">
        <w:rPr>
          <w:sz w:val="22"/>
          <w:szCs w:val="28"/>
          <w:lang w:val="lv-LV"/>
        </w:rPr>
        <w:t>K</w:t>
      </w:r>
      <w:r w:rsidRPr="004069B7">
        <w:rPr>
          <w:sz w:val="22"/>
          <w:szCs w:val="28"/>
          <w:lang w:val="lv-LV"/>
        </w:rPr>
        <w:t xml:space="preserve"> 2017. </w:t>
      </w:r>
      <w:r w:rsidR="00D77E08" w:rsidRPr="004069B7">
        <w:rPr>
          <w:sz w:val="22"/>
          <w:szCs w:val="28"/>
          <w:lang w:val="lv-LV"/>
        </w:rPr>
        <w:t>gada 31.</w:t>
      </w:r>
      <w:r w:rsidRPr="004069B7">
        <w:rPr>
          <w:sz w:val="22"/>
          <w:szCs w:val="28"/>
          <w:lang w:val="lv-LV"/>
        </w:rPr>
        <w:t> </w:t>
      </w:r>
      <w:r w:rsidR="00D77E08" w:rsidRPr="004069B7">
        <w:rPr>
          <w:sz w:val="22"/>
          <w:szCs w:val="28"/>
          <w:lang w:val="lv-LV"/>
        </w:rPr>
        <w:t>janvāra dotāciju lēmu</w:t>
      </w:r>
      <w:r w:rsidR="00145B9E" w:rsidRPr="004069B7">
        <w:rPr>
          <w:sz w:val="22"/>
          <w:szCs w:val="28"/>
          <w:lang w:val="lv-LV"/>
        </w:rPr>
        <w:t>mu SANTE/VP/2017/LV/SI2.749874</w:t>
      </w:r>
    </w:p>
    <w:p w14:paraId="275D0CCD" w14:textId="650BBD1E" w:rsidR="007E79AF" w:rsidRPr="004069B7" w:rsidRDefault="007E79AF" w:rsidP="007E79AF">
      <w:pPr>
        <w:pStyle w:val="naisf"/>
        <w:spacing w:before="0" w:beforeAutospacing="0" w:after="0" w:afterAutospacing="0"/>
        <w:rPr>
          <w:szCs w:val="28"/>
          <w:lang w:val="lv-LV"/>
        </w:rPr>
      </w:pPr>
      <w:r w:rsidRPr="004069B7">
        <w:rPr>
          <w:i/>
          <w:szCs w:val="28"/>
          <w:lang w:val="lv-LV"/>
        </w:rPr>
        <w:tab/>
      </w:r>
    </w:p>
    <w:p w14:paraId="37C0D2AA" w14:textId="237D0194" w:rsidR="007E79AF" w:rsidRPr="004069B7" w:rsidRDefault="007E79AF" w:rsidP="007E79AF">
      <w:pPr>
        <w:pStyle w:val="naisf"/>
        <w:spacing w:before="0" w:beforeAutospacing="0" w:after="0" w:afterAutospacing="0"/>
        <w:rPr>
          <w:szCs w:val="28"/>
          <w:lang w:val="lv-LV"/>
        </w:rPr>
      </w:pPr>
      <w:r w:rsidRPr="004069B7">
        <w:rPr>
          <w:szCs w:val="28"/>
          <w:lang w:val="lv-LV"/>
        </w:rPr>
        <w:tab/>
        <w:t xml:space="preserve">Tā kā ĀCM </w:t>
      </w:r>
      <w:r w:rsidR="00935948" w:rsidRPr="004069B7">
        <w:rPr>
          <w:szCs w:val="28"/>
          <w:lang w:val="lv-LV"/>
        </w:rPr>
        <w:t xml:space="preserve">un Putnu gripas </w:t>
      </w:r>
      <w:r w:rsidRPr="004069B7">
        <w:rPr>
          <w:szCs w:val="28"/>
          <w:lang w:val="lv-LV"/>
        </w:rPr>
        <w:t>programm</w:t>
      </w:r>
      <w:r w:rsidR="00935948" w:rsidRPr="004069B7">
        <w:rPr>
          <w:szCs w:val="28"/>
          <w:lang w:val="lv-LV"/>
        </w:rPr>
        <w:t>u</w:t>
      </w:r>
      <w:r w:rsidRPr="004069B7">
        <w:rPr>
          <w:szCs w:val="28"/>
          <w:lang w:val="lv-LV"/>
        </w:rPr>
        <w:t xml:space="preserve"> darbības </w:t>
      </w:r>
      <w:r w:rsidR="00C114C0">
        <w:rPr>
          <w:szCs w:val="28"/>
          <w:lang w:val="lv-LV"/>
        </w:rPr>
        <w:t>īsteno</w:t>
      </w:r>
      <w:r w:rsidRPr="004069B7">
        <w:rPr>
          <w:szCs w:val="28"/>
          <w:lang w:val="lv-LV"/>
        </w:rPr>
        <w:t>šanai no valsts budžeta ir nepieciešams finansēt arī tādus pasākumus, k</w:t>
      </w:r>
      <w:r w:rsidR="00C114C0">
        <w:rPr>
          <w:szCs w:val="28"/>
          <w:lang w:val="lv-LV"/>
        </w:rPr>
        <w:t>uri</w:t>
      </w:r>
      <w:r w:rsidRPr="004069B7">
        <w:rPr>
          <w:szCs w:val="28"/>
          <w:lang w:val="lv-LV"/>
        </w:rPr>
        <w:t xml:space="preserve"> netiek līdzfinansēti no Eiropas Savienības budžeta </w:t>
      </w:r>
      <w:r w:rsidR="00935948" w:rsidRPr="004069B7">
        <w:rPr>
          <w:szCs w:val="28"/>
          <w:lang w:val="lv-LV"/>
        </w:rPr>
        <w:t xml:space="preserve">vai kuriem noteikts maksimālais vienas darbības finansējuma apmērs (piemēram, laboratoriskie izmeklējumi), </w:t>
      </w:r>
      <w:r w:rsidRPr="004069B7">
        <w:rPr>
          <w:szCs w:val="28"/>
          <w:lang w:val="lv-LV"/>
        </w:rPr>
        <w:t xml:space="preserve">tad pēc programmā īstenoto pasākumu apkopojuma par tās laikā iztērēto kopējo finansējumu valsts budžetā tiek atmaksāts mazāk nekā 50% no kopējā programmai izlietotā finansējuma. </w:t>
      </w:r>
    </w:p>
    <w:p w14:paraId="7B5E9474" w14:textId="77777777" w:rsidR="007E79AF" w:rsidRPr="004069B7" w:rsidRDefault="007E79AF" w:rsidP="007E79AF">
      <w:pPr>
        <w:pStyle w:val="naisf"/>
        <w:spacing w:before="0" w:beforeAutospacing="0" w:after="0" w:afterAutospacing="0"/>
        <w:rPr>
          <w:i/>
          <w:szCs w:val="28"/>
          <w:lang w:val="lv-LV"/>
        </w:rPr>
      </w:pPr>
    </w:p>
    <w:p w14:paraId="7D0138AD" w14:textId="321C66FD" w:rsidR="0002028D" w:rsidRPr="004069B7" w:rsidRDefault="00315F49" w:rsidP="00F64987">
      <w:pPr>
        <w:pStyle w:val="naisf"/>
        <w:spacing w:before="0" w:beforeAutospacing="0" w:after="0" w:afterAutospacing="0"/>
        <w:jc w:val="center"/>
        <w:rPr>
          <w:b/>
          <w:lang w:val="lv-LV"/>
        </w:rPr>
      </w:pPr>
      <w:r w:rsidRPr="004069B7">
        <w:rPr>
          <w:b/>
          <w:lang w:val="lv-LV"/>
        </w:rPr>
        <w:t xml:space="preserve">V. PVD nepieciešamais </w:t>
      </w:r>
      <w:r w:rsidR="00DC5A0D" w:rsidRPr="004069B7">
        <w:rPr>
          <w:b/>
          <w:lang w:val="lv-LV"/>
        </w:rPr>
        <w:t xml:space="preserve">papildu </w:t>
      </w:r>
      <w:r w:rsidRPr="004069B7">
        <w:rPr>
          <w:b/>
          <w:lang w:val="lv-LV"/>
        </w:rPr>
        <w:t>finansējums</w:t>
      </w:r>
    </w:p>
    <w:p w14:paraId="32E84128" w14:textId="77777777" w:rsidR="00BB275E" w:rsidRPr="004069B7" w:rsidRDefault="00BB275E" w:rsidP="00F64987">
      <w:pPr>
        <w:pStyle w:val="naisf"/>
        <w:spacing w:before="0" w:beforeAutospacing="0" w:after="0" w:afterAutospacing="0"/>
        <w:rPr>
          <w:lang w:val="lv-LV"/>
        </w:rPr>
      </w:pPr>
    </w:p>
    <w:p w14:paraId="661F746F" w14:textId="084FACB8" w:rsidR="009677C4" w:rsidRPr="004069B7" w:rsidRDefault="003A29AB" w:rsidP="00ED13CF">
      <w:pPr>
        <w:pStyle w:val="naisf"/>
        <w:spacing w:before="0" w:beforeAutospacing="0" w:after="0" w:afterAutospacing="0"/>
        <w:ind w:firstLine="720"/>
        <w:rPr>
          <w:lang w:val="lv-LV"/>
        </w:rPr>
      </w:pPr>
      <w:r w:rsidRPr="004069B7">
        <w:rPr>
          <w:bCs/>
          <w:lang w:val="lv-LV"/>
        </w:rPr>
        <w:t xml:space="preserve">Informatīvajā ziņojumā minēto problēmu risināšanai nepieciešams piešķirt papildu finansējumu PVD </w:t>
      </w:r>
      <w:r w:rsidR="009677C4" w:rsidRPr="004069B7">
        <w:rPr>
          <w:bCs/>
          <w:lang w:val="lv-LV"/>
        </w:rPr>
        <w:t xml:space="preserve">no </w:t>
      </w:r>
      <w:r w:rsidR="009677C4" w:rsidRPr="004069B7">
        <w:rPr>
          <w:lang w:val="lv-LV"/>
        </w:rPr>
        <w:t xml:space="preserve">valsts budžeta 80.00.00 programmas „Nesadalītais finansējums Eiropas Savienības politiku instrumentu un pārējās ārvalstu finanšu palīdzības līdzfinansēto projektu un pasākumu īstenošanai”. Finansējums pārdalāms uz valsts </w:t>
      </w:r>
      <w:r w:rsidR="009677C4" w:rsidRPr="004069B7">
        <w:rPr>
          <w:bCs/>
          <w:szCs w:val="28"/>
          <w:lang w:val="lv-LV"/>
        </w:rPr>
        <w:t>budžeta apakšprogrammā 70.06.00 „Izdevumi citu Eiropas Savienības politiku instrumentu projektu un pasākumu īstenošanai</w:t>
      </w:r>
      <w:r w:rsidR="009677C4" w:rsidRPr="004069B7">
        <w:rPr>
          <w:bCs/>
          <w:lang w:val="lv-LV"/>
        </w:rPr>
        <w:t>”</w:t>
      </w:r>
      <w:r w:rsidR="009677C4" w:rsidRPr="004069B7">
        <w:rPr>
          <w:lang w:val="lv-LV"/>
        </w:rPr>
        <w:t xml:space="preserve">” iekļauto pasākumu „Dzīvnieku infekcijas slimību profilakses un apkarošanas, mikroorganismu rezistences uzraudzības, kā arī pārtikas produktu nekaitīguma un kvalitātes nodrošināšanas pasākumi” </w:t>
      </w:r>
      <w:r w:rsidR="009677C4" w:rsidRPr="004069B7">
        <w:rPr>
          <w:bCs/>
          <w:lang w:val="lv-LV"/>
        </w:rPr>
        <w:t>Ā</w:t>
      </w:r>
      <w:r w:rsidR="00913E82" w:rsidRPr="004069B7">
        <w:rPr>
          <w:bCs/>
          <w:lang w:val="lv-LV"/>
        </w:rPr>
        <w:t>CM</w:t>
      </w:r>
      <w:r w:rsidR="009677C4" w:rsidRPr="004069B7">
        <w:rPr>
          <w:bCs/>
          <w:lang w:val="lv-LV"/>
        </w:rPr>
        <w:t xml:space="preserve"> uzraudzības un apkarošanas programmas un </w:t>
      </w:r>
      <w:r w:rsidR="009677C4" w:rsidRPr="004069B7">
        <w:rPr>
          <w:lang w:val="lv-LV"/>
        </w:rPr>
        <w:t>Putnu gripas uzraudzības programmas finansēšanai.</w:t>
      </w:r>
    </w:p>
    <w:p w14:paraId="3382FC64" w14:textId="5F18708D" w:rsidR="00E64A2D" w:rsidRPr="004069B7" w:rsidRDefault="00ED13CF" w:rsidP="005B0A36">
      <w:pPr>
        <w:pStyle w:val="naisf"/>
        <w:spacing w:before="0" w:beforeAutospacing="0" w:after="0" w:afterAutospacing="0"/>
        <w:rPr>
          <w:lang w:val="lv-LV"/>
        </w:rPr>
      </w:pPr>
      <w:r w:rsidRPr="004069B7">
        <w:rPr>
          <w:lang w:val="lv-LV"/>
        </w:rPr>
        <w:tab/>
      </w:r>
      <w:r w:rsidR="00913E82" w:rsidRPr="004069B7">
        <w:rPr>
          <w:lang w:val="lv-LV"/>
        </w:rPr>
        <w:t xml:space="preserve">Papildu amata vietas un to finansējums, kā arī finansējums PVD strādājošo virsstundu darba apmaksai un atalgojuma palielināšanai, piešķirot piemaksas par personisko darba ieguldījumu un darba kvalitāti, nepieciešams ĀCM </w:t>
      </w:r>
      <w:r w:rsidR="00913E82" w:rsidRPr="004069B7">
        <w:rPr>
          <w:bCs/>
          <w:lang w:val="lv-LV"/>
        </w:rPr>
        <w:t xml:space="preserve">uzraudzības un apkarošanas programmas </w:t>
      </w:r>
      <w:r w:rsidR="00913E82" w:rsidRPr="004069B7">
        <w:rPr>
          <w:lang w:val="lv-LV"/>
        </w:rPr>
        <w:t>un Putnu gripas uzraudzības programmas pasākumu īstenošanai ar Eiropas Komisiju saskaņotajā ap</w:t>
      </w:r>
      <w:r w:rsidR="00E216E0">
        <w:rPr>
          <w:lang w:val="lv-LV"/>
        </w:rPr>
        <w:t>mērā</w:t>
      </w:r>
      <w:r w:rsidR="00913E82" w:rsidRPr="004069B7">
        <w:rPr>
          <w:lang w:val="lv-LV"/>
        </w:rPr>
        <w:t xml:space="preserve">, tomēr </w:t>
      </w:r>
      <w:r w:rsidR="00B412A2" w:rsidRPr="004069B7">
        <w:rPr>
          <w:lang w:val="lv-LV"/>
        </w:rPr>
        <w:t xml:space="preserve">patlaban šīs pozīcijas </w:t>
      </w:r>
      <w:r w:rsidR="00B412A2" w:rsidRPr="004069B7">
        <w:rPr>
          <w:szCs w:val="28"/>
          <w:lang w:val="lv-LV"/>
        </w:rPr>
        <w:t>netiek līdzfinansētas no Eiropas Savienības budžeta</w:t>
      </w:r>
      <w:r w:rsidR="00B412A2" w:rsidRPr="004069B7">
        <w:rPr>
          <w:lang w:val="lv-LV"/>
        </w:rPr>
        <w:t xml:space="preserve"> un tās</w:t>
      </w:r>
      <w:r w:rsidR="00E216E0">
        <w:rPr>
          <w:lang w:val="lv-LV"/>
        </w:rPr>
        <w:t xml:space="preserve"> ir</w:t>
      </w:r>
      <w:r w:rsidR="00B412A2" w:rsidRPr="004069B7">
        <w:rPr>
          <w:lang w:val="lv-LV"/>
        </w:rPr>
        <w:t xml:space="preserve"> jāfinansē no valsts</w:t>
      </w:r>
      <w:r w:rsidR="00E43D2D" w:rsidRPr="004069B7">
        <w:rPr>
          <w:lang w:val="lv-LV"/>
        </w:rPr>
        <w:t xml:space="preserve"> budžeta.</w:t>
      </w:r>
    </w:p>
    <w:p w14:paraId="6A58DD5E" w14:textId="77777777" w:rsidR="00E64A2D" w:rsidRPr="004069B7" w:rsidRDefault="00E64A2D" w:rsidP="00F64987">
      <w:pPr>
        <w:pStyle w:val="naisf"/>
        <w:spacing w:before="0" w:beforeAutospacing="0" w:after="0" w:afterAutospacing="0"/>
        <w:rPr>
          <w:b/>
          <w:bCs/>
          <w:lang w:val="lv-LV"/>
        </w:rPr>
      </w:pPr>
    </w:p>
    <w:p w14:paraId="13185C33" w14:textId="12FB9AF3" w:rsidR="0044492B" w:rsidRPr="004069B7" w:rsidRDefault="00913E82" w:rsidP="00F64987">
      <w:pPr>
        <w:pStyle w:val="naisf"/>
        <w:spacing w:before="0" w:beforeAutospacing="0" w:after="0" w:afterAutospacing="0"/>
        <w:rPr>
          <w:lang w:val="lv-LV"/>
        </w:rPr>
      </w:pPr>
      <w:r w:rsidRPr="004069B7">
        <w:rPr>
          <w:b/>
          <w:bCs/>
          <w:lang w:val="lv-LV"/>
        </w:rPr>
        <w:t>ĀCM</w:t>
      </w:r>
      <w:r w:rsidR="001A334F" w:rsidRPr="004069B7">
        <w:rPr>
          <w:b/>
          <w:bCs/>
          <w:lang w:val="lv-LV"/>
        </w:rPr>
        <w:t xml:space="preserve"> uzraudzības un apkarošanas programma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26"/>
        <w:gridCol w:w="1984"/>
      </w:tblGrid>
      <w:tr w:rsidR="00B50DCB" w:rsidRPr="004069B7" w14:paraId="1ECAAE47" w14:textId="77777777" w:rsidTr="00B50DCB">
        <w:trPr>
          <w:trHeight w:val="510"/>
        </w:trPr>
        <w:tc>
          <w:tcPr>
            <w:tcW w:w="4962" w:type="dxa"/>
            <w:vMerge w:val="restart"/>
            <w:shd w:val="clear" w:color="auto" w:fill="auto"/>
            <w:vAlign w:val="center"/>
            <w:hideMark/>
          </w:tcPr>
          <w:p w14:paraId="2895BAA4" w14:textId="77777777" w:rsidR="00B50DCB" w:rsidRPr="004069B7" w:rsidRDefault="00B50DCB">
            <w:pPr>
              <w:jc w:val="center"/>
              <w:rPr>
                <w:lang w:val="lv-LV"/>
              </w:rPr>
            </w:pPr>
            <w:r w:rsidRPr="004069B7">
              <w:rPr>
                <w:lang w:val="lv-LV"/>
              </w:rPr>
              <w:t>Programmā iekļautās darbības</w:t>
            </w:r>
          </w:p>
        </w:tc>
        <w:tc>
          <w:tcPr>
            <w:tcW w:w="4110" w:type="dxa"/>
            <w:gridSpan w:val="2"/>
            <w:shd w:val="clear" w:color="auto" w:fill="auto"/>
            <w:vAlign w:val="center"/>
            <w:hideMark/>
          </w:tcPr>
          <w:p w14:paraId="2E7D7A54" w14:textId="77777777" w:rsidR="00B50DCB" w:rsidRPr="004069B7" w:rsidRDefault="00B50DCB">
            <w:pPr>
              <w:jc w:val="center"/>
              <w:rPr>
                <w:lang w:val="lv-LV"/>
              </w:rPr>
            </w:pPr>
            <w:r w:rsidRPr="004069B7">
              <w:rPr>
                <w:lang w:val="lv-LV"/>
              </w:rPr>
              <w:t>Papildus nepieciešamais finansējums (EUR)</w:t>
            </w:r>
          </w:p>
        </w:tc>
      </w:tr>
      <w:tr w:rsidR="00B50DCB" w:rsidRPr="004069B7" w14:paraId="1EA32C7B" w14:textId="77777777" w:rsidTr="00B50DCB">
        <w:trPr>
          <w:trHeight w:val="510"/>
        </w:trPr>
        <w:tc>
          <w:tcPr>
            <w:tcW w:w="4962" w:type="dxa"/>
            <w:vMerge/>
            <w:vAlign w:val="center"/>
            <w:hideMark/>
          </w:tcPr>
          <w:p w14:paraId="608C9163" w14:textId="77777777" w:rsidR="00B50DCB" w:rsidRPr="004069B7" w:rsidRDefault="00B50DCB">
            <w:pPr>
              <w:rPr>
                <w:lang w:val="lv-LV"/>
              </w:rPr>
            </w:pPr>
          </w:p>
        </w:tc>
        <w:tc>
          <w:tcPr>
            <w:tcW w:w="2126" w:type="dxa"/>
            <w:shd w:val="clear" w:color="auto" w:fill="auto"/>
            <w:vAlign w:val="center"/>
            <w:hideMark/>
          </w:tcPr>
          <w:p w14:paraId="59172909" w14:textId="77777777" w:rsidR="00B50DCB" w:rsidRPr="004069B7" w:rsidRDefault="00B50DCB">
            <w:pPr>
              <w:jc w:val="center"/>
              <w:rPr>
                <w:lang w:val="lv-LV"/>
              </w:rPr>
            </w:pPr>
            <w:r w:rsidRPr="004069B7">
              <w:rPr>
                <w:lang w:val="lv-LV"/>
              </w:rPr>
              <w:t xml:space="preserve">2017. gads </w:t>
            </w:r>
          </w:p>
          <w:p w14:paraId="688E2119" w14:textId="77777777" w:rsidR="00B50DCB" w:rsidRPr="004069B7" w:rsidRDefault="00B50DCB">
            <w:pPr>
              <w:jc w:val="center"/>
              <w:rPr>
                <w:lang w:val="lv-LV"/>
              </w:rPr>
            </w:pPr>
            <w:r w:rsidRPr="004069B7">
              <w:rPr>
                <w:lang w:val="lv-LV"/>
              </w:rPr>
              <w:t>(8 mēnešiem)</w:t>
            </w:r>
          </w:p>
        </w:tc>
        <w:tc>
          <w:tcPr>
            <w:tcW w:w="1984" w:type="dxa"/>
            <w:shd w:val="clear" w:color="auto" w:fill="auto"/>
            <w:vAlign w:val="center"/>
            <w:hideMark/>
          </w:tcPr>
          <w:p w14:paraId="2F98AC53" w14:textId="77777777" w:rsidR="00B50DCB" w:rsidRPr="004069B7" w:rsidRDefault="00B50DCB">
            <w:pPr>
              <w:jc w:val="center"/>
              <w:rPr>
                <w:lang w:val="lv-LV"/>
              </w:rPr>
            </w:pPr>
            <w:r w:rsidRPr="004069B7">
              <w:rPr>
                <w:lang w:val="lv-LV"/>
              </w:rPr>
              <w:t xml:space="preserve">2018. gads un turpmāk </w:t>
            </w:r>
          </w:p>
          <w:p w14:paraId="0F17C9BE" w14:textId="77777777" w:rsidR="00B50DCB" w:rsidRPr="004069B7" w:rsidRDefault="00B50DCB">
            <w:pPr>
              <w:jc w:val="center"/>
              <w:rPr>
                <w:lang w:val="lv-LV"/>
              </w:rPr>
            </w:pPr>
            <w:r w:rsidRPr="004069B7">
              <w:rPr>
                <w:lang w:val="lv-LV"/>
              </w:rPr>
              <w:t>(12 mēnešiem)</w:t>
            </w:r>
          </w:p>
        </w:tc>
      </w:tr>
      <w:tr w:rsidR="00B50DCB" w:rsidRPr="004069B7" w14:paraId="2196F96D" w14:textId="77777777" w:rsidTr="00B50DCB">
        <w:trPr>
          <w:trHeight w:val="510"/>
        </w:trPr>
        <w:tc>
          <w:tcPr>
            <w:tcW w:w="4962" w:type="dxa"/>
            <w:shd w:val="clear" w:color="auto" w:fill="auto"/>
            <w:hideMark/>
          </w:tcPr>
          <w:p w14:paraId="74EE35D5" w14:textId="49AF3DE8" w:rsidR="00B50DCB" w:rsidRPr="004069B7" w:rsidRDefault="00B50DCB" w:rsidP="00887864">
            <w:pPr>
              <w:jc w:val="both"/>
              <w:rPr>
                <w:lang w:val="lv-LV"/>
              </w:rPr>
            </w:pPr>
            <w:r w:rsidRPr="004069B7">
              <w:rPr>
                <w:lang w:val="lv-LV"/>
              </w:rPr>
              <w:t>1. 20 papildu amatu vietas (līdz 2022. gada 31. decembrim):</w:t>
            </w:r>
          </w:p>
        </w:tc>
        <w:tc>
          <w:tcPr>
            <w:tcW w:w="2126" w:type="dxa"/>
            <w:shd w:val="clear" w:color="auto" w:fill="auto"/>
            <w:vAlign w:val="center"/>
          </w:tcPr>
          <w:p w14:paraId="5D9035AA" w14:textId="77777777" w:rsidR="00B50DCB" w:rsidRPr="004069B7" w:rsidRDefault="00B50DCB">
            <w:pPr>
              <w:jc w:val="center"/>
              <w:rPr>
                <w:lang w:val="lv-LV"/>
              </w:rPr>
            </w:pPr>
          </w:p>
        </w:tc>
        <w:tc>
          <w:tcPr>
            <w:tcW w:w="1984" w:type="dxa"/>
            <w:shd w:val="clear" w:color="auto" w:fill="auto"/>
            <w:noWrap/>
            <w:vAlign w:val="center"/>
          </w:tcPr>
          <w:p w14:paraId="00679A4C" w14:textId="77777777" w:rsidR="00B50DCB" w:rsidRPr="004069B7" w:rsidRDefault="00B50DCB" w:rsidP="006B63FC">
            <w:pPr>
              <w:jc w:val="center"/>
              <w:rPr>
                <w:lang w:val="lv-LV"/>
              </w:rPr>
            </w:pPr>
          </w:p>
        </w:tc>
      </w:tr>
      <w:tr w:rsidR="00B50DCB" w:rsidRPr="004069B7" w14:paraId="681371F5" w14:textId="77777777" w:rsidTr="00B50DCB">
        <w:trPr>
          <w:trHeight w:val="510"/>
        </w:trPr>
        <w:tc>
          <w:tcPr>
            <w:tcW w:w="4962" w:type="dxa"/>
            <w:shd w:val="clear" w:color="auto" w:fill="auto"/>
          </w:tcPr>
          <w:p w14:paraId="37EB9DB2" w14:textId="77777777" w:rsidR="00B50DCB" w:rsidRPr="004069B7" w:rsidRDefault="00B50DCB" w:rsidP="00732BE3">
            <w:pPr>
              <w:jc w:val="both"/>
              <w:rPr>
                <w:lang w:val="lv-LV"/>
              </w:rPr>
            </w:pPr>
            <w:r w:rsidRPr="004069B7">
              <w:rPr>
                <w:lang w:val="lv-LV"/>
              </w:rPr>
              <w:t>1.1. atlīdzība</w:t>
            </w:r>
          </w:p>
          <w:p w14:paraId="650D8862" w14:textId="1D911FB6" w:rsidR="00B50DCB" w:rsidRPr="004069B7" w:rsidRDefault="00B50DCB" w:rsidP="00732BE3">
            <w:pPr>
              <w:jc w:val="both"/>
              <w:rPr>
                <w:lang w:val="lv-LV"/>
              </w:rPr>
            </w:pPr>
            <w:r w:rsidRPr="004069B7">
              <w:rPr>
                <w:lang w:val="lv-LV"/>
              </w:rPr>
              <w:t>20 inspektori </w:t>
            </w:r>
            <w:r w:rsidRPr="004069B7">
              <w:rPr>
                <w:vertAlign w:val="superscript"/>
                <w:lang w:val="lv-LV"/>
              </w:rPr>
              <w:t>1</w:t>
            </w:r>
            <w:r w:rsidRPr="004069B7">
              <w:rPr>
                <w:lang w:val="lv-LV"/>
              </w:rPr>
              <w:t xml:space="preserve"> x vidējā mēnešalga EUR 780,00 x 12 mēneši x 1,22 (piemaksa ĀCM programmas ietvaros) x 1,2359 (VSAOI) = EUR 282 259,79 gadā</w:t>
            </w:r>
          </w:p>
        </w:tc>
        <w:tc>
          <w:tcPr>
            <w:tcW w:w="2126" w:type="dxa"/>
            <w:shd w:val="clear" w:color="auto" w:fill="auto"/>
            <w:vAlign w:val="center"/>
          </w:tcPr>
          <w:p w14:paraId="5A8A2A8B" w14:textId="77777777" w:rsidR="00B50DCB" w:rsidRPr="004069B7" w:rsidRDefault="00B50DCB" w:rsidP="00386DF4">
            <w:pPr>
              <w:jc w:val="center"/>
              <w:rPr>
                <w:lang w:val="lv-LV"/>
              </w:rPr>
            </w:pPr>
            <w:r w:rsidRPr="004069B7">
              <w:rPr>
                <w:lang w:val="lv-LV"/>
              </w:rPr>
              <w:t>0,00 </w:t>
            </w:r>
          </w:p>
        </w:tc>
        <w:tc>
          <w:tcPr>
            <w:tcW w:w="1984" w:type="dxa"/>
            <w:shd w:val="clear" w:color="auto" w:fill="auto"/>
            <w:noWrap/>
            <w:vAlign w:val="center"/>
          </w:tcPr>
          <w:p w14:paraId="018F0DDC" w14:textId="77777777" w:rsidR="00B50DCB" w:rsidRPr="004069B7" w:rsidRDefault="00B50DCB" w:rsidP="00386DF4">
            <w:pPr>
              <w:jc w:val="center"/>
              <w:rPr>
                <w:lang w:val="lv-LV"/>
              </w:rPr>
            </w:pPr>
            <w:r w:rsidRPr="004069B7">
              <w:rPr>
                <w:lang w:val="lv-LV"/>
              </w:rPr>
              <w:t>282 259,79</w:t>
            </w:r>
          </w:p>
        </w:tc>
      </w:tr>
      <w:tr w:rsidR="00B50DCB" w:rsidRPr="004069B7" w14:paraId="041549A0" w14:textId="77777777" w:rsidTr="00B50DCB">
        <w:trPr>
          <w:trHeight w:val="510"/>
        </w:trPr>
        <w:tc>
          <w:tcPr>
            <w:tcW w:w="4962" w:type="dxa"/>
            <w:shd w:val="clear" w:color="auto" w:fill="auto"/>
          </w:tcPr>
          <w:p w14:paraId="4D07B752" w14:textId="77777777" w:rsidR="00B50DCB" w:rsidRPr="004069B7" w:rsidRDefault="00B50DCB" w:rsidP="001A334F">
            <w:pPr>
              <w:jc w:val="both"/>
              <w:rPr>
                <w:lang w:val="lv-LV"/>
              </w:rPr>
            </w:pPr>
            <w:r w:rsidRPr="004069B7">
              <w:rPr>
                <w:lang w:val="lv-LV"/>
              </w:rPr>
              <w:t>1.2. papildu atlīdzība</w:t>
            </w:r>
          </w:p>
          <w:p w14:paraId="3C1098A2" w14:textId="49AC8F0C" w:rsidR="00B50DCB" w:rsidRPr="004069B7" w:rsidRDefault="00B50DCB" w:rsidP="00C92F44">
            <w:pPr>
              <w:jc w:val="both"/>
              <w:rPr>
                <w:lang w:val="lv-LV"/>
              </w:rPr>
            </w:pPr>
            <w:r w:rsidRPr="004069B7">
              <w:rPr>
                <w:lang w:val="lv-LV"/>
              </w:rPr>
              <w:t>20 inspektori </w:t>
            </w:r>
            <w:r w:rsidRPr="004069B7">
              <w:rPr>
                <w:vertAlign w:val="superscript"/>
                <w:lang w:val="lv-LV"/>
              </w:rPr>
              <w:t>1</w:t>
            </w:r>
            <w:r w:rsidRPr="004069B7">
              <w:rPr>
                <w:lang w:val="lv-LV"/>
              </w:rPr>
              <w:t xml:space="preserve"> x konkrētā inspektora mēnešalga (kopā </w:t>
            </w:r>
            <w:r w:rsidR="00C92F44" w:rsidRPr="004069B7">
              <w:rPr>
                <w:lang w:val="lv-LV"/>
              </w:rPr>
              <w:t>–</w:t>
            </w:r>
            <w:r w:rsidRPr="004069B7">
              <w:rPr>
                <w:lang w:val="lv-LV"/>
              </w:rPr>
              <w:t xml:space="preserve"> EUR</w:t>
            </w:r>
            <w:r w:rsidR="00881E3A" w:rsidRPr="004069B7">
              <w:rPr>
                <w:lang w:val="lv-LV"/>
              </w:rPr>
              <w:t xml:space="preserve"> 15 030) x 8/12 mēneši x 0,05 (</w:t>
            </w:r>
            <w:r w:rsidR="00C92F44" w:rsidRPr="004069B7">
              <w:rPr>
                <w:lang w:val="lv-LV"/>
              </w:rPr>
              <w:t xml:space="preserve">papildu </w:t>
            </w:r>
            <w:r w:rsidRPr="004069B7">
              <w:rPr>
                <w:lang w:val="lv-LV"/>
              </w:rPr>
              <w:t>piemaksa par personisko darba ieguldījumu un darba kvalitāti) x 1,2359 (VSAOI)</w:t>
            </w:r>
          </w:p>
        </w:tc>
        <w:tc>
          <w:tcPr>
            <w:tcW w:w="2126" w:type="dxa"/>
            <w:shd w:val="clear" w:color="auto" w:fill="auto"/>
            <w:vAlign w:val="center"/>
          </w:tcPr>
          <w:p w14:paraId="4D1BDF08" w14:textId="77777777" w:rsidR="00B50DCB" w:rsidRPr="004069B7" w:rsidRDefault="00B50DCB" w:rsidP="00ED7CBC">
            <w:pPr>
              <w:jc w:val="center"/>
              <w:rPr>
                <w:lang w:val="lv-LV"/>
              </w:rPr>
            </w:pPr>
            <w:r w:rsidRPr="004069B7">
              <w:rPr>
                <w:lang w:val="lv-LV"/>
              </w:rPr>
              <w:t>7 430,22</w:t>
            </w:r>
          </w:p>
        </w:tc>
        <w:tc>
          <w:tcPr>
            <w:tcW w:w="1984" w:type="dxa"/>
            <w:shd w:val="clear" w:color="auto" w:fill="auto"/>
            <w:vAlign w:val="center"/>
          </w:tcPr>
          <w:p w14:paraId="41480C86" w14:textId="77777777" w:rsidR="00B50DCB" w:rsidRPr="004069B7" w:rsidRDefault="00B50DCB">
            <w:pPr>
              <w:jc w:val="center"/>
              <w:rPr>
                <w:lang w:val="lv-LV"/>
              </w:rPr>
            </w:pPr>
            <w:r w:rsidRPr="004069B7">
              <w:rPr>
                <w:lang w:val="lv-LV"/>
              </w:rPr>
              <w:t>11 145,35</w:t>
            </w:r>
          </w:p>
        </w:tc>
      </w:tr>
      <w:tr w:rsidR="00B50DCB" w:rsidRPr="004069B7" w14:paraId="4C935D61" w14:textId="77777777" w:rsidTr="00B50DCB">
        <w:trPr>
          <w:trHeight w:val="510"/>
        </w:trPr>
        <w:tc>
          <w:tcPr>
            <w:tcW w:w="4962" w:type="dxa"/>
            <w:shd w:val="clear" w:color="auto" w:fill="auto"/>
            <w:hideMark/>
          </w:tcPr>
          <w:p w14:paraId="3FB6238A" w14:textId="3DB0149D" w:rsidR="00B50DCB" w:rsidRPr="004069B7" w:rsidRDefault="00B50DCB" w:rsidP="001A334F">
            <w:pPr>
              <w:jc w:val="both"/>
              <w:rPr>
                <w:lang w:val="lv-LV"/>
              </w:rPr>
            </w:pPr>
            <w:r w:rsidRPr="004069B7">
              <w:rPr>
                <w:lang w:val="lv-LV"/>
              </w:rPr>
              <w:t>1.3. veselības un nelaimes gadījumu apdrošināšana</w:t>
            </w:r>
          </w:p>
          <w:p w14:paraId="497E499D" w14:textId="795F753A" w:rsidR="00B50DCB" w:rsidRPr="004069B7" w:rsidRDefault="00B50DCB" w:rsidP="00CE1AAE">
            <w:pPr>
              <w:jc w:val="both"/>
              <w:rPr>
                <w:lang w:val="lv-LV"/>
              </w:rPr>
            </w:pPr>
            <w:r w:rsidRPr="004069B7">
              <w:rPr>
                <w:lang w:val="lv-LV"/>
              </w:rPr>
              <w:t>20 inspektori </w:t>
            </w:r>
            <w:r w:rsidRPr="004069B7">
              <w:rPr>
                <w:vertAlign w:val="superscript"/>
                <w:lang w:val="lv-LV"/>
              </w:rPr>
              <w:t>1</w:t>
            </w:r>
            <w:r w:rsidRPr="004069B7">
              <w:rPr>
                <w:lang w:val="lv-LV"/>
              </w:rPr>
              <w:t xml:space="preserve"> x EUR 220,00 (polise veselības apdrošināšanai EUR 213,00, polise nelaimes gadījumu apdrošināšanai EUR 7,00) = EUR 4400,00 gadā</w:t>
            </w:r>
          </w:p>
        </w:tc>
        <w:tc>
          <w:tcPr>
            <w:tcW w:w="2126" w:type="dxa"/>
            <w:shd w:val="clear" w:color="auto" w:fill="auto"/>
            <w:vAlign w:val="center"/>
            <w:hideMark/>
          </w:tcPr>
          <w:p w14:paraId="42478FDA" w14:textId="77777777" w:rsidR="00B50DCB" w:rsidRPr="004069B7" w:rsidRDefault="00B50DCB">
            <w:pPr>
              <w:jc w:val="center"/>
              <w:rPr>
                <w:lang w:val="lv-LV"/>
              </w:rPr>
            </w:pPr>
            <w:r w:rsidRPr="004069B7">
              <w:rPr>
                <w:lang w:val="lv-LV"/>
              </w:rPr>
              <w:t>0,00</w:t>
            </w:r>
          </w:p>
        </w:tc>
        <w:tc>
          <w:tcPr>
            <w:tcW w:w="1984" w:type="dxa"/>
            <w:shd w:val="clear" w:color="auto" w:fill="auto"/>
            <w:vAlign w:val="center"/>
            <w:hideMark/>
          </w:tcPr>
          <w:p w14:paraId="4E667B41" w14:textId="77777777" w:rsidR="00B50DCB" w:rsidRPr="004069B7" w:rsidRDefault="00B50DCB">
            <w:pPr>
              <w:jc w:val="center"/>
              <w:rPr>
                <w:lang w:val="lv-LV"/>
              </w:rPr>
            </w:pPr>
            <w:r w:rsidRPr="004069B7">
              <w:rPr>
                <w:lang w:val="lv-LV"/>
              </w:rPr>
              <w:t>4400,00</w:t>
            </w:r>
          </w:p>
        </w:tc>
      </w:tr>
      <w:tr w:rsidR="00B50DCB" w:rsidRPr="004069B7" w14:paraId="7884D8D6" w14:textId="77777777" w:rsidTr="00B50DCB">
        <w:trPr>
          <w:trHeight w:val="510"/>
        </w:trPr>
        <w:tc>
          <w:tcPr>
            <w:tcW w:w="4962" w:type="dxa"/>
            <w:shd w:val="clear" w:color="auto" w:fill="auto"/>
          </w:tcPr>
          <w:p w14:paraId="4C723A3D" w14:textId="49B3F22F" w:rsidR="00B50DCB" w:rsidRPr="004069B7" w:rsidRDefault="00B50DCB" w:rsidP="006B63FC">
            <w:pPr>
              <w:jc w:val="both"/>
              <w:rPr>
                <w:color w:val="000000"/>
                <w:lang w:val="lv-LV"/>
              </w:rPr>
            </w:pPr>
            <w:r w:rsidRPr="004069B7">
              <w:rPr>
                <w:lang w:val="lv-LV"/>
              </w:rPr>
              <w:t xml:space="preserve">1.4. netiešie izdevumi </w:t>
            </w:r>
            <w:r w:rsidRPr="004069B7">
              <w:rPr>
                <w:color w:val="000000"/>
                <w:lang w:val="lv-LV"/>
              </w:rPr>
              <w:t>(t.sk. kancelejas preces, saimniecības preces, sakaru pakalpojumi).</w:t>
            </w:r>
          </w:p>
          <w:p w14:paraId="5531147E" w14:textId="2B9AAFF4" w:rsidR="00B50DCB" w:rsidRPr="004069B7" w:rsidRDefault="00B50DCB" w:rsidP="006B63FC">
            <w:pPr>
              <w:jc w:val="both"/>
              <w:rPr>
                <w:lang w:val="lv-LV"/>
              </w:rPr>
            </w:pPr>
            <w:r w:rsidRPr="004069B7">
              <w:rPr>
                <w:color w:val="000000"/>
                <w:lang w:val="lv-LV"/>
              </w:rPr>
              <w:t>20 inspektori </w:t>
            </w:r>
            <w:r w:rsidRPr="004069B7">
              <w:rPr>
                <w:color w:val="000000"/>
                <w:vertAlign w:val="superscript"/>
                <w:lang w:val="lv-LV"/>
              </w:rPr>
              <w:t>1</w:t>
            </w:r>
            <w:r w:rsidRPr="004069B7">
              <w:rPr>
                <w:color w:val="000000"/>
                <w:lang w:val="lv-LV"/>
              </w:rPr>
              <w:t xml:space="preserve"> x EUR 75,00 x 12 mēneši = EUR 18 000,00</w:t>
            </w:r>
          </w:p>
        </w:tc>
        <w:tc>
          <w:tcPr>
            <w:tcW w:w="2126" w:type="dxa"/>
            <w:shd w:val="clear" w:color="auto" w:fill="auto"/>
            <w:vAlign w:val="center"/>
          </w:tcPr>
          <w:p w14:paraId="3AAAEE50" w14:textId="77777777" w:rsidR="00B50DCB" w:rsidRPr="004069B7" w:rsidRDefault="00B50DCB">
            <w:pPr>
              <w:jc w:val="center"/>
              <w:rPr>
                <w:lang w:val="lv-LV"/>
              </w:rPr>
            </w:pPr>
            <w:r w:rsidRPr="004069B7">
              <w:rPr>
                <w:lang w:val="lv-LV"/>
              </w:rPr>
              <w:t>0,00</w:t>
            </w:r>
          </w:p>
        </w:tc>
        <w:tc>
          <w:tcPr>
            <w:tcW w:w="1984" w:type="dxa"/>
            <w:shd w:val="clear" w:color="auto" w:fill="auto"/>
            <w:vAlign w:val="center"/>
          </w:tcPr>
          <w:p w14:paraId="4A8557C4" w14:textId="77777777" w:rsidR="00B50DCB" w:rsidRPr="004069B7" w:rsidRDefault="00B50DCB">
            <w:pPr>
              <w:jc w:val="center"/>
              <w:rPr>
                <w:lang w:val="lv-LV"/>
              </w:rPr>
            </w:pPr>
            <w:r w:rsidRPr="004069B7">
              <w:rPr>
                <w:lang w:val="lv-LV"/>
              </w:rPr>
              <w:t>18 000,00</w:t>
            </w:r>
          </w:p>
        </w:tc>
      </w:tr>
      <w:tr w:rsidR="00B50DCB" w:rsidRPr="004069B7" w14:paraId="1D3D65F2" w14:textId="77777777" w:rsidTr="00B50DCB">
        <w:trPr>
          <w:trHeight w:val="542"/>
        </w:trPr>
        <w:tc>
          <w:tcPr>
            <w:tcW w:w="4962" w:type="dxa"/>
            <w:shd w:val="clear" w:color="auto" w:fill="auto"/>
            <w:hideMark/>
          </w:tcPr>
          <w:p w14:paraId="1B7F7365" w14:textId="77777777" w:rsidR="00B50DCB" w:rsidRPr="004069B7" w:rsidRDefault="00B50DCB" w:rsidP="001A334F">
            <w:pPr>
              <w:jc w:val="both"/>
              <w:rPr>
                <w:lang w:val="lv-LV"/>
              </w:rPr>
            </w:pPr>
            <w:r w:rsidRPr="004069B7">
              <w:rPr>
                <w:lang w:val="lv-LV"/>
              </w:rPr>
              <w:t>2. Piemaksa par personisko darba ieguldījumu un darba kvalitāti.</w:t>
            </w:r>
          </w:p>
          <w:p w14:paraId="037AA1AB" w14:textId="0214C720" w:rsidR="00B50DCB" w:rsidRPr="004069B7" w:rsidRDefault="00B50DCB" w:rsidP="00DA5C7D">
            <w:pPr>
              <w:jc w:val="both"/>
              <w:rPr>
                <w:lang w:val="lv-LV"/>
              </w:rPr>
            </w:pPr>
            <w:r w:rsidRPr="004069B7">
              <w:rPr>
                <w:lang w:val="lv-LV"/>
              </w:rPr>
              <w:t xml:space="preserve">Aprēķins </w:t>
            </w:r>
            <w:r w:rsidR="00E216E0">
              <w:rPr>
                <w:lang w:val="lv-LV"/>
              </w:rPr>
              <w:t>izdarīts, ievērojot</w:t>
            </w:r>
            <w:r w:rsidRPr="004069B7">
              <w:rPr>
                <w:lang w:val="lv-LV"/>
              </w:rPr>
              <w:t xml:space="preserve"> katrai amata vietai noteikto konkrēto mēnešalgu (330 amata vietas </w:t>
            </w:r>
            <w:r w:rsidRPr="004069B7">
              <w:rPr>
                <w:vertAlign w:val="superscript"/>
                <w:lang w:val="lv-LV"/>
              </w:rPr>
              <w:t>2</w:t>
            </w:r>
            <w:r w:rsidRPr="004069B7">
              <w:rPr>
                <w:lang w:val="lv-LV"/>
              </w:rPr>
              <w:t>) x 8/12 mēneši x 5% x 1,2359 (VSAOI)</w:t>
            </w:r>
          </w:p>
        </w:tc>
        <w:tc>
          <w:tcPr>
            <w:tcW w:w="2126" w:type="dxa"/>
            <w:shd w:val="clear" w:color="auto" w:fill="auto"/>
            <w:vAlign w:val="center"/>
            <w:hideMark/>
          </w:tcPr>
          <w:p w14:paraId="09B88414" w14:textId="12430303" w:rsidR="00B50DCB" w:rsidRPr="004069B7" w:rsidRDefault="00B50DCB" w:rsidP="00ED7CBC">
            <w:pPr>
              <w:jc w:val="center"/>
              <w:rPr>
                <w:lang w:val="lv-LV"/>
              </w:rPr>
            </w:pPr>
            <w:r w:rsidRPr="004069B7">
              <w:rPr>
                <w:lang w:val="lv-LV"/>
              </w:rPr>
              <w:t>129 116,96</w:t>
            </w:r>
          </w:p>
        </w:tc>
        <w:tc>
          <w:tcPr>
            <w:tcW w:w="1984" w:type="dxa"/>
            <w:shd w:val="clear" w:color="auto" w:fill="auto"/>
            <w:vAlign w:val="center"/>
            <w:hideMark/>
          </w:tcPr>
          <w:p w14:paraId="06AFB19C" w14:textId="64C6551C" w:rsidR="00B50DCB" w:rsidRPr="004069B7" w:rsidRDefault="00B50DCB" w:rsidP="00ED7CBC">
            <w:pPr>
              <w:jc w:val="center"/>
              <w:rPr>
                <w:lang w:val="lv-LV"/>
              </w:rPr>
            </w:pPr>
            <w:r w:rsidRPr="004069B7">
              <w:rPr>
                <w:lang w:val="lv-LV"/>
              </w:rPr>
              <w:t>193 675,39</w:t>
            </w:r>
          </w:p>
        </w:tc>
      </w:tr>
      <w:tr w:rsidR="00B50DCB" w:rsidRPr="004069B7" w14:paraId="217CC057" w14:textId="77777777" w:rsidTr="00B50DCB">
        <w:trPr>
          <w:trHeight w:val="255"/>
        </w:trPr>
        <w:tc>
          <w:tcPr>
            <w:tcW w:w="4962" w:type="dxa"/>
            <w:shd w:val="clear" w:color="auto" w:fill="auto"/>
            <w:hideMark/>
          </w:tcPr>
          <w:p w14:paraId="1F0CD547" w14:textId="77777777" w:rsidR="00B50DCB" w:rsidRPr="004069B7" w:rsidRDefault="00B50DCB" w:rsidP="003A10AE">
            <w:pPr>
              <w:jc w:val="right"/>
              <w:rPr>
                <w:lang w:val="lv-LV"/>
              </w:rPr>
            </w:pPr>
            <w:r w:rsidRPr="004069B7">
              <w:rPr>
                <w:b/>
                <w:lang w:val="lv-LV"/>
              </w:rPr>
              <w:t>Kopā</w:t>
            </w:r>
          </w:p>
        </w:tc>
        <w:tc>
          <w:tcPr>
            <w:tcW w:w="2126" w:type="dxa"/>
            <w:shd w:val="clear" w:color="auto" w:fill="auto"/>
            <w:noWrap/>
            <w:vAlign w:val="bottom"/>
            <w:hideMark/>
          </w:tcPr>
          <w:p w14:paraId="66B35AB6" w14:textId="77777777" w:rsidR="00B50DCB" w:rsidRPr="004069B7" w:rsidRDefault="00B50DCB">
            <w:pPr>
              <w:jc w:val="center"/>
              <w:rPr>
                <w:b/>
                <w:bCs/>
                <w:lang w:val="lv-LV"/>
              </w:rPr>
            </w:pPr>
            <w:r w:rsidRPr="004069B7">
              <w:rPr>
                <w:b/>
                <w:bCs/>
                <w:lang w:val="lv-LV"/>
              </w:rPr>
              <w:t>136 547,18</w:t>
            </w:r>
          </w:p>
        </w:tc>
        <w:tc>
          <w:tcPr>
            <w:tcW w:w="1984" w:type="dxa"/>
            <w:shd w:val="clear" w:color="auto" w:fill="auto"/>
            <w:noWrap/>
            <w:vAlign w:val="bottom"/>
            <w:hideMark/>
          </w:tcPr>
          <w:p w14:paraId="09ABDE53" w14:textId="7259974D" w:rsidR="00B50DCB" w:rsidRPr="004069B7" w:rsidRDefault="00B50DCB" w:rsidP="00ED7CBC">
            <w:pPr>
              <w:jc w:val="center"/>
              <w:rPr>
                <w:b/>
                <w:bCs/>
                <w:lang w:val="lv-LV"/>
              </w:rPr>
            </w:pPr>
            <w:r w:rsidRPr="004069B7">
              <w:rPr>
                <w:b/>
                <w:bCs/>
                <w:lang w:val="lv-LV"/>
              </w:rPr>
              <w:t>509 480,53</w:t>
            </w:r>
          </w:p>
        </w:tc>
      </w:tr>
    </w:tbl>
    <w:p w14:paraId="6BAE6ED7" w14:textId="3C98595F" w:rsidR="00ED7CBC" w:rsidRPr="004069B7" w:rsidRDefault="00C16514" w:rsidP="000C322C">
      <w:pPr>
        <w:ind w:left="142"/>
        <w:jc w:val="both"/>
        <w:rPr>
          <w:sz w:val="22"/>
          <w:lang w:val="lv-LV"/>
        </w:rPr>
      </w:pPr>
      <w:r w:rsidRPr="004069B7">
        <w:rPr>
          <w:sz w:val="22"/>
        </w:rPr>
        <w:t xml:space="preserve">1 – </w:t>
      </w:r>
      <w:r w:rsidRPr="004069B7">
        <w:rPr>
          <w:sz w:val="22"/>
          <w:lang w:val="lv-LV"/>
        </w:rPr>
        <w:t>PVD teritoriālo struktūrvienību un robežkontroles punktu inspektori (26.3.saime, IIIA līmenis)</w:t>
      </w:r>
    </w:p>
    <w:p w14:paraId="2E169DC5" w14:textId="0F0BD037" w:rsidR="00C16514" w:rsidRPr="004069B7" w:rsidRDefault="00C16514" w:rsidP="000C322C">
      <w:pPr>
        <w:ind w:left="142"/>
        <w:jc w:val="both"/>
        <w:rPr>
          <w:sz w:val="22"/>
          <w:lang w:val="lv-LV"/>
        </w:rPr>
      </w:pPr>
      <w:r w:rsidRPr="00A97DC0">
        <w:rPr>
          <w:sz w:val="22"/>
          <w:lang w:val="lv-LV"/>
        </w:rPr>
        <w:t>2 –</w:t>
      </w:r>
      <w:r w:rsidRPr="004069B7">
        <w:rPr>
          <w:sz w:val="22"/>
          <w:lang w:val="lv-LV"/>
        </w:rPr>
        <w:t xml:space="preserve"> PVD teritoriālajās struktūrvienībās un robežkontroles punktos strādājošie ar inspektora pilnvarojumu un jaunākie eksperti (26.3.saime, I, IIIA, IV, V līmenis)</w:t>
      </w:r>
    </w:p>
    <w:p w14:paraId="533F783D" w14:textId="77777777" w:rsidR="00C16514" w:rsidRPr="00A97DC0" w:rsidRDefault="00C16514" w:rsidP="00C16514">
      <w:pPr>
        <w:jc w:val="both"/>
        <w:rPr>
          <w:lang w:val="lv-LV"/>
        </w:rPr>
      </w:pPr>
    </w:p>
    <w:p w14:paraId="1DDF1A9B" w14:textId="77777777" w:rsidR="00336ECA" w:rsidRPr="004069B7" w:rsidRDefault="006C7DD6">
      <w:pPr>
        <w:rPr>
          <w:b/>
          <w:lang w:val="lv-LV"/>
        </w:rPr>
      </w:pPr>
      <w:r w:rsidRPr="004069B7">
        <w:rPr>
          <w:b/>
          <w:lang w:val="lv-LV"/>
        </w:rPr>
        <w:t>Putnu gripas uzraudzības programma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26"/>
        <w:gridCol w:w="1984"/>
      </w:tblGrid>
      <w:tr w:rsidR="00554C99" w:rsidRPr="004069B7" w14:paraId="594DA426" w14:textId="77777777" w:rsidTr="00554C99">
        <w:trPr>
          <w:trHeight w:val="510"/>
        </w:trPr>
        <w:tc>
          <w:tcPr>
            <w:tcW w:w="4962" w:type="dxa"/>
            <w:vMerge w:val="restart"/>
            <w:shd w:val="clear" w:color="auto" w:fill="auto"/>
            <w:vAlign w:val="center"/>
            <w:hideMark/>
          </w:tcPr>
          <w:p w14:paraId="130C6063" w14:textId="77777777" w:rsidR="00554C99" w:rsidRPr="004069B7" w:rsidRDefault="00554C99" w:rsidP="008F1834">
            <w:pPr>
              <w:jc w:val="center"/>
              <w:rPr>
                <w:lang w:val="lv-LV"/>
              </w:rPr>
            </w:pPr>
            <w:r w:rsidRPr="004069B7">
              <w:rPr>
                <w:lang w:val="lv-LV"/>
              </w:rPr>
              <w:t>Programmā iekļautās darbības</w:t>
            </w:r>
          </w:p>
        </w:tc>
        <w:tc>
          <w:tcPr>
            <w:tcW w:w="4110" w:type="dxa"/>
            <w:gridSpan w:val="2"/>
            <w:shd w:val="clear" w:color="auto" w:fill="auto"/>
            <w:vAlign w:val="center"/>
            <w:hideMark/>
          </w:tcPr>
          <w:p w14:paraId="436D75D1" w14:textId="77777777" w:rsidR="00554C99" w:rsidRPr="004069B7" w:rsidRDefault="00554C99" w:rsidP="008F1834">
            <w:pPr>
              <w:jc w:val="center"/>
              <w:rPr>
                <w:lang w:val="lv-LV"/>
              </w:rPr>
            </w:pPr>
            <w:r w:rsidRPr="004069B7">
              <w:rPr>
                <w:lang w:val="lv-LV"/>
              </w:rPr>
              <w:t>Papildus nepieciešamais finansējums (EUR)</w:t>
            </w:r>
          </w:p>
        </w:tc>
      </w:tr>
      <w:tr w:rsidR="00554C99" w:rsidRPr="004069B7" w14:paraId="36E17788" w14:textId="77777777" w:rsidTr="00554C99">
        <w:trPr>
          <w:trHeight w:val="510"/>
        </w:trPr>
        <w:tc>
          <w:tcPr>
            <w:tcW w:w="4962" w:type="dxa"/>
            <w:vMerge/>
            <w:vAlign w:val="center"/>
            <w:hideMark/>
          </w:tcPr>
          <w:p w14:paraId="129F1BC0" w14:textId="77777777" w:rsidR="00554C99" w:rsidRPr="004069B7" w:rsidRDefault="00554C99" w:rsidP="008F1834">
            <w:pPr>
              <w:rPr>
                <w:lang w:val="lv-LV"/>
              </w:rPr>
            </w:pPr>
          </w:p>
        </w:tc>
        <w:tc>
          <w:tcPr>
            <w:tcW w:w="2126" w:type="dxa"/>
            <w:shd w:val="clear" w:color="auto" w:fill="auto"/>
            <w:vAlign w:val="center"/>
            <w:hideMark/>
          </w:tcPr>
          <w:p w14:paraId="5DEEB41C" w14:textId="77777777" w:rsidR="00554C99" w:rsidRPr="004069B7" w:rsidRDefault="00554C99" w:rsidP="008F1834">
            <w:pPr>
              <w:jc w:val="center"/>
              <w:rPr>
                <w:lang w:val="lv-LV"/>
              </w:rPr>
            </w:pPr>
            <w:r w:rsidRPr="004069B7">
              <w:rPr>
                <w:lang w:val="lv-LV"/>
              </w:rPr>
              <w:t xml:space="preserve">2017. gads </w:t>
            </w:r>
          </w:p>
          <w:p w14:paraId="2980775B" w14:textId="77777777" w:rsidR="00554C99" w:rsidRPr="004069B7" w:rsidRDefault="00554C99" w:rsidP="008F1834">
            <w:pPr>
              <w:jc w:val="center"/>
              <w:rPr>
                <w:lang w:val="lv-LV"/>
              </w:rPr>
            </w:pPr>
            <w:r w:rsidRPr="004069B7">
              <w:rPr>
                <w:lang w:val="lv-LV"/>
              </w:rPr>
              <w:t>(8 mēnešiem)</w:t>
            </w:r>
          </w:p>
        </w:tc>
        <w:tc>
          <w:tcPr>
            <w:tcW w:w="1984" w:type="dxa"/>
            <w:shd w:val="clear" w:color="auto" w:fill="auto"/>
            <w:vAlign w:val="center"/>
            <w:hideMark/>
          </w:tcPr>
          <w:p w14:paraId="406FA817" w14:textId="77777777" w:rsidR="00554C99" w:rsidRPr="004069B7" w:rsidRDefault="00554C99" w:rsidP="008F1834">
            <w:pPr>
              <w:jc w:val="center"/>
              <w:rPr>
                <w:lang w:val="lv-LV"/>
              </w:rPr>
            </w:pPr>
            <w:r w:rsidRPr="004069B7">
              <w:rPr>
                <w:lang w:val="lv-LV"/>
              </w:rPr>
              <w:t xml:space="preserve">2018. gads un turpmāk </w:t>
            </w:r>
          </w:p>
          <w:p w14:paraId="16903F84" w14:textId="77777777" w:rsidR="00554C99" w:rsidRPr="004069B7" w:rsidRDefault="00554C99" w:rsidP="008F1834">
            <w:pPr>
              <w:jc w:val="center"/>
              <w:rPr>
                <w:lang w:val="lv-LV"/>
              </w:rPr>
            </w:pPr>
            <w:r w:rsidRPr="004069B7">
              <w:rPr>
                <w:lang w:val="lv-LV"/>
              </w:rPr>
              <w:t>(12 mēnešiem)</w:t>
            </w:r>
          </w:p>
        </w:tc>
      </w:tr>
      <w:tr w:rsidR="00554C99" w:rsidRPr="004069B7" w14:paraId="2A4D112B" w14:textId="77777777" w:rsidTr="00FA7B50">
        <w:trPr>
          <w:trHeight w:val="258"/>
        </w:trPr>
        <w:tc>
          <w:tcPr>
            <w:tcW w:w="4962" w:type="dxa"/>
            <w:shd w:val="clear" w:color="auto" w:fill="auto"/>
            <w:hideMark/>
          </w:tcPr>
          <w:p w14:paraId="02B36850" w14:textId="77777777" w:rsidR="00554C99" w:rsidRPr="004069B7" w:rsidRDefault="00554C99" w:rsidP="00543BB3">
            <w:pPr>
              <w:jc w:val="both"/>
              <w:rPr>
                <w:lang w:val="lv-LV"/>
              </w:rPr>
            </w:pPr>
            <w:r w:rsidRPr="004069B7">
              <w:rPr>
                <w:lang w:val="lv-LV"/>
              </w:rPr>
              <w:t>1. Piemaksa par personisko darba ieguldījumu un darba kvalitāti.</w:t>
            </w:r>
          </w:p>
          <w:p w14:paraId="37B5789D" w14:textId="55B4A3A6" w:rsidR="00554C99" w:rsidRPr="004069B7" w:rsidRDefault="00554C99" w:rsidP="00536B7F">
            <w:pPr>
              <w:jc w:val="both"/>
              <w:rPr>
                <w:lang w:val="lv-LV"/>
              </w:rPr>
            </w:pPr>
            <w:r w:rsidRPr="004069B7">
              <w:rPr>
                <w:lang w:val="lv-LV"/>
              </w:rPr>
              <w:lastRenderedPageBreak/>
              <w:t>Aprēķins veikts saskaņā ar katrai amata vietai noteikto konkrēto mēnešalgu (350 strādājošie </w:t>
            </w:r>
            <w:r w:rsidRPr="004069B7">
              <w:rPr>
                <w:vertAlign w:val="superscript"/>
                <w:lang w:val="lv-LV"/>
              </w:rPr>
              <w:t>3</w:t>
            </w:r>
            <w:r w:rsidRPr="004069B7">
              <w:rPr>
                <w:lang w:val="lv-LV"/>
              </w:rPr>
              <w:t>) x 8/12 mēneši x 5% x 1,2359 (VSAOI)</w:t>
            </w:r>
          </w:p>
        </w:tc>
        <w:tc>
          <w:tcPr>
            <w:tcW w:w="2126" w:type="dxa"/>
            <w:shd w:val="clear" w:color="auto" w:fill="auto"/>
            <w:vAlign w:val="center"/>
            <w:hideMark/>
          </w:tcPr>
          <w:p w14:paraId="1C8A941F" w14:textId="77777777" w:rsidR="00554C99" w:rsidRPr="004069B7" w:rsidRDefault="00554C99" w:rsidP="00543BB3">
            <w:pPr>
              <w:jc w:val="center"/>
              <w:rPr>
                <w:lang w:val="lv-LV"/>
              </w:rPr>
            </w:pPr>
            <w:r w:rsidRPr="004069B7">
              <w:rPr>
                <w:lang w:val="lv-LV"/>
              </w:rPr>
              <w:lastRenderedPageBreak/>
              <w:t>136 547,18</w:t>
            </w:r>
          </w:p>
        </w:tc>
        <w:tc>
          <w:tcPr>
            <w:tcW w:w="1984" w:type="dxa"/>
            <w:shd w:val="clear" w:color="auto" w:fill="auto"/>
            <w:vAlign w:val="center"/>
            <w:hideMark/>
          </w:tcPr>
          <w:p w14:paraId="0B612ECC" w14:textId="0A284649" w:rsidR="00554C99" w:rsidRPr="004069B7" w:rsidRDefault="00554C99" w:rsidP="00ED7CBC">
            <w:pPr>
              <w:jc w:val="center"/>
              <w:rPr>
                <w:lang w:val="lv-LV"/>
              </w:rPr>
            </w:pPr>
            <w:r w:rsidRPr="004069B7">
              <w:rPr>
                <w:lang w:val="lv-LV"/>
              </w:rPr>
              <w:t>204 820,74</w:t>
            </w:r>
          </w:p>
        </w:tc>
      </w:tr>
      <w:tr w:rsidR="00554C99" w:rsidRPr="004069B7" w14:paraId="484E45D6" w14:textId="77777777" w:rsidTr="00554C99">
        <w:trPr>
          <w:trHeight w:val="542"/>
        </w:trPr>
        <w:tc>
          <w:tcPr>
            <w:tcW w:w="4962" w:type="dxa"/>
            <w:shd w:val="clear" w:color="auto" w:fill="auto"/>
            <w:hideMark/>
          </w:tcPr>
          <w:p w14:paraId="699855EA" w14:textId="5769032E" w:rsidR="00554C99" w:rsidRPr="004069B7" w:rsidRDefault="00554C99" w:rsidP="00F0041D">
            <w:pPr>
              <w:jc w:val="both"/>
              <w:rPr>
                <w:lang w:val="lv-LV"/>
              </w:rPr>
            </w:pPr>
            <w:r w:rsidRPr="004069B7">
              <w:rPr>
                <w:lang w:val="lv-LV"/>
              </w:rPr>
              <w:t>Virsstundu darba apmaksa (vidēji 1,75 virsstundas mēnesī, vidējā mēnešalgas likme 883,46 EUR </w:t>
            </w:r>
            <w:r w:rsidRPr="004069B7">
              <w:rPr>
                <w:vertAlign w:val="superscript"/>
                <w:lang w:val="lv-LV"/>
              </w:rPr>
              <w:t>4</w:t>
            </w:r>
            <w:r w:rsidRPr="004069B7">
              <w:rPr>
                <w:lang w:val="lv-LV"/>
              </w:rPr>
              <w:t>)</w:t>
            </w:r>
          </w:p>
          <w:p w14:paraId="1424F429" w14:textId="32744ED8" w:rsidR="00554C99" w:rsidRPr="004069B7" w:rsidRDefault="00554C99" w:rsidP="002F687A">
            <w:pPr>
              <w:pStyle w:val="naisf"/>
              <w:spacing w:before="0" w:beforeAutospacing="0" w:after="0" w:afterAutospacing="0"/>
              <w:rPr>
                <w:lang w:val="lv-LV"/>
              </w:rPr>
            </w:pPr>
            <w:r w:rsidRPr="004069B7">
              <w:rPr>
                <w:lang w:val="lv-LV"/>
              </w:rPr>
              <w:t>Aprēķins:</w:t>
            </w:r>
          </w:p>
          <w:p w14:paraId="18624BEE" w14:textId="6E11D48D" w:rsidR="00554C99" w:rsidRPr="004069B7" w:rsidRDefault="00554C99" w:rsidP="001F10B8">
            <w:pPr>
              <w:pStyle w:val="naisf"/>
              <w:spacing w:before="0" w:beforeAutospacing="0" w:after="0" w:afterAutospacing="0"/>
              <w:rPr>
                <w:lang w:val="lv-LV"/>
              </w:rPr>
            </w:pPr>
            <w:r w:rsidRPr="004069B7">
              <w:rPr>
                <w:lang w:val="lv-LV"/>
              </w:rPr>
              <w:t>* vidējā stundas likme 5,2690653 EUR x vidējais virsstundu skaits mēnesī 1,75 x 8/12 mēneši x 200% x 321 strādājošo </w:t>
            </w:r>
            <w:r w:rsidRPr="004069B7">
              <w:rPr>
                <w:vertAlign w:val="superscript"/>
                <w:lang w:val="lv-LV"/>
              </w:rPr>
              <w:t>5</w:t>
            </w:r>
            <w:r w:rsidRPr="004069B7">
              <w:rPr>
                <w:lang w:val="lv-LV"/>
              </w:rPr>
              <w:t xml:space="preserve"> x VSAOI 1,2359</w:t>
            </w:r>
          </w:p>
        </w:tc>
        <w:tc>
          <w:tcPr>
            <w:tcW w:w="2126" w:type="dxa"/>
            <w:shd w:val="clear" w:color="auto" w:fill="auto"/>
            <w:noWrap/>
            <w:vAlign w:val="center"/>
            <w:hideMark/>
          </w:tcPr>
          <w:p w14:paraId="5686A490" w14:textId="77777777" w:rsidR="00554C99" w:rsidRPr="004069B7" w:rsidRDefault="00554C99">
            <w:pPr>
              <w:jc w:val="center"/>
              <w:rPr>
                <w:lang w:val="lv-LV"/>
              </w:rPr>
            </w:pPr>
            <w:r w:rsidRPr="004069B7">
              <w:rPr>
                <w:lang w:val="lv-LV"/>
              </w:rPr>
              <w:t>58 530,20</w:t>
            </w:r>
          </w:p>
        </w:tc>
        <w:tc>
          <w:tcPr>
            <w:tcW w:w="1984" w:type="dxa"/>
            <w:shd w:val="clear" w:color="auto" w:fill="auto"/>
            <w:noWrap/>
            <w:vAlign w:val="center"/>
            <w:hideMark/>
          </w:tcPr>
          <w:p w14:paraId="0664138A" w14:textId="77777777" w:rsidR="00554C99" w:rsidRPr="004069B7" w:rsidRDefault="00554C99">
            <w:pPr>
              <w:jc w:val="center"/>
              <w:rPr>
                <w:lang w:val="lv-LV"/>
              </w:rPr>
            </w:pPr>
            <w:r w:rsidRPr="004069B7">
              <w:rPr>
                <w:lang w:val="lv-LV"/>
              </w:rPr>
              <w:t>87 795,29</w:t>
            </w:r>
          </w:p>
        </w:tc>
      </w:tr>
      <w:tr w:rsidR="00554C99" w:rsidRPr="004069B7" w14:paraId="33B53968" w14:textId="77777777" w:rsidTr="00554C99">
        <w:trPr>
          <w:trHeight w:val="255"/>
        </w:trPr>
        <w:tc>
          <w:tcPr>
            <w:tcW w:w="4962" w:type="dxa"/>
            <w:shd w:val="clear" w:color="auto" w:fill="auto"/>
            <w:noWrap/>
            <w:vAlign w:val="bottom"/>
            <w:hideMark/>
          </w:tcPr>
          <w:p w14:paraId="3B5B17CD" w14:textId="77777777" w:rsidR="00554C99" w:rsidRPr="004069B7" w:rsidRDefault="00554C99" w:rsidP="00276EE1">
            <w:pPr>
              <w:jc w:val="right"/>
              <w:rPr>
                <w:b/>
                <w:lang w:val="lv-LV"/>
              </w:rPr>
            </w:pPr>
            <w:r w:rsidRPr="004069B7">
              <w:rPr>
                <w:b/>
                <w:lang w:val="lv-LV"/>
              </w:rPr>
              <w:t>Kopā</w:t>
            </w:r>
          </w:p>
        </w:tc>
        <w:tc>
          <w:tcPr>
            <w:tcW w:w="2126" w:type="dxa"/>
            <w:shd w:val="clear" w:color="auto" w:fill="auto"/>
            <w:noWrap/>
            <w:vAlign w:val="bottom"/>
            <w:hideMark/>
          </w:tcPr>
          <w:p w14:paraId="2F1D6D68" w14:textId="77777777" w:rsidR="00554C99" w:rsidRPr="004069B7" w:rsidRDefault="00554C99">
            <w:pPr>
              <w:jc w:val="center"/>
              <w:rPr>
                <w:b/>
                <w:bCs/>
                <w:lang w:val="lv-LV"/>
              </w:rPr>
            </w:pPr>
            <w:r w:rsidRPr="004069B7">
              <w:rPr>
                <w:b/>
                <w:bCs/>
                <w:lang w:val="lv-LV"/>
              </w:rPr>
              <w:t>195 077,38</w:t>
            </w:r>
          </w:p>
        </w:tc>
        <w:tc>
          <w:tcPr>
            <w:tcW w:w="1984" w:type="dxa"/>
            <w:shd w:val="clear" w:color="auto" w:fill="auto"/>
            <w:noWrap/>
            <w:vAlign w:val="bottom"/>
            <w:hideMark/>
          </w:tcPr>
          <w:p w14:paraId="16FAEF26" w14:textId="14FD7035" w:rsidR="00554C99" w:rsidRPr="004069B7" w:rsidRDefault="00554C99" w:rsidP="00ED7CBC">
            <w:pPr>
              <w:jc w:val="center"/>
              <w:rPr>
                <w:b/>
                <w:bCs/>
                <w:lang w:val="lv-LV"/>
              </w:rPr>
            </w:pPr>
            <w:r w:rsidRPr="004069B7">
              <w:rPr>
                <w:b/>
                <w:bCs/>
                <w:lang w:val="lv-LV"/>
              </w:rPr>
              <w:t>292 616,03</w:t>
            </w:r>
          </w:p>
        </w:tc>
      </w:tr>
    </w:tbl>
    <w:p w14:paraId="4A6811E3" w14:textId="642E5FE4" w:rsidR="0044492B" w:rsidRPr="004069B7" w:rsidRDefault="00FB6EC0" w:rsidP="000C322C">
      <w:pPr>
        <w:pStyle w:val="naisf"/>
        <w:spacing w:before="0" w:beforeAutospacing="0" w:after="0" w:afterAutospacing="0"/>
        <w:ind w:left="142"/>
        <w:rPr>
          <w:sz w:val="22"/>
          <w:lang w:val="lv-LV"/>
        </w:rPr>
      </w:pPr>
      <w:r w:rsidRPr="004069B7">
        <w:rPr>
          <w:sz w:val="22"/>
          <w:lang w:val="lv-LV"/>
        </w:rPr>
        <w:t>3 –</w:t>
      </w:r>
      <w:r w:rsidR="00ED7CBC" w:rsidRPr="004069B7">
        <w:rPr>
          <w:sz w:val="22"/>
          <w:lang w:val="lv-LV"/>
        </w:rPr>
        <w:t xml:space="preserve"> </w:t>
      </w:r>
      <w:r w:rsidR="00571CAF" w:rsidRPr="004069B7">
        <w:rPr>
          <w:sz w:val="22"/>
          <w:lang w:val="lv-LV"/>
        </w:rPr>
        <w:t xml:space="preserve">330 </w:t>
      </w:r>
      <w:r w:rsidR="00ED7CBC" w:rsidRPr="004069B7">
        <w:rPr>
          <w:sz w:val="22"/>
          <w:lang w:val="lv-LV"/>
        </w:rPr>
        <w:t>PVD teritoriālajās struktūrvienībās un robežkontroles punktos strādājošie ar inspektora pilnvarojumu un jaunākie eksperti (26.3.saime, I, IIIA, IV, V līmenis)</w:t>
      </w:r>
      <w:r w:rsidR="00571CAF" w:rsidRPr="004069B7">
        <w:rPr>
          <w:sz w:val="22"/>
          <w:lang w:val="lv-LV"/>
        </w:rPr>
        <w:t xml:space="preserve"> un uz laiku līdz 2022.</w:t>
      </w:r>
      <w:r w:rsidRPr="004069B7">
        <w:rPr>
          <w:sz w:val="22"/>
          <w:lang w:val="lv-LV"/>
        </w:rPr>
        <w:t> </w:t>
      </w:r>
      <w:r w:rsidR="00571CAF" w:rsidRPr="004069B7">
        <w:rPr>
          <w:sz w:val="22"/>
          <w:lang w:val="lv-LV"/>
        </w:rPr>
        <w:t>gada 31.</w:t>
      </w:r>
      <w:r w:rsidRPr="004069B7">
        <w:rPr>
          <w:sz w:val="22"/>
          <w:lang w:val="lv-LV"/>
        </w:rPr>
        <w:t> </w:t>
      </w:r>
      <w:r w:rsidR="00571CAF" w:rsidRPr="004069B7">
        <w:rPr>
          <w:sz w:val="22"/>
          <w:lang w:val="lv-LV"/>
        </w:rPr>
        <w:t>decembrim piešķirtās 20 amatu vietas;</w:t>
      </w:r>
    </w:p>
    <w:p w14:paraId="158319C5" w14:textId="379C7D54" w:rsidR="00571CAF" w:rsidRPr="004069B7" w:rsidRDefault="00CB4AAF" w:rsidP="000C322C">
      <w:pPr>
        <w:pStyle w:val="naisf"/>
        <w:spacing w:before="0" w:beforeAutospacing="0" w:after="0" w:afterAutospacing="0"/>
        <w:ind w:left="142"/>
        <w:rPr>
          <w:sz w:val="22"/>
          <w:lang w:val="lv-LV"/>
        </w:rPr>
      </w:pPr>
      <w:r w:rsidRPr="004069B7">
        <w:rPr>
          <w:sz w:val="22"/>
          <w:lang w:val="lv-LV"/>
        </w:rPr>
        <w:t xml:space="preserve">4 – </w:t>
      </w:r>
      <w:r w:rsidR="00571CAF" w:rsidRPr="004069B7">
        <w:rPr>
          <w:sz w:val="22"/>
          <w:lang w:val="lv-LV"/>
        </w:rPr>
        <w:t>vidējā mēnešalgas likme aprēķināta, katrai amata vietai noteikto konkrēto mēnešalgu summu dalot ar attiecīgo amatu vietu skaitu (EUR 283 592/321)</w:t>
      </w:r>
      <w:r w:rsidR="00E216E0">
        <w:rPr>
          <w:sz w:val="22"/>
          <w:lang w:val="lv-LV"/>
        </w:rPr>
        <w:t>;</w:t>
      </w:r>
    </w:p>
    <w:p w14:paraId="6180480C" w14:textId="4F0B42CB" w:rsidR="00571CAF" w:rsidRPr="004069B7" w:rsidRDefault="001F10B8" w:rsidP="000627C3">
      <w:pPr>
        <w:pStyle w:val="naisf"/>
        <w:spacing w:before="0" w:beforeAutospacing="0" w:after="0" w:afterAutospacing="0"/>
        <w:ind w:left="142"/>
        <w:rPr>
          <w:sz w:val="22"/>
          <w:lang w:val="lv-LV"/>
        </w:rPr>
      </w:pPr>
      <w:r w:rsidRPr="004069B7">
        <w:rPr>
          <w:sz w:val="22"/>
          <w:lang w:val="lv-LV"/>
        </w:rPr>
        <w:t>5 –</w:t>
      </w:r>
      <w:r w:rsidR="00571CAF" w:rsidRPr="004069B7">
        <w:rPr>
          <w:sz w:val="22"/>
          <w:lang w:val="lv-LV"/>
        </w:rPr>
        <w:t xml:space="preserve"> 251 PVD teritoriālajās struktūrvienībās strādājošais ar inspektora pilnvarojumu un jaunākie eksperti (26.3.saime, I, IIIA, IV, V līmenis), 15 uz laiku līdz 2022.</w:t>
      </w:r>
      <w:r w:rsidRPr="004069B7">
        <w:rPr>
          <w:sz w:val="22"/>
          <w:lang w:val="lv-LV"/>
        </w:rPr>
        <w:t> </w:t>
      </w:r>
      <w:r w:rsidR="00571CAF" w:rsidRPr="004069B7">
        <w:rPr>
          <w:sz w:val="22"/>
          <w:lang w:val="lv-LV"/>
        </w:rPr>
        <w:t>gada 31.</w:t>
      </w:r>
      <w:r w:rsidRPr="004069B7">
        <w:rPr>
          <w:sz w:val="22"/>
          <w:lang w:val="lv-LV"/>
        </w:rPr>
        <w:t> </w:t>
      </w:r>
      <w:r w:rsidR="00571CAF" w:rsidRPr="004069B7">
        <w:rPr>
          <w:sz w:val="22"/>
          <w:lang w:val="lv-LV"/>
        </w:rPr>
        <w:t>decembrim piešķirtās amatu vietas (bez robežkontroles punktos strādājošajiem), daļa centrālajā aparātā strādājošo (55 amatu vietas).</w:t>
      </w:r>
    </w:p>
    <w:p w14:paraId="1158D804" w14:textId="77777777" w:rsidR="00571CAF" w:rsidRPr="004069B7" w:rsidRDefault="00571CAF" w:rsidP="00F64987">
      <w:pPr>
        <w:pStyle w:val="naisf"/>
        <w:spacing w:before="0" w:beforeAutospacing="0" w:after="0" w:afterAutospacing="0"/>
        <w:rPr>
          <w:lang w:val="lv-LV"/>
        </w:rPr>
      </w:pPr>
    </w:p>
    <w:p w14:paraId="1863DB43" w14:textId="7BE7F790" w:rsidR="00F0041D" w:rsidRPr="004069B7" w:rsidRDefault="00262929" w:rsidP="00262929">
      <w:pPr>
        <w:ind w:firstLine="709"/>
        <w:jc w:val="both"/>
        <w:rPr>
          <w:lang w:val="lv-LV"/>
        </w:rPr>
      </w:pPr>
      <w:r w:rsidRPr="004069B7">
        <w:rPr>
          <w:lang w:val="lv-LV"/>
        </w:rPr>
        <w:t xml:space="preserve">Kopā </w:t>
      </w:r>
      <w:r w:rsidR="00F0041D" w:rsidRPr="004069B7">
        <w:rPr>
          <w:lang w:val="lv-LV"/>
        </w:rPr>
        <w:t xml:space="preserve">PVD nepieciešams </w:t>
      </w:r>
      <w:r w:rsidR="00E216E0">
        <w:rPr>
          <w:lang w:val="lv-LV"/>
        </w:rPr>
        <w:t xml:space="preserve">šāds </w:t>
      </w:r>
      <w:r w:rsidR="00F0041D" w:rsidRPr="004069B7">
        <w:rPr>
          <w:lang w:val="lv-LV"/>
        </w:rPr>
        <w:t>papildu finansējums:</w:t>
      </w:r>
    </w:p>
    <w:p w14:paraId="49DF4998" w14:textId="07CA961F" w:rsidR="00F0041D" w:rsidRPr="004069B7" w:rsidRDefault="00F0041D" w:rsidP="00262929">
      <w:pPr>
        <w:ind w:firstLine="709"/>
        <w:jc w:val="both"/>
        <w:rPr>
          <w:lang w:val="lv-LV"/>
        </w:rPr>
      </w:pPr>
      <w:r w:rsidRPr="004069B7">
        <w:rPr>
          <w:lang w:val="lv-LV"/>
        </w:rPr>
        <w:t>1)</w:t>
      </w:r>
      <w:r w:rsidR="00262929" w:rsidRPr="004069B7">
        <w:rPr>
          <w:lang w:val="lv-LV"/>
        </w:rPr>
        <w:t xml:space="preserve"> 201</w:t>
      </w:r>
      <w:r w:rsidRPr="004069B7">
        <w:rPr>
          <w:lang w:val="lv-LV"/>
        </w:rPr>
        <w:t>7</w:t>
      </w:r>
      <w:r w:rsidR="00262929" w:rsidRPr="004069B7">
        <w:rPr>
          <w:lang w:val="lv-LV"/>
        </w:rPr>
        <w:t>.</w:t>
      </w:r>
      <w:r w:rsidRPr="004069B7">
        <w:rPr>
          <w:lang w:val="lv-LV"/>
        </w:rPr>
        <w:t> </w:t>
      </w:r>
      <w:r w:rsidR="00262929" w:rsidRPr="004069B7">
        <w:rPr>
          <w:lang w:val="lv-LV"/>
        </w:rPr>
        <w:t>gad</w:t>
      </w:r>
      <w:r w:rsidR="004D54F2" w:rsidRPr="004069B7">
        <w:rPr>
          <w:lang w:val="lv-LV"/>
        </w:rPr>
        <w:t>ā</w:t>
      </w:r>
      <w:r w:rsidRPr="004069B7">
        <w:rPr>
          <w:lang w:val="lv-LV"/>
        </w:rPr>
        <w:t xml:space="preserve"> (maijs–decembris) –</w:t>
      </w:r>
      <w:r w:rsidR="00332E04" w:rsidRPr="004069B7">
        <w:rPr>
          <w:lang w:val="lv-LV"/>
        </w:rPr>
        <w:t xml:space="preserve"> </w:t>
      </w:r>
      <w:r w:rsidR="00BB1BA7" w:rsidRPr="004069B7">
        <w:rPr>
          <w:b/>
          <w:lang w:val="lv-LV"/>
        </w:rPr>
        <w:t>3</w:t>
      </w:r>
      <w:r w:rsidR="008A59FB" w:rsidRPr="004069B7">
        <w:rPr>
          <w:b/>
          <w:lang w:val="lv-LV"/>
        </w:rPr>
        <w:t>31</w:t>
      </w:r>
      <w:r w:rsidR="00332E04" w:rsidRPr="004069B7">
        <w:rPr>
          <w:b/>
          <w:lang w:val="lv-LV"/>
        </w:rPr>
        <w:t> </w:t>
      </w:r>
      <w:r w:rsidR="00BA4BCC" w:rsidRPr="004069B7">
        <w:rPr>
          <w:b/>
          <w:lang w:val="lv-LV"/>
        </w:rPr>
        <w:t>62</w:t>
      </w:r>
      <w:r w:rsidR="002561C5" w:rsidRPr="004069B7">
        <w:rPr>
          <w:b/>
          <w:lang w:val="lv-LV"/>
        </w:rPr>
        <w:t>4</w:t>
      </w:r>
      <w:r w:rsidR="00332E04" w:rsidRPr="004069B7">
        <w:rPr>
          <w:b/>
          <w:lang w:val="lv-LV"/>
        </w:rPr>
        <w:t xml:space="preserve"> </w:t>
      </w:r>
      <w:r w:rsidR="00332E04" w:rsidRPr="004069B7">
        <w:rPr>
          <w:b/>
          <w:i/>
          <w:lang w:val="lv-LV"/>
        </w:rPr>
        <w:t>euro</w:t>
      </w:r>
      <w:r w:rsidR="00332E04" w:rsidRPr="004069B7">
        <w:rPr>
          <w:lang w:val="lv-LV"/>
        </w:rPr>
        <w:t xml:space="preserve"> apmērā;</w:t>
      </w:r>
    </w:p>
    <w:p w14:paraId="16172529" w14:textId="086E1321" w:rsidR="00262929" w:rsidRPr="004069B7" w:rsidRDefault="00F0041D" w:rsidP="00262929">
      <w:pPr>
        <w:ind w:firstLine="709"/>
        <w:jc w:val="both"/>
        <w:rPr>
          <w:lang w:val="lv-LV"/>
        </w:rPr>
      </w:pPr>
      <w:r w:rsidRPr="004069B7">
        <w:rPr>
          <w:lang w:val="lv-LV"/>
        </w:rPr>
        <w:t>2) 2018. gadā un turpmāk ik gadu</w:t>
      </w:r>
      <w:r w:rsidR="00262929" w:rsidRPr="004069B7">
        <w:rPr>
          <w:lang w:val="lv-LV"/>
        </w:rPr>
        <w:t xml:space="preserve"> </w:t>
      </w:r>
      <w:r w:rsidR="004D54F2" w:rsidRPr="004069B7">
        <w:rPr>
          <w:lang w:val="lv-LV"/>
        </w:rPr>
        <w:t xml:space="preserve">– </w:t>
      </w:r>
      <w:r w:rsidR="00BB1BA7" w:rsidRPr="004069B7">
        <w:rPr>
          <w:b/>
          <w:lang w:val="lv-LV"/>
        </w:rPr>
        <w:t>8</w:t>
      </w:r>
      <w:r w:rsidR="008A59FB" w:rsidRPr="004069B7">
        <w:rPr>
          <w:b/>
          <w:lang w:val="lv-LV"/>
        </w:rPr>
        <w:t>02</w:t>
      </w:r>
      <w:r w:rsidR="00BB1BA7" w:rsidRPr="004069B7">
        <w:rPr>
          <w:b/>
          <w:lang w:val="lv-LV"/>
        </w:rPr>
        <w:t> </w:t>
      </w:r>
      <w:r w:rsidR="008A59FB" w:rsidRPr="004069B7">
        <w:rPr>
          <w:b/>
          <w:lang w:val="lv-LV"/>
        </w:rPr>
        <w:t>09</w:t>
      </w:r>
      <w:r w:rsidR="003203AB" w:rsidRPr="004069B7">
        <w:rPr>
          <w:b/>
          <w:lang w:val="lv-LV"/>
        </w:rPr>
        <w:t>7</w:t>
      </w:r>
      <w:r w:rsidR="00262929" w:rsidRPr="004069B7">
        <w:rPr>
          <w:b/>
          <w:lang w:val="lv-LV"/>
        </w:rPr>
        <w:t xml:space="preserve"> </w:t>
      </w:r>
      <w:r w:rsidR="00262929" w:rsidRPr="004069B7">
        <w:rPr>
          <w:b/>
          <w:i/>
          <w:lang w:val="lv-LV"/>
        </w:rPr>
        <w:t>euro</w:t>
      </w:r>
      <w:r w:rsidR="00262929" w:rsidRPr="004069B7">
        <w:rPr>
          <w:lang w:val="lv-LV"/>
        </w:rPr>
        <w:t xml:space="preserve"> apmērā.</w:t>
      </w:r>
    </w:p>
    <w:p w14:paraId="10F960AD" w14:textId="77777777" w:rsidR="0044492B" w:rsidRPr="004069B7" w:rsidRDefault="0044492B" w:rsidP="00F64987">
      <w:pPr>
        <w:pStyle w:val="naisf"/>
        <w:spacing w:before="0" w:beforeAutospacing="0" w:after="0" w:afterAutospacing="0"/>
        <w:rPr>
          <w:lang w:val="lv-LV"/>
        </w:rPr>
      </w:pPr>
    </w:p>
    <w:p w14:paraId="6B6E96D5" w14:textId="404B33C8" w:rsidR="00E07F74" w:rsidRDefault="00E07F74" w:rsidP="00F64987">
      <w:pPr>
        <w:pStyle w:val="naisf"/>
        <w:spacing w:before="0" w:beforeAutospacing="0" w:after="0" w:afterAutospacing="0"/>
        <w:ind w:firstLine="720"/>
        <w:rPr>
          <w:lang w:val="lv-LV"/>
        </w:rPr>
      </w:pPr>
    </w:p>
    <w:p w14:paraId="200E6350" w14:textId="77777777" w:rsidR="00CE503F" w:rsidRDefault="00CE503F" w:rsidP="00F64987">
      <w:pPr>
        <w:pStyle w:val="naisf"/>
        <w:spacing w:before="0" w:beforeAutospacing="0" w:after="0" w:afterAutospacing="0"/>
        <w:ind w:firstLine="720"/>
        <w:rPr>
          <w:lang w:val="lv-LV"/>
        </w:rPr>
      </w:pPr>
    </w:p>
    <w:p w14:paraId="7B6229F3" w14:textId="42CB48AA" w:rsidR="007D62E1" w:rsidRPr="00151763" w:rsidRDefault="00916DAA" w:rsidP="00151763">
      <w:pPr>
        <w:pStyle w:val="naisf"/>
        <w:spacing w:before="0" w:beforeAutospacing="0" w:after="0" w:afterAutospacing="0"/>
        <w:rPr>
          <w:sz w:val="28"/>
          <w:lang w:val="lv-LV"/>
        </w:rPr>
      </w:pPr>
      <w:r w:rsidRPr="00151763">
        <w:rPr>
          <w:sz w:val="28"/>
          <w:lang w:val="lv-LV"/>
        </w:rPr>
        <w:t>Zemkopības ministr</w:t>
      </w:r>
      <w:r w:rsidR="00773ECE" w:rsidRPr="00151763">
        <w:rPr>
          <w:sz w:val="28"/>
          <w:lang w:val="lv-LV"/>
        </w:rPr>
        <w:t>a p.i.</w:t>
      </w:r>
      <w:r w:rsidRPr="00151763">
        <w:rPr>
          <w:sz w:val="28"/>
          <w:lang w:val="lv-LV"/>
        </w:rPr>
        <w:tab/>
      </w:r>
      <w:r w:rsidRPr="00151763">
        <w:rPr>
          <w:sz w:val="28"/>
          <w:lang w:val="lv-LV"/>
        </w:rPr>
        <w:tab/>
      </w:r>
      <w:r w:rsidRPr="00151763">
        <w:rPr>
          <w:sz w:val="28"/>
          <w:lang w:val="lv-LV"/>
        </w:rPr>
        <w:tab/>
      </w:r>
      <w:r w:rsidRPr="00151763">
        <w:rPr>
          <w:sz w:val="28"/>
          <w:lang w:val="lv-LV"/>
        </w:rPr>
        <w:tab/>
      </w:r>
      <w:r w:rsidRPr="00151763">
        <w:rPr>
          <w:sz w:val="28"/>
          <w:lang w:val="lv-LV"/>
        </w:rPr>
        <w:tab/>
      </w:r>
      <w:r w:rsidRPr="00151763">
        <w:rPr>
          <w:sz w:val="28"/>
          <w:lang w:val="lv-LV"/>
        </w:rPr>
        <w:tab/>
      </w:r>
      <w:r w:rsidR="00773ECE" w:rsidRPr="00151763">
        <w:rPr>
          <w:sz w:val="28"/>
          <w:lang w:val="lv-LV"/>
        </w:rPr>
        <w:t>Uldis Augulis</w:t>
      </w:r>
      <w:r w:rsidR="007D62E1" w:rsidRPr="00151763">
        <w:rPr>
          <w:lang w:val="lv-LV"/>
        </w:rPr>
        <w:t xml:space="preserve"> </w:t>
      </w:r>
    </w:p>
    <w:sectPr w:rsidR="007D62E1" w:rsidRPr="00151763" w:rsidSect="0072256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AF79" w14:textId="77777777" w:rsidR="001D34FF" w:rsidRDefault="001D34FF" w:rsidP="007E5CB4">
      <w:r>
        <w:separator/>
      </w:r>
    </w:p>
  </w:endnote>
  <w:endnote w:type="continuationSeparator" w:id="0">
    <w:p w14:paraId="697B2FB1" w14:textId="77777777" w:rsidR="001D34FF" w:rsidRDefault="001D34FF"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33E9" w14:textId="4D7DF7B7" w:rsidR="002A1CA1" w:rsidRDefault="00C07FB4" w:rsidP="00055464">
    <w:pPr>
      <w:pStyle w:val="Footer"/>
      <w:jc w:val="both"/>
      <w:rPr>
        <w:sz w:val="20"/>
        <w:szCs w:val="20"/>
        <w:lang w:val="lv-LV"/>
      </w:rPr>
    </w:pPr>
    <w:r>
      <w:rPr>
        <w:sz w:val="20"/>
        <w:szCs w:val="20"/>
      </w:rPr>
      <w:t>ZMzin_19</w:t>
    </w:r>
    <w:r w:rsidR="002A1CA1" w:rsidRPr="00B74D2A">
      <w:rPr>
        <w:sz w:val="20"/>
        <w:szCs w:val="20"/>
      </w:rPr>
      <w:t>0</w:t>
    </w:r>
    <w:r w:rsidR="002A1CA1">
      <w:rPr>
        <w:sz w:val="20"/>
        <w:szCs w:val="20"/>
      </w:rPr>
      <w:t>4</w:t>
    </w:r>
    <w:r w:rsidR="002A1CA1" w:rsidRPr="00B74D2A">
      <w:rPr>
        <w:sz w:val="20"/>
        <w:szCs w:val="20"/>
      </w:rPr>
      <w:t>17</w:t>
    </w:r>
    <w:r w:rsidR="00151763">
      <w:rPr>
        <w:sz w:val="20"/>
        <w:szCs w:val="20"/>
      </w:rPr>
      <w:t>_PVDkap</w:t>
    </w:r>
    <w:r w:rsidR="002A1CA1" w:rsidRPr="00B74D2A">
      <w:rPr>
        <w:sz w:val="20"/>
        <w:szCs w:val="20"/>
      </w:rPr>
      <w:t xml:space="preserve">; </w:t>
    </w:r>
    <w:r w:rsidR="002A1CA1" w:rsidRPr="00B74D2A">
      <w:rPr>
        <w:sz w:val="20"/>
        <w:szCs w:val="20"/>
        <w:lang w:val="lv-LV"/>
      </w:rPr>
      <w:t xml:space="preserve">Informatīvais ziņojums par Pārtikas un veterinārā dienesta kapacitāti </w:t>
    </w:r>
    <w:r w:rsidR="006D1726">
      <w:rPr>
        <w:sz w:val="20"/>
        <w:szCs w:val="20"/>
        <w:lang w:val="lv-LV"/>
      </w:rPr>
      <w:t xml:space="preserve">atsevišķu </w:t>
    </w:r>
    <w:r w:rsidR="002A1CA1" w:rsidRPr="00B74D2A">
      <w:rPr>
        <w:sz w:val="20"/>
        <w:szCs w:val="20"/>
        <w:lang w:val="lv-LV"/>
      </w:rPr>
      <w:t>dzīvnieku infekcijas slimību uzraudzības, apkarošanas un izplatības ierobežošanas nodrošināšanai</w:t>
    </w:r>
  </w:p>
  <w:p w14:paraId="6B4961E3" w14:textId="77777777" w:rsidR="002A1CA1" w:rsidRPr="00D449AB" w:rsidRDefault="002A1CA1" w:rsidP="00B74D2A">
    <w:pPr>
      <w:pStyle w:val="Footer"/>
      <w:rPr>
        <w:sz w:val="16"/>
        <w:szCs w:val="20"/>
        <w:lang w:val="lv-LV"/>
      </w:rPr>
    </w:pPr>
  </w:p>
  <w:p w14:paraId="793D1F0C" w14:textId="02859734" w:rsidR="002A1CA1" w:rsidRPr="00951FD3" w:rsidRDefault="002A1CA1" w:rsidP="00195DC2">
    <w:pPr>
      <w:pStyle w:val="Header"/>
      <w:jc w:val="center"/>
      <w:rPr>
        <w:strike/>
        <w:sz w:val="20"/>
        <w:lang w:val="lv-LV"/>
      </w:rPr>
    </w:pPr>
    <w:r w:rsidRPr="00951FD3">
      <w:rPr>
        <w:strike/>
        <w:sz w:val="20"/>
        <w:lang w:val="lv-LV"/>
      </w:rPr>
      <w:t>IEROBEŽOTA PIEEJAMĪBA</w:t>
    </w:r>
  </w:p>
  <w:p w14:paraId="3E99D41A" w14:textId="77777777" w:rsidR="00951FD3" w:rsidRPr="00951FD3" w:rsidRDefault="00951FD3" w:rsidP="00951FD3">
    <w:pPr>
      <w:pStyle w:val="Header"/>
      <w:jc w:val="center"/>
      <w:rPr>
        <w:sz w:val="20"/>
        <w:szCs w:val="20"/>
        <w:lang w:val="lv-LV"/>
      </w:rPr>
    </w:pPr>
    <w:r w:rsidRPr="00951FD3">
      <w:rPr>
        <w:sz w:val="20"/>
        <w:szCs w:val="20"/>
      </w:rPr>
      <w:t>NAV KLASIFICĒTS</w:t>
    </w:r>
  </w:p>
  <w:p w14:paraId="5A064BE1" w14:textId="77777777" w:rsidR="00951FD3" w:rsidRPr="00D449AB" w:rsidRDefault="00951FD3" w:rsidP="00195DC2">
    <w:pPr>
      <w:pStyle w:val="Header"/>
      <w:jc w:val="center"/>
      <w:rPr>
        <w:sz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C5EC" w14:textId="64A00225" w:rsidR="002A1CA1" w:rsidRDefault="00C07FB4" w:rsidP="00D04236">
    <w:pPr>
      <w:pStyle w:val="Footer"/>
      <w:jc w:val="both"/>
      <w:rPr>
        <w:sz w:val="20"/>
        <w:szCs w:val="20"/>
        <w:lang w:val="lv-LV"/>
      </w:rPr>
    </w:pPr>
    <w:r>
      <w:rPr>
        <w:sz w:val="20"/>
        <w:szCs w:val="20"/>
      </w:rPr>
      <w:t>ZMzin_19</w:t>
    </w:r>
    <w:r w:rsidR="002A1CA1" w:rsidRPr="00B74D2A">
      <w:rPr>
        <w:sz w:val="20"/>
        <w:szCs w:val="20"/>
      </w:rPr>
      <w:t>0</w:t>
    </w:r>
    <w:r w:rsidR="002A1CA1">
      <w:rPr>
        <w:sz w:val="20"/>
        <w:szCs w:val="20"/>
      </w:rPr>
      <w:t>4</w:t>
    </w:r>
    <w:r w:rsidR="002A1CA1" w:rsidRPr="00B74D2A">
      <w:rPr>
        <w:sz w:val="20"/>
        <w:szCs w:val="20"/>
      </w:rPr>
      <w:t>17</w:t>
    </w:r>
    <w:r w:rsidR="00151763">
      <w:rPr>
        <w:sz w:val="20"/>
        <w:szCs w:val="20"/>
      </w:rPr>
      <w:t>_PVDkap</w:t>
    </w:r>
    <w:r w:rsidR="002A1CA1" w:rsidRPr="00B74D2A">
      <w:rPr>
        <w:sz w:val="20"/>
        <w:szCs w:val="20"/>
      </w:rPr>
      <w:t xml:space="preserve">; </w:t>
    </w:r>
    <w:r w:rsidR="002A1CA1" w:rsidRPr="00B74D2A">
      <w:rPr>
        <w:sz w:val="20"/>
        <w:szCs w:val="20"/>
        <w:lang w:val="lv-LV"/>
      </w:rPr>
      <w:t xml:space="preserve">Informatīvais ziņojums par Pārtikas un veterinārā dienesta kapacitāti </w:t>
    </w:r>
    <w:r w:rsidR="006D1726">
      <w:rPr>
        <w:sz w:val="20"/>
        <w:szCs w:val="20"/>
        <w:lang w:val="lv-LV"/>
      </w:rPr>
      <w:t xml:space="preserve">atsevišķu </w:t>
    </w:r>
    <w:r w:rsidR="002A1CA1" w:rsidRPr="00B74D2A">
      <w:rPr>
        <w:sz w:val="20"/>
        <w:szCs w:val="20"/>
        <w:lang w:val="lv-LV"/>
      </w:rPr>
      <w:t>dzīvnieku infekcijas slimību uzraudzības, apkarošanas un izplatības ierobežošanas nodrošināšanai</w:t>
    </w:r>
  </w:p>
  <w:p w14:paraId="05E5BD1D" w14:textId="77777777" w:rsidR="002A1CA1" w:rsidRDefault="002A1CA1" w:rsidP="00D04236">
    <w:pPr>
      <w:pStyle w:val="Footer"/>
      <w:jc w:val="both"/>
      <w:rPr>
        <w:sz w:val="20"/>
        <w:szCs w:val="20"/>
        <w:lang w:val="lv-LV"/>
      </w:rPr>
    </w:pPr>
  </w:p>
  <w:p w14:paraId="5994B4DC" w14:textId="3FB93B89" w:rsidR="002A1CA1" w:rsidRPr="00951FD3" w:rsidRDefault="002A1CA1" w:rsidP="00195DC2">
    <w:pPr>
      <w:pStyle w:val="Header"/>
      <w:jc w:val="center"/>
      <w:rPr>
        <w:strike/>
        <w:sz w:val="20"/>
        <w:lang w:val="lv-LV"/>
      </w:rPr>
    </w:pPr>
    <w:r w:rsidRPr="00951FD3">
      <w:rPr>
        <w:strike/>
        <w:sz w:val="20"/>
        <w:lang w:val="lv-LV"/>
      </w:rPr>
      <w:t>IEROBEŽOTA PIEEJAMĪBA</w:t>
    </w:r>
  </w:p>
  <w:p w14:paraId="3FDA013A" w14:textId="77777777" w:rsidR="00951FD3" w:rsidRPr="00951FD3" w:rsidRDefault="00951FD3" w:rsidP="00951FD3">
    <w:pPr>
      <w:pStyle w:val="Header"/>
      <w:jc w:val="center"/>
      <w:rPr>
        <w:sz w:val="20"/>
        <w:szCs w:val="20"/>
        <w:lang w:val="lv-LV"/>
      </w:rPr>
    </w:pPr>
    <w:r w:rsidRPr="00951FD3">
      <w:rPr>
        <w:sz w:val="20"/>
        <w:szCs w:val="20"/>
      </w:rPr>
      <w:t>NAV KLASIFICĒTS</w:t>
    </w:r>
  </w:p>
  <w:p w14:paraId="402DBFD3" w14:textId="77777777" w:rsidR="00951FD3" w:rsidRPr="00D449AB" w:rsidRDefault="00951FD3" w:rsidP="00195DC2">
    <w:pPr>
      <w:pStyle w:val="Header"/>
      <w:jc w:val="center"/>
      <w:rPr>
        <w:sz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601A" w14:textId="77777777" w:rsidR="001D34FF" w:rsidRDefault="001D34FF" w:rsidP="007E5CB4">
      <w:r>
        <w:separator/>
      </w:r>
    </w:p>
  </w:footnote>
  <w:footnote w:type="continuationSeparator" w:id="0">
    <w:p w14:paraId="141726EF" w14:textId="77777777" w:rsidR="001D34FF" w:rsidRDefault="001D34FF" w:rsidP="007E5CB4">
      <w:r>
        <w:continuationSeparator/>
      </w:r>
    </w:p>
  </w:footnote>
  <w:footnote w:id="1">
    <w:p w14:paraId="63C0E2A7" w14:textId="77777777" w:rsidR="00951FD3" w:rsidRDefault="00951FD3" w:rsidP="00951FD3">
      <w:r>
        <w:rPr>
          <w:rStyle w:val="FootnoteReference"/>
        </w:rPr>
        <w:t/>
      </w:r>
      <w:r>
        <w:t xml:space="preserve"> </w:t>
      </w:r>
      <w:bookmarkStart w:id="0" w:name="_Hlk126932261"/>
      <w:r w:rsidRPr="00A06E7D">
        <w:t>Deklasificēšanas pamatojums: ZM 26.01.2023. vēstule Nr. 13.1-9e/210/2023 (</w:t>
      </w:r>
      <w:r>
        <w:t>reģ. Nr.</w:t>
      </w:r>
      <w:r w:rsidRPr="00A06E7D">
        <w:t xml:space="preserve"> 2023-DOC-188)</w:t>
      </w:r>
    </w:p>
    <w:bookmarkEnd w:id="0"/>
    <w:p w14:paraId="4B0E7DE9" w14:textId="79C4036C" w:rsidR="00951FD3" w:rsidRPr="00951FD3" w:rsidRDefault="00951FD3">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66434"/>
      <w:docPartObj>
        <w:docPartGallery w:val="Page Numbers (Top of Page)"/>
        <w:docPartUnique/>
      </w:docPartObj>
    </w:sdtPr>
    <w:sdtEndPr/>
    <w:sdtContent>
      <w:p w14:paraId="3D554E64" w14:textId="296DEF67" w:rsidR="002A1CA1" w:rsidRPr="00951FD3" w:rsidRDefault="002A1CA1" w:rsidP="00195DC2">
        <w:pPr>
          <w:pStyle w:val="Header"/>
          <w:jc w:val="center"/>
          <w:rPr>
            <w:strike/>
            <w:sz w:val="20"/>
            <w:lang w:val="lv-LV"/>
          </w:rPr>
        </w:pPr>
        <w:r w:rsidRPr="00951FD3">
          <w:rPr>
            <w:strike/>
            <w:sz w:val="20"/>
            <w:lang w:val="lv-LV"/>
          </w:rPr>
          <w:t>IEROBEŽOTA PIEEJAMĪBA</w:t>
        </w:r>
      </w:p>
      <w:p w14:paraId="6E01503E" w14:textId="77777777" w:rsidR="00951FD3" w:rsidRPr="00951FD3" w:rsidRDefault="00951FD3" w:rsidP="00951FD3">
        <w:pPr>
          <w:pStyle w:val="Header"/>
          <w:jc w:val="center"/>
          <w:rPr>
            <w:sz w:val="20"/>
            <w:szCs w:val="20"/>
            <w:lang w:val="lv-LV"/>
          </w:rPr>
        </w:pPr>
        <w:r w:rsidRPr="00951FD3">
          <w:rPr>
            <w:sz w:val="20"/>
            <w:szCs w:val="20"/>
          </w:rPr>
          <w:t>NAV KLASIFICĒTS</w:t>
        </w:r>
      </w:p>
      <w:p w14:paraId="6781E1F3" w14:textId="5A26F399" w:rsidR="002A1CA1" w:rsidRDefault="002A1CA1">
        <w:pPr>
          <w:pStyle w:val="Header"/>
          <w:jc w:val="center"/>
        </w:pPr>
        <w:r>
          <w:fldChar w:fldCharType="begin"/>
        </w:r>
        <w:r>
          <w:instrText>PAGE   \* MERGEFORMAT</w:instrText>
        </w:r>
        <w:r>
          <w:fldChar w:fldCharType="separate"/>
        </w:r>
        <w:r w:rsidR="00151763" w:rsidRPr="00151763">
          <w:rPr>
            <w:noProof/>
            <w:lang w:val="lv-LV"/>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2199" w14:textId="701A610A" w:rsidR="002A1CA1" w:rsidRPr="00951FD3" w:rsidRDefault="002A1CA1" w:rsidP="00670CCC">
    <w:pPr>
      <w:pStyle w:val="Header"/>
      <w:jc w:val="center"/>
      <w:rPr>
        <w:strike/>
        <w:sz w:val="20"/>
        <w:lang w:val="lv-LV"/>
      </w:rPr>
    </w:pPr>
    <w:r w:rsidRPr="00951FD3">
      <w:rPr>
        <w:strike/>
        <w:sz w:val="20"/>
        <w:lang w:val="lv-LV"/>
      </w:rPr>
      <w:t>IEROBEŽOTA PIEEJAMĪBA</w:t>
    </w:r>
  </w:p>
  <w:p w14:paraId="3F09B9EA" w14:textId="732E1474" w:rsidR="00951FD3" w:rsidRPr="00951FD3" w:rsidRDefault="00951FD3" w:rsidP="00670CCC">
    <w:pPr>
      <w:pStyle w:val="Header"/>
      <w:jc w:val="center"/>
      <w:rPr>
        <w:sz w:val="20"/>
        <w:szCs w:val="20"/>
        <w:lang w:val="lv-LV"/>
      </w:rPr>
    </w:pPr>
    <w:bookmarkStart w:id="1" w:name="_Hlk126932155"/>
    <w:r w:rsidRPr="00951FD3">
      <w:rPr>
        <w:sz w:val="20"/>
        <w:szCs w:val="20"/>
      </w:rPr>
      <w:t>NAV KLASIFICĒTS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7FF"/>
    <w:multiLevelType w:val="multilevel"/>
    <w:tmpl w:val="6CE28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EB5E4C"/>
    <w:multiLevelType w:val="hybridMultilevel"/>
    <w:tmpl w:val="9F10BBFA"/>
    <w:lvl w:ilvl="0" w:tplc="04260001">
      <w:start w:val="50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32120585">
    <w:abstractNumId w:val="5"/>
  </w:num>
  <w:num w:numId="2" w16cid:durableId="2127699455">
    <w:abstractNumId w:val="8"/>
  </w:num>
  <w:num w:numId="3" w16cid:durableId="1146705978">
    <w:abstractNumId w:val="1"/>
  </w:num>
  <w:num w:numId="4" w16cid:durableId="1334992425">
    <w:abstractNumId w:val="4"/>
  </w:num>
  <w:num w:numId="5" w16cid:durableId="888105342">
    <w:abstractNumId w:val="2"/>
  </w:num>
  <w:num w:numId="6" w16cid:durableId="1248884127">
    <w:abstractNumId w:val="10"/>
  </w:num>
  <w:num w:numId="7" w16cid:durableId="1614749906">
    <w:abstractNumId w:val="9"/>
  </w:num>
  <w:num w:numId="8" w16cid:durableId="2095933141">
    <w:abstractNumId w:val="3"/>
  </w:num>
  <w:num w:numId="9" w16cid:durableId="672755830">
    <w:abstractNumId w:val="7"/>
  </w:num>
  <w:num w:numId="10" w16cid:durableId="211233715">
    <w:abstractNumId w:val="6"/>
  </w:num>
  <w:num w:numId="11" w16cid:durableId="186721803">
    <w:abstractNumId w:val="0"/>
  </w:num>
  <w:num w:numId="12" w16cid:durableId="1488012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4162"/>
    <w:rsid w:val="00010AF2"/>
    <w:rsid w:val="00014351"/>
    <w:rsid w:val="00015525"/>
    <w:rsid w:val="00015A58"/>
    <w:rsid w:val="0002028D"/>
    <w:rsid w:val="00020FD4"/>
    <w:rsid w:val="0002338B"/>
    <w:rsid w:val="000242A9"/>
    <w:rsid w:val="00034655"/>
    <w:rsid w:val="000349A7"/>
    <w:rsid w:val="00040101"/>
    <w:rsid w:val="0004085B"/>
    <w:rsid w:val="000416C2"/>
    <w:rsid w:val="00045C9A"/>
    <w:rsid w:val="00055464"/>
    <w:rsid w:val="00060B5D"/>
    <w:rsid w:val="000627C3"/>
    <w:rsid w:val="00062B77"/>
    <w:rsid w:val="000666DB"/>
    <w:rsid w:val="00067F1B"/>
    <w:rsid w:val="000700F5"/>
    <w:rsid w:val="0007084B"/>
    <w:rsid w:val="00071D89"/>
    <w:rsid w:val="00075AB6"/>
    <w:rsid w:val="00076B1B"/>
    <w:rsid w:val="00077B73"/>
    <w:rsid w:val="00081ED6"/>
    <w:rsid w:val="000824E9"/>
    <w:rsid w:val="0008422B"/>
    <w:rsid w:val="00087EDF"/>
    <w:rsid w:val="00090BC5"/>
    <w:rsid w:val="000A5382"/>
    <w:rsid w:val="000A5D83"/>
    <w:rsid w:val="000B18B0"/>
    <w:rsid w:val="000B4F3E"/>
    <w:rsid w:val="000B76A7"/>
    <w:rsid w:val="000B7717"/>
    <w:rsid w:val="000C1151"/>
    <w:rsid w:val="000C322C"/>
    <w:rsid w:val="000C45DF"/>
    <w:rsid w:val="000C712B"/>
    <w:rsid w:val="000C77DE"/>
    <w:rsid w:val="000D3216"/>
    <w:rsid w:val="000D487C"/>
    <w:rsid w:val="000D4AB5"/>
    <w:rsid w:val="000D4C09"/>
    <w:rsid w:val="000D5490"/>
    <w:rsid w:val="000E222D"/>
    <w:rsid w:val="000E332A"/>
    <w:rsid w:val="000E5296"/>
    <w:rsid w:val="000F5767"/>
    <w:rsid w:val="001035A5"/>
    <w:rsid w:val="001165F9"/>
    <w:rsid w:val="001240F7"/>
    <w:rsid w:val="00124C9D"/>
    <w:rsid w:val="00126F3D"/>
    <w:rsid w:val="0013351F"/>
    <w:rsid w:val="00134040"/>
    <w:rsid w:val="001356AB"/>
    <w:rsid w:val="00136E0F"/>
    <w:rsid w:val="0014158E"/>
    <w:rsid w:val="0014272B"/>
    <w:rsid w:val="00142BC2"/>
    <w:rsid w:val="00144C7E"/>
    <w:rsid w:val="00145B9E"/>
    <w:rsid w:val="00146693"/>
    <w:rsid w:val="00151763"/>
    <w:rsid w:val="001521F0"/>
    <w:rsid w:val="00152AB2"/>
    <w:rsid w:val="00153973"/>
    <w:rsid w:val="00161995"/>
    <w:rsid w:val="001629DC"/>
    <w:rsid w:val="00164781"/>
    <w:rsid w:val="00165ED5"/>
    <w:rsid w:val="001736B5"/>
    <w:rsid w:val="001753C2"/>
    <w:rsid w:val="001800EB"/>
    <w:rsid w:val="00182264"/>
    <w:rsid w:val="00194BCC"/>
    <w:rsid w:val="0019562E"/>
    <w:rsid w:val="00195DC2"/>
    <w:rsid w:val="001961D6"/>
    <w:rsid w:val="0019704B"/>
    <w:rsid w:val="001A334F"/>
    <w:rsid w:val="001A5B25"/>
    <w:rsid w:val="001B7ECA"/>
    <w:rsid w:val="001C3024"/>
    <w:rsid w:val="001C48EB"/>
    <w:rsid w:val="001D0F73"/>
    <w:rsid w:val="001D1635"/>
    <w:rsid w:val="001D299B"/>
    <w:rsid w:val="001D2F1E"/>
    <w:rsid w:val="001D3275"/>
    <w:rsid w:val="001D34FF"/>
    <w:rsid w:val="001D4771"/>
    <w:rsid w:val="001D489D"/>
    <w:rsid w:val="001E0B71"/>
    <w:rsid w:val="001E0CBC"/>
    <w:rsid w:val="001E5D6C"/>
    <w:rsid w:val="001F02E0"/>
    <w:rsid w:val="001F10B8"/>
    <w:rsid w:val="001F1259"/>
    <w:rsid w:val="001F19ED"/>
    <w:rsid w:val="001F2E9B"/>
    <w:rsid w:val="001F3E4E"/>
    <w:rsid w:val="001F6BB3"/>
    <w:rsid w:val="0020098E"/>
    <w:rsid w:val="00201F66"/>
    <w:rsid w:val="00203730"/>
    <w:rsid w:val="002051A8"/>
    <w:rsid w:val="00210110"/>
    <w:rsid w:val="002131EC"/>
    <w:rsid w:val="002133DD"/>
    <w:rsid w:val="0021709E"/>
    <w:rsid w:val="002202EF"/>
    <w:rsid w:val="002204AA"/>
    <w:rsid w:val="00223E45"/>
    <w:rsid w:val="002251DF"/>
    <w:rsid w:val="002256A6"/>
    <w:rsid w:val="00225896"/>
    <w:rsid w:val="00234192"/>
    <w:rsid w:val="00237020"/>
    <w:rsid w:val="002473D3"/>
    <w:rsid w:val="002518C8"/>
    <w:rsid w:val="00254B5E"/>
    <w:rsid w:val="002561C5"/>
    <w:rsid w:val="00256513"/>
    <w:rsid w:val="002569E1"/>
    <w:rsid w:val="00256AAA"/>
    <w:rsid w:val="002614D3"/>
    <w:rsid w:val="002624D5"/>
    <w:rsid w:val="00262929"/>
    <w:rsid w:val="002651EF"/>
    <w:rsid w:val="00275C90"/>
    <w:rsid w:val="00276EE1"/>
    <w:rsid w:val="00277822"/>
    <w:rsid w:val="00280218"/>
    <w:rsid w:val="00282195"/>
    <w:rsid w:val="002829FD"/>
    <w:rsid w:val="00283499"/>
    <w:rsid w:val="002915EA"/>
    <w:rsid w:val="002927B0"/>
    <w:rsid w:val="002A02C9"/>
    <w:rsid w:val="002A1CA1"/>
    <w:rsid w:val="002A3120"/>
    <w:rsid w:val="002A4A07"/>
    <w:rsid w:val="002A7285"/>
    <w:rsid w:val="002B0984"/>
    <w:rsid w:val="002B24A3"/>
    <w:rsid w:val="002C1CCD"/>
    <w:rsid w:val="002C4BEC"/>
    <w:rsid w:val="002C5620"/>
    <w:rsid w:val="002C7308"/>
    <w:rsid w:val="002D1C3C"/>
    <w:rsid w:val="002D3D03"/>
    <w:rsid w:val="002D4F08"/>
    <w:rsid w:val="002E32AA"/>
    <w:rsid w:val="002E5AB4"/>
    <w:rsid w:val="002F1D06"/>
    <w:rsid w:val="002F28DE"/>
    <w:rsid w:val="002F5B9D"/>
    <w:rsid w:val="002F5BC9"/>
    <w:rsid w:val="002F687A"/>
    <w:rsid w:val="0030271D"/>
    <w:rsid w:val="00306624"/>
    <w:rsid w:val="00306A90"/>
    <w:rsid w:val="00315F49"/>
    <w:rsid w:val="003203AB"/>
    <w:rsid w:val="0032224B"/>
    <w:rsid w:val="00324015"/>
    <w:rsid w:val="003249D0"/>
    <w:rsid w:val="0033053F"/>
    <w:rsid w:val="00332E04"/>
    <w:rsid w:val="00334E30"/>
    <w:rsid w:val="00336ECA"/>
    <w:rsid w:val="0033787A"/>
    <w:rsid w:val="00337DED"/>
    <w:rsid w:val="0034042A"/>
    <w:rsid w:val="003415CF"/>
    <w:rsid w:val="003456F0"/>
    <w:rsid w:val="00347F8C"/>
    <w:rsid w:val="00352392"/>
    <w:rsid w:val="00354934"/>
    <w:rsid w:val="00362129"/>
    <w:rsid w:val="003622A0"/>
    <w:rsid w:val="003642E8"/>
    <w:rsid w:val="00372414"/>
    <w:rsid w:val="003836B4"/>
    <w:rsid w:val="00385472"/>
    <w:rsid w:val="00386BF5"/>
    <w:rsid w:val="00386DF4"/>
    <w:rsid w:val="00390C59"/>
    <w:rsid w:val="00395B1C"/>
    <w:rsid w:val="00397756"/>
    <w:rsid w:val="00397771"/>
    <w:rsid w:val="003A10AE"/>
    <w:rsid w:val="003A29AB"/>
    <w:rsid w:val="003A6EF3"/>
    <w:rsid w:val="003B1D39"/>
    <w:rsid w:val="003B358A"/>
    <w:rsid w:val="003C42E9"/>
    <w:rsid w:val="003C7A93"/>
    <w:rsid w:val="003C7EF8"/>
    <w:rsid w:val="003D2D63"/>
    <w:rsid w:val="003D4DD7"/>
    <w:rsid w:val="003E2C92"/>
    <w:rsid w:val="003E4B78"/>
    <w:rsid w:val="003E7FAF"/>
    <w:rsid w:val="003F1060"/>
    <w:rsid w:val="003F11CA"/>
    <w:rsid w:val="003F6D9F"/>
    <w:rsid w:val="00403C85"/>
    <w:rsid w:val="004069B7"/>
    <w:rsid w:val="00410804"/>
    <w:rsid w:val="00411DDA"/>
    <w:rsid w:val="00413DBD"/>
    <w:rsid w:val="00415046"/>
    <w:rsid w:val="00415B44"/>
    <w:rsid w:val="00416038"/>
    <w:rsid w:val="00416342"/>
    <w:rsid w:val="00416EE1"/>
    <w:rsid w:val="00417ECB"/>
    <w:rsid w:val="00420BE8"/>
    <w:rsid w:val="00421940"/>
    <w:rsid w:val="00430082"/>
    <w:rsid w:val="00433F9F"/>
    <w:rsid w:val="004353C5"/>
    <w:rsid w:val="0043578A"/>
    <w:rsid w:val="004371D2"/>
    <w:rsid w:val="00441EC7"/>
    <w:rsid w:val="0044224B"/>
    <w:rsid w:val="00443DC8"/>
    <w:rsid w:val="0044492B"/>
    <w:rsid w:val="00445675"/>
    <w:rsid w:val="00450054"/>
    <w:rsid w:val="00452098"/>
    <w:rsid w:val="00454857"/>
    <w:rsid w:val="004549F7"/>
    <w:rsid w:val="00461218"/>
    <w:rsid w:val="0046224F"/>
    <w:rsid w:val="00464AFA"/>
    <w:rsid w:val="0047023D"/>
    <w:rsid w:val="00471A8D"/>
    <w:rsid w:val="00471CC0"/>
    <w:rsid w:val="004816BF"/>
    <w:rsid w:val="004856AB"/>
    <w:rsid w:val="00485F8D"/>
    <w:rsid w:val="00487BD7"/>
    <w:rsid w:val="0049242B"/>
    <w:rsid w:val="0049347C"/>
    <w:rsid w:val="004936D6"/>
    <w:rsid w:val="004A0F32"/>
    <w:rsid w:val="004A3C81"/>
    <w:rsid w:val="004A60BB"/>
    <w:rsid w:val="004B4337"/>
    <w:rsid w:val="004C77DF"/>
    <w:rsid w:val="004C7B06"/>
    <w:rsid w:val="004D2837"/>
    <w:rsid w:val="004D4717"/>
    <w:rsid w:val="004D54F2"/>
    <w:rsid w:val="004D5709"/>
    <w:rsid w:val="004D69EF"/>
    <w:rsid w:val="004E0DB1"/>
    <w:rsid w:val="004E465C"/>
    <w:rsid w:val="004F0629"/>
    <w:rsid w:val="004F0CC5"/>
    <w:rsid w:val="004F2443"/>
    <w:rsid w:val="004F42FF"/>
    <w:rsid w:val="004F45EE"/>
    <w:rsid w:val="004F4CA0"/>
    <w:rsid w:val="004F4ED9"/>
    <w:rsid w:val="004F537D"/>
    <w:rsid w:val="004F55A2"/>
    <w:rsid w:val="005028A1"/>
    <w:rsid w:val="00507DB6"/>
    <w:rsid w:val="00517E4C"/>
    <w:rsid w:val="0052049A"/>
    <w:rsid w:val="00521049"/>
    <w:rsid w:val="005218F8"/>
    <w:rsid w:val="00526D53"/>
    <w:rsid w:val="00532DE9"/>
    <w:rsid w:val="005358FD"/>
    <w:rsid w:val="00536B7F"/>
    <w:rsid w:val="00537317"/>
    <w:rsid w:val="00543BB3"/>
    <w:rsid w:val="00545C0F"/>
    <w:rsid w:val="005507DD"/>
    <w:rsid w:val="005507FE"/>
    <w:rsid w:val="00554C99"/>
    <w:rsid w:val="005606B9"/>
    <w:rsid w:val="00560DE4"/>
    <w:rsid w:val="0056396E"/>
    <w:rsid w:val="0056496E"/>
    <w:rsid w:val="00567094"/>
    <w:rsid w:val="00571CAF"/>
    <w:rsid w:val="00572BFE"/>
    <w:rsid w:val="0057507A"/>
    <w:rsid w:val="00575ED0"/>
    <w:rsid w:val="00577A54"/>
    <w:rsid w:val="00582F02"/>
    <w:rsid w:val="005836BF"/>
    <w:rsid w:val="005865B5"/>
    <w:rsid w:val="00586D50"/>
    <w:rsid w:val="00591852"/>
    <w:rsid w:val="00591B01"/>
    <w:rsid w:val="0059488D"/>
    <w:rsid w:val="005A632C"/>
    <w:rsid w:val="005A7FF7"/>
    <w:rsid w:val="005B0A36"/>
    <w:rsid w:val="005B5844"/>
    <w:rsid w:val="005B6403"/>
    <w:rsid w:val="005B7B09"/>
    <w:rsid w:val="005C164C"/>
    <w:rsid w:val="005C5D95"/>
    <w:rsid w:val="005C652B"/>
    <w:rsid w:val="005D187C"/>
    <w:rsid w:val="005D2376"/>
    <w:rsid w:val="005D2A50"/>
    <w:rsid w:val="005D4119"/>
    <w:rsid w:val="005E3161"/>
    <w:rsid w:val="005E528D"/>
    <w:rsid w:val="005E6C44"/>
    <w:rsid w:val="005F03F5"/>
    <w:rsid w:val="005F29F7"/>
    <w:rsid w:val="005F2D55"/>
    <w:rsid w:val="005F3906"/>
    <w:rsid w:val="005F4B38"/>
    <w:rsid w:val="005F624E"/>
    <w:rsid w:val="0060528B"/>
    <w:rsid w:val="00616082"/>
    <w:rsid w:val="006171BC"/>
    <w:rsid w:val="0062367D"/>
    <w:rsid w:val="00631F20"/>
    <w:rsid w:val="0063376A"/>
    <w:rsid w:val="00636DFC"/>
    <w:rsid w:val="00640BA6"/>
    <w:rsid w:val="0064629C"/>
    <w:rsid w:val="0065045B"/>
    <w:rsid w:val="00654849"/>
    <w:rsid w:val="00656A44"/>
    <w:rsid w:val="006620A2"/>
    <w:rsid w:val="00663EBD"/>
    <w:rsid w:val="006657D7"/>
    <w:rsid w:val="0066595C"/>
    <w:rsid w:val="00670CCC"/>
    <w:rsid w:val="00671D03"/>
    <w:rsid w:val="00671E33"/>
    <w:rsid w:val="00672E24"/>
    <w:rsid w:val="0067663F"/>
    <w:rsid w:val="00680F42"/>
    <w:rsid w:val="006814C3"/>
    <w:rsid w:val="00683523"/>
    <w:rsid w:val="00684241"/>
    <w:rsid w:val="00684F36"/>
    <w:rsid w:val="0068655F"/>
    <w:rsid w:val="0068661D"/>
    <w:rsid w:val="00687534"/>
    <w:rsid w:val="006949AD"/>
    <w:rsid w:val="006952DD"/>
    <w:rsid w:val="00696E02"/>
    <w:rsid w:val="00697874"/>
    <w:rsid w:val="006A02A8"/>
    <w:rsid w:val="006A1DF7"/>
    <w:rsid w:val="006A2F67"/>
    <w:rsid w:val="006A655D"/>
    <w:rsid w:val="006B18E1"/>
    <w:rsid w:val="006B26EC"/>
    <w:rsid w:val="006B296C"/>
    <w:rsid w:val="006B63FC"/>
    <w:rsid w:val="006C0786"/>
    <w:rsid w:val="006C24E7"/>
    <w:rsid w:val="006C7DD6"/>
    <w:rsid w:val="006D050D"/>
    <w:rsid w:val="006D1726"/>
    <w:rsid w:val="006D4C05"/>
    <w:rsid w:val="006D6923"/>
    <w:rsid w:val="006E3848"/>
    <w:rsid w:val="006E3A81"/>
    <w:rsid w:val="006E56CA"/>
    <w:rsid w:val="006E56EC"/>
    <w:rsid w:val="006E5AB4"/>
    <w:rsid w:val="006F60C7"/>
    <w:rsid w:val="007053C2"/>
    <w:rsid w:val="007066BA"/>
    <w:rsid w:val="007069DA"/>
    <w:rsid w:val="00707A6F"/>
    <w:rsid w:val="00712735"/>
    <w:rsid w:val="00715655"/>
    <w:rsid w:val="007156BD"/>
    <w:rsid w:val="00715AF2"/>
    <w:rsid w:val="00722230"/>
    <w:rsid w:val="00722564"/>
    <w:rsid w:val="00726C99"/>
    <w:rsid w:val="00731BCA"/>
    <w:rsid w:val="00732BE3"/>
    <w:rsid w:val="007346E3"/>
    <w:rsid w:val="00734A11"/>
    <w:rsid w:val="00740021"/>
    <w:rsid w:val="00740E88"/>
    <w:rsid w:val="00746573"/>
    <w:rsid w:val="007470FD"/>
    <w:rsid w:val="007529C3"/>
    <w:rsid w:val="00752E64"/>
    <w:rsid w:val="007539F5"/>
    <w:rsid w:val="007616D1"/>
    <w:rsid w:val="00767D74"/>
    <w:rsid w:val="00773ECE"/>
    <w:rsid w:val="00776135"/>
    <w:rsid w:val="00777A58"/>
    <w:rsid w:val="00781F7E"/>
    <w:rsid w:val="0078499A"/>
    <w:rsid w:val="0078663D"/>
    <w:rsid w:val="007866C4"/>
    <w:rsid w:val="007878C0"/>
    <w:rsid w:val="007959A0"/>
    <w:rsid w:val="00797078"/>
    <w:rsid w:val="0079724B"/>
    <w:rsid w:val="007A315C"/>
    <w:rsid w:val="007A5653"/>
    <w:rsid w:val="007A65B3"/>
    <w:rsid w:val="007A79B6"/>
    <w:rsid w:val="007C4477"/>
    <w:rsid w:val="007C5566"/>
    <w:rsid w:val="007C7708"/>
    <w:rsid w:val="007D11BD"/>
    <w:rsid w:val="007D1674"/>
    <w:rsid w:val="007D28D2"/>
    <w:rsid w:val="007D62E1"/>
    <w:rsid w:val="007E53CD"/>
    <w:rsid w:val="007E5CB4"/>
    <w:rsid w:val="007E5ED1"/>
    <w:rsid w:val="007E79AF"/>
    <w:rsid w:val="007F0C22"/>
    <w:rsid w:val="007F56BD"/>
    <w:rsid w:val="007F7011"/>
    <w:rsid w:val="007F7086"/>
    <w:rsid w:val="007F7585"/>
    <w:rsid w:val="00800429"/>
    <w:rsid w:val="0080109A"/>
    <w:rsid w:val="00801BA9"/>
    <w:rsid w:val="008020EF"/>
    <w:rsid w:val="00804BD4"/>
    <w:rsid w:val="008051DF"/>
    <w:rsid w:val="008146C9"/>
    <w:rsid w:val="00817E62"/>
    <w:rsid w:val="00821A1E"/>
    <w:rsid w:val="00825BCC"/>
    <w:rsid w:val="0083195E"/>
    <w:rsid w:val="00834789"/>
    <w:rsid w:val="0083643F"/>
    <w:rsid w:val="00837FC6"/>
    <w:rsid w:val="00841A51"/>
    <w:rsid w:val="008426D3"/>
    <w:rsid w:val="00843F6E"/>
    <w:rsid w:val="00844118"/>
    <w:rsid w:val="008455DC"/>
    <w:rsid w:val="008510A0"/>
    <w:rsid w:val="00852C49"/>
    <w:rsid w:val="00852E92"/>
    <w:rsid w:val="0085397E"/>
    <w:rsid w:val="00853AF1"/>
    <w:rsid w:val="00854A33"/>
    <w:rsid w:val="00854C9B"/>
    <w:rsid w:val="008550CE"/>
    <w:rsid w:val="008560B1"/>
    <w:rsid w:val="008608B4"/>
    <w:rsid w:val="00860EA4"/>
    <w:rsid w:val="0086164D"/>
    <w:rsid w:val="00865A92"/>
    <w:rsid w:val="00872216"/>
    <w:rsid w:val="00873289"/>
    <w:rsid w:val="008736D5"/>
    <w:rsid w:val="0087397A"/>
    <w:rsid w:val="00874A01"/>
    <w:rsid w:val="008815B4"/>
    <w:rsid w:val="00881E3A"/>
    <w:rsid w:val="00887864"/>
    <w:rsid w:val="00892144"/>
    <w:rsid w:val="00892E12"/>
    <w:rsid w:val="008966BC"/>
    <w:rsid w:val="00897B74"/>
    <w:rsid w:val="008A4B26"/>
    <w:rsid w:val="008A4C6E"/>
    <w:rsid w:val="008A59FB"/>
    <w:rsid w:val="008B3F5A"/>
    <w:rsid w:val="008C1508"/>
    <w:rsid w:val="008E0B75"/>
    <w:rsid w:val="008E4C67"/>
    <w:rsid w:val="008E7AD0"/>
    <w:rsid w:val="008F1834"/>
    <w:rsid w:val="008F48A1"/>
    <w:rsid w:val="008F66D6"/>
    <w:rsid w:val="00900CE1"/>
    <w:rsid w:val="00901063"/>
    <w:rsid w:val="009015FE"/>
    <w:rsid w:val="0090631A"/>
    <w:rsid w:val="0090633C"/>
    <w:rsid w:val="009108F9"/>
    <w:rsid w:val="00913BCA"/>
    <w:rsid w:val="00913E82"/>
    <w:rsid w:val="009164C3"/>
    <w:rsid w:val="00916DAA"/>
    <w:rsid w:val="00921EC8"/>
    <w:rsid w:val="00924D29"/>
    <w:rsid w:val="00925D64"/>
    <w:rsid w:val="00930D0B"/>
    <w:rsid w:val="0093279B"/>
    <w:rsid w:val="00932817"/>
    <w:rsid w:val="009335E4"/>
    <w:rsid w:val="00934FF1"/>
    <w:rsid w:val="00935948"/>
    <w:rsid w:val="00940756"/>
    <w:rsid w:val="00944F1D"/>
    <w:rsid w:val="00946244"/>
    <w:rsid w:val="00946E40"/>
    <w:rsid w:val="00950BBC"/>
    <w:rsid w:val="00951FA9"/>
    <w:rsid w:val="00951FD3"/>
    <w:rsid w:val="009528D5"/>
    <w:rsid w:val="00952B2D"/>
    <w:rsid w:val="00955251"/>
    <w:rsid w:val="009607C0"/>
    <w:rsid w:val="00960F21"/>
    <w:rsid w:val="009628E0"/>
    <w:rsid w:val="009677C4"/>
    <w:rsid w:val="009719B4"/>
    <w:rsid w:val="009805C8"/>
    <w:rsid w:val="00980B51"/>
    <w:rsid w:val="009817A2"/>
    <w:rsid w:val="00990DC8"/>
    <w:rsid w:val="00991326"/>
    <w:rsid w:val="00994F9D"/>
    <w:rsid w:val="009953C0"/>
    <w:rsid w:val="009968E3"/>
    <w:rsid w:val="00997B09"/>
    <w:rsid w:val="009A10DE"/>
    <w:rsid w:val="009A182D"/>
    <w:rsid w:val="009A38D3"/>
    <w:rsid w:val="009A6AD8"/>
    <w:rsid w:val="009B1169"/>
    <w:rsid w:val="009B1766"/>
    <w:rsid w:val="009B1FF7"/>
    <w:rsid w:val="009B3493"/>
    <w:rsid w:val="009C0076"/>
    <w:rsid w:val="009C0F67"/>
    <w:rsid w:val="009C4E7B"/>
    <w:rsid w:val="009D0A84"/>
    <w:rsid w:val="009D0B08"/>
    <w:rsid w:val="009D1972"/>
    <w:rsid w:val="009D1FC9"/>
    <w:rsid w:val="009D26A7"/>
    <w:rsid w:val="009D394E"/>
    <w:rsid w:val="009D3BCE"/>
    <w:rsid w:val="009D3CF3"/>
    <w:rsid w:val="009D4F41"/>
    <w:rsid w:val="009D7EF2"/>
    <w:rsid w:val="009E0CE9"/>
    <w:rsid w:val="009E14BD"/>
    <w:rsid w:val="009E1FDB"/>
    <w:rsid w:val="009E74A2"/>
    <w:rsid w:val="009E7CFA"/>
    <w:rsid w:val="009F48C0"/>
    <w:rsid w:val="009F5B68"/>
    <w:rsid w:val="009F73EB"/>
    <w:rsid w:val="00A01CCF"/>
    <w:rsid w:val="00A021A3"/>
    <w:rsid w:val="00A12B3C"/>
    <w:rsid w:val="00A1485A"/>
    <w:rsid w:val="00A1538A"/>
    <w:rsid w:val="00A16241"/>
    <w:rsid w:val="00A22901"/>
    <w:rsid w:val="00A338BF"/>
    <w:rsid w:val="00A378AC"/>
    <w:rsid w:val="00A454B0"/>
    <w:rsid w:val="00A50F4D"/>
    <w:rsid w:val="00A53CF4"/>
    <w:rsid w:val="00A57116"/>
    <w:rsid w:val="00A63DF8"/>
    <w:rsid w:val="00A67EA0"/>
    <w:rsid w:val="00A77183"/>
    <w:rsid w:val="00A81498"/>
    <w:rsid w:val="00A859E3"/>
    <w:rsid w:val="00A87E89"/>
    <w:rsid w:val="00A91B78"/>
    <w:rsid w:val="00A97305"/>
    <w:rsid w:val="00A97DC0"/>
    <w:rsid w:val="00AA12D6"/>
    <w:rsid w:val="00AA1F59"/>
    <w:rsid w:val="00AB03D0"/>
    <w:rsid w:val="00AC3B20"/>
    <w:rsid w:val="00AC63F8"/>
    <w:rsid w:val="00AD53D6"/>
    <w:rsid w:val="00AD679A"/>
    <w:rsid w:val="00AE0D96"/>
    <w:rsid w:val="00AE0FF1"/>
    <w:rsid w:val="00AE119B"/>
    <w:rsid w:val="00AE32C8"/>
    <w:rsid w:val="00AE7326"/>
    <w:rsid w:val="00AF1442"/>
    <w:rsid w:val="00AF15D7"/>
    <w:rsid w:val="00AF7067"/>
    <w:rsid w:val="00B0745B"/>
    <w:rsid w:val="00B14289"/>
    <w:rsid w:val="00B218FE"/>
    <w:rsid w:val="00B32D8D"/>
    <w:rsid w:val="00B35FC5"/>
    <w:rsid w:val="00B40603"/>
    <w:rsid w:val="00B412A2"/>
    <w:rsid w:val="00B448E0"/>
    <w:rsid w:val="00B45B5E"/>
    <w:rsid w:val="00B474CB"/>
    <w:rsid w:val="00B4765A"/>
    <w:rsid w:val="00B50DB9"/>
    <w:rsid w:val="00B50DCB"/>
    <w:rsid w:val="00B50EF5"/>
    <w:rsid w:val="00B51D13"/>
    <w:rsid w:val="00B54861"/>
    <w:rsid w:val="00B54ADF"/>
    <w:rsid w:val="00B55154"/>
    <w:rsid w:val="00B568AC"/>
    <w:rsid w:val="00B6055D"/>
    <w:rsid w:val="00B60FE2"/>
    <w:rsid w:val="00B616B9"/>
    <w:rsid w:val="00B66F96"/>
    <w:rsid w:val="00B71ECC"/>
    <w:rsid w:val="00B73237"/>
    <w:rsid w:val="00B733F4"/>
    <w:rsid w:val="00B74D2A"/>
    <w:rsid w:val="00B74E96"/>
    <w:rsid w:val="00B76C42"/>
    <w:rsid w:val="00B7717C"/>
    <w:rsid w:val="00B80AB7"/>
    <w:rsid w:val="00B850E3"/>
    <w:rsid w:val="00B87C86"/>
    <w:rsid w:val="00B92142"/>
    <w:rsid w:val="00B9567C"/>
    <w:rsid w:val="00BA171F"/>
    <w:rsid w:val="00BA2E53"/>
    <w:rsid w:val="00BA4BCC"/>
    <w:rsid w:val="00BB065B"/>
    <w:rsid w:val="00BB16B5"/>
    <w:rsid w:val="00BB1BA7"/>
    <w:rsid w:val="00BB275E"/>
    <w:rsid w:val="00BB2973"/>
    <w:rsid w:val="00BB4064"/>
    <w:rsid w:val="00BB6A1F"/>
    <w:rsid w:val="00BB7BF0"/>
    <w:rsid w:val="00BB7DEF"/>
    <w:rsid w:val="00BC00BB"/>
    <w:rsid w:val="00BC25A7"/>
    <w:rsid w:val="00BC5690"/>
    <w:rsid w:val="00BD4B65"/>
    <w:rsid w:val="00BD79A6"/>
    <w:rsid w:val="00BE488A"/>
    <w:rsid w:val="00BE4940"/>
    <w:rsid w:val="00BE499E"/>
    <w:rsid w:val="00BF4063"/>
    <w:rsid w:val="00BF6500"/>
    <w:rsid w:val="00C004F0"/>
    <w:rsid w:val="00C02846"/>
    <w:rsid w:val="00C03931"/>
    <w:rsid w:val="00C03C8C"/>
    <w:rsid w:val="00C042A1"/>
    <w:rsid w:val="00C05A03"/>
    <w:rsid w:val="00C07FB4"/>
    <w:rsid w:val="00C114C0"/>
    <w:rsid w:val="00C11991"/>
    <w:rsid w:val="00C16514"/>
    <w:rsid w:val="00C22BA2"/>
    <w:rsid w:val="00C266F3"/>
    <w:rsid w:val="00C331E9"/>
    <w:rsid w:val="00C35CD4"/>
    <w:rsid w:val="00C37BF9"/>
    <w:rsid w:val="00C411AB"/>
    <w:rsid w:val="00C41496"/>
    <w:rsid w:val="00C4440C"/>
    <w:rsid w:val="00C5125B"/>
    <w:rsid w:val="00C51F85"/>
    <w:rsid w:val="00C52319"/>
    <w:rsid w:val="00C53A33"/>
    <w:rsid w:val="00C54606"/>
    <w:rsid w:val="00C62487"/>
    <w:rsid w:val="00C62C37"/>
    <w:rsid w:val="00C679A0"/>
    <w:rsid w:val="00C7257A"/>
    <w:rsid w:val="00C7370D"/>
    <w:rsid w:val="00C755B0"/>
    <w:rsid w:val="00C842D7"/>
    <w:rsid w:val="00C851E9"/>
    <w:rsid w:val="00C916A2"/>
    <w:rsid w:val="00C92668"/>
    <w:rsid w:val="00C92F44"/>
    <w:rsid w:val="00C94025"/>
    <w:rsid w:val="00C97B95"/>
    <w:rsid w:val="00CA07F2"/>
    <w:rsid w:val="00CA1A10"/>
    <w:rsid w:val="00CA21C0"/>
    <w:rsid w:val="00CA522C"/>
    <w:rsid w:val="00CA6F62"/>
    <w:rsid w:val="00CB064F"/>
    <w:rsid w:val="00CB20E0"/>
    <w:rsid w:val="00CB4AAF"/>
    <w:rsid w:val="00CB5D94"/>
    <w:rsid w:val="00CB6D13"/>
    <w:rsid w:val="00CC0595"/>
    <w:rsid w:val="00CC4066"/>
    <w:rsid w:val="00CC4C39"/>
    <w:rsid w:val="00CD11D5"/>
    <w:rsid w:val="00CD1E0E"/>
    <w:rsid w:val="00CD5335"/>
    <w:rsid w:val="00CE1AAE"/>
    <w:rsid w:val="00CE503F"/>
    <w:rsid w:val="00CE57AF"/>
    <w:rsid w:val="00CE6172"/>
    <w:rsid w:val="00CE68B9"/>
    <w:rsid w:val="00CE744F"/>
    <w:rsid w:val="00CE79A8"/>
    <w:rsid w:val="00CE7D2B"/>
    <w:rsid w:val="00CF06AA"/>
    <w:rsid w:val="00CF1522"/>
    <w:rsid w:val="00CF2A22"/>
    <w:rsid w:val="00CF3042"/>
    <w:rsid w:val="00D01B63"/>
    <w:rsid w:val="00D04236"/>
    <w:rsid w:val="00D04950"/>
    <w:rsid w:val="00D04AC2"/>
    <w:rsid w:val="00D10A54"/>
    <w:rsid w:val="00D11A0D"/>
    <w:rsid w:val="00D12572"/>
    <w:rsid w:val="00D13144"/>
    <w:rsid w:val="00D149A9"/>
    <w:rsid w:val="00D210FB"/>
    <w:rsid w:val="00D248C5"/>
    <w:rsid w:val="00D269C0"/>
    <w:rsid w:val="00D30856"/>
    <w:rsid w:val="00D31E5A"/>
    <w:rsid w:val="00D33C91"/>
    <w:rsid w:val="00D3651A"/>
    <w:rsid w:val="00D36660"/>
    <w:rsid w:val="00D36CD2"/>
    <w:rsid w:val="00D4071A"/>
    <w:rsid w:val="00D449AB"/>
    <w:rsid w:val="00D47520"/>
    <w:rsid w:val="00D56BC5"/>
    <w:rsid w:val="00D651C4"/>
    <w:rsid w:val="00D715E4"/>
    <w:rsid w:val="00D731E2"/>
    <w:rsid w:val="00D77E08"/>
    <w:rsid w:val="00D802F2"/>
    <w:rsid w:val="00D81940"/>
    <w:rsid w:val="00D851CD"/>
    <w:rsid w:val="00D936EB"/>
    <w:rsid w:val="00D9509E"/>
    <w:rsid w:val="00DA16EA"/>
    <w:rsid w:val="00DA5C7D"/>
    <w:rsid w:val="00DB0D62"/>
    <w:rsid w:val="00DB2F95"/>
    <w:rsid w:val="00DC2BB6"/>
    <w:rsid w:val="00DC445A"/>
    <w:rsid w:val="00DC4FDC"/>
    <w:rsid w:val="00DC5A0D"/>
    <w:rsid w:val="00DC751F"/>
    <w:rsid w:val="00DD194C"/>
    <w:rsid w:val="00DD23EA"/>
    <w:rsid w:val="00DD3147"/>
    <w:rsid w:val="00DD50CC"/>
    <w:rsid w:val="00DD7368"/>
    <w:rsid w:val="00DE0A79"/>
    <w:rsid w:val="00DE6531"/>
    <w:rsid w:val="00DF3104"/>
    <w:rsid w:val="00DF4EB4"/>
    <w:rsid w:val="00DF5357"/>
    <w:rsid w:val="00DF6319"/>
    <w:rsid w:val="00DF6F64"/>
    <w:rsid w:val="00E0572A"/>
    <w:rsid w:val="00E07F74"/>
    <w:rsid w:val="00E141E5"/>
    <w:rsid w:val="00E16289"/>
    <w:rsid w:val="00E1733F"/>
    <w:rsid w:val="00E17F2B"/>
    <w:rsid w:val="00E216E0"/>
    <w:rsid w:val="00E21FDC"/>
    <w:rsid w:val="00E2439B"/>
    <w:rsid w:val="00E2450D"/>
    <w:rsid w:val="00E2760A"/>
    <w:rsid w:val="00E303D3"/>
    <w:rsid w:val="00E309DF"/>
    <w:rsid w:val="00E35288"/>
    <w:rsid w:val="00E36116"/>
    <w:rsid w:val="00E3613F"/>
    <w:rsid w:val="00E424D6"/>
    <w:rsid w:val="00E42844"/>
    <w:rsid w:val="00E43D2D"/>
    <w:rsid w:val="00E44B7A"/>
    <w:rsid w:val="00E55454"/>
    <w:rsid w:val="00E574F5"/>
    <w:rsid w:val="00E57AA3"/>
    <w:rsid w:val="00E61FE9"/>
    <w:rsid w:val="00E64A2D"/>
    <w:rsid w:val="00E66ED2"/>
    <w:rsid w:val="00E718CD"/>
    <w:rsid w:val="00E80E19"/>
    <w:rsid w:val="00E816C3"/>
    <w:rsid w:val="00E8318B"/>
    <w:rsid w:val="00E83322"/>
    <w:rsid w:val="00E87487"/>
    <w:rsid w:val="00E87AFF"/>
    <w:rsid w:val="00E92D87"/>
    <w:rsid w:val="00E93367"/>
    <w:rsid w:val="00E953D4"/>
    <w:rsid w:val="00E95C7B"/>
    <w:rsid w:val="00EA33F2"/>
    <w:rsid w:val="00EA58E7"/>
    <w:rsid w:val="00EA6605"/>
    <w:rsid w:val="00EA7DC0"/>
    <w:rsid w:val="00EA7F20"/>
    <w:rsid w:val="00EB0BF7"/>
    <w:rsid w:val="00EB4527"/>
    <w:rsid w:val="00EB47B3"/>
    <w:rsid w:val="00EB7610"/>
    <w:rsid w:val="00EC3428"/>
    <w:rsid w:val="00EC4233"/>
    <w:rsid w:val="00EC4514"/>
    <w:rsid w:val="00EC6672"/>
    <w:rsid w:val="00EC77D8"/>
    <w:rsid w:val="00ED043D"/>
    <w:rsid w:val="00ED13CF"/>
    <w:rsid w:val="00ED27D4"/>
    <w:rsid w:val="00ED345D"/>
    <w:rsid w:val="00ED61D2"/>
    <w:rsid w:val="00ED680D"/>
    <w:rsid w:val="00ED7510"/>
    <w:rsid w:val="00ED7CBC"/>
    <w:rsid w:val="00EE0258"/>
    <w:rsid w:val="00EE1EC9"/>
    <w:rsid w:val="00EE4CDE"/>
    <w:rsid w:val="00EF2F6E"/>
    <w:rsid w:val="00EF4879"/>
    <w:rsid w:val="00EF4BE7"/>
    <w:rsid w:val="00EF649A"/>
    <w:rsid w:val="00EF72A3"/>
    <w:rsid w:val="00F0041D"/>
    <w:rsid w:val="00F120C1"/>
    <w:rsid w:val="00F131AE"/>
    <w:rsid w:val="00F150C8"/>
    <w:rsid w:val="00F22413"/>
    <w:rsid w:val="00F245DB"/>
    <w:rsid w:val="00F249E3"/>
    <w:rsid w:val="00F27A25"/>
    <w:rsid w:val="00F30EFC"/>
    <w:rsid w:val="00F3394C"/>
    <w:rsid w:val="00F34E51"/>
    <w:rsid w:val="00F367C1"/>
    <w:rsid w:val="00F37DEA"/>
    <w:rsid w:val="00F416A0"/>
    <w:rsid w:val="00F47F60"/>
    <w:rsid w:val="00F51D96"/>
    <w:rsid w:val="00F524D6"/>
    <w:rsid w:val="00F52539"/>
    <w:rsid w:val="00F544B3"/>
    <w:rsid w:val="00F575EB"/>
    <w:rsid w:val="00F64987"/>
    <w:rsid w:val="00F734E8"/>
    <w:rsid w:val="00F74362"/>
    <w:rsid w:val="00F81626"/>
    <w:rsid w:val="00F81B03"/>
    <w:rsid w:val="00F828AD"/>
    <w:rsid w:val="00F82F05"/>
    <w:rsid w:val="00F85D3D"/>
    <w:rsid w:val="00F85DB8"/>
    <w:rsid w:val="00F8642C"/>
    <w:rsid w:val="00F868F8"/>
    <w:rsid w:val="00F9164C"/>
    <w:rsid w:val="00F93A50"/>
    <w:rsid w:val="00F95420"/>
    <w:rsid w:val="00F96CA9"/>
    <w:rsid w:val="00FA0A26"/>
    <w:rsid w:val="00FA1307"/>
    <w:rsid w:val="00FA1773"/>
    <w:rsid w:val="00FA7B50"/>
    <w:rsid w:val="00FA7C49"/>
    <w:rsid w:val="00FB6C00"/>
    <w:rsid w:val="00FB6EC0"/>
    <w:rsid w:val="00FB734E"/>
    <w:rsid w:val="00FC0AF2"/>
    <w:rsid w:val="00FC0C98"/>
    <w:rsid w:val="00FC0FA0"/>
    <w:rsid w:val="00FC2C1E"/>
    <w:rsid w:val="00FC48FD"/>
    <w:rsid w:val="00FD0291"/>
    <w:rsid w:val="00FD21A9"/>
    <w:rsid w:val="00FD4532"/>
    <w:rsid w:val="00FD46BE"/>
    <w:rsid w:val="00FE2786"/>
    <w:rsid w:val="00FE5CA8"/>
    <w:rsid w:val="00FF015C"/>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E9C68"/>
  <w15:docId w15:val="{DEF08C9B-2909-4261-81FD-6B96E0E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30"/>
    <w:rPr>
      <w:rFonts w:eastAsia="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34E30"/>
    <w:pPr>
      <w:spacing w:before="100" w:beforeAutospacing="1" w:after="100" w:afterAutospacing="1"/>
      <w:jc w:val="both"/>
    </w:pPr>
    <w:rPr>
      <w:rFonts w:eastAsia="Arial Unicode MS"/>
    </w:rPr>
  </w:style>
  <w:style w:type="character" w:styleId="Strong">
    <w:name w:val="Strong"/>
    <w:basedOn w:val="DefaultParagraphFont"/>
    <w:uiPriority w:val="22"/>
    <w:qFormat/>
    <w:rsid w:val="00334E30"/>
    <w:rPr>
      <w:b/>
      <w:bCs/>
    </w:rPr>
  </w:style>
  <w:style w:type="paragraph" w:styleId="PlainText">
    <w:name w:val="Plain Text"/>
    <w:basedOn w:val="Normal"/>
    <w:link w:val="PlainTextChar"/>
    <w:uiPriority w:val="99"/>
    <w:unhideWhenUsed/>
    <w:rsid w:val="00334E30"/>
    <w:rPr>
      <w:rFonts w:eastAsiaTheme="minorHAnsi" w:cs="Consolas"/>
      <w:szCs w:val="21"/>
      <w:lang w:val="lv-LV"/>
    </w:rPr>
  </w:style>
  <w:style w:type="character" w:customStyle="1" w:styleId="PlainTextChar">
    <w:name w:val="Plain Text Char"/>
    <w:basedOn w:val="DefaultParagraphFont"/>
    <w:link w:val="PlainText"/>
    <w:uiPriority w:val="99"/>
    <w:rsid w:val="00334E30"/>
    <w:rPr>
      <w:rFonts w:eastAsiaTheme="minorHAnsi" w:cs="Consolas"/>
      <w:szCs w:val="21"/>
    </w:rPr>
  </w:style>
  <w:style w:type="paragraph" w:customStyle="1" w:styleId="doc-ti2">
    <w:name w:val="doc-ti2"/>
    <w:basedOn w:val="Normal"/>
    <w:rsid w:val="00334E30"/>
    <w:pPr>
      <w:spacing w:before="240" w:after="120" w:line="312" w:lineRule="atLeast"/>
      <w:jc w:val="center"/>
    </w:pPr>
    <w:rPr>
      <w:b/>
      <w:bCs/>
      <w:lang w:val="lv-LV" w:eastAsia="lv-LV"/>
    </w:rPr>
  </w:style>
  <w:style w:type="paragraph" w:styleId="Header">
    <w:name w:val="header"/>
    <w:basedOn w:val="Normal"/>
    <w:link w:val="HeaderChar"/>
    <w:uiPriority w:val="99"/>
    <w:unhideWhenUsed/>
    <w:rsid w:val="007E5CB4"/>
    <w:pPr>
      <w:tabs>
        <w:tab w:val="center" w:pos="4513"/>
        <w:tab w:val="right" w:pos="9026"/>
      </w:tabs>
    </w:pPr>
  </w:style>
  <w:style w:type="character" w:customStyle="1" w:styleId="HeaderChar">
    <w:name w:val="Header Char"/>
    <w:basedOn w:val="DefaultParagraphFont"/>
    <w:link w:val="Header"/>
    <w:uiPriority w:val="99"/>
    <w:rsid w:val="007E5CB4"/>
    <w:rPr>
      <w:rFonts w:eastAsia="Times New Roman"/>
      <w:szCs w:val="24"/>
      <w:lang w:val="en-GB"/>
    </w:rPr>
  </w:style>
  <w:style w:type="paragraph" w:styleId="Footer">
    <w:name w:val="footer"/>
    <w:basedOn w:val="Normal"/>
    <w:link w:val="FooterChar"/>
    <w:uiPriority w:val="99"/>
    <w:unhideWhenUsed/>
    <w:rsid w:val="007E5CB4"/>
    <w:pPr>
      <w:tabs>
        <w:tab w:val="center" w:pos="4513"/>
        <w:tab w:val="right" w:pos="9026"/>
      </w:tabs>
    </w:pPr>
  </w:style>
  <w:style w:type="character" w:customStyle="1" w:styleId="FooterChar">
    <w:name w:val="Footer Char"/>
    <w:basedOn w:val="DefaultParagraphFont"/>
    <w:link w:val="Footer"/>
    <w:uiPriority w:val="99"/>
    <w:rsid w:val="007E5CB4"/>
    <w:rPr>
      <w:rFonts w:eastAsia="Times New Roman"/>
      <w:szCs w:val="24"/>
      <w:lang w:val="en-GB"/>
    </w:rPr>
  </w:style>
  <w:style w:type="paragraph" w:styleId="ListParagraph">
    <w:name w:val="List Paragraph"/>
    <w:basedOn w:val="Normal"/>
    <w:uiPriority w:val="34"/>
    <w:qFormat/>
    <w:rsid w:val="0002028D"/>
    <w:pPr>
      <w:ind w:left="720"/>
      <w:contextualSpacing/>
    </w:pPr>
    <w:rPr>
      <w:rFonts w:eastAsia="Calibri"/>
      <w:szCs w:val="20"/>
      <w:lang w:val="lv-LV"/>
    </w:rPr>
  </w:style>
  <w:style w:type="character" w:styleId="Hyperlink">
    <w:name w:val="Hyperlink"/>
    <w:basedOn w:val="DefaultParagraphFont"/>
    <w:uiPriority w:val="99"/>
    <w:rsid w:val="007D62E1"/>
    <w:rPr>
      <w:color w:val="0000FF"/>
      <w:u w:val="single"/>
    </w:rPr>
  </w:style>
  <w:style w:type="character" w:customStyle="1" w:styleId="profileheadercard-urltext">
    <w:name w:val="profileheadercard-urltext"/>
    <w:basedOn w:val="DefaultParagraphFont"/>
    <w:rsid w:val="00142BC2"/>
  </w:style>
  <w:style w:type="paragraph" w:styleId="BalloonText">
    <w:name w:val="Balloon Text"/>
    <w:basedOn w:val="Normal"/>
    <w:link w:val="BalloonTextChar"/>
    <w:uiPriority w:val="99"/>
    <w:semiHidden/>
    <w:unhideWhenUsed/>
    <w:rsid w:val="006952DD"/>
    <w:rPr>
      <w:rFonts w:ascii="Tahoma" w:hAnsi="Tahoma" w:cs="Tahoma"/>
      <w:sz w:val="16"/>
      <w:szCs w:val="16"/>
    </w:rPr>
  </w:style>
  <w:style w:type="character" w:customStyle="1" w:styleId="BalloonTextChar">
    <w:name w:val="Balloon Text Char"/>
    <w:basedOn w:val="DefaultParagraphFont"/>
    <w:link w:val="BalloonText"/>
    <w:uiPriority w:val="99"/>
    <w:semiHidden/>
    <w:rsid w:val="006952DD"/>
    <w:rPr>
      <w:rFonts w:ascii="Tahoma" w:eastAsia="Times New Roman" w:hAnsi="Tahoma" w:cs="Tahoma"/>
      <w:sz w:val="16"/>
      <w:szCs w:val="16"/>
      <w:lang w:val="en-GB"/>
    </w:rPr>
  </w:style>
  <w:style w:type="paragraph" w:styleId="NoSpacing">
    <w:name w:val="No Spacing"/>
    <w:uiPriority w:val="1"/>
    <w:qFormat/>
    <w:rsid w:val="0007084B"/>
    <w:rPr>
      <w:rFonts w:eastAsia="Times New Roman"/>
      <w:szCs w:val="24"/>
      <w:lang w:val="en-GB"/>
    </w:rPr>
  </w:style>
  <w:style w:type="paragraph" w:styleId="NormalWeb">
    <w:name w:val="Normal (Web)"/>
    <w:basedOn w:val="Normal"/>
    <w:uiPriority w:val="99"/>
    <w:semiHidden/>
    <w:unhideWhenUsed/>
    <w:rsid w:val="0004085B"/>
    <w:pPr>
      <w:spacing w:before="100" w:beforeAutospacing="1" w:after="100" w:afterAutospacing="1"/>
    </w:pPr>
    <w:rPr>
      <w:lang w:val="lv-LV" w:eastAsia="lv-LV"/>
    </w:rPr>
  </w:style>
  <w:style w:type="character" w:styleId="Emphasis">
    <w:name w:val="Emphasis"/>
    <w:basedOn w:val="DefaultParagraphFont"/>
    <w:uiPriority w:val="20"/>
    <w:qFormat/>
    <w:rsid w:val="0004085B"/>
    <w:rPr>
      <w:i/>
      <w:iCs/>
    </w:rPr>
  </w:style>
  <w:style w:type="paragraph" w:customStyle="1" w:styleId="tv2132">
    <w:name w:val="tv2132"/>
    <w:basedOn w:val="Normal"/>
    <w:rsid w:val="003F11CA"/>
    <w:pPr>
      <w:spacing w:line="360" w:lineRule="auto"/>
      <w:ind w:firstLine="300"/>
    </w:pPr>
    <w:rPr>
      <w:color w:val="414142"/>
      <w:sz w:val="20"/>
      <w:szCs w:val="20"/>
      <w:lang w:val="lv-LV" w:eastAsia="lv-LV"/>
    </w:rPr>
  </w:style>
  <w:style w:type="character" w:styleId="CommentReference">
    <w:name w:val="annotation reference"/>
    <w:basedOn w:val="DefaultParagraphFont"/>
    <w:uiPriority w:val="99"/>
    <w:semiHidden/>
    <w:unhideWhenUsed/>
    <w:rsid w:val="006B26EC"/>
    <w:rPr>
      <w:sz w:val="16"/>
      <w:szCs w:val="16"/>
    </w:rPr>
  </w:style>
  <w:style w:type="paragraph" w:styleId="CommentText">
    <w:name w:val="annotation text"/>
    <w:basedOn w:val="Normal"/>
    <w:link w:val="CommentTextChar"/>
    <w:uiPriority w:val="99"/>
    <w:semiHidden/>
    <w:unhideWhenUsed/>
    <w:rsid w:val="006B26EC"/>
    <w:rPr>
      <w:sz w:val="20"/>
      <w:szCs w:val="20"/>
    </w:rPr>
  </w:style>
  <w:style w:type="character" w:customStyle="1" w:styleId="CommentTextChar">
    <w:name w:val="Comment Text Char"/>
    <w:basedOn w:val="DefaultParagraphFont"/>
    <w:link w:val="CommentText"/>
    <w:uiPriority w:val="99"/>
    <w:semiHidden/>
    <w:rsid w:val="006B26EC"/>
    <w:rPr>
      <w:rFonts w:eastAsia="Times New Roman"/>
      <w:sz w:val="20"/>
      <w:lang w:val="en-GB"/>
    </w:rPr>
  </w:style>
  <w:style w:type="paragraph" w:styleId="CommentSubject">
    <w:name w:val="annotation subject"/>
    <w:basedOn w:val="CommentText"/>
    <w:next w:val="CommentText"/>
    <w:link w:val="CommentSubjectChar"/>
    <w:uiPriority w:val="99"/>
    <w:semiHidden/>
    <w:unhideWhenUsed/>
    <w:rsid w:val="006B26EC"/>
    <w:rPr>
      <w:b/>
      <w:bCs/>
    </w:rPr>
  </w:style>
  <w:style w:type="character" w:customStyle="1" w:styleId="CommentSubjectChar">
    <w:name w:val="Comment Subject Char"/>
    <w:basedOn w:val="CommentTextChar"/>
    <w:link w:val="CommentSubject"/>
    <w:uiPriority w:val="99"/>
    <w:semiHidden/>
    <w:rsid w:val="006B26EC"/>
    <w:rPr>
      <w:rFonts w:eastAsia="Times New Roman"/>
      <w:b/>
      <w:bCs/>
      <w:sz w:val="20"/>
      <w:lang w:val="en-GB"/>
    </w:rPr>
  </w:style>
  <w:style w:type="table" w:styleId="TableGrid">
    <w:name w:val="Table Grid"/>
    <w:basedOn w:val="TableNormal"/>
    <w:uiPriority w:val="59"/>
    <w:rsid w:val="00B55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1FD3"/>
    <w:rPr>
      <w:sz w:val="20"/>
      <w:szCs w:val="20"/>
    </w:rPr>
  </w:style>
  <w:style w:type="character" w:customStyle="1" w:styleId="FootnoteTextChar">
    <w:name w:val="Footnote Text Char"/>
    <w:basedOn w:val="DefaultParagraphFont"/>
    <w:link w:val="FootnoteText"/>
    <w:uiPriority w:val="99"/>
    <w:semiHidden/>
    <w:rsid w:val="00951FD3"/>
    <w:rPr>
      <w:rFonts w:eastAsia="Times New Roman"/>
      <w:sz w:val="20"/>
      <w:lang w:val="en-GB"/>
    </w:rPr>
  </w:style>
  <w:style w:type="character" w:styleId="FootnoteReference">
    <w:name w:val="footnote reference"/>
    <w:basedOn w:val="DefaultParagraphFont"/>
    <w:uiPriority w:val="99"/>
    <w:semiHidden/>
    <w:unhideWhenUsed/>
    <w:rsid w:val="00951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2499">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996415758">
      <w:bodyDiv w:val="1"/>
      <w:marLeft w:val="0"/>
      <w:marRight w:val="0"/>
      <w:marTop w:val="0"/>
      <w:marBottom w:val="0"/>
      <w:divBdr>
        <w:top w:val="none" w:sz="0" w:space="0" w:color="auto"/>
        <w:left w:val="none" w:sz="0" w:space="0" w:color="auto"/>
        <w:bottom w:val="none" w:sz="0" w:space="0" w:color="auto"/>
        <w:right w:val="none" w:sz="0" w:space="0" w:color="auto"/>
      </w:divBdr>
    </w:div>
    <w:div w:id="1093361154">
      <w:bodyDiv w:val="1"/>
      <w:marLeft w:val="0"/>
      <w:marRight w:val="0"/>
      <w:marTop w:val="0"/>
      <w:marBottom w:val="0"/>
      <w:divBdr>
        <w:top w:val="none" w:sz="0" w:space="0" w:color="auto"/>
        <w:left w:val="none" w:sz="0" w:space="0" w:color="auto"/>
        <w:bottom w:val="none" w:sz="0" w:space="0" w:color="auto"/>
        <w:right w:val="none" w:sz="0" w:space="0" w:color="auto"/>
      </w:divBdr>
      <w:divsChild>
        <w:div w:id="1798182078">
          <w:marLeft w:val="0"/>
          <w:marRight w:val="0"/>
          <w:marTop w:val="0"/>
          <w:marBottom w:val="0"/>
          <w:divBdr>
            <w:top w:val="none" w:sz="0" w:space="0" w:color="auto"/>
            <w:left w:val="none" w:sz="0" w:space="0" w:color="auto"/>
            <w:bottom w:val="none" w:sz="0" w:space="0" w:color="auto"/>
            <w:right w:val="none" w:sz="0" w:space="0" w:color="auto"/>
          </w:divBdr>
          <w:divsChild>
            <w:div w:id="197621831">
              <w:marLeft w:val="0"/>
              <w:marRight w:val="0"/>
              <w:marTop w:val="0"/>
              <w:marBottom w:val="0"/>
              <w:divBdr>
                <w:top w:val="none" w:sz="0" w:space="0" w:color="auto"/>
                <w:left w:val="none" w:sz="0" w:space="0" w:color="auto"/>
                <w:bottom w:val="none" w:sz="0" w:space="0" w:color="auto"/>
                <w:right w:val="none" w:sz="0" w:space="0" w:color="auto"/>
              </w:divBdr>
              <w:divsChild>
                <w:div w:id="1888566810">
                  <w:marLeft w:val="0"/>
                  <w:marRight w:val="0"/>
                  <w:marTop w:val="0"/>
                  <w:marBottom w:val="0"/>
                  <w:divBdr>
                    <w:top w:val="none" w:sz="0" w:space="0" w:color="auto"/>
                    <w:left w:val="none" w:sz="0" w:space="0" w:color="auto"/>
                    <w:bottom w:val="none" w:sz="0" w:space="0" w:color="auto"/>
                    <w:right w:val="none" w:sz="0" w:space="0" w:color="auto"/>
                  </w:divBdr>
                  <w:divsChild>
                    <w:div w:id="1263226491">
                      <w:marLeft w:val="0"/>
                      <w:marRight w:val="0"/>
                      <w:marTop w:val="0"/>
                      <w:marBottom w:val="0"/>
                      <w:divBdr>
                        <w:top w:val="none" w:sz="0" w:space="0" w:color="auto"/>
                        <w:left w:val="none" w:sz="0" w:space="0" w:color="auto"/>
                        <w:bottom w:val="none" w:sz="0" w:space="0" w:color="auto"/>
                        <w:right w:val="none" w:sz="0" w:space="0" w:color="auto"/>
                      </w:divBdr>
                      <w:divsChild>
                        <w:div w:id="1387993902">
                          <w:marLeft w:val="0"/>
                          <w:marRight w:val="0"/>
                          <w:marTop w:val="0"/>
                          <w:marBottom w:val="0"/>
                          <w:divBdr>
                            <w:top w:val="none" w:sz="0" w:space="0" w:color="auto"/>
                            <w:left w:val="none" w:sz="0" w:space="0" w:color="auto"/>
                            <w:bottom w:val="none" w:sz="0" w:space="0" w:color="auto"/>
                            <w:right w:val="none" w:sz="0" w:space="0" w:color="auto"/>
                          </w:divBdr>
                          <w:divsChild>
                            <w:div w:id="17671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18873579">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338463730">
      <w:bodyDiv w:val="1"/>
      <w:marLeft w:val="0"/>
      <w:marRight w:val="0"/>
      <w:marTop w:val="0"/>
      <w:marBottom w:val="0"/>
      <w:divBdr>
        <w:top w:val="none" w:sz="0" w:space="0" w:color="auto"/>
        <w:left w:val="none" w:sz="0" w:space="0" w:color="auto"/>
        <w:bottom w:val="none" w:sz="0" w:space="0" w:color="auto"/>
        <w:right w:val="none" w:sz="0" w:space="0" w:color="auto"/>
      </w:divBdr>
    </w:div>
    <w:div w:id="1394619231">
      <w:bodyDiv w:val="1"/>
      <w:marLeft w:val="0"/>
      <w:marRight w:val="0"/>
      <w:marTop w:val="0"/>
      <w:marBottom w:val="0"/>
      <w:divBdr>
        <w:top w:val="none" w:sz="0" w:space="0" w:color="auto"/>
        <w:left w:val="none" w:sz="0" w:space="0" w:color="auto"/>
        <w:bottom w:val="none" w:sz="0" w:space="0" w:color="auto"/>
        <w:right w:val="none" w:sz="0" w:space="0" w:color="auto"/>
      </w:divBdr>
    </w:div>
    <w:div w:id="1445733730">
      <w:bodyDiv w:val="1"/>
      <w:marLeft w:val="0"/>
      <w:marRight w:val="0"/>
      <w:marTop w:val="0"/>
      <w:marBottom w:val="0"/>
      <w:divBdr>
        <w:top w:val="none" w:sz="0" w:space="0" w:color="auto"/>
        <w:left w:val="none" w:sz="0" w:space="0" w:color="auto"/>
        <w:bottom w:val="none" w:sz="0" w:space="0" w:color="auto"/>
        <w:right w:val="none" w:sz="0" w:space="0" w:color="auto"/>
      </w:divBdr>
    </w:div>
    <w:div w:id="1487360902">
      <w:bodyDiv w:val="1"/>
      <w:marLeft w:val="0"/>
      <w:marRight w:val="0"/>
      <w:marTop w:val="0"/>
      <w:marBottom w:val="0"/>
      <w:divBdr>
        <w:top w:val="none" w:sz="0" w:space="0" w:color="auto"/>
        <w:left w:val="none" w:sz="0" w:space="0" w:color="auto"/>
        <w:bottom w:val="none" w:sz="0" w:space="0" w:color="auto"/>
        <w:right w:val="none" w:sz="0" w:space="0" w:color="auto"/>
      </w:divBdr>
    </w:div>
    <w:div w:id="1604414924">
      <w:bodyDiv w:val="1"/>
      <w:marLeft w:val="0"/>
      <w:marRight w:val="0"/>
      <w:marTop w:val="0"/>
      <w:marBottom w:val="0"/>
      <w:divBdr>
        <w:top w:val="none" w:sz="0" w:space="0" w:color="auto"/>
        <w:left w:val="none" w:sz="0" w:space="0" w:color="auto"/>
        <w:bottom w:val="none" w:sz="0" w:space="0" w:color="auto"/>
        <w:right w:val="none" w:sz="0" w:space="0" w:color="auto"/>
      </w:divBdr>
      <w:divsChild>
        <w:div w:id="2104565674">
          <w:marLeft w:val="0"/>
          <w:marRight w:val="0"/>
          <w:marTop w:val="0"/>
          <w:marBottom w:val="0"/>
          <w:divBdr>
            <w:top w:val="none" w:sz="0" w:space="0" w:color="auto"/>
            <w:left w:val="none" w:sz="0" w:space="0" w:color="auto"/>
            <w:bottom w:val="none" w:sz="0" w:space="0" w:color="auto"/>
            <w:right w:val="none" w:sz="0" w:space="0" w:color="auto"/>
          </w:divBdr>
          <w:divsChild>
            <w:div w:id="924342618">
              <w:marLeft w:val="0"/>
              <w:marRight w:val="0"/>
              <w:marTop w:val="0"/>
              <w:marBottom w:val="0"/>
              <w:divBdr>
                <w:top w:val="none" w:sz="0" w:space="0" w:color="auto"/>
                <w:left w:val="none" w:sz="0" w:space="0" w:color="auto"/>
                <w:bottom w:val="none" w:sz="0" w:space="0" w:color="auto"/>
                <w:right w:val="none" w:sz="0" w:space="0" w:color="auto"/>
              </w:divBdr>
              <w:divsChild>
                <w:div w:id="449395494">
                  <w:marLeft w:val="0"/>
                  <w:marRight w:val="0"/>
                  <w:marTop w:val="0"/>
                  <w:marBottom w:val="0"/>
                  <w:divBdr>
                    <w:top w:val="none" w:sz="0" w:space="0" w:color="auto"/>
                    <w:left w:val="none" w:sz="0" w:space="0" w:color="auto"/>
                    <w:bottom w:val="none" w:sz="0" w:space="0" w:color="auto"/>
                    <w:right w:val="none" w:sz="0" w:space="0" w:color="auto"/>
                  </w:divBdr>
                  <w:divsChild>
                    <w:div w:id="1829973499">
                      <w:marLeft w:val="0"/>
                      <w:marRight w:val="0"/>
                      <w:marTop w:val="0"/>
                      <w:marBottom w:val="0"/>
                      <w:divBdr>
                        <w:top w:val="none" w:sz="0" w:space="0" w:color="auto"/>
                        <w:left w:val="none" w:sz="0" w:space="0" w:color="auto"/>
                        <w:bottom w:val="none" w:sz="0" w:space="0" w:color="auto"/>
                        <w:right w:val="none" w:sz="0" w:space="0" w:color="auto"/>
                      </w:divBdr>
                      <w:divsChild>
                        <w:div w:id="1192642788">
                          <w:marLeft w:val="0"/>
                          <w:marRight w:val="0"/>
                          <w:marTop w:val="0"/>
                          <w:marBottom w:val="0"/>
                          <w:divBdr>
                            <w:top w:val="none" w:sz="0" w:space="0" w:color="auto"/>
                            <w:left w:val="none" w:sz="0" w:space="0" w:color="auto"/>
                            <w:bottom w:val="none" w:sz="0" w:space="0" w:color="auto"/>
                            <w:right w:val="none" w:sz="0" w:space="0" w:color="auto"/>
                          </w:divBdr>
                          <w:divsChild>
                            <w:div w:id="18950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8711">
      <w:bodyDiv w:val="1"/>
      <w:marLeft w:val="0"/>
      <w:marRight w:val="0"/>
      <w:marTop w:val="0"/>
      <w:marBottom w:val="0"/>
      <w:divBdr>
        <w:top w:val="none" w:sz="0" w:space="0" w:color="auto"/>
        <w:left w:val="none" w:sz="0" w:space="0" w:color="auto"/>
        <w:bottom w:val="none" w:sz="0" w:space="0" w:color="auto"/>
        <w:right w:val="none" w:sz="0" w:space="0" w:color="auto"/>
      </w:divBdr>
    </w:div>
    <w:div w:id="1829982036">
      <w:bodyDiv w:val="1"/>
      <w:marLeft w:val="0"/>
      <w:marRight w:val="0"/>
      <w:marTop w:val="0"/>
      <w:marBottom w:val="0"/>
      <w:divBdr>
        <w:top w:val="none" w:sz="0" w:space="0" w:color="auto"/>
        <w:left w:val="none" w:sz="0" w:space="0" w:color="auto"/>
        <w:bottom w:val="none" w:sz="0" w:space="0" w:color="auto"/>
        <w:right w:val="none" w:sz="0" w:space="0" w:color="auto"/>
      </w:divBdr>
      <w:divsChild>
        <w:div w:id="1563754759">
          <w:marLeft w:val="0"/>
          <w:marRight w:val="0"/>
          <w:marTop w:val="0"/>
          <w:marBottom w:val="0"/>
          <w:divBdr>
            <w:top w:val="none" w:sz="0" w:space="0" w:color="auto"/>
            <w:left w:val="none" w:sz="0" w:space="0" w:color="auto"/>
            <w:bottom w:val="none" w:sz="0" w:space="0" w:color="auto"/>
            <w:right w:val="none" w:sz="0" w:space="0" w:color="auto"/>
          </w:divBdr>
          <w:divsChild>
            <w:div w:id="1896046674">
              <w:marLeft w:val="0"/>
              <w:marRight w:val="0"/>
              <w:marTop w:val="0"/>
              <w:marBottom w:val="0"/>
              <w:divBdr>
                <w:top w:val="none" w:sz="0" w:space="0" w:color="auto"/>
                <w:left w:val="none" w:sz="0" w:space="0" w:color="auto"/>
                <w:bottom w:val="none" w:sz="0" w:space="0" w:color="auto"/>
                <w:right w:val="none" w:sz="0" w:space="0" w:color="auto"/>
              </w:divBdr>
              <w:divsChild>
                <w:div w:id="2077586223">
                  <w:marLeft w:val="0"/>
                  <w:marRight w:val="0"/>
                  <w:marTop w:val="0"/>
                  <w:marBottom w:val="0"/>
                  <w:divBdr>
                    <w:top w:val="none" w:sz="0" w:space="0" w:color="auto"/>
                    <w:left w:val="none" w:sz="0" w:space="0" w:color="auto"/>
                    <w:bottom w:val="none" w:sz="0" w:space="0" w:color="auto"/>
                    <w:right w:val="none" w:sz="0" w:space="0" w:color="auto"/>
                  </w:divBdr>
                  <w:divsChild>
                    <w:div w:id="1698509767">
                      <w:marLeft w:val="0"/>
                      <w:marRight w:val="0"/>
                      <w:marTop w:val="0"/>
                      <w:marBottom w:val="0"/>
                      <w:divBdr>
                        <w:top w:val="none" w:sz="0" w:space="0" w:color="auto"/>
                        <w:left w:val="none" w:sz="0" w:space="0" w:color="auto"/>
                        <w:bottom w:val="none" w:sz="0" w:space="0" w:color="auto"/>
                        <w:right w:val="none" w:sz="0" w:space="0" w:color="auto"/>
                      </w:divBdr>
                      <w:divsChild>
                        <w:div w:id="1931769521">
                          <w:marLeft w:val="0"/>
                          <w:marRight w:val="0"/>
                          <w:marTop w:val="0"/>
                          <w:marBottom w:val="0"/>
                          <w:divBdr>
                            <w:top w:val="none" w:sz="0" w:space="0" w:color="auto"/>
                            <w:left w:val="none" w:sz="0" w:space="0" w:color="auto"/>
                            <w:bottom w:val="none" w:sz="0" w:space="0" w:color="auto"/>
                            <w:right w:val="none" w:sz="0" w:space="0" w:color="auto"/>
                          </w:divBdr>
                          <w:divsChild>
                            <w:div w:id="11869899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1D3D-F783-4C81-9BB6-6533078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18509</Words>
  <Characters>10551</Characters>
  <Application>Microsoft Office Word</Application>
  <DocSecurity>0</DocSecurity>
  <Lines>87</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Pārtikas un veterinārā dienesta kapacitāti Āfrikas cūku mēra apkarošanas un izplatības ierobežošanas nodrošināšanai</vt:lpstr>
      <vt:lpstr>Informatīvais ziņojums par Pārtikas un veterinārā dienesta kapacitāti Āfrikas cūku mēra apkarošanas un izplatības ierobežošanas nodrošināšanai</vt:lpstr>
    </vt:vector>
  </TitlesOfParts>
  <Company>Zemkopības Ministrija</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Linda Gurecka, 67027063
linda.gurecka@zm.gov.lv</dc:description>
  <cp:lastModifiedBy>Iveta Stafecka</cp:lastModifiedBy>
  <cp:revision>60</cp:revision>
  <cp:lastPrinted>2017-04-06T14:45:00Z</cp:lastPrinted>
  <dcterms:created xsi:type="dcterms:W3CDTF">2017-04-19T12:29:00Z</dcterms:created>
  <dcterms:modified xsi:type="dcterms:W3CDTF">2023-02-10T13:28:00Z</dcterms:modified>
</cp:coreProperties>
</file>