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ayout w:type="fixed"/>
        <w:tblLook w:val="0000" w:firstRow="0" w:lastRow="0" w:firstColumn="0" w:lastColumn="0" w:noHBand="0" w:noVBand="0"/>
      </w:tblPr>
      <w:tblGrid>
        <w:gridCol w:w="1064"/>
        <w:gridCol w:w="97"/>
        <w:gridCol w:w="267"/>
        <w:gridCol w:w="84"/>
        <w:gridCol w:w="2457"/>
        <w:gridCol w:w="724"/>
        <w:gridCol w:w="329"/>
        <w:gridCol w:w="365"/>
        <w:gridCol w:w="1152"/>
        <w:gridCol w:w="2748"/>
      </w:tblGrid>
      <w:tr w:rsidR="009734BB" w:rsidRPr="00EE1E8A" w14:paraId="6150F488" w14:textId="77777777" w:rsidTr="007E49BD">
        <w:tc>
          <w:tcPr>
            <w:tcW w:w="1428" w:type="dxa"/>
            <w:gridSpan w:val="3"/>
          </w:tcPr>
          <w:p w14:paraId="091D03CC" w14:textId="191C2DD4" w:rsidR="009734BB" w:rsidRPr="00EE1E8A" w:rsidRDefault="00891AE1" w:rsidP="007E49BD">
            <w:pPr>
              <w:rPr>
                <w:lang w:val="lv-LV"/>
              </w:rPr>
            </w:pPr>
            <w:r>
              <w:rPr>
                <w:rStyle w:val="FootnoteReference"/>
                <w:lang w:val="lv-LV"/>
              </w:rPr>
              <w:footnoteReference w:customMarkFollows="1" w:id="1"/>
              <w:t/>
            </w:r>
            <w:r w:rsidR="009734BB" w:rsidRPr="00EE1E8A">
              <w:rPr>
                <w:lang w:val="lv-LV"/>
              </w:rPr>
              <w:t xml:space="preserve">Atbildīgais </w:t>
            </w:r>
          </w:p>
        </w:tc>
        <w:tc>
          <w:tcPr>
            <w:tcW w:w="2541" w:type="dxa"/>
            <w:gridSpan w:val="2"/>
            <w:tcBorders>
              <w:bottom w:val="single" w:sz="4" w:space="0" w:color="auto"/>
            </w:tcBorders>
          </w:tcPr>
          <w:p w14:paraId="39275518" w14:textId="77777777" w:rsidR="009734BB" w:rsidRPr="00EE1E8A" w:rsidRDefault="009734BB" w:rsidP="007E49BD">
            <w:pPr>
              <w:rPr>
                <w:lang w:val="lv-LV"/>
              </w:rPr>
            </w:pPr>
            <w:r w:rsidRPr="00EE1E8A">
              <w:rPr>
                <w:lang w:val="lv-LV"/>
              </w:rPr>
              <w:t>finanšu ministrs</w:t>
            </w:r>
          </w:p>
        </w:tc>
        <w:tc>
          <w:tcPr>
            <w:tcW w:w="1053" w:type="dxa"/>
            <w:gridSpan w:val="2"/>
          </w:tcPr>
          <w:p w14:paraId="34F85099" w14:textId="77777777" w:rsidR="009734BB" w:rsidRPr="00EE1E8A" w:rsidRDefault="009734BB" w:rsidP="007E49BD">
            <w:pPr>
              <w:pStyle w:val="Header"/>
              <w:tabs>
                <w:tab w:val="clear" w:pos="4153"/>
                <w:tab w:val="clear" w:pos="8306"/>
              </w:tabs>
              <w:rPr>
                <w:lang w:val="lv-LV"/>
              </w:rPr>
            </w:pPr>
          </w:p>
        </w:tc>
        <w:tc>
          <w:tcPr>
            <w:tcW w:w="4265" w:type="dxa"/>
            <w:gridSpan w:val="3"/>
            <w:tcBorders>
              <w:bottom w:val="single" w:sz="4" w:space="0" w:color="auto"/>
            </w:tcBorders>
          </w:tcPr>
          <w:p w14:paraId="3538DBB1" w14:textId="77777777" w:rsidR="009734BB" w:rsidRPr="00EE1E8A" w:rsidRDefault="009734BB" w:rsidP="007E49BD">
            <w:pPr>
              <w:jc w:val="center"/>
              <w:rPr>
                <w:lang w:val="lv-LV"/>
              </w:rPr>
            </w:pPr>
            <w:r w:rsidRPr="00EE1E8A">
              <w:rPr>
                <w:lang w:val="lv-LV"/>
              </w:rPr>
              <w:t>Jānis Reirs</w:t>
            </w:r>
          </w:p>
        </w:tc>
      </w:tr>
      <w:tr w:rsidR="009734BB" w:rsidRPr="00EE1E8A" w14:paraId="5E69047C" w14:textId="77777777" w:rsidTr="007E49BD">
        <w:tc>
          <w:tcPr>
            <w:tcW w:w="1512" w:type="dxa"/>
            <w:gridSpan w:val="4"/>
          </w:tcPr>
          <w:p w14:paraId="79C2006F" w14:textId="77777777" w:rsidR="009734BB" w:rsidRPr="00EE1E8A" w:rsidRDefault="009734BB" w:rsidP="007E49BD">
            <w:pPr>
              <w:rPr>
                <w:lang w:val="lv-LV"/>
              </w:rPr>
            </w:pPr>
          </w:p>
        </w:tc>
        <w:tc>
          <w:tcPr>
            <w:tcW w:w="2457" w:type="dxa"/>
            <w:tcBorders>
              <w:top w:val="single" w:sz="4" w:space="0" w:color="auto"/>
            </w:tcBorders>
          </w:tcPr>
          <w:p w14:paraId="2297AC45" w14:textId="77777777" w:rsidR="009734BB" w:rsidRPr="006971D7" w:rsidRDefault="009734BB" w:rsidP="007E49BD">
            <w:pPr>
              <w:rPr>
                <w:lang w:val="lv-LV"/>
              </w:rPr>
            </w:pPr>
          </w:p>
        </w:tc>
        <w:tc>
          <w:tcPr>
            <w:tcW w:w="1418" w:type="dxa"/>
            <w:gridSpan w:val="3"/>
          </w:tcPr>
          <w:p w14:paraId="2FB895FB" w14:textId="77777777" w:rsidR="009734BB" w:rsidRPr="005A2B67" w:rsidRDefault="009734BB" w:rsidP="007E49BD">
            <w:pPr>
              <w:jc w:val="center"/>
              <w:rPr>
                <w:lang w:val="lv-LV"/>
              </w:rPr>
            </w:pPr>
          </w:p>
        </w:tc>
        <w:tc>
          <w:tcPr>
            <w:tcW w:w="3900" w:type="dxa"/>
            <w:gridSpan w:val="2"/>
            <w:tcBorders>
              <w:top w:val="single" w:sz="4" w:space="0" w:color="auto"/>
            </w:tcBorders>
          </w:tcPr>
          <w:p w14:paraId="575E7987" w14:textId="77777777" w:rsidR="009734BB" w:rsidRPr="00EE1E8A" w:rsidRDefault="009734BB" w:rsidP="007E49BD">
            <w:pPr>
              <w:jc w:val="center"/>
              <w:rPr>
                <w:lang w:val="lv-LV"/>
              </w:rPr>
            </w:pPr>
            <w:r w:rsidRPr="00EE1E8A">
              <w:rPr>
                <w:lang w:val="lv-LV"/>
              </w:rPr>
              <w:t>(vārds, uzvārds)</w:t>
            </w:r>
          </w:p>
        </w:tc>
      </w:tr>
      <w:tr w:rsidR="009734BB" w:rsidRPr="00EE1E8A" w14:paraId="0DC26E7E" w14:textId="77777777" w:rsidTr="007E49BD">
        <w:trPr>
          <w:gridAfter w:val="4"/>
          <w:wAfter w:w="4594" w:type="dxa"/>
        </w:trPr>
        <w:tc>
          <w:tcPr>
            <w:tcW w:w="1064" w:type="dxa"/>
          </w:tcPr>
          <w:p w14:paraId="7DDDFE15" w14:textId="77777777" w:rsidR="009734BB" w:rsidRPr="00EE1E8A" w:rsidRDefault="009734BB" w:rsidP="007E49BD">
            <w:pPr>
              <w:pStyle w:val="Heading3"/>
              <w:rPr>
                <w:sz w:val="24"/>
              </w:rPr>
            </w:pPr>
            <w:r w:rsidRPr="00EE1E8A">
              <w:rPr>
                <w:sz w:val="24"/>
              </w:rPr>
              <w:t>Datums</w:t>
            </w:r>
          </w:p>
        </w:tc>
        <w:tc>
          <w:tcPr>
            <w:tcW w:w="3629" w:type="dxa"/>
            <w:gridSpan w:val="5"/>
            <w:tcBorders>
              <w:bottom w:val="single" w:sz="4" w:space="0" w:color="auto"/>
            </w:tcBorders>
          </w:tcPr>
          <w:p w14:paraId="48696131" w14:textId="7B14A733" w:rsidR="009734BB" w:rsidRPr="006971D7" w:rsidRDefault="00001AFE" w:rsidP="007E49BD">
            <w:pPr>
              <w:rPr>
                <w:lang w:val="lv-LV"/>
              </w:rPr>
            </w:pPr>
            <w:r>
              <w:rPr>
                <w:lang w:val="lv-LV"/>
              </w:rPr>
              <w:t>12</w:t>
            </w:r>
            <w:r w:rsidR="009734BB" w:rsidRPr="000B6C95">
              <w:rPr>
                <w:lang w:val="lv-LV"/>
              </w:rPr>
              <w:t>.11</w:t>
            </w:r>
            <w:r w:rsidR="009734BB" w:rsidRPr="006971D7">
              <w:rPr>
                <w:lang w:val="lv-LV"/>
              </w:rPr>
              <w:t>.2019.</w:t>
            </w:r>
          </w:p>
        </w:tc>
      </w:tr>
      <w:tr w:rsidR="009734BB" w:rsidRPr="00EE1E8A" w14:paraId="0FD5CFB9" w14:textId="77777777" w:rsidTr="007E49BD">
        <w:tc>
          <w:tcPr>
            <w:tcW w:w="1161" w:type="dxa"/>
            <w:gridSpan w:val="2"/>
          </w:tcPr>
          <w:p w14:paraId="77159B81" w14:textId="77777777" w:rsidR="009734BB" w:rsidRPr="00EE1E8A" w:rsidRDefault="009734BB" w:rsidP="007E49BD">
            <w:pPr>
              <w:pStyle w:val="Header"/>
              <w:tabs>
                <w:tab w:val="clear" w:pos="4153"/>
                <w:tab w:val="clear" w:pos="8306"/>
              </w:tabs>
              <w:rPr>
                <w:lang w:val="lv-LV"/>
              </w:rPr>
            </w:pPr>
            <w:r w:rsidRPr="00EE1E8A">
              <w:rPr>
                <w:lang w:val="lv-LV"/>
              </w:rPr>
              <w:t>Autors</w:t>
            </w:r>
          </w:p>
        </w:tc>
        <w:tc>
          <w:tcPr>
            <w:tcW w:w="5378" w:type="dxa"/>
            <w:gridSpan w:val="7"/>
            <w:tcBorders>
              <w:bottom w:val="single" w:sz="4" w:space="0" w:color="auto"/>
            </w:tcBorders>
          </w:tcPr>
          <w:p w14:paraId="12FBABDC" w14:textId="77777777" w:rsidR="009734BB" w:rsidRPr="006971D7" w:rsidRDefault="009734BB" w:rsidP="007E49BD">
            <w:pPr>
              <w:rPr>
                <w:lang w:val="lv-LV"/>
              </w:rPr>
            </w:pPr>
            <w:r w:rsidRPr="006971D7">
              <w:rPr>
                <w:lang w:val="lv-LV"/>
              </w:rPr>
              <w:t>Finanšu ministrija</w:t>
            </w:r>
          </w:p>
        </w:tc>
        <w:tc>
          <w:tcPr>
            <w:tcW w:w="2748" w:type="dxa"/>
          </w:tcPr>
          <w:p w14:paraId="5BFCE479" w14:textId="77777777" w:rsidR="009734BB" w:rsidRPr="005A2B67" w:rsidRDefault="009734BB" w:rsidP="007E49BD">
            <w:pPr>
              <w:pStyle w:val="Header"/>
              <w:tabs>
                <w:tab w:val="clear" w:pos="4153"/>
                <w:tab w:val="clear" w:pos="8306"/>
              </w:tabs>
              <w:rPr>
                <w:lang w:val="lv-LV"/>
              </w:rPr>
            </w:pPr>
          </w:p>
        </w:tc>
      </w:tr>
    </w:tbl>
    <w:p w14:paraId="188EB6EA" w14:textId="77777777" w:rsidR="009734BB" w:rsidRPr="00EE1E8A" w:rsidRDefault="009734BB" w:rsidP="009734BB">
      <w:pPr>
        <w:rPr>
          <w:sz w:val="16"/>
          <w:lang w:val="lv-LV"/>
        </w:rPr>
      </w:pPr>
    </w:p>
    <w:tbl>
      <w:tblPr>
        <w:tblW w:w="9287" w:type="dxa"/>
        <w:tblLook w:val="0000" w:firstRow="0" w:lastRow="0" w:firstColumn="0" w:lastColumn="0" w:noHBand="0" w:noVBand="0"/>
      </w:tblPr>
      <w:tblGrid>
        <w:gridCol w:w="1693"/>
        <w:gridCol w:w="172"/>
        <w:gridCol w:w="163"/>
        <w:gridCol w:w="120"/>
        <w:gridCol w:w="5473"/>
        <w:gridCol w:w="1666"/>
      </w:tblGrid>
      <w:tr w:rsidR="009734BB" w:rsidRPr="00EE1E8A" w14:paraId="7A715E83" w14:textId="77777777" w:rsidTr="007E49BD">
        <w:trPr>
          <w:cantSplit/>
          <w:trHeight w:val="180"/>
        </w:trPr>
        <w:tc>
          <w:tcPr>
            <w:tcW w:w="2148" w:type="dxa"/>
            <w:gridSpan w:val="4"/>
          </w:tcPr>
          <w:p w14:paraId="360BE628" w14:textId="77777777" w:rsidR="009734BB" w:rsidRPr="006971D7" w:rsidRDefault="009734BB" w:rsidP="007E49BD">
            <w:pPr>
              <w:pStyle w:val="Header"/>
              <w:rPr>
                <w:lang w:val="lv-LV"/>
              </w:rPr>
            </w:pPr>
            <w:r w:rsidRPr="006971D7">
              <w:rPr>
                <w:lang w:val="lv-LV"/>
              </w:rPr>
              <w:t>Sagatavotājs;</w:t>
            </w:r>
          </w:p>
        </w:tc>
        <w:tc>
          <w:tcPr>
            <w:tcW w:w="7139" w:type="dxa"/>
            <w:gridSpan w:val="2"/>
            <w:vMerge w:val="restart"/>
          </w:tcPr>
          <w:p w14:paraId="01895A63" w14:textId="77777777" w:rsidR="009734BB" w:rsidRPr="005A2B67" w:rsidRDefault="009734BB" w:rsidP="007E49BD">
            <w:pPr>
              <w:jc w:val="both"/>
              <w:rPr>
                <w:lang w:val="lv-LV"/>
              </w:rPr>
            </w:pPr>
            <w:r w:rsidRPr="005A2B67">
              <w:rPr>
                <w:lang w:val="lv-LV"/>
              </w:rPr>
              <w:t>Fiskālās politikas departamenta Eiropas Savienības budžeta un finansējuma nodaļas vadītāja Antra Esenberga</w:t>
            </w:r>
          </w:p>
          <w:p w14:paraId="4B28E1F5" w14:textId="77777777" w:rsidR="009734BB" w:rsidRPr="00EE1E8A" w:rsidRDefault="009734BB" w:rsidP="007E49BD">
            <w:pPr>
              <w:jc w:val="both"/>
              <w:rPr>
                <w:lang w:val="lv-LV"/>
              </w:rPr>
            </w:pPr>
            <w:r w:rsidRPr="00EE1E8A">
              <w:rPr>
                <w:lang w:val="lv-LV"/>
              </w:rPr>
              <w:t>Finanšu ministrijas Fiskālās politikas departamenta Starptautisko ekonomisko un finanšu lietu nodaļas Starptautisko ekonomisko attiecību speciāliste Klinta Krauze</w:t>
            </w:r>
          </w:p>
        </w:tc>
      </w:tr>
      <w:tr w:rsidR="009734BB" w:rsidRPr="00EE1E8A" w14:paraId="23F591F0" w14:textId="77777777" w:rsidTr="007E49BD">
        <w:trPr>
          <w:cantSplit/>
          <w:trHeight w:val="375"/>
        </w:trPr>
        <w:tc>
          <w:tcPr>
            <w:tcW w:w="2148" w:type="dxa"/>
            <w:gridSpan w:val="4"/>
          </w:tcPr>
          <w:p w14:paraId="6EF2C0BA" w14:textId="181F0407" w:rsidR="009734BB" w:rsidRPr="005A2B67" w:rsidRDefault="009734BB" w:rsidP="007E49BD">
            <w:pPr>
              <w:pStyle w:val="Header"/>
              <w:rPr>
                <w:lang w:val="lv-LV"/>
              </w:rPr>
            </w:pPr>
          </w:p>
          <w:p w14:paraId="71D89F52" w14:textId="77777777" w:rsidR="009734BB" w:rsidRPr="00EE1E8A" w:rsidRDefault="009734BB" w:rsidP="007E49BD">
            <w:pPr>
              <w:pStyle w:val="Header"/>
              <w:rPr>
                <w:lang w:val="lv-LV"/>
              </w:rPr>
            </w:pPr>
            <w:r w:rsidRPr="00EE1E8A">
              <w:rPr>
                <w:lang w:val="lv-LV"/>
              </w:rPr>
              <w:t>Eiropas Savienības (ES) lietu koordinators</w:t>
            </w:r>
          </w:p>
        </w:tc>
        <w:tc>
          <w:tcPr>
            <w:tcW w:w="7139" w:type="dxa"/>
            <w:gridSpan w:val="2"/>
            <w:vMerge/>
            <w:tcBorders>
              <w:bottom w:val="single" w:sz="4" w:space="0" w:color="auto"/>
            </w:tcBorders>
          </w:tcPr>
          <w:p w14:paraId="1E650174" w14:textId="77777777" w:rsidR="009734BB" w:rsidRPr="00EE1E8A" w:rsidRDefault="009734BB" w:rsidP="007E49BD">
            <w:pPr>
              <w:pStyle w:val="Header"/>
              <w:rPr>
                <w:sz w:val="28"/>
                <w:lang w:val="lv-LV"/>
              </w:rPr>
            </w:pPr>
          </w:p>
        </w:tc>
      </w:tr>
      <w:tr w:rsidR="009734BB" w:rsidRPr="00EE1E8A" w14:paraId="0E58DD72" w14:textId="77777777" w:rsidTr="007E49BD">
        <w:trPr>
          <w:cantSplit/>
        </w:trPr>
        <w:tc>
          <w:tcPr>
            <w:tcW w:w="2028" w:type="dxa"/>
            <w:gridSpan w:val="3"/>
          </w:tcPr>
          <w:p w14:paraId="1EEC7304" w14:textId="77777777" w:rsidR="009734BB" w:rsidRPr="00EE1E8A" w:rsidRDefault="009734BB" w:rsidP="007E49BD">
            <w:pPr>
              <w:rPr>
                <w:sz w:val="28"/>
                <w:lang w:val="lv-LV"/>
              </w:rPr>
            </w:pPr>
          </w:p>
        </w:tc>
        <w:tc>
          <w:tcPr>
            <w:tcW w:w="7259" w:type="dxa"/>
            <w:gridSpan w:val="3"/>
            <w:tcBorders>
              <w:top w:val="single" w:sz="4" w:space="0" w:color="auto"/>
            </w:tcBorders>
          </w:tcPr>
          <w:p w14:paraId="70051739" w14:textId="77777777" w:rsidR="009734BB" w:rsidRPr="006971D7" w:rsidRDefault="009734BB" w:rsidP="007E49BD">
            <w:pPr>
              <w:jc w:val="center"/>
              <w:rPr>
                <w:sz w:val="20"/>
                <w:lang w:val="lv-LV"/>
              </w:rPr>
            </w:pPr>
            <w:r w:rsidRPr="006971D7">
              <w:rPr>
                <w:sz w:val="20"/>
                <w:lang w:val="lv-LV"/>
              </w:rPr>
              <w:t>(amats, vārds, uzvārds)</w:t>
            </w:r>
          </w:p>
        </w:tc>
      </w:tr>
      <w:tr w:rsidR="00336F91" w:rsidRPr="00EE1E8A" w14:paraId="66707CCA" w14:textId="77777777" w:rsidTr="007E49BD">
        <w:tc>
          <w:tcPr>
            <w:tcW w:w="1693" w:type="dxa"/>
          </w:tcPr>
          <w:p w14:paraId="02341C16" w14:textId="77777777" w:rsidR="009734BB" w:rsidRPr="00EE1E8A" w:rsidRDefault="009734BB" w:rsidP="007E49BD">
            <w:pPr>
              <w:pStyle w:val="Header"/>
              <w:tabs>
                <w:tab w:val="clear" w:pos="4153"/>
                <w:tab w:val="clear" w:pos="8306"/>
              </w:tabs>
              <w:rPr>
                <w:lang w:val="lv-LV"/>
              </w:rPr>
            </w:pPr>
            <w:r w:rsidRPr="00EE1E8A">
              <w:rPr>
                <w:lang w:val="lv-LV"/>
              </w:rPr>
              <w:t>E-pasta adrese</w:t>
            </w:r>
          </w:p>
        </w:tc>
        <w:tc>
          <w:tcPr>
            <w:tcW w:w="5928" w:type="dxa"/>
            <w:gridSpan w:val="4"/>
            <w:tcBorders>
              <w:bottom w:val="single" w:sz="4" w:space="0" w:color="auto"/>
            </w:tcBorders>
          </w:tcPr>
          <w:p w14:paraId="64702E05" w14:textId="76D112AB" w:rsidR="009734BB" w:rsidRPr="00EE1E8A" w:rsidRDefault="004304A7" w:rsidP="007E49BD">
            <w:pPr>
              <w:rPr>
                <w:lang w:val="lv-LV"/>
              </w:rPr>
            </w:pPr>
            <w:hyperlink r:id="rId8" w:history="1">
              <w:r w:rsidR="009734BB" w:rsidRPr="00EE1E8A">
                <w:rPr>
                  <w:rStyle w:val="Hyperlink"/>
                  <w:color w:val="auto"/>
                  <w:lang w:val="lv-LV"/>
                </w:rPr>
                <w:t>Antra.Esenberga@fm.gov.lv</w:t>
              </w:r>
            </w:hyperlink>
            <w:r w:rsidR="009734BB" w:rsidRPr="00EE1E8A">
              <w:rPr>
                <w:lang w:val="lv-LV"/>
              </w:rPr>
              <w:t xml:space="preserve"> </w:t>
            </w:r>
            <w:hyperlink r:id="rId9" w:history="1"/>
            <w:hyperlink r:id="rId10" w:history="1"/>
            <w:hyperlink r:id="rId11" w:history="1"/>
          </w:p>
          <w:p w14:paraId="3EA267A2" w14:textId="77777777" w:rsidR="009734BB" w:rsidRPr="00EE1E8A" w:rsidRDefault="004304A7" w:rsidP="007E49BD">
            <w:pPr>
              <w:rPr>
                <w:lang w:val="lv-LV"/>
              </w:rPr>
            </w:pPr>
            <w:hyperlink r:id="rId12" w:history="1">
              <w:r w:rsidR="009734BB" w:rsidRPr="00EE1E8A">
                <w:rPr>
                  <w:rStyle w:val="Hyperlink"/>
                  <w:color w:val="auto"/>
                  <w:lang w:val="lv-LV"/>
                </w:rPr>
                <w:t>Klinta.Krauze@fm.gov.lv</w:t>
              </w:r>
            </w:hyperlink>
            <w:hyperlink r:id="rId13" w:history="1"/>
          </w:p>
        </w:tc>
        <w:tc>
          <w:tcPr>
            <w:tcW w:w="1666" w:type="dxa"/>
          </w:tcPr>
          <w:p w14:paraId="776E8851" w14:textId="77777777" w:rsidR="009734BB" w:rsidRPr="006971D7" w:rsidRDefault="009734BB" w:rsidP="007E49BD">
            <w:pPr>
              <w:rPr>
                <w:sz w:val="28"/>
                <w:lang w:val="lv-LV"/>
              </w:rPr>
            </w:pPr>
          </w:p>
        </w:tc>
      </w:tr>
      <w:tr w:rsidR="00336F91" w:rsidRPr="00EE1E8A" w14:paraId="49E9D148" w14:textId="77777777" w:rsidTr="007E49BD">
        <w:tc>
          <w:tcPr>
            <w:tcW w:w="1865" w:type="dxa"/>
            <w:gridSpan w:val="2"/>
          </w:tcPr>
          <w:p w14:paraId="04704AD8" w14:textId="77777777" w:rsidR="009734BB" w:rsidRPr="00EE1E8A" w:rsidRDefault="009734BB" w:rsidP="007E49BD">
            <w:pPr>
              <w:rPr>
                <w:lang w:val="lv-LV"/>
              </w:rPr>
            </w:pPr>
            <w:r w:rsidRPr="00EE1E8A">
              <w:rPr>
                <w:lang w:val="lv-LV"/>
              </w:rPr>
              <w:t>Tālruņa numurs</w:t>
            </w:r>
          </w:p>
        </w:tc>
        <w:tc>
          <w:tcPr>
            <w:tcW w:w="5756" w:type="dxa"/>
            <w:gridSpan w:val="3"/>
            <w:tcBorders>
              <w:bottom w:val="single" w:sz="4" w:space="0" w:color="auto"/>
            </w:tcBorders>
          </w:tcPr>
          <w:p w14:paraId="62F404CD" w14:textId="77777777" w:rsidR="009734BB" w:rsidRPr="00EE1E8A" w:rsidRDefault="009734BB" w:rsidP="007E49BD">
            <w:pPr>
              <w:rPr>
                <w:sz w:val="28"/>
                <w:lang w:val="lv-LV"/>
              </w:rPr>
            </w:pPr>
            <w:r w:rsidRPr="00EE1E8A">
              <w:rPr>
                <w:lang w:val="lv-LV"/>
              </w:rPr>
              <w:t xml:space="preserve">67083869; 67083948; </w:t>
            </w:r>
            <w:r w:rsidRPr="00EB3D99">
              <w:rPr>
                <w:lang w:val="lv-LV"/>
              </w:rPr>
              <w:t>67083847</w:t>
            </w:r>
          </w:p>
        </w:tc>
        <w:tc>
          <w:tcPr>
            <w:tcW w:w="1666" w:type="dxa"/>
          </w:tcPr>
          <w:p w14:paraId="46691F7D" w14:textId="77777777" w:rsidR="009734BB" w:rsidRPr="006971D7" w:rsidRDefault="009734BB" w:rsidP="007E49BD">
            <w:pPr>
              <w:rPr>
                <w:sz w:val="28"/>
                <w:lang w:val="lv-LV"/>
              </w:rPr>
            </w:pPr>
          </w:p>
        </w:tc>
      </w:tr>
    </w:tbl>
    <w:p w14:paraId="2A0E8CF3" w14:textId="77777777" w:rsidR="009734BB" w:rsidRPr="00EE1E8A" w:rsidRDefault="009734BB" w:rsidP="009734BB">
      <w:pPr>
        <w:rPr>
          <w:lang w:val="lv-LV"/>
        </w:rPr>
      </w:pPr>
    </w:p>
    <w:p w14:paraId="0B421F4C" w14:textId="77777777" w:rsidR="009734BB" w:rsidRPr="006971D7" w:rsidRDefault="009734BB" w:rsidP="009734BB">
      <w:pPr>
        <w:pStyle w:val="Heading4"/>
        <w:rPr>
          <w:sz w:val="24"/>
        </w:rPr>
      </w:pPr>
      <w:r w:rsidRPr="006971D7">
        <w:rPr>
          <w:sz w:val="24"/>
        </w:rPr>
        <w:t>Pozīcija Nr.2</w:t>
      </w:r>
    </w:p>
    <w:p w14:paraId="02B751FF" w14:textId="77777777" w:rsidR="009734BB" w:rsidRPr="005A2B67" w:rsidRDefault="009734BB" w:rsidP="009734BB">
      <w:pPr>
        <w:jc w:val="center"/>
        <w:rPr>
          <w:b/>
          <w:bCs/>
          <w:lang w:val="lv-LV"/>
        </w:rPr>
      </w:pPr>
      <w:r w:rsidRPr="005A2B67">
        <w:rPr>
          <w:b/>
          <w:lang w:val="lv-LV"/>
        </w:rPr>
        <w:t>Par</w:t>
      </w:r>
      <w:r w:rsidRPr="005A2B67">
        <w:rPr>
          <w:b/>
          <w:bCs/>
          <w:lang w:val="lv-LV"/>
        </w:rPr>
        <w:t xml:space="preserve"> Eiropas Savienības 2020.gada budžeta projektu</w:t>
      </w:r>
    </w:p>
    <w:p w14:paraId="4DD15DA1" w14:textId="77777777" w:rsidR="009734BB" w:rsidRPr="00EE1E8A" w:rsidRDefault="009734BB" w:rsidP="009734BB">
      <w:pPr>
        <w:jc w:val="center"/>
        <w:rPr>
          <w:b/>
          <w:bCs/>
          <w:lang w:val="lv-LV"/>
        </w:rPr>
      </w:pPr>
      <w:r w:rsidRPr="00EE1E8A">
        <w:rPr>
          <w:b/>
          <w:bCs/>
          <w:lang w:val="lv-LV"/>
        </w:rPr>
        <w:t>un</w:t>
      </w:r>
    </w:p>
    <w:p w14:paraId="7401D9F5" w14:textId="77777777" w:rsidR="009734BB" w:rsidRPr="00EE1E8A" w:rsidRDefault="009734BB" w:rsidP="009734BB">
      <w:pPr>
        <w:jc w:val="center"/>
        <w:rPr>
          <w:b/>
          <w:bCs/>
          <w:lang w:val="lv-LV"/>
        </w:rPr>
      </w:pPr>
      <w:r w:rsidRPr="00EE1E8A">
        <w:rPr>
          <w:b/>
          <w:bCs/>
          <w:lang w:val="lv-LV"/>
        </w:rPr>
        <w:t>2020.gada vispārējā budžeta projekta grozījumu vēstuli Nr.1</w:t>
      </w:r>
    </w:p>
    <w:p w14:paraId="06136F23" w14:textId="77777777" w:rsidR="009734BB" w:rsidRPr="00EE1E8A" w:rsidRDefault="009734BB" w:rsidP="009734BB">
      <w:pPr>
        <w:pStyle w:val="naisf"/>
        <w:pBdr>
          <w:bottom w:val="single" w:sz="4" w:space="1" w:color="auto"/>
        </w:pBdr>
        <w:spacing w:before="0" w:after="0"/>
        <w:jc w:val="center"/>
        <w:rPr>
          <w:bCs/>
          <w:i/>
        </w:rPr>
      </w:pPr>
      <w:proofErr w:type="spellStart"/>
      <w:r w:rsidRPr="00EE1E8A">
        <w:rPr>
          <w:i/>
        </w:rPr>
        <w:t>Draft</w:t>
      </w:r>
      <w:proofErr w:type="spellEnd"/>
      <w:r w:rsidRPr="00EE1E8A">
        <w:rPr>
          <w:i/>
        </w:rPr>
        <w:t xml:space="preserve"> </w:t>
      </w:r>
      <w:proofErr w:type="spellStart"/>
      <w:r w:rsidRPr="00EE1E8A">
        <w:rPr>
          <w:i/>
        </w:rPr>
        <w:t>budget</w:t>
      </w:r>
      <w:proofErr w:type="spellEnd"/>
      <w:r w:rsidRPr="00EE1E8A">
        <w:rPr>
          <w:rStyle w:val="Strong"/>
        </w:rPr>
        <w:t xml:space="preserve"> </w:t>
      </w:r>
      <w:proofErr w:type="spellStart"/>
      <w:r w:rsidRPr="00EE1E8A">
        <w:rPr>
          <w:bCs/>
          <w:i/>
        </w:rPr>
        <w:t>of</w:t>
      </w:r>
      <w:proofErr w:type="spellEnd"/>
      <w:r w:rsidRPr="00EE1E8A">
        <w:rPr>
          <w:bCs/>
          <w:i/>
        </w:rPr>
        <w:t xml:space="preserve"> </w:t>
      </w:r>
      <w:proofErr w:type="spellStart"/>
      <w:r w:rsidRPr="00EE1E8A">
        <w:rPr>
          <w:bCs/>
          <w:i/>
        </w:rPr>
        <w:t>the</w:t>
      </w:r>
      <w:proofErr w:type="spellEnd"/>
      <w:r w:rsidRPr="00EE1E8A">
        <w:rPr>
          <w:bCs/>
          <w:i/>
        </w:rPr>
        <w:t xml:space="preserve"> </w:t>
      </w:r>
      <w:proofErr w:type="spellStart"/>
      <w:r w:rsidRPr="00EE1E8A">
        <w:rPr>
          <w:bCs/>
          <w:i/>
        </w:rPr>
        <w:t>European</w:t>
      </w:r>
      <w:proofErr w:type="spellEnd"/>
      <w:r w:rsidRPr="00EE1E8A">
        <w:rPr>
          <w:bCs/>
          <w:i/>
        </w:rPr>
        <w:t xml:space="preserve"> </w:t>
      </w:r>
      <w:proofErr w:type="spellStart"/>
      <w:r w:rsidRPr="00EE1E8A">
        <w:rPr>
          <w:bCs/>
          <w:i/>
        </w:rPr>
        <w:t>Union</w:t>
      </w:r>
      <w:proofErr w:type="spellEnd"/>
      <w:r w:rsidRPr="00EE1E8A">
        <w:rPr>
          <w:bCs/>
          <w:i/>
        </w:rPr>
        <w:t xml:space="preserve"> </w:t>
      </w:r>
      <w:proofErr w:type="spellStart"/>
      <w:r w:rsidRPr="00EE1E8A">
        <w:rPr>
          <w:bCs/>
          <w:i/>
        </w:rPr>
        <w:t>for</w:t>
      </w:r>
      <w:proofErr w:type="spellEnd"/>
      <w:r w:rsidRPr="00EE1E8A">
        <w:rPr>
          <w:bCs/>
          <w:i/>
        </w:rPr>
        <w:t xml:space="preserve"> </w:t>
      </w:r>
      <w:proofErr w:type="spellStart"/>
      <w:r w:rsidRPr="00EE1E8A">
        <w:rPr>
          <w:bCs/>
          <w:i/>
        </w:rPr>
        <w:t>the</w:t>
      </w:r>
      <w:proofErr w:type="spellEnd"/>
      <w:r w:rsidRPr="00EE1E8A">
        <w:rPr>
          <w:bCs/>
          <w:i/>
        </w:rPr>
        <w:t xml:space="preserve"> </w:t>
      </w:r>
      <w:proofErr w:type="spellStart"/>
      <w:r w:rsidRPr="00EE1E8A">
        <w:rPr>
          <w:bCs/>
          <w:i/>
        </w:rPr>
        <w:t>financial</w:t>
      </w:r>
      <w:proofErr w:type="spellEnd"/>
      <w:r w:rsidRPr="00EE1E8A">
        <w:rPr>
          <w:bCs/>
          <w:i/>
        </w:rPr>
        <w:t xml:space="preserve"> </w:t>
      </w:r>
      <w:proofErr w:type="spellStart"/>
      <w:r w:rsidRPr="00EE1E8A">
        <w:rPr>
          <w:bCs/>
          <w:i/>
        </w:rPr>
        <w:t>year</w:t>
      </w:r>
      <w:proofErr w:type="spellEnd"/>
      <w:r w:rsidRPr="00EE1E8A">
        <w:rPr>
          <w:bCs/>
          <w:i/>
        </w:rPr>
        <w:t xml:space="preserve"> 2020</w:t>
      </w:r>
    </w:p>
    <w:p w14:paraId="329B512E" w14:textId="77777777" w:rsidR="009734BB" w:rsidRPr="00EE1E8A" w:rsidRDefault="009734BB" w:rsidP="009734BB">
      <w:pPr>
        <w:pStyle w:val="naisf"/>
        <w:pBdr>
          <w:bottom w:val="single" w:sz="4" w:space="1" w:color="auto"/>
        </w:pBdr>
        <w:spacing w:before="0" w:after="0"/>
        <w:jc w:val="center"/>
        <w:rPr>
          <w:bCs/>
          <w:i/>
        </w:rPr>
      </w:pPr>
      <w:proofErr w:type="spellStart"/>
      <w:r w:rsidRPr="00EE1E8A">
        <w:rPr>
          <w:bCs/>
          <w:i/>
        </w:rPr>
        <w:t>and</w:t>
      </w:r>
      <w:proofErr w:type="spellEnd"/>
    </w:p>
    <w:p w14:paraId="0B8625C9" w14:textId="77777777" w:rsidR="009734BB" w:rsidRPr="00EE1E8A" w:rsidRDefault="009734BB" w:rsidP="009734BB">
      <w:pPr>
        <w:pStyle w:val="naisf"/>
        <w:pBdr>
          <w:bottom w:val="single" w:sz="4" w:space="1" w:color="auto"/>
        </w:pBdr>
        <w:spacing w:before="0" w:after="0"/>
        <w:jc w:val="center"/>
        <w:rPr>
          <w:bCs/>
          <w:i/>
        </w:rPr>
      </w:pPr>
      <w:proofErr w:type="spellStart"/>
      <w:r w:rsidRPr="00EE1E8A">
        <w:rPr>
          <w:bCs/>
          <w:i/>
        </w:rPr>
        <w:t>Amending</w:t>
      </w:r>
      <w:proofErr w:type="spellEnd"/>
      <w:r w:rsidRPr="00EE1E8A">
        <w:rPr>
          <w:bCs/>
          <w:i/>
        </w:rPr>
        <w:t xml:space="preserve"> </w:t>
      </w:r>
      <w:proofErr w:type="spellStart"/>
      <w:r w:rsidRPr="00EE1E8A">
        <w:rPr>
          <w:bCs/>
          <w:i/>
        </w:rPr>
        <w:t>letter</w:t>
      </w:r>
      <w:proofErr w:type="spellEnd"/>
      <w:r w:rsidRPr="00EE1E8A">
        <w:rPr>
          <w:bCs/>
          <w:i/>
        </w:rPr>
        <w:t xml:space="preserve"> No1 to </w:t>
      </w:r>
      <w:proofErr w:type="spellStart"/>
      <w:r w:rsidRPr="00EE1E8A">
        <w:rPr>
          <w:bCs/>
          <w:i/>
        </w:rPr>
        <w:t>the</w:t>
      </w:r>
      <w:proofErr w:type="spellEnd"/>
      <w:r w:rsidRPr="00EE1E8A">
        <w:rPr>
          <w:bCs/>
          <w:i/>
        </w:rPr>
        <w:t xml:space="preserve"> </w:t>
      </w:r>
      <w:proofErr w:type="spellStart"/>
      <w:r w:rsidRPr="00EE1E8A">
        <w:rPr>
          <w:bCs/>
          <w:i/>
        </w:rPr>
        <w:t>Draft</w:t>
      </w:r>
      <w:proofErr w:type="spellEnd"/>
      <w:r w:rsidRPr="00EE1E8A">
        <w:rPr>
          <w:bCs/>
          <w:i/>
        </w:rPr>
        <w:t xml:space="preserve"> </w:t>
      </w:r>
      <w:proofErr w:type="spellStart"/>
      <w:r w:rsidRPr="00EE1E8A">
        <w:rPr>
          <w:bCs/>
          <w:i/>
        </w:rPr>
        <w:t>General</w:t>
      </w:r>
      <w:proofErr w:type="spellEnd"/>
      <w:r w:rsidRPr="00EE1E8A">
        <w:rPr>
          <w:bCs/>
          <w:i/>
        </w:rPr>
        <w:t xml:space="preserve"> </w:t>
      </w:r>
      <w:proofErr w:type="spellStart"/>
      <w:r w:rsidRPr="00EE1E8A">
        <w:rPr>
          <w:bCs/>
          <w:i/>
        </w:rPr>
        <w:t>Budget</w:t>
      </w:r>
      <w:proofErr w:type="spellEnd"/>
      <w:r w:rsidRPr="00EE1E8A">
        <w:rPr>
          <w:bCs/>
          <w:i/>
        </w:rPr>
        <w:t xml:space="preserve"> 2020</w:t>
      </w:r>
    </w:p>
    <w:p w14:paraId="34643BDB" w14:textId="77777777" w:rsidR="009734BB" w:rsidRPr="00EE1E8A" w:rsidRDefault="009734BB" w:rsidP="009734BB">
      <w:pPr>
        <w:jc w:val="center"/>
        <w:rPr>
          <w:sz w:val="20"/>
          <w:lang w:val="lv-LV"/>
        </w:rPr>
      </w:pPr>
      <w:r w:rsidRPr="00EE1E8A">
        <w:rPr>
          <w:sz w:val="18"/>
          <w:szCs w:val="18"/>
          <w:lang w:val="lv-LV"/>
        </w:rPr>
        <w:t>(ES tiesību akta projekta nosaukums/izskatāmais jautājums (latviešu un angļu valodā))</w:t>
      </w:r>
    </w:p>
    <w:p w14:paraId="0458FE01" w14:textId="77777777" w:rsidR="009734BB" w:rsidRPr="00EE1E8A" w:rsidRDefault="009734BB" w:rsidP="009734BB">
      <w:pPr>
        <w:pStyle w:val="naisf"/>
        <w:spacing w:before="0" w:after="0"/>
        <w:ind w:firstLine="0"/>
      </w:pPr>
    </w:p>
    <w:tbl>
      <w:tblPr>
        <w:tblW w:w="9924" w:type="dxa"/>
        <w:tblInd w:w="-426" w:type="dxa"/>
        <w:tblLayout w:type="fixed"/>
        <w:tblLook w:val="0000" w:firstRow="0" w:lastRow="0" w:firstColumn="0" w:lastColumn="0" w:noHBand="0" w:noVBand="0"/>
      </w:tblPr>
      <w:tblGrid>
        <w:gridCol w:w="1374"/>
        <w:gridCol w:w="2160"/>
        <w:gridCol w:w="4440"/>
        <w:gridCol w:w="1680"/>
        <w:gridCol w:w="270"/>
      </w:tblGrid>
      <w:tr w:rsidR="009734BB" w:rsidRPr="00EE1E8A" w14:paraId="30A1B2BF" w14:textId="77777777" w:rsidTr="007E49BD">
        <w:tc>
          <w:tcPr>
            <w:tcW w:w="1374" w:type="dxa"/>
          </w:tcPr>
          <w:p w14:paraId="65151DBD" w14:textId="77777777" w:rsidR="009734BB" w:rsidRPr="00EE1E8A" w:rsidRDefault="009734BB" w:rsidP="007E49BD">
            <w:pPr>
              <w:jc w:val="both"/>
              <w:rPr>
                <w:sz w:val="26"/>
                <w:szCs w:val="26"/>
                <w:lang w:val="lv-LV"/>
              </w:rPr>
            </w:pPr>
            <w:r w:rsidRPr="00EE1E8A">
              <w:rPr>
                <w:sz w:val="26"/>
                <w:szCs w:val="26"/>
                <w:lang w:val="lv-LV"/>
              </w:rPr>
              <w:t>Stadija</w:t>
            </w:r>
          </w:p>
        </w:tc>
        <w:tc>
          <w:tcPr>
            <w:tcW w:w="8550" w:type="dxa"/>
            <w:gridSpan w:val="4"/>
            <w:tcBorders>
              <w:bottom w:val="single" w:sz="4" w:space="0" w:color="auto"/>
            </w:tcBorders>
          </w:tcPr>
          <w:p w14:paraId="7622D065" w14:textId="77777777" w:rsidR="009734BB" w:rsidRPr="00EE1E8A" w:rsidRDefault="009734BB" w:rsidP="007E49BD">
            <w:pPr>
              <w:rPr>
                <w:b/>
                <w:lang w:val="lv-LV"/>
              </w:rPr>
            </w:pPr>
            <w:r w:rsidRPr="00EE1E8A">
              <w:rPr>
                <w:b/>
                <w:lang w:val="lv-LV"/>
              </w:rPr>
              <w:t>Atjaunotā pozīcija – Eiropas Savienības budžeta Ekonomisko un finanšu jautājumu padomes 2019.gada 15.novembra sanāksme</w:t>
            </w:r>
          </w:p>
        </w:tc>
      </w:tr>
      <w:tr w:rsidR="009734BB" w:rsidRPr="00EE1E8A" w14:paraId="452A3BB4" w14:textId="77777777" w:rsidTr="007E49BD">
        <w:tc>
          <w:tcPr>
            <w:tcW w:w="3534" w:type="dxa"/>
            <w:gridSpan w:val="2"/>
          </w:tcPr>
          <w:p w14:paraId="46530D32" w14:textId="77777777" w:rsidR="009734BB" w:rsidRPr="00EE1E8A" w:rsidRDefault="009734BB" w:rsidP="007E49BD">
            <w:pPr>
              <w:jc w:val="both"/>
              <w:rPr>
                <w:lang w:val="lv-LV"/>
              </w:rPr>
            </w:pPr>
            <w:r w:rsidRPr="00EE1E8A">
              <w:rPr>
                <w:lang w:val="lv-LV"/>
              </w:rPr>
              <w:t>Atsauces uz ES dokumentiem</w:t>
            </w:r>
          </w:p>
          <w:p w14:paraId="7B2E1FC3" w14:textId="77777777" w:rsidR="009734BB" w:rsidRPr="006971D7" w:rsidRDefault="009734BB" w:rsidP="007E49BD">
            <w:pPr>
              <w:jc w:val="both"/>
              <w:rPr>
                <w:lang w:val="lv-LV"/>
              </w:rPr>
            </w:pPr>
          </w:p>
          <w:p w14:paraId="33856B8F" w14:textId="77777777" w:rsidR="009734BB" w:rsidRPr="005A2B67" w:rsidRDefault="009734BB" w:rsidP="007E49BD">
            <w:pPr>
              <w:jc w:val="both"/>
              <w:rPr>
                <w:highlight w:val="yellow"/>
                <w:lang w:val="lv-LV"/>
              </w:rPr>
            </w:pPr>
            <w:r w:rsidRPr="005A2B67">
              <w:rPr>
                <w:lang w:val="lv-LV"/>
              </w:rPr>
              <w:t>Atsauce uz LV dokumentiem</w:t>
            </w:r>
          </w:p>
        </w:tc>
        <w:tc>
          <w:tcPr>
            <w:tcW w:w="6390" w:type="dxa"/>
            <w:gridSpan w:val="3"/>
            <w:tcBorders>
              <w:bottom w:val="single" w:sz="4" w:space="0" w:color="auto"/>
            </w:tcBorders>
          </w:tcPr>
          <w:p w14:paraId="207C2032" w14:textId="77777777" w:rsidR="009734BB" w:rsidRPr="00EE1E8A" w:rsidRDefault="009734BB" w:rsidP="007E49BD">
            <w:pPr>
              <w:pStyle w:val="EntEmet"/>
              <w:widowControl/>
              <w:tabs>
                <w:tab w:val="clear" w:pos="284"/>
                <w:tab w:val="clear" w:pos="567"/>
                <w:tab w:val="clear" w:pos="851"/>
                <w:tab w:val="clear" w:pos="1134"/>
                <w:tab w:val="clear" w:pos="1418"/>
              </w:tabs>
              <w:spacing w:before="0"/>
              <w:jc w:val="both"/>
              <w:rPr>
                <w:szCs w:val="24"/>
                <w:lang w:val="lv-LV"/>
              </w:rPr>
            </w:pPr>
            <w:r w:rsidRPr="00EE1E8A">
              <w:rPr>
                <w:szCs w:val="24"/>
                <w:lang w:val="lv-LV"/>
              </w:rPr>
              <w:t xml:space="preserve">SEC(2019) 250; COM(2019) 487 </w:t>
            </w:r>
            <w:proofErr w:type="spellStart"/>
            <w:r w:rsidRPr="00EE1E8A">
              <w:rPr>
                <w:i/>
                <w:szCs w:val="24"/>
                <w:lang w:val="lv-LV"/>
              </w:rPr>
              <w:t>final</w:t>
            </w:r>
            <w:proofErr w:type="spellEnd"/>
            <w:r w:rsidRPr="00EE1E8A">
              <w:rPr>
                <w:i/>
                <w:szCs w:val="24"/>
                <w:lang w:val="lv-LV"/>
              </w:rPr>
              <w:t>;</w:t>
            </w:r>
            <w:r w:rsidRPr="00EE1E8A">
              <w:rPr>
                <w:szCs w:val="24"/>
                <w:lang w:val="lv-LV"/>
              </w:rPr>
              <w:t xml:space="preserve"> COM(2019) 252 </w:t>
            </w:r>
            <w:proofErr w:type="spellStart"/>
            <w:r w:rsidRPr="00EE1E8A">
              <w:rPr>
                <w:i/>
                <w:szCs w:val="24"/>
                <w:lang w:val="lv-LV"/>
              </w:rPr>
              <w:t>final</w:t>
            </w:r>
            <w:proofErr w:type="spellEnd"/>
            <w:r w:rsidRPr="00EE1E8A">
              <w:rPr>
                <w:szCs w:val="24"/>
                <w:lang w:val="lv-LV"/>
              </w:rPr>
              <w:t xml:space="preserve">; COM(2019) 251 </w:t>
            </w:r>
            <w:proofErr w:type="spellStart"/>
            <w:r w:rsidRPr="00EE1E8A">
              <w:rPr>
                <w:i/>
                <w:szCs w:val="24"/>
                <w:lang w:val="lv-LV"/>
              </w:rPr>
              <w:t>final</w:t>
            </w:r>
            <w:proofErr w:type="spellEnd"/>
            <w:r w:rsidRPr="00EE1E8A">
              <w:rPr>
                <w:szCs w:val="24"/>
                <w:lang w:val="lv-LV"/>
              </w:rPr>
              <w:t>;</w:t>
            </w:r>
            <w:r w:rsidRPr="00EE1E8A">
              <w:rPr>
                <w:i/>
                <w:szCs w:val="24"/>
                <w:lang w:val="lv-LV"/>
              </w:rPr>
              <w:t xml:space="preserve"> </w:t>
            </w:r>
            <w:r w:rsidRPr="00EE1E8A">
              <w:rPr>
                <w:szCs w:val="24"/>
                <w:lang w:val="lv-LV"/>
              </w:rPr>
              <w:t xml:space="preserve">ST 11734/19; ST 11734/19 ADD 1-4 </w:t>
            </w:r>
          </w:p>
          <w:p w14:paraId="54EBF06F" w14:textId="2DD0C846" w:rsidR="009734BB" w:rsidRPr="00EE1E8A" w:rsidRDefault="009734BB" w:rsidP="007E49BD">
            <w:pPr>
              <w:pStyle w:val="EntEmet"/>
              <w:widowControl/>
              <w:tabs>
                <w:tab w:val="clear" w:pos="284"/>
                <w:tab w:val="clear" w:pos="567"/>
                <w:tab w:val="clear" w:pos="851"/>
                <w:tab w:val="clear" w:pos="1134"/>
                <w:tab w:val="clear" w:pos="1418"/>
              </w:tabs>
              <w:spacing w:before="120" w:after="120"/>
              <w:jc w:val="both"/>
              <w:rPr>
                <w:lang w:val="lv-LV"/>
              </w:rPr>
            </w:pPr>
            <w:r w:rsidRPr="00EE1E8A">
              <w:rPr>
                <w:szCs w:val="24"/>
                <w:lang w:val="lv-LV"/>
              </w:rPr>
              <w:t xml:space="preserve">Pozīcija Nr.1 Par Eiropas Savienības 2020.gada budžeta projektu (apstiprināta 9.07.2019. MK, prot. Nr.32, </w:t>
            </w:r>
            <w:bookmarkStart w:id="1" w:name="36"/>
            <w:r w:rsidRPr="00EE1E8A">
              <w:rPr>
                <w:szCs w:val="24"/>
                <w:lang w:val="lv-LV"/>
              </w:rPr>
              <w:t>61</w:t>
            </w:r>
            <w:r w:rsidRPr="00EE1E8A">
              <w:rPr>
                <w:lang w:val="lv-LV"/>
              </w:rPr>
              <w:t>.§</w:t>
            </w:r>
            <w:bookmarkEnd w:id="1"/>
            <w:r w:rsidRPr="00EE1E8A">
              <w:rPr>
                <w:lang w:val="lv-LV"/>
              </w:rPr>
              <w:t>)</w:t>
            </w:r>
          </w:p>
          <w:p w14:paraId="7A73BD18" w14:textId="77777777" w:rsidR="009734BB" w:rsidRPr="00EE1E8A" w:rsidRDefault="009734BB" w:rsidP="007E49BD">
            <w:pPr>
              <w:pStyle w:val="EntEmet"/>
              <w:widowControl/>
              <w:tabs>
                <w:tab w:val="clear" w:pos="284"/>
                <w:tab w:val="clear" w:pos="567"/>
                <w:tab w:val="clear" w:pos="851"/>
                <w:tab w:val="clear" w:pos="1134"/>
                <w:tab w:val="clear" w:pos="1418"/>
              </w:tabs>
              <w:spacing w:before="0"/>
              <w:jc w:val="both"/>
              <w:rPr>
                <w:szCs w:val="24"/>
                <w:lang w:val="lv-LV"/>
              </w:rPr>
            </w:pPr>
          </w:p>
        </w:tc>
      </w:tr>
      <w:tr w:rsidR="009734BB" w:rsidRPr="00EE1E8A" w14:paraId="60ED363E"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00413725" w14:textId="77777777" w:rsidR="009734BB" w:rsidRPr="00EE1E8A" w:rsidRDefault="009734BB" w:rsidP="007E49BD">
            <w:pPr>
              <w:spacing w:before="120" w:after="120"/>
              <w:jc w:val="center"/>
              <w:rPr>
                <w:b/>
                <w:lang w:val="lv-LV"/>
              </w:rPr>
            </w:pPr>
            <w:r w:rsidRPr="00EE1E8A">
              <w:rPr>
                <w:b/>
                <w:lang w:val="lv-LV"/>
              </w:rPr>
              <w:t>1. ES tiesību akta projekta/izskatāmā jautājuma īss apraksts</w:t>
            </w:r>
          </w:p>
        </w:tc>
      </w:tr>
      <w:tr w:rsidR="009734BB" w:rsidRPr="00EE1E8A" w14:paraId="26402DCD"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9924" w:type="dxa"/>
            <w:gridSpan w:val="5"/>
          </w:tcPr>
          <w:p w14:paraId="0746E463" w14:textId="77777777" w:rsidR="009734BB" w:rsidRPr="00EE1E8A" w:rsidRDefault="009734BB" w:rsidP="007E49BD">
            <w:pPr>
              <w:autoSpaceDE w:val="0"/>
              <w:autoSpaceDN w:val="0"/>
              <w:adjustRightInd w:val="0"/>
              <w:spacing w:before="120" w:after="120"/>
              <w:jc w:val="both"/>
              <w:rPr>
                <w:lang w:val="lv-LV"/>
              </w:rPr>
            </w:pPr>
            <w:r w:rsidRPr="00EE1E8A">
              <w:rPr>
                <w:lang w:val="lv-LV"/>
              </w:rPr>
              <w:t xml:space="preserve">2019.gada </w:t>
            </w:r>
            <w:r w:rsidRPr="00EE1E8A">
              <w:rPr>
                <w:b/>
                <w:lang w:val="lv-LV"/>
              </w:rPr>
              <w:t>15.novembra</w:t>
            </w:r>
            <w:r w:rsidRPr="00EE1E8A">
              <w:rPr>
                <w:lang w:val="lv-LV"/>
              </w:rPr>
              <w:t xml:space="preserve"> Eiropas Savienības (turpmāk – ES) </w:t>
            </w:r>
            <w:r w:rsidRPr="00EE1E8A">
              <w:rPr>
                <w:b/>
                <w:lang w:val="lv-LV"/>
              </w:rPr>
              <w:t>budžeta Ekonomisko un finanšu jautājumu Padomes</w:t>
            </w:r>
            <w:r w:rsidRPr="006971D7">
              <w:rPr>
                <w:lang w:val="lv-LV"/>
              </w:rPr>
              <w:t xml:space="preserve"> (turpmāk – budžeta ECOFIN) sanāksme tradicionāli tiek sasaukta, lai </w:t>
            </w:r>
            <w:r w:rsidRPr="005A2B67">
              <w:rPr>
                <w:b/>
                <w:lang w:val="lv-LV"/>
              </w:rPr>
              <w:t>sagatavotos samierināšanas komitejas</w:t>
            </w:r>
            <w:r w:rsidRPr="005A2B67">
              <w:rPr>
                <w:lang w:val="lv-LV"/>
              </w:rPr>
              <w:t xml:space="preserve"> sanāksmei </w:t>
            </w:r>
            <w:r w:rsidRPr="005A2B67">
              <w:rPr>
                <w:b/>
                <w:lang w:val="lv-LV"/>
              </w:rPr>
              <w:t>ar Eiropas Parlamentu</w:t>
            </w:r>
            <w:r w:rsidRPr="005A2B67">
              <w:rPr>
                <w:lang w:val="lv-LV"/>
              </w:rPr>
              <w:t xml:space="preserve"> (turpmāk – EP), kuras laikā </w:t>
            </w:r>
            <w:r w:rsidRPr="00EE1E8A">
              <w:rPr>
                <w:b/>
                <w:lang w:val="lv-LV"/>
              </w:rPr>
              <w:t>abām budžeta lēmējinstitūcijām paredzēts vienoties par 2020.gada ES vispārējo budžeta projektu</w:t>
            </w:r>
            <w:r w:rsidRPr="00EE1E8A">
              <w:rPr>
                <w:lang w:val="lv-LV"/>
              </w:rPr>
              <w:t xml:space="preserve"> (turpmāk – BP). </w:t>
            </w:r>
          </w:p>
          <w:p w14:paraId="45B44F21" w14:textId="2983F639" w:rsidR="009734BB" w:rsidRPr="00EE1E8A" w:rsidRDefault="009734BB" w:rsidP="007E49BD">
            <w:pPr>
              <w:autoSpaceDE w:val="0"/>
              <w:autoSpaceDN w:val="0"/>
              <w:adjustRightInd w:val="0"/>
              <w:spacing w:before="120" w:after="120"/>
              <w:jc w:val="both"/>
              <w:rPr>
                <w:lang w:val="lv-LV"/>
              </w:rPr>
            </w:pPr>
            <w:r w:rsidRPr="00EE1E8A">
              <w:rPr>
                <w:lang w:val="lv-LV"/>
              </w:rPr>
              <w:t xml:space="preserve">Saskaņā ar Līguma par ES darbību (turpmāk – LESD) 314.pantu vienošanās budžeta lēmējinstitūcijām ir jāpanāk </w:t>
            </w:r>
            <w:r w:rsidRPr="00EE1E8A">
              <w:rPr>
                <w:b/>
                <w:lang w:val="lv-LV"/>
              </w:rPr>
              <w:t>divdesmit vienas dienas laikā</w:t>
            </w:r>
            <w:r w:rsidRPr="00EE1E8A">
              <w:rPr>
                <w:lang w:val="lv-LV"/>
              </w:rPr>
              <w:t xml:space="preserve"> (šogad samierināšanas procedūra ilgst no </w:t>
            </w:r>
            <w:r w:rsidR="007143AD">
              <w:rPr>
                <w:lang w:val="lv-LV"/>
              </w:rPr>
              <w:t xml:space="preserve">š.g. </w:t>
            </w:r>
            <w:r w:rsidRPr="00EE1E8A">
              <w:rPr>
                <w:lang w:val="lv-LV"/>
              </w:rPr>
              <w:t xml:space="preserve">29.oktobra līdz 18.novembrim). </w:t>
            </w:r>
            <w:r w:rsidRPr="00EE1E8A">
              <w:rPr>
                <w:b/>
                <w:lang w:val="lv-LV"/>
              </w:rPr>
              <w:t>Procedūras</w:t>
            </w:r>
            <w:r w:rsidRPr="00EE1E8A">
              <w:rPr>
                <w:lang w:val="lv-LV"/>
              </w:rPr>
              <w:t xml:space="preserve"> ietvaros pirmā samierināšanas sanāksme ieplānota </w:t>
            </w:r>
            <w:r w:rsidR="00772C5B">
              <w:rPr>
                <w:lang w:val="lv-LV"/>
              </w:rPr>
              <w:t xml:space="preserve">š.g. </w:t>
            </w:r>
            <w:r w:rsidRPr="00EE1E8A">
              <w:rPr>
                <w:lang w:val="lv-LV"/>
              </w:rPr>
              <w:t xml:space="preserve">4.novembrī, savukārt, otrā sanāksme paredzēta </w:t>
            </w:r>
            <w:r w:rsidR="0077038D">
              <w:rPr>
                <w:lang w:val="lv-LV"/>
              </w:rPr>
              <w:t xml:space="preserve">š.g. </w:t>
            </w:r>
            <w:r w:rsidRPr="00EE1E8A">
              <w:rPr>
                <w:lang w:val="lv-LV"/>
              </w:rPr>
              <w:t xml:space="preserve">15.novembrī, pēc budžeta ECOFIN. Samierināšanas procedūras būtība paredz institūciju vienošanos par kopīgu dokumentu, bet, ja noteiktajā laika grafikā šāda vienošanās nav panākta, Eiropas Komisijai (turpmāk – EK) jāiesniedz jauns BP nākamajam finanšu gadam. </w:t>
            </w:r>
          </w:p>
          <w:p w14:paraId="314C826D" w14:textId="79415F56" w:rsidR="009734BB" w:rsidRPr="00EE1E8A" w:rsidRDefault="009734BB" w:rsidP="007E49BD">
            <w:pPr>
              <w:autoSpaceDE w:val="0"/>
              <w:autoSpaceDN w:val="0"/>
              <w:adjustRightInd w:val="0"/>
              <w:spacing w:before="120" w:after="120"/>
              <w:jc w:val="both"/>
              <w:rPr>
                <w:lang w:val="lv-LV"/>
              </w:rPr>
            </w:pPr>
            <w:r w:rsidRPr="00EE1E8A">
              <w:rPr>
                <w:lang w:val="lv-LV"/>
              </w:rPr>
              <w:t xml:space="preserve">Uz š.g. 5.jūnijā EK iesniegtā 2020.gada BP pamata </w:t>
            </w:r>
            <w:r w:rsidRPr="00EE1E8A">
              <w:rPr>
                <w:b/>
                <w:lang w:val="lv-LV"/>
              </w:rPr>
              <w:t>Padome</w:t>
            </w:r>
            <w:r w:rsidRPr="00EE1E8A">
              <w:rPr>
                <w:lang w:val="lv-LV"/>
              </w:rPr>
              <w:t xml:space="preserve"> vienošanos par savu </w:t>
            </w:r>
            <w:r w:rsidRPr="00EE1E8A">
              <w:rPr>
                <w:b/>
                <w:lang w:val="lv-LV"/>
              </w:rPr>
              <w:t>pozīciju</w:t>
            </w:r>
            <w:r w:rsidRPr="00EE1E8A">
              <w:rPr>
                <w:lang w:val="lv-LV"/>
              </w:rPr>
              <w:t xml:space="preserve"> panāca š.g.</w:t>
            </w:r>
            <w:r w:rsidR="008C4C37">
              <w:rPr>
                <w:lang w:val="lv-LV"/>
              </w:rPr>
              <w:t xml:space="preserve"> </w:t>
            </w:r>
            <w:r w:rsidRPr="00EE1E8A">
              <w:rPr>
                <w:lang w:val="lv-LV"/>
              </w:rPr>
              <w:t xml:space="preserve">10.jūlija Pastāvīgo pārstāvju komitejas (turpmāk – COREPERII) līmenī un apstiprināja ar rakstisko </w:t>
            </w:r>
            <w:r w:rsidRPr="00EE1E8A">
              <w:rPr>
                <w:lang w:val="lv-LV"/>
              </w:rPr>
              <w:lastRenderedPageBreak/>
              <w:t xml:space="preserve">procedūru </w:t>
            </w:r>
            <w:r w:rsidR="007143AD">
              <w:rPr>
                <w:lang w:val="lv-LV"/>
              </w:rPr>
              <w:t>š.g.</w:t>
            </w:r>
            <w:r w:rsidRPr="00EE1E8A">
              <w:rPr>
                <w:b/>
                <w:lang w:val="lv-LV"/>
              </w:rPr>
              <w:t>3.septembrī</w:t>
            </w:r>
            <w:r w:rsidRPr="00EE1E8A">
              <w:rPr>
                <w:lang w:val="lv-LV"/>
              </w:rPr>
              <w:t xml:space="preserve">. </w:t>
            </w:r>
            <w:r w:rsidRPr="00EE1E8A">
              <w:rPr>
                <w:b/>
                <w:lang w:val="lv-LV"/>
              </w:rPr>
              <w:t>EP</w:t>
            </w:r>
            <w:r w:rsidRPr="00EE1E8A">
              <w:rPr>
                <w:lang w:val="lv-LV"/>
              </w:rPr>
              <w:t xml:space="preserve"> neatbalstīja Padomes pozīciju un ierosināja izmaiņas, savas institūcijas </w:t>
            </w:r>
            <w:r w:rsidRPr="00EE1E8A">
              <w:rPr>
                <w:b/>
                <w:lang w:val="lv-LV"/>
              </w:rPr>
              <w:t>pozīciju</w:t>
            </w:r>
            <w:r w:rsidRPr="00EE1E8A">
              <w:rPr>
                <w:lang w:val="lv-LV"/>
              </w:rPr>
              <w:t xml:space="preserve"> apstiprinot </w:t>
            </w:r>
            <w:r w:rsidR="007143AD">
              <w:rPr>
                <w:lang w:val="lv-LV"/>
              </w:rPr>
              <w:t>š.g.</w:t>
            </w:r>
            <w:r w:rsidRPr="00EE1E8A">
              <w:rPr>
                <w:b/>
                <w:lang w:val="lv-LV"/>
              </w:rPr>
              <w:t>23.oktobra</w:t>
            </w:r>
            <w:r w:rsidRPr="00EE1E8A">
              <w:rPr>
                <w:lang w:val="lv-LV"/>
              </w:rPr>
              <w:t xml:space="preserve"> plenārsēdē. </w:t>
            </w:r>
          </w:p>
          <w:p w14:paraId="6326F517" w14:textId="77777777" w:rsidR="00ED047C" w:rsidRDefault="00ED047C" w:rsidP="007E49BD">
            <w:pPr>
              <w:autoSpaceDE w:val="0"/>
              <w:autoSpaceDN w:val="0"/>
              <w:adjustRightInd w:val="0"/>
              <w:spacing w:before="120" w:after="120"/>
              <w:jc w:val="both"/>
              <w:rPr>
                <w:b/>
                <w:i/>
                <w:lang w:val="lv-LV"/>
              </w:rPr>
            </w:pPr>
          </w:p>
          <w:p w14:paraId="5F34567A" w14:textId="36868EF4" w:rsidR="009734BB" w:rsidRPr="00EE1E8A" w:rsidRDefault="009734BB" w:rsidP="007E49BD">
            <w:pPr>
              <w:autoSpaceDE w:val="0"/>
              <w:autoSpaceDN w:val="0"/>
              <w:adjustRightInd w:val="0"/>
              <w:spacing w:before="120" w:after="120"/>
              <w:jc w:val="both"/>
              <w:rPr>
                <w:b/>
                <w:i/>
                <w:lang w:val="lv-LV"/>
              </w:rPr>
            </w:pPr>
            <w:r w:rsidRPr="00EE1E8A">
              <w:rPr>
                <w:b/>
                <w:i/>
                <w:lang w:val="lv-LV"/>
              </w:rPr>
              <w:t>Budžeta prioritātes un veidošanas principi</w:t>
            </w:r>
          </w:p>
          <w:p w14:paraId="75E68013" w14:textId="2A8EFCB4" w:rsidR="009734BB" w:rsidRPr="00EE1E8A" w:rsidRDefault="009734BB" w:rsidP="007E49BD">
            <w:pPr>
              <w:autoSpaceDE w:val="0"/>
              <w:autoSpaceDN w:val="0"/>
              <w:adjustRightInd w:val="0"/>
              <w:spacing w:before="120" w:after="120"/>
              <w:jc w:val="both"/>
              <w:rPr>
                <w:lang w:val="lv-LV"/>
              </w:rPr>
            </w:pPr>
            <w:r w:rsidRPr="00EE1E8A">
              <w:rPr>
                <w:lang w:val="lv-LV"/>
              </w:rPr>
              <w:t xml:space="preserve">2020.gads ir pēdējais Daudzgadu finanšu shēmā (turpmāk – DFS; jeb </w:t>
            </w:r>
            <w:proofErr w:type="spellStart"/>
            <w:r w:rsidRPr="00EE1E8A">
              <w:rPr>
                <w:i/>
                <w:lang w:val="lv-LV"/>
              </w:rPr>
              <w:t>Multiannual</w:t>
            </w:r>
            <w:proofErr w:type="spellEnd"/>
            <w:r w:rsidRPr="00EE1E8A">
              <w:rPr>
                <w:i/>
                <w:lang w:val="lv-LV"/>
              </w:rPr>
              <w:t xml:space="preserve"> </w:t>
            </w:r>
            <w:proofErr w:type="spellStart"/>
            <w:r w:rsidRPr="00EE1E8A">
              <w:rPr>
                <w:i/>
                <w:lang w:val="lv-LV"/>
              </w:rPr>
              <w:t>financial</w:t>
            </w:r>
            <w:proofErr w:type="spellEnd"/>
            <w:r w:rsidRPr="00EE1E8A">
              <w:rPr>
                <w:i/>
                <w:lang w:val="lv-LV"/>
              </w:rPr>
              <w:t xml:space="preserve"> </w:t>
            </w:r>
            <w:proofErr w:type="spellStart"/>
            <w:r w:rsidRPr="00EE1E8A">
              <w:rPr>
                <w:i/>
                <w:lang w:val="lv-LV"/>
              </w:rPr>
              <w:t>framework</w:t>
            </w:r>
            <w:proofErr w:type="spellEnd"/>
            <w:r w:rsidRPr="00EE1E8A">
              <w:rPr>
                <w:i/>
                <w:lang w:val="lv-LV"/>
              </w:rPr>
              <w:t xml:space="preserve"> - MFF</w:t>
            </w:r>
            <w:r w:rsidRPr="00EE1E8A">
              <w:rPr>
                <w:lang w:val="lv-LV"/>
              </w:rPr>
              <w:t xml:space="preserve">) 2014.-2020.gadam. Tas ir arī pēdējais BP, kuru iesniegusi Ž.K. Junkera vadītā EK, līdz ar to 2020.gadā turpinās šī EK sastāva prioritāšu uzturēšana – turpināt investīcijas nodarbinātībā un izaugsmē, stiprināt sociālo taisnīgumu, padziļināt ekonomisko un monetāro savienību, pārvaldīt migrācijas krīzi un mazināt drošības draudus, veidojot novatorisku digitālo vienoto tirgu un enerģētikas tirgu, kā arī uz nākotni vērstu klimata politiku. </w:t>
            </w:r>
            <w:r w:rsidR="00791D49" w:rsidRPr="00EE1E8A">
              <w:rPr>
                <w:lang w:val="lv-LV"/>
              </w:rPr>
              <w:t>Vienlaikus BP 2020</w:t>
            </w:r>
            <w:r w:rsidR="00B27F09" w:rsidRPr="00EE1E8A">
              <w:rPr>
                <w:lang w:val="lv-LV"/>
              </w:rPr>
              <w:t xml:space="preserve"> daļēji</w:t>
            </w:r>
            <w:r w:rsidR="00791D49" w:rsidRPr="00EE1E8A">
              <w:rPr>
                <w:lang w:val="lv-LV"/>
              </w:rPr>
              <w:t xml:space="preserve"> </w:t>
            </w:r>
            <w:r w:rsidR="00F62EFC">
              <w:rPr>
                <w:lang w:val="lv-LV"/>
              </w:rPr>
              <w:t>iezīmē</w:t>
            </w:r>
            <w:r w:rsidR="00F62EFC" w:rsidRPr="00EE1E8A">
              <w:rPr>
                <w:lang w:val="lv-LV"/>
              </w:rPr>
              <w:t xml:space="preserve"> </w:t>
            </w:r>
            <w:r w:rsidR="00791D49" w:rsidRPr="00EE1E8A">
              <w:rPr>
                <w:lang w:val="lv-LV"/>
              </w:rPr>
              <w:t xml:space="preserve">arī </w:t>
            </w:r>
            <w:r w:rsidR="00B27F09" w:rsidRPr="00EE1E8A">
              <w:rPr>
                <w:lang w:val="lv-LV"/>
              </w:rPr>
              <w:t>il</w:t>
            </w:r>
            <w:r w:rsidR="00D87A76" w:rsidRPr="00EE1E8A">
              <w:rPr>
                <w:lang w:val="lv-LV"/>
              </w:rPr>
              <w:t>g</w:t>
            </w:r>
            <w:r w:rsidR="00B27F09" w:rsidRPr="00EE1E8A">
              <w:rPr>
                <w:lang w:val="lv-LV"/>
              </w:rPr>
              <w:t>termiņa</w:t>
            </w:r>
            <w:r w:rsidR="00791D49" w:rsidRPr="00EE1E8A">
              <w:rPr>
                <w:lang w:val="lv-LV"/>
              </w:rPr>
              <w:t xml:space="preserve"> pieeju attiecībā uz “jaunās paaudzes” programmām, kuras EK piedāvā</w:t>
            </w:r>
            <w:r w:rsidR="00D87A76" w:rsidRPr="00EE1E8A">
              <w:rPr>
                <w:lang w:val="lv-LV"/>
              </w:rPr>
              <w:t>s</w:t>
            </w:r>
            <w:r w:rsidR="00791D49" w:rsidRPr="00EE1E8A">
              <w:rPr>
                <w:lang w:val="lv-LV"/>
              </w:rPr>
              <w:t xml:space="preserve"> uzsākt no 2021.gada.</w:t>
            </w:r>
          </w:p>
          <w:p w14:paraId="26CC5F7A" w14:textId="52004F02" w:rsidR="009734BB" w:rsidRPr="006971D7" w:rsidRDefault="009734BB" w:rsidP="007E49BD">
            <w:pPr>
              <w:autoSpaceDE w:val="0"/>
              <w:autoSpaceDN w:val="0"/>
              <w:adjustRightInd w:val="0"/>
              <w:spacing w:before="120" w:after="120"/>
              <w:jc w:val="both"/>
              <w:rPr>
                <w:lang w:val="lv-LV"/>
              </w:rPr>
            </w:pPr>
            <w:r w:rsidRPr="00EE1E8A">
              <w:rPr>
                <w:lang w:val="lv-LV"/>
              </w:rPr>
              <w:t>Attiecībā uz Apvienotās Karalistes (turpmāk – AK) lēmuma par izstāšanos no ES ietekmi uz 2020. finanšu gada ES vispārējo budžetu, jāņem vērā kopējais izstāšanās process</w:t>
            </w:r>
            <w:r w:rsidRPr="00EE1E8A">
              <w:rPr>
                <w:rStyle w:val="FootnoteReference"/>
                <w:lang w:val="lv-LV"/>
              </w:rPr>
              <w:footnoteReference w:id="2"/>
            </w:r>
            <w:r w:rsidRPr="00EE1E8A">
              <w:rPr>
                <w:lang w:val="lv-LV"/>
              </w:rPr>
              <w:t xml:space="preserve">, BP 2020.gadam iesniegts, iekļaujot AK kā pilntiesīgu dalībvalsti, kas nozīmē, ka budžeta tāmē </w:t>
            </w:r>
            <w:r w:rsidR="00DE555B" w:rsidRPr="00EE1E8A">
              <w:rPr>
                <w:lang w:val="lv-LV"/>
              </w:rPr>
              <w:t xml:space="preserve">paredzēts, ka </w:t>
            </w:r>
            <w:r w:rsidRPr="00EE1E8A">
              <w:rPr>
                <w:lang w:val="lv-LV"/>
              </w:rPr>
              <w:t>AK gan pilnā apmērā veiks iemaksas (pašu resursus) nākamā gada ES vispārējā budžetā, gan būs tiesīga saņemt finansējumu no tā.</w:t>
            </w:r>
          </w:p>
          <w:p w14:paraId="0977877E" w14:textId="77777777" w:rsidR="009734BB" w:rsidRPr="005A2B67" w:rsidRDefault="009734BB" w:rsidP="007E49BD">
            <w:pPr>
              <w:autoSpaceDE w:val="0"/>
              <w:autoSpaceDN w:val="0"/>
              <w:adjustRightInd w:val="0"/>
              <w:spacing w:before="120" w:after="120"/>
              <w:jc w:val="both"/>
              <w:rPr>
                <w:b/>
                <w:i/>
                <w:lang w:val="lv-LV"/>
              </w:rPr>
            </w:pPr>
            <w:r w:rsidRPr="005A2B67">
              <w:rPr>
                <w:b/>
                <w:i/>
                <w:lang w:val="lv-LV"/>
              </w:rPr>
              <w:t>Institūciju ierosinātie kopapjomi budžetam</w:t>
            </w:r>
          </w:p>
          <w:p w14:paraId="49959AC7" w14:textId="5364BF60" w:rsidR="009734BB" w:rsidRPr="005A2B67" w:rsidRDefault="009734BB" w:rsidP="007E49BD">
            <w:pPr>
              <w:autoSpaceDE w:val="0"/>
              <w:autoSpaceDN w:val="0"/>
              <w:adjustRightInd w:val="0"/>
              <w:spacing w:before="120" w:after="120"/>
              <w:jc w:val="both"/>
              <w:rPr>
                <w:lang w:val="lv-LV"/>
              </w:rPr>
            </w:pPr>
            <w:r w:rsidRPr="00EE1E8A">
              <w:rPr>
                <w:b/>
                <w:lang w:val="lv-LV"/>
              </w:rPr>
              <w:t xml:space="preserve">EK 2020.g. </w:t>
            </w:r>
            <w:r w:rsidRPr="00EE1E8A">
              <w:rPr>
                <w:lang w:val="lv-LV"/>
              </w:rPr>
              <w:t xml:space="preserve">iesniegtajā BP kopējais </w:t>
            </w:r>
            <w:r w:rsidRPr="00EE1E8A">
              <w:rPr>
                <w:b/>
                <w:lang w:val="lv-LV"/>
              </w:rPr>
              <w:t>saistību apropriāciju</w:t>
            </w:r>
            <w:r w:rsidRPr="00EE1E8A">
              <w:rPr>
                <w:lang w:val="lv-LV"/>
              </w:rPr>
              <w:t xml:space="preserve"> (turpmāk –SA) apjoms veido </w:t>
            </w:r>
            <w:r w:rsidRPr="00EE1E8A">
              <w:rPr>
                <w:b/>
                <w:lang w:val="lv-LV"/>
              </w:rPr>
              <w:t>168 271,7 milj. EUR</w:t>
            </w:r>
            <w:r w:rsidRPr="00EE1E8A">
              <w:rPr>
                <w:lang w:val="lv-LV"/>
              </w:rPr>
              <w:t xml:space="preserve"> un kopējais </w:t>
            </w:r>
            <w:r w:rsidRPr="00EE1E8A">
              <w:rPr>
                <w:b/>
                <w:lang w:val="lv-LV"/>
              </w:rPr>
              <w:t xml:space="preserve">maksājumu apropriāciju </w:t>
            </w:r>
            <w:r w:rsidRPr="00EE1E8A">
              <w:rPr>
                <w:lang w:val="lv-LV"/>
              </w:rPr>
              <w:t xml:space="preserve">(turpmāk – MA) apjoms veido </w:t>
            </w:r>
            <w:r w:rsidRPr="00EE1E8A">
              <w:rPr>
                <w:b/>
                <w:lang w:val="lv-LV"/>
              </w:rPr>
              <w:t>153 620,7 milj. EUR</w:t>
            </w:r>
            <w:r w:rsidRPr="00EE1E8A">
              <w:rPr>
                <w:lang w:val="lv-LV"/>
              </w:rPr>
              <w:t>. Augstāk minētais apropriāciju kopapjoms veido salīdzinoši lielas budžeta rezerves līdz DFS noteiktajiem ierobežojumiem jeb griestiem – budžeta rezerve SA veido 1 781,0 milj. EUR, bet vispārējā MA rezerve veido 20 067,6 milj. EUR. Virs DFS noteiktajiem griestiem, bet iekļaujoties augstāk minētajā izdevumu kategoriju apropriāciju kopējā apjomā, 2020.gadam tiek piedāvāts mobilizēt arī Elastības instrumentu</w:t>
            </w:r>
            <w:r w:rsidRPr="00EE1E8A">
              <w:rPr>
                <w:rStyle w:val="FootnoteReference"/>
                <w:lang w:val="lv-LV"/>
              </w:rPr>
              <w:footnoteReference w:id="3"/>
            </w:r>
            <w:r w:rsidRPr="00EE1E8A">
              <w:rPr>
                <w:lang w:val="lv-LV"/>
              </w:rPr>
              <w:t xml:space="preserve"> 778,1 milj. EUR apmērā, lai nodrošinātu papildu resursus 3.izdevumu kategorijā ar migrāciju saistītiem izdevumiem, kā arī 141,9 milj. EUR apmērā Vispārējo saistību rezervi</w:t>
            </w:r>
            <w:r w:rsidRPr="00EE1E8A">
              <w:rPr>
                <w:rStyle w:val="FootnoteReference"/>
                <w:lang w:val="lv-LV"/>
              </w:rPr>
              <w:footnoteReference w:id="4"/>
            </w:r>
            <w:r w:rsidRPr="00EE1E8A">
              <w:rPr>
                <w:lang w:val="lv-LV"/>
              </w:rPr>
              <w:t xml:space="preserve">, kuru EK paredz izmantot Jauniešu nodarbinātības iniciatīvas (turpmāk </w:t>
            </w:r>
            <w:r w:rsidR="00F14021" w:rsidRPr="00EE1E8A">
              <w:rPr>
                <w:lang w:val="lv-LV"/>
              </w:rPr>
              <w:t>–</w:t>
            </w:r>
            <w:r w:rsidRPr="00EE1E8A">
              <w:rPr>
                <w:lang w:val="lv-LV"/>
              </w:rPr>
              <w:t xml:space="preserve"> JNI</w:t>
            </w:r>
            <w:r w:rsidR="00F14021" w:rsidRPr="00EE1E8A">
              <w:rPr>
                <w:lang w:val="lv-LV"/>
              </w:rPr>
              <w:t>/ YEI</w:t>
            </w:r>
            <w:r w:rsidRPr="00EE1E8A">
              <w:rPr>
                <w:lang w:val="lv-LV"/>
              </w:rPr>
              <w:t>) un Strukturālo reformu atbalsta programmas (turpmāk - SRSP) finansēšanai 1b. izdevumu kategorijā. Cit</w:t>
            </w:r>
            <w:r w:rsidR="00F14021" w:rsidRPr="006971D7">
              <w:rPr>
                <w:lang w:val="lv-LV"/>
              </w:rPr>
              <w:t>u</w:t>
            </w:r>
            <w:r w:rsidRPr="006971D7">
              <w:rPr>
                <w:lang w:val="lv-LV"/>
              </w:rPr>
              <w:t xml:space="preserve"> īpašo instrumentu finansējums 2020.gadā noteikts šādā apjomā: Ārkārtas palīdzības reze</w:t>
            </w:r>
            <w:r w:rsidRPr="005A2B67">
              <w:rPr>
                <w:lang w:val="lv-LV"/>
              </w:rPr>
              <w:t>rve – gan SA, gan MA 358,5 milj. EUR; Eiropas Globalizācijas pielāgošanas fonds – SA 179,3 milj. EUR un MA 10 milj. EUR; ES Solidaritātes fonds – SA un MA 50 milj. EUR.</w:t>
            </w:r>
          </w:p>
          <w:p w14:paraId="0B5FB25E" w14:textId="7FDC974E" w:rsidR="009734BB" w:rsidRPr="005A2B67" w:rsidRDefault="009734BB" w:rsidP="007E49BD">
            <w:pPr>
              <w:autoSpaceDE w:val="0"/>
              <w:autoSpaceDN w:val="0"/>
              <w:adjustRightInd w:val="0"/>
              <w:spacing w:before="120" w:after="120"/>
              <w:jc w:val="both"/>
              <w:rPr>
                <w:lang w:val="lv-LV"/>
              </w:rPr>
            </w:pPr>
            <w:r w:rsidRPr="00EE1E8A">
              <w:rPr>
                <w:lang w:val="lv-LV"/>
              </w:rPr>
              <w:lastRenderedPageBreak/>
              <w:t>Pamatojoties uz finanšu noteikumiem, ko piemēro ES vispārējām budžetam</w:t>
            </w:r>
            <w:r w:rsidRPr="00EE1E8A">
              <w:rPr>
                <w:rStyle w:val="FootnoteReference"/>
                <w:lang w:val="lv-LV"/>
              </w:rPr>
              <w:footnoteReference w:id="5"/>
            </w:r>
            <w:r w:rsidRPr="00EE1E8A">
              <w:rPr>
                <w:lang w:val="lv-LV"/>
              </w:rPr>
              <w:t xml:space="preserve">, EK š.g. 18.oktobrī tradicionāli iesniedza </w:t>
            </w:r>
            <w:r w:rsidRPr="00EE1E8A">
              <w:rPr>
                <w:b/>
                <w:lang w:val="lv-LV"/>
              </w:rPr>
              <w:t>grozījumu vēstuli Nr.1/2020</w:t>
            </w:r>
            <w:r w:rsidRPr="00EE1E8A">
              <w:rPr>
                <w:lang w:val="lv-LV"/>
              </w:rPr>
              <w:t xml:space="preserve"> (turpmāk – grozījumu vēstule jeb </w:t>
            </w:r>
            <w:proofErr w:type="spellStart"/>
            <w:r w:rsidRPr="00EE1E8A">
              <w:rPr>
                <w:i/>
                <w:lang w:val="lv-LV"/>
              </w:rPr>
              <w:t>Amending</w:t>
            </w:r>
            <w:proofErr w:type="spellEnd"/>
            <w:r w:rsidRPr="00EE1E8A">
              <w:rPr>
                <w:i/>
                <w:lang w:val="lv-LV"/>
              </w:rPr>
              <w:t xml:space="preserve"> </w:t>
            </w:r>
            <w:proofErr w:type="spellStart"/>
            <w:r w:rsidRPr="00EE1E8A">
              <w:rPr>
                <w:i/>
                <w:lang w:val="lv-LV"/>
              </w:rPr>
              <w:t>Letter</w:t>
            </w:r>
            <w:proofErr w:type="spellEnd"/>
            <w:r w:rsidRPr="00EE1E8A">
              <w:rPr>
                <w:i/>
                <w:lang w:val="lv-LV"/>
              </w:rPr>
              <w:t xml:space="preserve"> No 1 – AL 1/2020</w:t>
            </w:r>
            <w:r w:rsidRPr="006971D7">
              <w:rPr>
                <w:lang w:val="lv-LV"/>
              </w:rPr>
              <w:t>) tās sākotnējam BP, lai iestrādātu informāciju budžetā, kura nav bijusi pieejama projekta izstrādes brīdī. Ierasti grozījumu vēstulē tiek iekļauta atjaunotā lauksaimniecības ieņē</w:t>
            </w:r>
            <w:r w:rsidRPr="005A2B67">
              <w:rPr>
                <w:lang w:val="lv-LV"/>
              </w:rPr>
              <w:t>mumu un izdevumu tāme un var tikt pievienotas citas izmaiņas, kuras nepieciešamas BP. Bez lauksaimniecības nozares vajadzību atjaunošanas vēstulē iekļauti arī</w:t>
            </w:r>
            <w:r w:rsidR="00E81793" w:rsidRPr="00EE1E8A">
              <w:rPr>
                <w:lang w:val="lv-LV"/>
              </w:rPr>
              <w:t xml:space="preserve"> atjaunotie administratīvie izdevumi, kā arī</w:t>
            </w:r>
            <w:r w:rsidRPr="00EE1E8A">
              <w:rPr>
                <w:lang w:val="lv-LV"/>
              </w:rPr>
              <w:t xml:space="preserve"> daži citi tehniska rakstura pielāgojumi nākamajam finanšu gadam</w:t>
            </w:r>
            <w:r w:rsidR="00E81793" w:rsidRPr="00EE1E8A">
              <w:rPr>
                <w:lang w:val="lv-LV"/>
              </w:rPr>
              <w:t>.</w:t>
            </w:r>
            <w:r w:rsidRPr="00EB3D99">
              <w:rPr>
                <w:lang w:val="lv-LV"/>
              </w:rPr>
              <w:t xml:space="preserve"> </w:t>
            </w:r>
            <w:r w:rsidRPr="00EE1E8A">
              <w:rPr>
                <w:lang w:val="lv-LV"/>
              </w:rPr>
              <w:t xml:space="preserve">Grozījumu vēstules neto ietekme nav būtiska, bet kopumā nedaudz palielina </w:t>
            </w:r>
            <w:r w:rsidRPr="00EE1E8A">
              <w:rPr>
                <w:b/>
                <w:lang w:val="lv-LV"/>
              </w:rPr>
              <w:t>SA</w:t>
            </w:r>
            <w:r w:rsidRPr="00EE1E8A">
              <w:rPr>
                <w:lang w:val="lv-LV"/>
              </w:rPr>
              <w:t xml:space="preserve"> līmeni līdz </w:t>
            </w:r>
            <w:r w:rsidRPr="00EE1E8A">
              <w:rPr>
                <w:b/>
                <w:lang w:val="lv-LV"/>
              </w:rPr>
              <w:t>168 288,1 milj. EUR</w:t>
            </w:r>
            <w:r w:rsidRPr="00EE1E8A">
              <w:rPr>
                <w:lang w:val="lv-LV"/>
              </w:rPr>
              <w:t xml:space="preserve"> un nedaudz samazina </w:t>
            </w:r>
            <w:r w:rsidRPr="006971D7">
              <w:rPr>
                <w:b/>
                <w:lang w:val="lv-LV"/>
              </w:rPr>
              <w:t>MA</w:t>
            </w:r>
            <w:r w:rsidRPr="006971D7">
              <w:rPr>
                <w:lang w:val="lv-LV"/>
              </w:rPr>
              <w:t xml:space="preserve"> līmeni līdz </w:t>
            </w:r>
            <w:r w:rsidRPr="006971D7">
              <w:rPr>
                <w:b/>
                <w:lang w:val="lv-LV"/>
              </w:rPr>
              <w:t>153 615,3 milj. EUR</w:t>
            </w:r>
            <w:r w:rsidRPr="005A2B67">
              <w:rPr>
                <w:lang w:val="lv-LV"/>
              </w:rPr>
              <w:t xml:space="preserve">. </w:t>
            </w:r>
          </w:p>
          <w:p w14:paraId="275DF99A" w14:textId="7CA8976A" w:rsidR="00E81793" w:rsidRPr="005A2B67" w:rsidRDefault="009734BB" w:rsidP="005939E8">
            <w:pPr>
              <w:spacing w:before="120" w:after="120"/>
              <w:jc w:val="both"/>
              <w:rPr>
                <w:lang w:val="lv-LV"/>
              </w:rPr>
            </w:pPr>
            <w:r w:rsidRPr="00EE1E8A">
              <w:rPr>
                <w:b/>
                <w:lang w:val="lv-LV"/>
              </w:rPr>
              <w:t>Padome</w:t>
            </w:r>
            <w:r w:rsidR="00D92A57" w:rsidRPr="00EE1E8A">
              <w:rPr>
                <w:b/>
                <w:lang w:val="lv-LV"/>
              </w:rPr>
              <w:t>s</w:t>
            </w:r>
            <w:r w:rsidR="00BD334E" w:rsidRPr="00EE1E8A">
              <w:rPr>
                <w:b/>
                <w:lang w:val="lv-LV"/>
              </w:rPr>
              <w:t xml:space="preserve"> apstiprinātā pozīcija paredz</w:t>
            </w:r>
            <w:r w:rsidRPr="00EE1E8A">
              <w:rPr>
                <w:lang w:val="lv-LV"/>
              </w:rPr>
              <w:t xml:space="preserve"> SA kopapjomu </w:t>
            </w:r>
            <w:r w:rsidRPr="00EE1E8A">
              <w:rPr>
                <w:b/>
                <w:lang w:val="lv-LV"/>
              </w:rPr>
              <w:t>166 763,93 milj. EUR</w:t>
            </w:r>
            <w:r w:rsidRPr="00EE1E8A">
              <w:rPr>
                <w:lang w:val="lv-LV"/>
              </w:rPr>
              <w:t xml:space="preserve"> un </w:t>
            </w:r>
            <w:r w:rsidRPr="00EE1E8A">
              <w:rPr>
                <w:b/>
                <w:lang w:val="lv-LV"/>
              </w:rPr>
              <w:t>MA</w:t>
            </w:r>
            <w:r w:rsidRPr="00EE1E8A">
              <w:rPr>
                <w:lang w:val="lv-LV"/>
              </w:rPr>
              <w:t xml:space="preserve"> </w:t>
            </w:r>
            <w:r w:rsidRPr="00EE1E8A">
              <w:rPr>
                <w:b/>
                <w:lang w:val="lv-LV"/>
              </w:rPr>
              <w:t>EUR</w:t>
            </w:r>
            <w:r w:rsidRPr="00EE1E8A">
              <w:rPr>
                <w:lang w:val="lv-LV"/>
              </w:rPr>
              <w:t xml:space="preserve"> </w:t>
            </w:r>
            <w:r w:rsidRPr="00EE1E8A">
              <w:rPr>
                <w:b/>
                <w:lang w:val="lv-LV"/>
              </w:rPr>
              <w:t>153 111,91</w:t>
            </w:r>
            <w:r w:rsidRPr="00EE1E8A">
              <w:rPr>
                <w:lang w:val="lv-LV"/>
              </w:rPr>
              <w:t xml:space="preserve"> apmērā.</w:t>
            </w:r>
            <w:r w:rsidR="00E81793" w:rsidRPr="00EE1E8A">
              <w:rPr>
                <w:lang w:val="lv-LV"/>
              </w:rPr>
              <w:t xml:space="preserve"> Iepretim EK priekšlikumam</w:t>
            </w:r>
            <w:r w:rsidRPr="00EE1E8A">
              <w:rPr>
                <w:lang w:val="lv-LV"/>
              </w:rPr>
              <w:t xml:space="preserve"> </w:t>
            </w:r>
            <w:r w:rsidR="00E81793" w:rsidRPr="00EE1E8A">
              <w:rPr>
                <w:lang w:val="lv-LV"/>
              </w:rPr>
              <w:t>Padome ir paredzējusi samazinājumus</w:t>
            </w:r>
            <w:r w:rsidR="00C26C5C">
              <w:rPr>
                <w:lang w:val="lv-LV"/>
              </w:rPr>
              <w:t xml:space="preserve"> saistībās</w:t>
            </w:r>
            <w:r w:rsidR="00E81793" w:rsidRPr="00EE1E8A">
              <w:rPr>
                <w:lang w:val="lv-LV"/>
              </w:rPr>
              <w:t xml:space="preserve"> 1,5 </w:t>
            </w:r>
            <w:r w:rsidR="00C26C5C" w:rsidRPr="00EE1E8A">
              <w:rPr>
                <w:lang w:val="lv-LV"/>
              </w:rPr>
              <w:t>m</w:t>
            </w:r>
            <w:r w:rsidR="00C26C5C">
              <w:rPr>
                <w:lang w:val="lv-LV"/>
              </w:rPr>
              <w:t>ljrd. EUR</w:t>
            </w:r>
            <w:r w:rsidR="00C26C5C" w:rsidRPr="00EE1E8A">
              <w:rPr>
                <w:lang w:val="lv-LV"/>
              </w:rPr>
              <w:t xml:space="preserve"> </w:t>
            </w:r>
            <w:r w:rsidR="00F14021" w:rsidRPr="00EE1E8A">
              <w:rPr>
                <w:lang w:val="lv-LV"/>
              </w:rPr>
              <w:t>un maksājum</w:t>
            </w:r>
            <w:r w:rsidR="00C26C5C">
              <w:rPr>
                <w:lang w:val="lv-LV"/>
              </w:rPr>
              <w:t>o</w:t>
            </w:r>
            <w:r w:rsidR="00F14021" w:rsidRPr="00EE1E8A">
              <w:rPr>
                <w:lang w:val="lv-LV"/>
              </w:rPr>
              <w:t xml:space="preserve">s </w:t>
            </w:r>
            <w:r w:rsidR="00F14021" w:rsidRPr="00C26C5C">
              <w:rPr>
                <w:lang w:val="lv-LV"/>
              </w:rPr>
              <w:t>500 milj.</w:t>
            </w:r>
            <w:r w:rsidR="00F14021" w:rsidRPr="00EE1E8A">
              <w:rPr>
                <w:lang w:val="lv-LV"/>
              </w:rPr>
              <w:t xml:space="preserve"> </w:t>
            </w:r>
            <w:r w:rsidR="00447CFC">
              <w:rPr>
                <w:lang w:val="lv-LV"/>
              </w:rPr>
              <w:t xml:space="preserve">EUR </w:t>
            </w:r>
            <w:r w:rsidR="00E81793" w:rsidRPr="00EE1E8A">
              <w:rPr>
                <w:lang w:val="lv-LV"/>
              </w:rPr>
              <w:t xml:space="preserve">apmērā. Padomes nostāja balstījās uz iepriekšējo gadu programmu absorbcijas spēju analīzi, pievienojot pārskatu par palielinājumiem salīdzinājumā ar 2019. gada budžetu, lai </w:t>
            </w:r>
            <w:r w:rsidR="00E81793" w:rsidRPr="006971D7">
              <w:rPr>
                <w:lang w:val="lv-LV"/>
              </w:rPr>
              <w:t xml:space="preserve">izvairītos no pārmērīgiem palielinājumiem. </w:t>
            </w:r>
          </w:p>
          <w:p w14:paraId="2B187916" w14:textId="72E004FD" w:rsidR="009734BB" w:rsidRPr="00DF0EC8" w:rsidRDefault="009734BB" w:rsidP="00DF0EC8">
            <w:pPr>
              <w:spacing w:before="120" w:after="120"/>
              <w:jc w:val="both"/>
              <w:rPr>
                <w:rFonts w:ascii="Arial" w:hAnsi="Arial" w:cs="Arial"/>
                <w:b/>
                <w:sz w:val="21"/>
                <w:szCs w:val="21"/>
                <w:lang w:val="lv-LV"/>
              </w:rPr>
            </w:pPr>
            <w:r w:rsidRPr="005A2B67">
              <w:rPr>
                <w:b/>
                <w:lang w:val="lv-LV"/>
              </w:rPr>
              <w:t>EP</w:t>
            </w:r>
            <w:r w:rsidR="00D92A57" w:rsidRPr="005A2B67">
              <w:rPr>
                <w:b/>
                <w:lang w:val="lv-LV"/>
              </w:rPr>
              <w:t xml:space="preserve"> apstiprinātā nostāja paredz</w:t>
            </w:r>
            <w:r w:rsidRPr="00E41DAC">
              <w:rPr>
                <w:b/>
                <w:lang w:val="lv-LV"/>
              </w:rPr>
              <w:t xml:space="preserve"> </w:t>
            </w:r>
            <w:r w:rsidRPr="00E41DAC">
              <w:rPr>
                <w:lang w:val="lv-LV"/>
              </w:rPr>
              <w:t xml:space="preserve">SA kopapjomu </w:t>
            </w:r>
            <w:r w:rsidRPr="00E41DAC">
              <w:rPr>
                <w:b/>
                <w:lang w:val="lv-LV"/>
              </w:rPr>
              <w:t>170 971,5 milj. EUR</w:t>
            </w:r>
            <w:r w:rsidRPr="004574DC">
              <w:rPr>
                <w:lang w:val="lv-LV"/>
              </w:rPr>
              <w:t xml:space="preserve"> un </w:t>
            </w:r>
            <w:r w:rsidRPr="004574DC">
              <w:rPr>
                <w:b/>
                <w:lang w:val="lv-LV"/>
              </w:rPr>
              <w:t>MA</w:t>
            </w:r>
            <w:r w:rsidRPr="004574DC">
              <w:rPr>
                <w:lang w:val="lv-LV"/>
              </w:rPr>
              <w:t xml:space="preserve"> </w:t>
            </w:r>
            <w:r w:rsidRPr="004574DC">
              <w:rPr>
                <w:b/>
                <w:lang w:val="lv-LV"/>
              </w:rPr>
              <w:t>159 146,2</w:t>
            </w:r>
            <w:r w:rsidRPr="004574DC">
              <w:rPr>
                <w:lang w:val="lv-LV"/>
              </w:rPr>
              <w:t xml:space="preserve"> </w:t>
            </w:r>
            <w:r w:rsidRPr="004574DC">
              <w:rPr>
                <w:b/>
                <w:lang w:val="lv-LV"/>
              </w:rPr>
              <w:t>milj. EUR</w:t>
            </w:r>
            <w:r w:rsidRPr="004574DC">
              <w:rPr>
                <w:lang w:val="lv-LV"/>
              </w:rPr>
              <w:t xml:space="preserve"> apmērā.</w:t>
            </w:r>
            <w:r w:rsidR="000E2E56" w:rsidRPr="00EB3D99">
              <w:rPr>
                <w:rFonts w:ascii="Roboto" w:hAnsi="Roboto"/>
                <w:color w:val="777777"/>
                <w:lang w:val="lv-LV"/>
              </w:rPr>
              <w:t xml:space="preserve"> </w:t>
            </w:r>
            <w:r w:rsidR="000E2E56" w:rsidRPr="00EB3D99">
              <w:rPr>
                <w:lang w:val="lv-LV"/>
              </w:rPr>
              <w:t xml:space="preserve">Ar </w:t>
            </w:r>
            <w:r w:rsidR="00EE1E8A">
              <w:rPr>
                <w:lang w:val="lv-LV"/>
              </w:rPr>
              <w:t>EP</w:t>
            </w:r>
            <w:r w:rsidR="000E2E56" w:rsidRPr="00EB3D99">
              <w:rPr>
                <w:lang w:val="lv-LV"/>
              </w:rPr>
              <w:t xml:space="preserve"> nostāju ir atjaunots un ​​daudzos gadījumos pārsniegts </w:t>
            </w:r>
            <w:r w:rsidR="00EE1E8A">
              <w:rPr>
                <w:lang w:val="lv-LV"/>
              </w:rPr>
              <w:t>EK</w:t>
            </w:r>
            <w:r w:rsidR="00EE1E8A" w:rsidRPr="00EB3D99">
              <w:rPr>
                <w:lang w:val="lv-LV"/>
              </w:rPr>
              <w:t xml:space="preserve"> </w:t>
            </w:r>
            <w:r w:rsidR="000E2E56" w:rsidRPr="00EB3D99">
              <w:rPr>
                <w:lang w:val="lv-LV"/>
              </w:rPr>
              <w:t xml:space="preserve">BP, palielinot visas pozīcijas. Kopumā </w:t>
            </w:r>
            <w:r w:rsidR="00EE1E8A">
              <w:rPr>
                <w:lang w:val="lv-LV"/>
              </w:rPr>
              <w:t>EP</w:t>
            </w:r>
            <w:r w:rsidR="00EE1E8A" w:rsidRPr="00EB3D99">
              <w:rPr>
                <w:lang w:val="lv-LV"/>
              </w:rPr>
              <w:t xml:space="preserve"> </w:t>
            </w:r>
            <w:r w:rsidR="000E2E56" w:rsidRPr="00EB3D99">
              <w:rPr>
                <w:lang w:val="lv-LV"/>
              </w:rPr>
              <w:t xml:space="preserve">ir ierosinājis palielināt BP paredzētās saistības par 2,7 miljardiem </w:t>
            </w:r>
            <w:r w:rsidR="00447CFC" w:rsidRPr="00B766EC">
              <w:rPr>
                <w:lang w:val="lv-LV"/>
              </w:rPr>
              <w:t>EUR</w:t>
            </w:r>
            <w:r w:rsidR="00447CFC" w:rsidRPr="00447CFC">
              <w:rPr>
                <w:lang w:val="lv-LV"/>
              </w:rPr>
              <w:t xml:space="preserve"> </w:t>
            </w:r>
            <w:r w:rsidR="000E2E56" w:rsidRPr="00EB3D99">
              <w:rPr>
                <w:lang w:val="lv-LV"/>
              </w:rPr>
              <w:t>saistībās (2,9 miljardi</w:t>
            </w:r>
            <w:r w:rsidR="00447CFC">
              <w:rPr>
                <w:lang w:val="lv-LV"/>
              </w:rPr>
              <w:t xml:space="preserve"> </w:t>
            </w:r>
            <w:r w:rsidR="00447CFC" w:rsidRPr="00B766EC">
              <w:rPr>
                <w:lang w:val="lv-LV"/>
              </w:rPr>
              <w:t>EUR</w:t>
            </w:r>
            <w:r w:rsidR="000E2E56" w:rsidRPr="00EB3D99">
              <w:rPr>
                <w:lang w:val="lv-LV"/>
              </w:rPr>
              <w:t>, ieskaitot pētniecības saistību atcelšanu, kas atkal būs jāpiešķir saskaņā ar Finanšu regulas 15.3. pantu). EP</w:t>
            </w:r>
            <w:r w:rsidR="009E3D40">
              <w:rPr>
                <w:lang w:val="lv-LV"/>
              </w:rPr>
              <w:t xml:space="preserve"> </w:t>
            </w:r>
            <w:r w:rsidR="009E3D40" w:rsidRPr="00521847">
              <w:rPr>
                <w:u w:val="single"/>
                <w:lang w:val="lv-LV"/>
              </w:rPr>
              <w:t>īpaši</w:t>
            </w:r>
            <w:r w:rsidR="00EE1E8A" w:rsidRPr="00521847">
              <w:rPr>
                <w:u w:val="single"/>
                <w:lang w:val="lv-LV"/>
              </w:rPr>
              <w:t xml:space="preserve"> </w:t>
            </w:r>
            <w:r w:rsidR="000E2E56" w:rsidRPr="00521847">
              <w:rPr>
                <w:u w:val="single"/>
                <w:lang w:val="lv-LV"/>
              </w:rPr>
              <w:t>uzsver savu apņemšanos stāties pretī klimata pārmaiņu</w:t>
            </w:r>
            <w:r w:rsidR="000E2E56" w:rsidRPr="00EB3D99">
              <w:rPr>
                <w:lang w:val="lv-LV"/>
              </w:rPr>
              <w:t xml:space="preserve">, </w:t>
            </w:r>
            <w:r w:rsidR="009E3D40">
              <w:rPr>
                <w:lang w:val="lv-LV"/>
              </w:rPr>
              <w:t xml:space="preserve">kā arī </w:t>
            </w:r>
            <w:r w:rsidR="000E2E56" w:rsidRPr="00EB3D99">
              <w:rPr>
                <w:lang w:val="lv-LV"/>
              </w:rPr>
              <w:t>ilgtspējīgas izaugsmes, tehnoloģiju un inovāciju izaicinājumiem, īpaši ievērojami pastiprinot programmu “Apvārsnis 2020”, Eiropas savienošanas instrumentu (turpmāk</w:t>
            </w:r>
            <w:r w:rsidR="00563FBB">
              <w:rPr>
                <w:lang w:val="lv-LV"/>
              </w:rPr>
              <w:t xml:space="preserve"> </w:t>
            </w:r>
            <w:r w:rsidR="000E2E56" w:rsidRPr="00EB3D99">
              <w:rPr>
                <w:lang w:val="lv-LV"/>
              </w:rPr>
              <w:t>-</w:t>
            </w:r>
            <w:r w:rsidR="00563FBB">
              <w:rPr>
                <w:lang w:val="lv-LV"/>
              </w:rPr>
              <w:t xml:space="preserve"> </w:t>
            </w:r>
            <w:r w:rsidR="000E2E56" w:rsidRPr="00EB3D99">
              <w:rPr>
                <w:lang w:val="lv-LV"/>
              </w:rPr>
              <w:t xml:space="preserve">CEF) un vides politikas programmas. </w:t>
            </w:r>
            <w:r w:rsidR="001D6F88" w:rsidRPr="00EB3D99">
              <w:rPr>
                <w:lang w:val="lv-LV"/>
              </w:rPr>
              <w:t xml:space="preserve">EP </w:t>
            </w:r>
            <w:r w:rsidR="000E2E56" w:rsidRPr="00EB3D99">
              <w:rPr>
                <w:lang w:val="lv-LV"/>
              </w:rPr>
              <w:t xml:space="preserve">koncentrējas arī uz programmām, kas </w:t>
            </w:r>
            <w:r w:rsidR="001D6F88" w:rsidRPr="00EB3D99">
              <w:rPr>
                <w:lang w:val="lv-LV"/>
              </w:rPr>
              <w:t>atbalsta jauniešus</w:t>
            </w:r>
            <w:r w:rsidR="000E2E56" w:rsidRPr="00EB3D99">
              <w:rPr>
                <w:lang w:val="lv-LV"/>
              </w:rPr>
              <w:t xml:space="preserve">, kā arī uz ekonomikas izaugsmi, īpašu uzsvaru liekot uz MVU. </w:t>
            </w:r>
            <w:r w:rsidR="005A5F93">
              <w:rPr>
                <w:lang w:val="lv-LV"/>
              </w:rPr>
              <w:t>EP</w:t>
            </w:r>
            <w:r w:rsidR="005A5F93" w:rsidRPr="00EB3D99">
              <w:rPr>
                <w:lang w:val="lv-LV"/>
              </w:rPr>
              <w:t xml:space="preserve"> </w:t>
            </w:r>
            <w:r w:rsidR="000E2E56" w:rsidRPr="00EB3D99">
              <w:rPr>
                <w:lang w:val="lv-LV"/>
              </w:rPr>
              <w:t xml:space="preserve">turklāt pastiprina citas prioritātes, piemēram, kultūru un pilsonību, </w:t>
            </w:r>
            <w:proofErr w:type="spellStart"/>
            <w:r w:rsidR="000E2E56" w:rsidRPr="00EB3D99">
              <w:rPr>
                <w:lang w:val="lv-LV"/>
              </w:rPr>
              <w:t>pamattiesību</w:t>
            </w:r>
            <w:proofErr w:type="spellEnd"/>
            <w:r w:rsidR="000E2E56" w:rsidRPr="00EB3D99">
              <w:rPr>
                <w:lang w:val="lv-LV"/>
              </w:rPr>
              <w:t xml:space="preserve"> programmas, attīstības sadarbību, Eiropas kaimiņattiecības un </w:t>
            </w:r>
            <w:proofErr w:type="spellStart"/>
            <w:r w:rsidR="000E2E56" w:rsidRPr="00EB3D99">
              <w:rPr>
                <w:lang w:val="lv-LV"/>
              </w:rPr>
              <w:t>pirmspievienošanās</w:t>
            </w:r>
            <w:proofErr w:type="spellEnd"/>
            <w:r w:rsidR="000E2E56" w:rsidRPr="00EB3D99">
              <w:rPr>
                <w:lang w:val="lv-LV"/>
              </w:rPr>
              <w:t xml:space="preserve"> atbalstu </w:t>
            </w:r>
            <w:proofErr w:type="spellStart"/>
            <w:r w:rsidR="000E2E56" w:rsidRPr="00EB3D99">
              <w:rPr>
                <w:lang w:val="lv-LV"/>
              </w:rPr>
              <w:t>Rietumbalkāniem</w:t>
            </w:r>
            <w:proofErr w:type="spellEnd"/>
            <w:r w:rsidR="000E2E56" w:rsidRPr="00EB3D99">
              <w:rPr>
                <w:lang w:val="lv-LV"/>
              </w:rPr>
              <w:t xml:space="preserve"> </w:t>
            </w:r>
            <w:r w:rsidR="000E2E56" w:rsidRPr="00521847">
              <w:rPr>
                <w:u w:val="single"/>
                <w:lang w:val="lv-LV"/>
              </w:rPr>
              <w:t xml:space="preserve">- </w:t>
            </w:r>
            <w:r w:rsidR="001D6F88" w:rsidRPr="00521847">
              <w:rPr>
                <w:u w:val="single"/>
                <w:lang w:val="lv-LV"/>
              </w:rPr>
              <w:t xml:space="preserve">uzsvaru liekot uz </w:t>
            </w:r>
            <w:r w:rsidR="000E2E56" w:rsidRPr="00521847">
              <w:rPr>
                <w:u w:val="single"/>
                <w:lang w:val="lv-LV"/>
              </w:rPr>
              <w:t>klimata pārmaiņu mazināšanu.</w:t>
            </w:r>
            <w:r w:rsidRPr="00EE1E8A">
              <w:rPr>
                <w:lang w:val="lv-LV"/>
              </w:rPr>
              <w:t xml:space="preserve">   </w:t>
            </w:r>
          </w:p>
          <w:p w14:paraId="64EA1BF4" w14:textId="77777777" w:rsidR="009734BB" w:rsidRPr="006971D7" w:rsidRDefault="009734BB" w:rsidP="007E49BD">
            <w:pPr>
              <w:tabs>
                <w:tab w:val="left" w:pos="5790"/>
                <w:tab w:val="right" w:pos="9071"/>
              </w:tabs>
              <w:autoSpaceDE w:val="0"/>
              <w:autoSpaceDN w:val="0"/>
              <w:ind w:left="184" w:firstLine="142"/>
              <w:jc w:val="right"/>
              <w:rPr>
                <w:b/>
                <w:bCs/>
                <w:lang w:val="lv-LV"/>
              </w:rPr>
            </w:pPr>
            <w:r w:rsidRPr="006971D7">
              <w:rPr>
                <w:b/>
                <w:bCs/>
                <w:lang w:val="lv-LV"/>
              </w:rPr>
              <w:t xml:space="preserve">1.tabula. BP 2020.gadam – Institūciju pozīcijas </w:t>
            </w:r>
          </w:p>
          <w:p w14:paraId="043F4D1D" w14:textId="77777777" w:rsidR="009734BB" w:rsidRPr="005A2B67" w:rsidRDefault="009734BB" w:rsidP="007E49BD">
            <w:pPr>
              <w:tabs>
                <w:tab w:val="left" w:pos="5790"/>
                <w:tab w:val="right" w:pos="9071"/>
              </w:tabs>
              <w:autoSpaceDE w:val="0"/>
              <w:autoSpaceDN w:val="0"/>
              <w:jc w:val="right"/>
              <w:rPr>
                <w:bCs/>
                <w:i/>
                <w:sz w:val="20"/>
                <w:szCs w:val="20"/>
                <w:lang w:val="lv-LV"/>
              </w:rPr>
            </w:pPr>
            <w:r w:rsidRPr="005A2B67">
              <w:rPr>
                <w:bCs/>
                <w:i/>
                <w:sz w:val="20"/>
                <w:szCs w:val="20"/>
                <w:lang w:val="lv-LV"/>
              </w:rPr>
              <w:t>(milj. EUR)</w:t>
            </w:r>
          </w:p>
          <w:tbl>
            <w:tblPr>
              <w:tblW w:w="93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562"/>
              <w:gridCol w:w="1013"/>
              <w:gridCol w:w="1014"/>
              <w:gridCol w:w="1013"/>
              <w:gridCol w:w="1014"/>
              <w:gridCol w:w="995"/>
              <w:gridCol w:w="995"/>
              <w:gridCol w:w="894"/>
              <w:gridCol w:w="895"/>
            </w:tblGrid>
            <w:tr w:rsidR="009734BB" w:rsidRPr="00EE1E8A" w14:paraId="4F65908C" w14:textId="77777777" w:rsidTr="007E49BD">
              <w:trPr>
                <w:trHeight w:val="470"/>
                <w:jc w:val="center"/>
              </w:trPr>
              <w:tc>
                <w:tcPr>
                  <w:tcW w:w="1562" w:type="dxa"/>
                  <w:vMerge w:val="restart"/>
                  <w:tcMar>
                    <w:top w:w="0" w:type="dxa"/>
                    <w:left w:w="108" w:type="dxa"/>
                    <w:bottom w:w="0" w:type="dxa"/>
                    <w:right w:w="108" w:type="dxa"/>
                  </w:tcMar>
                </w:tcPr>
                <w:p w14:paraId="0B7E137A" w14:textId="77777777" w:rsidR="009734BB" w:rsidRPr="00EE1E8A" w:rsidRDefault="009734BB" w:rsidP="007E49BD">
                  <w:pPr>
                    <w:autoSpaceDE w:val="0"/>
                    <w:autoSpaceDN w:val="0"/>
                    <w:ind w:left="-353" w:firstLine="353"/>
                    <w:jc w:val="center"/>
                    <w:rPr>
                      <w:rFonts w:eastAsia="Calibri"/>
                      <w:b/>
                      <w:bCs/>
                      <w:sz w:val="20"/>
                      <w:szCs w:val="20"/>
                      <w:lang w:val="lv-LV" w:eastAsia="lv-LV"/>
                    </w:rPr>
                  </w:pPr>
                </w:p>
              </w:tc>
              <w:tc>
                <w:tcPr>
                  <w:tcW w:w="2027" w:type="dxa"/>
                  <w:gridSpan w:val="2"/>
                  <w:tcMar>
                    <w:top w:w="0" w:type="dxa"/>
                    <w:left w:w="108" w:type="dxa"/>
                    <w:bottom w:w="0" w:type="dxa"/>
                    <w:right w:w="108" w:type="dxa"/>
                  </w:tcMar>
                  <w:vAlign w:val="center"/>
                  <w:hideMark/>
                </w:tcPr>
                <w:p w14:paraId="7EBDDCCC" w14:textId="77777777" w:rsidR="009734BB" w:rsidRPr="00EE1E8A" w:rsidRDefault="009734BB" w:rsidP="007E49BD">
                  <w:pPr>
                    <w:autoSpaceDE w:val="0"/>
                    <w:autoSpaceDN w:val="0"/>
                    <w:jc w:val="center"/>
                    <w:rPr>
                      <w:b/>
                      <w:bCs/>
                      <w:sz w:val="20"/>
                      <w:szCs w:val="20"/>
                      <w:lang w:val="lv-LV" w:eastAsia="lv-LV"/>
                    </w:rPr>
                  </w:pPr>
                  <w:r w:rsidRPr="00EE1E8A">
                    <w:rPr>
                      <w:b/>
                      <w:bCs/>
                      <w:sz w:val="20"/>
                      <w:szCs w:val="20"/>
                      <w:lang w:val="lv-LV" w:eastAsia="lv-LV"/>
                    </w:rPr>
                    <w:t>EK BP 2020.gadam</w:t>
                  </w:r>
                </w:p>
                <w:p w14:paraId="54CC8820"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w:t>
                  </w:r>
                  <w:proofErr w:type="spellStart"/>
                  <w:r w:rsidRPr="00EE1E8A">
                    <w:rPr>
                      <w:b/>
                      <w:bCs/>
                      <w:sz w:val="20"/>
                      <w:szCs w:val="20"/>
                      <w:lang w:val="lv-LV" w:eastAsia="lv-LV"/>
                    </w:rPr>
                    <w:t>iekļ</w:t>
                  </w:r>
                  <w:proofErr w:type="spellEnd"/>
                  <w:r w:rsidRPr="00EE1E8A">
                    <w:rPr>
                      <w:b/>
                      <w:bCs/>
                      <w:sz w:val="20"/>
                      <w:szCs w:val="20"/>
                      <w:lang w:val="lv-LV" w:eastAsia="lv-LV"/>
                    </w:rPr>
                    <w:t>. AL 1/2020)</w:t>
                  </w:r>
                </w:p>
              </w:tc>
              <w:tc>
                <w:tcPr>
                  <w:tcW w:w="2027" w:type="dxa"/>
                  <w:gridSpan w:val="2"/>
                  <w:tcMar>
                    <w:top w:w="0" w:type="dxa"/>
                    <w:left w:w="108" w:type="dxa"/>
                    <w:bottom w:w="0" w:type="dxa"/>
                    <w:right w:w="108" w:type="dxa"/>
                  </w:tcMar>
                  <w:vAlign w:val="center"/>
                  <w:hideMark/>
                </w:tcPr>
                <w:p w14:paraId="458F23F1"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Padomes pozīcija par BP 2020.gadam</w:t>
                  </w:r>
                </w:p>
              </w:tc>
              <w:tc>
                <w:tcPr>
                  <w:tcW w:w="1990" w:type="dxa"/>
                  <w:gridSpan w:val="2"/>
                  <w:tcMar>
                    <w:top w:w="0" w:type="dxa"/>
                    <w:left w:w="108" w:type="dxa"/>
                    <w:bottom w:w="0" w:type="dxa"/>
                    <w:right w:w="108" w:type="dxa"/>
                  </w:tcMar>
                  <w:vAlign w:val="center"/>
                  <w:hideMark/>
                </w:tcPr>
                <w:p w14:paraId="1F62B91B" w14:textId="77777777" w:rsidR="009734BB" w:rsidRPr="00EE1E8A" w:rsidRDefault="009734BB" w:rsidP="007E49BD">
                  <w:pPr>
                    <w:jc w:val="center"/>
                    <w:rPr>
                      <w:rFonts w:eastAsia="Calibri"/>
                      <w:sz w:val="20"/>
                      <w:szCs w:val="20"/>
                      <w:lang w:val="lv-LV"/>
                    </w:rPr>
                  </w:pPr>
                  <w:r w:rsidRPr="00EE1E8A">
                    <w:rPr>
                      <w:rFonts w:eastAsia="Calibri"/>
                      <w:b/>
                      <w:sz w:val="20"/>
                      <w:szCs w:val="20"/>
                      <w:lang w:val="lv-LV"/>
                    </w:rPr>
                    <w:t>EP pozīcija par BP 2020.gadam</w:t>
                  </w:r>
                </w:p>
              </w:tc>
              <w:tc>
                <w:tcPr>
                  <w:tcW w:w="1789" w:type="dxa"/>
                  <w:gridSpan w:val="2"/>
                  <w:tcMar>
                    <w:top w:w="0" w:type="dxa"/>
                    <w:left w:w="108" w:type="dxa"/>
                    <w:bottom w:w="0" w:type="dxa"/>
                    <w:right w:w="108" w:type="dxa"/>
                  </w:tcMar>
                  <w:vAlign w:val="center"/>
                  <w:hideMark/>
                </w:tcPr>
                <w:p w14:paraId="29641182" w14:textId="77777777" w:rsidR="009734BB" w:rsidRPr="00EE1E8A" w:rsidRDefault="009734BB" w:rsidP="007E49BD">
                  <w:pPr>
                    <w:jc w:val="center"/>
                    <w:rPr>
                      <w:rFonts w:eastAsia="Calibri"/>
                      <w:b/>
                      <w:sz w:val="20"/>
                      <w:szCs w:val="20"/>
                      <w:lang w:val="lv-LV"/>
                    </w:rPr>
                  </w:pPr>
                  <w:r w:rsidRPr="00EE1E8A">
                    <w:rPr>
                      <w:rFonts w:eastAsia="Calibri"/>
                      <w:b/>
                      <w:sz w:val="20"/>
                      <w:szCs w:val="20"/>
                      <w:lang w:val="lv-LV"/>
                    </w:rPr>
                    <w:t>Atšķirība</w:t>
                  </w:r>
                </w:p>
                <w:p w14:paraId="7F0073C0" w14:textId="77777777" w:rsidR="009734BB" w:rsidRPr="00EE1E8A" w:rsidRDefault="009734BB" w:rsidP="007E49BD">
                  <w:pPr>
                    <w:jc w:val="center"/>
                    <w:rPr>
                      <w:rFonts w:eastAsia="Calibri"/>
                      <w:b/>
                      <w:sz w:val="20"/>
                      <w:szCs w:val="20"/>
                      <w:lang w:val="lv-LV"/>
                    </w:rPr>
                  </w:pPr>
                  <w:r w:rsidRPr="00EE1E8A">
                    <w:rPr>
                      <w:rFonts w:eastAsia="Calibri"/>
                      <w:b/>
                      <w:sz w:val="20"/>
                      <w:szCs w:val="20"/>
                      <w:lang w:val="lv-LV"/>
                    </w:rPr>
                    <w:t xml:space="preserve">EP/Padome </w:t>
                  </w:r>
                </w:p>
              </w:tc>
            </w:tr>
            <w:tr w:rsidR="009734BB" w:rsidRPr="00EE1E8A" w14:paraId="5AB89D93" w14:textId="77777777" w:rsidTr="007E49BD">
              <w:trPr>
                <w:trHeight w:val="258"/>
                <w:jc w:val="center"/>
              </w:trPr>
              <w:tc>
                <w:tcPr>
                  <w:tcW w:w="1562" w:type="dxa"/>
                  <w:vMerge/>
                  <w:vAlign w:val="center"/>
                </w:tcPr>
                <w:p w14:paraId="0667382F" w14:textId="77777777" w:rsidR="009734BB" w:rsidRPr="00EE1E8A" w:rsidRDefault="009734BB" w:rsidP="007E49BD">
                  <w:pPr>
                    <w:jc w:val="center"/>
                    <w:rPr>
                      <w:rFonts w:eastAsia="Calibri"/>
                      <w:b/>
                      <w:bCs/>
                      <w:sz w:val="20"/>
                      <w:szCs w:val="20"/>
                      <w:lang w:val="lv-LV" w:eastAsia="lv-LV"/>
                    </w:rPr>
                  </w:pPr>
                </w:p>
              </w:tc>
              <w:tc>
                <w:tcPr>
                  <w:tcW w:w="1013" w:type="dxa"/>
                  <w:tcMar>
                    <w:top w:w="0" w:type="dxa"/>
                    <w:left w:w="108" w:type="dxa"/>
                    <w:bottom w:w="0" w:type="dxa"/>
                    <w:right w:w="108" w:type="dxa"/>
                  </w:tcMar>
                  <w:vAlign w:val="center"/>
                  <w:hideMark/>
                </w:tcPr>
                <w:p w14:paraId="40E31713"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SA</w:t>
                  </w:r>
                </w:p>
              </w:tc>
              <w:tc>
                <w:tcPr>
                  <w:tcW w:w="1014" w:type="dxa"/>
                  <w:tcMar>
                    <w:top w:w="0" w:type="dxa"/>
                    <w:left w:w="108" w:type="dxa"/>
                    <w:bottom w:w="0" w:type="dxa"/>
                    <w:right w:w="108" w:type="dxa"/>
                  </w:tcMar>
                  <w:vAlign w:val="center"/>
                  <w:hideMark/>
                </w:tcPr>
                <w:p w14:paraId="62F90FFD"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MA</w:t>
                  </w:r>
                </w:p>
              </w:tc>
              <w:tc>
                <w:tcPr>
                  <w:tcW w:w="1013" w:type="dxa"/>
                  <w:tcMar>
                    <w:top w:w="0" w:type="dxa"/>
                    <w:left w:w="108" w:type="dxa"/>
                    <w:bottom w:w="0" w:type="dxa"/>
                    <w:right w:w="108" w:type="dxa"/>
                  </w:tcMar>
                  <w:vAlign w:val="center"/>
                  <w:hideMark/>
                </w:tcPr>
                <w:p w14:paraId="07E73FD2"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SA</w:t>
                  </w:r>
                </w:p>
              </w:tc>
              <w:tc>
                <w:tcPr>
                  <w:tcW w:w="1014" w:type="dxa"/>
                  <w:tcMar>
                    <w:top w:w="0" w:type="dxa"/>
                    <w:left w:w="108" w:type="dxa"/>
                    <w:bottom w:w="0" w:type="dxa"/>
                    <w:right w:w="108" w:type="dxa"/>
                  </w:tcMar>
                  <w:vAlign w:val="center"/>
                  <w:hideMark/>
                </w:tcPr>
                <w:p w14:paraId="4D8805C6"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MA</w:t>
                  </w:r>
                </w:p>
              </w:tc>
              <w:tc>
                <w:tcPr>
                  <w:tcW w:w="995" w:type="dxa"/>
                  <w:tcMar>
                    <w:top w:w="0" w:type="dxa"/>
                    <w:left w:w="108" w:type="dxa"/>
                    <w:bottom w:w="0" w:type="dxa"/>
                    <w:right w:w="108" w:type="dxa"/>
                  </w:tcMar>
                  <w:vAlign w:val="center"/>
                  <w:hideMark/>
                </w:tcPr>
                <w:p w14:paraId="76525664"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SA</w:t>
                  </w:r>
                </w:p>
              </w:tc>
              <w:tc>
                <w:tcPr>
                  <w:tcW w:w="995" w:type="dxa"/>
                  <w:tcMar>
                    <w:top w:w="0" w:type="dxa"/>
                    <w:left w:w="108" w:type="dxa"/>
                    <w:bottom w:w="0" w:type="dxa"/>
                    <w:right w:w="108" w:type="dxa"/>
                  </w:tcMar>
                  <w:vAlign w:val="center"/>
                  <w:hideMark/>
                </w:tcPr>
                <w:p w14:paraId="4FC935E2"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MA</w:t>
                  </w:r>
                </w:p>
              </w:tc>
              <w:tc>
                <w:tcPr>
                  <w:tcW w:w="894" w:type="dxa"/>
                  <w:tcMar>
                    <w:top w:w="0" w:type="dxa"/>
                    <w:left w:w="108" w:type="dxa"/>
                    <w:bottom w:w="0" w:type="dxa"/>
                    <w:right w:w="108" w:type="dxa"/>
                  </w:tcMar>
                  <w:vAlign w:val="center"/>
                  <w:hideMark/>
                </w:tcPr>
                <w:p w14:paraId="75250D2B"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SA</w:t>
                  </w:r>
                </w:p>
              </w:tc>
              <w:tc>
                <w:tcPr>
                  <w:tcW w:w="895" w:type="dxa"/>
                  <w:tcMar>
                    <w:top w:w="0" w:type="dxa"/>
                    <w:left w:w="108" w:type="dxa"/>
                    <w:bottom w:w="0" w:type="dxa"/>
                    <w:right w:w="108" w:type="dxa"/>
                  </w:tcMar>
                  <w:vAlign w:val="center"/>
                  <w:hideMark/>
                </w:tcPr>
                <w:p w14:paraId="2977244E" w14:textId="77777777" w:rsidR="009734BB" w:rsidRPr="00EE1E8A" w:rsidRDefault="009734BB" w:rsidP="007E49BD">
                  <w:pPr>
                    <w:autoSpaceDE w:val="0"/>
                    <w:autoSpaceDN w:val="0"/>
                    <w:jc w:val="center"/>
                    <w:rPr>
                      <w:rFonts w:eastAsia="Calibri"/>
                      <w:b/>
                      <w:bCs/>
                      <w:sz w:val="20"/>
                      <w:szCs w:val="20"/>
                      <w:lang w:val="lv-LV" w:eastAsia="lv-LV"/>
                    </w:rPr>
                  </w:pPr>
                  <w:r w:rsidRPr="00EE1E8A">
                    <w:rPr>
                      <w:b/>
                      <w:bCs/>
                      <w:sz w:val="20"/>
                      <w:szCs w:val="20"/>
                      <w:lang w:val="lv-LV" w:eastAsia="lv-LV"/>
                    </w:rPr>
                    <w:t>MA</w:t>
                  </w:r>
                </w:p>
              </w:tc>
            </w:tr>
            <w:tr w:rsidR="009734BB" w:rsidRPr="00EE1E8A" w14:paraId="77ADC72A" w14:textId="77777777" w:rsidTr="007E49BD">
              <w:trPr>
                <w:trHeight w:val="279"/>
                <w:jc w:val="center"/>
              </w:trPr>
              <w:tc>
                <w:tcPr>
                  <w:tcW w:w="1562" w:type="dxa"/>
                  <w:tcMar>
                    <w:top w:w="0" w:type="dxa"/>
                    <w:left w:w="108" w:type="dxa"/>
                    <w:bottom w:w="0" w:type="dxa"/>
                    <w:right w:w="108" w:type="dxa"/>
                  </w:tcMar>
                  <w:vAlign w:val="center"/>
                </w:tcPr>
                <w:p w14:paraId="7781F70D" w14:textId="77777777" w:rsidR="009734BB" w:rsidRPr="00EE1E8A" w:rsidRDefault="009734BB" w:rsidP="007E49BD">
                  <w:pPr>
                    <w:autoSpaceDE w:val="0"/>
                    <w:autoSpaceDN w:val="0"/>
                    <w:jc w:val="right"/>
                    <w:rPr>
                      <w:rFonts w:eastAsia="Calibri"/>
                      <w:b/>
                      <w:sz w:val="20"/>
                      <w:szCs w:val="20"/>
                      <w:lang w:val="lv-LV" w:eastAsia="lv-LV"/>
                    </w:rPr>
                  </w:pPr>
                  <w:r w:rsidRPr="00EE1E8A">
                    <w:rPr>
                      <w:rFonts w:eastAsia="Calibri"/>
                      <w:b/>
                      <w:sz w:val="20"/>
                      <w:szCs w:val="20"/>
                      <w:lang w:val="lv-LV" w:eastAsia="lv-LV"/>
                    </w:rPr>
                    <w:t>Kopā</w:t>
                  </w:r>
                </w:p>
              </w:tc>
              <w:tc>
                <w:tcPr>
                  <w:tcW w:w="1013" w:type="dxa"/>
                  <w:tcMar>
                    <w:top w:w="0" w:type="dxa"/>
                    <w:left w:w="108" w:type="dxa"/>
                    <w:bottom w:w="0" w:type="dxa"/>
                    <w:right w:w="108" w:type="dxa"/>
                  </w:tcMar>
                  <w:vAlign w:val="center"/>
                </w:tcPr>
                <w:p w14:paraId="4FEFA814" w14:textId="20FCD943" w:rsidR="009734BB" w:rsidRPr="00EE1E8A" w:rsidRDefault="009734BB" w:rsidP="00AE64E5">
                  <w:pPr>
                    <w:autoSpaceDE w:val="0"/>
                    <w:autoSpaceDN w:val="0"/>
                    <w:jc w:val="center"/>
                    <w:rPr>
                      <w:rFonts w:eastAsia="Calibri"/>
                      <w:b/>
                      <w:bCs/>
                      <w:sz w:val="18"/>
                      <w:szCs w:val="18"/>
                      <w:lang w:val="lv-LV" w:eastAsia="lv-LV"/>
                    </w:rPr>
                  </w:pPr>
                  <w:r w:rsidRPr="00EE1E8A">
                    <w:rPr>
                      <w:rFonts w:eastAsia="Calibri"/>
                      <w:b/>
                      <w:bCs/>
                      <w:sz w:val="18"/>
                      <w:szCs w:val="18"/>
                      <w:lang w:val="lv-LV" w:eastAsia="lv-LV"/>
                    </w:rPr>
                    <w:t>168</w:t>
                  </w:r>
                  <w:r w:rsidR="00AE64E5" w:rsidRPr="00EE1E8A">
                    <w:rPr>
                      <w:rFonts w:eastAsia="Calibri"/>
                      <w:b/>
                      <w:bCs/>
                      <w:sz w:val="18"/>
                      <w:szCs w:val="18"/>
                      <w:lang w:val="lv-LV" w:eastAsia="lv-LV"/>
                    </w:rPr>
                    <w:t> 288,1</w:t>
                  </w:r>
                </w:p>
              </w:tc>
              <w:tc>
                <w:tcPr>
                  <w:tcW w:w="1014" w:type="dxa"/>
                  <w:tcMar>
                    <w:top w:w="0" w:type="dxa"/>
                    <w:left w:w="108" w:type="dxa"/>
                    <w:bottom w:w="0" w:type="dxa"/>
                    <w:right w:w="108" w:type="dxa"/>
                  </w:tcMar>
                  <w:vAlign w:val="center"/>
                </w:tcPr>
                <w:p w14:paraId="380FF8EF" w14:textId="4423E5D4" w:rsidR="009734BB" w:rsidRPr="006971D7" w:rsidRDefault="009734BB" w:rsidP="00AE64E5">
                  <w:pPr>
                    <w:autoSpaceDE w:val="0"/>
                    <w:autoSpaceDN w:val="0"/>
                    <w:jc w:val="center"/>
                    <w:rPr>
                      <w:rFonts w:eastAsia="Calibri"/>
                      <w:b/>
                      <w:bCs/>
                      <w:sz w:val="18"/>
                      <w:szCs w:val="18"/>
                      <w:lang w:val="lv-LV" w:eastAsia="lv-LV"/>
                    </w:rPr>
                  </w:pPr>
                  <w:r w:rsidRPr="006971D7">
                    <w:rPr>
                      <w:rFonts w:eastAsia="Calibri"/>
                      <w:b/>
                      <w:bCs/>
                      <w:sz w:val="18"/>
                      <w:szCs w:val="18"/>
                      <w:lang w:val="lv-LV" w:eastAsia="lv-LV"/>
                    </w:rPr>
                    <w:t>153</w:t>
                  </w:r>
                  <w:r w:rsidR="00AE64E5" w:rsidRPr="006971D7">
                    <w:rPr>
                      <w:rFonts w:eastAsia="Calibri"/>
                      <w:b/>
                      <w:bCs/>
                      <w:sz w:val="18"/>
                      <w:szCs w:val="18"/>
                      <w:lang w:val="lv-LV" w:eastAsia="lv-LV"/>
                    </w:rPr>
                    <w:t> 615,3</w:t>
                  </w:r>
                </w:p>
              </w:tc>
              <w:tc>
                <w:tcPr>
                  <w:tcW w:w="1013" w:type="dxa"/>
                  <w:tcMar>
                    <w:top w:w="0" w:type="dxa"/>
                    <w:left w:w="108" w:type="dxa"/>
                    <w:bottom w:w="0" w:type="dxa"/>
                    <w:right w:w="108" w:type="dxa"/>
                  </w:tcMar>
                  <w:vAlign w:val="center"/>
                </w:tcPr>
                <w:p w14:paraId="57CDB15B" w14:textId="77777777" w:rsidR="009734BB" w:rsidRPr="005A2B67" w:rsidRDefault="009734BB" w:rsidP="007E49BD">
                  <w:pPr>
                    <w:autoSpaceDE w:val="0"/>
                    <w:autoSpaceDN w:val="0"/>
                    <w:jc w:val="center"/>
                    <w:rPr>
                      <w:rFonts w:eastAsia="Calibri"/>
                      <w:b/>
                      <w:bCs/>
                      <w:sz w:val="18"/>
                      <w:szCs w:val="18"/>
                      <w:lang w:val="lv-LV" w:eastAsia="lv-LV"/>
                    </w:rPr>
                  </w:pPr>
                  <w:r w:rsidRPr="005A2B67">
                    <w:rPr>
                      <w:rFonts w:eastAsia="Calibri"/>
                      <w:b/>
                      <w:bCs/>
                      <w:sz w:val="18"/>
                      <w:szCs w:val="18"/>
                      <w:lang w:val="lv-LV" w:eastAsia="lv-LV"/>
                    </w:rPr>
                    <w:t>166 763,9</w:t>
                  </w:r>
                </w:p>
              </w:tc>
              <w:tc>
                <w:tcPr>
                  <w:tcW w:w="1014" w:type="dxa"/>
                  <w:tcMar>
                    <w:top w:w="0" w:type="dxa"/>
                    <w:left w:w="108" w:type="dxa"/>
                    <w:bottom w:w="0" w:type="dxa"/>
                    <w:right w:w="108" w:type="dxa"/>
                  </w:tcMar>
                  <w:vAlign w:val="center"/>
                </w:tcPr>
                <w:p w14:paraId="0919C34F" w14:textId="77777777" w:rsidR="009734BB" w:rsidRPr="00EE1E8A" w:rsidRDefault="009734BB" w:rsidP="007E49BD">
                  <w:pPr>
                    <w:autoSpaceDE w:val="0"/>
                    <w:autoSpaceDN w:val="0"/>
                    <w:jc w:val="center"/>
                    <w:rPr>
                      <w:rFonts w:eastAsia="Calibri"/>
                      <w:b/>
                      <w:bCs/>
                      <w:sz w:val="18"/>
                      <w:szCs w:val="18"/>
                      <w:lang w:val="lv-LV" w:eastAsia="lv-LV"/>
                    </w:rPr>
                  </w:pPr>
                  <w:r w:rsidRPr="00EE1E8A">
                    <w:rPr>
                      <w:rFonts w:eastAsia="Calibri"/>
                      <w:b/>
                      <w:bCs/>
                      <w:sz w:val="18"/>
                      <w:szCs w:val="18"/>
                      <w:lang w:val="lv-LV" w:eastAsia="lv-LV"/>
                    </w:rPr>
                    <w:t>153 111,9</w:t>
                  </w:r>
                </w:p>
              </w:tc>
              <w:tc>
                <w:tcPr>
                  <w:tcW w:w="995" w:type="dxa"/>
                  <w:tcMar>
                    <w:top w:w="0" w:type="dxa"/>
                    <w:left w:w="108" w:type="dxa"/>
                    <w:bottom w:w="0" w:type="dxa"/>
                    <w:right w:w="108" w:type="dxa"/>
                  </w:tcMar>
                  <w:vAlign w:val="center"/>
                </w:tcPr>
                <w:p w14:paraId="3C66599C" w14:textId="77777777" w:rsidR="009734BB" w:rsidRPr="00EE1E8A" w:rsidRDefault="009734BB" w:rsidP="007E49BD">
                  <w:pPr>
                    <w:autoSpaceDE w:val="0"/>
                    <w:autoSpaceDN w:val="0"/>
                    <w:jc w:val="center"/>
                    <w:rPr>
                      <w:rFonts w:eastAsia="Calibri"/>
                      <w:b/>
                      <w:bCs/>
                      <w:sz w:val="18"/>
                      <w:szCs w:val="18"/>
                      <w:lang w:val="lv-LV" w:eastAsia="lv-LV"/>
                    </w:rPr>
                  </w:pPr>
                  <w:r w:rsidRPr="00EE1E8A">
                    <w:rPr>
                      <w:rFonts w:eastAsia="Calibri"/>
                      <w:b/>
                      <w:bCs/>
                      <w:sz w:val="18"/>
                      <w:szCs w:val="18"/>
                      <w:lang w:val="lv-LV" w:eastAsia="lv-LV"/>
                    </w:rPr>
                    <w:t>170 971,5</w:t>
                  </w:r>
                </w:p>
              </w:tc>
              <w:tc>
                <w:tcPr>
                  <w:tcW w:w="995" w:type="dxa"/>
                  <w:tcMar>
                    <w:top w:w="0" w:type="dxa"/>
                    <w:left w:w="108" w:type="dxa"/>
                    <w:bottom w:w="0" w:type="dxa"/>
                    <w:right w:w="108" w:type="dxa"/>
                  </w:tcMar>
                  <w:vAlign w:val="center"/>
                </w:tcPr>
                <w:p w14:paraId="3D887A15" w14:textId="77777777" w:rsidR="009734BB" w:rsidRPr="00EE1E8A" w:rsidRDefault="009734BB" w:rsidP="007E49BD">
                  <w:pPr>
                    <w:autoSpaceDE w:val="0"/>
                    <w:autoSpaceDN w:val="0"/>
                    <w:jc w:val="center"/>
                    <w:rPr>
                      <w:rFonts w:eastAsia="Calibri"/>
                      <w:b/>
                      <w:bCs/>
                      <w:sz w:val="18"/>
                      <w:szCs w:val="18"/>
                      <w:lang w:val="lv-LV" w:eastAsia="lv-LV"/>
                    </w:rPr>
                  </w:pPr>
                  <w:r w:rsidRPr="00EE1E8A">
                    <w:rPr>
                      <w:rFonts w:eastAsia="Calibri"/>
                      <w:b/>
                      <w:bCs/>
                      <w:sz w:val="18"/>
                      <w:szCs w:val="18"/>
                      <w:lang w:val="lv-LV" w:eastAsia="lv-LV"/>
                    </w:rPr>
                    <w:t>159 146,2</w:t>
                  </w:r>
                </w:p>
              </w:tc>
              <w:tc>
                <w:tcPr>
                  <w:tcW w:w="894" w:type="dxa"/>
                  <w:tcMar>
                    <w:top w:w="0" w:type="dxa"/>
                    <w:left w:w="108" w:type="dxa"/>
                    <w:bottom w:w="0" w:type="dxa"/>
                    <w:right w:w="108" w:type="dxa"/>
                  </w:tcMar>
                  <w:vAlign w:val="center"/>
                </w:tcPr>
                <w:p w14:paraId="37C04B40" w14:textId="2CD01ABC" w:rsidR="009734BB" w:rsidRPr="00EE1E8A" w:rsidRDefault="009734BB" w:rsidP="007E49BD">
                  <w:pPr>
                    <w:autoSpaceDE w:val="0"/>
                    <w:autoSpaceDN w:val="0"/>
                    <w:jc w:val="center"/>
                    <w:rPr>
                      <w:rFonts w:eastAsia="Calibri"/>
                      <w:b/>
                      <w:bCs/>
                      <w:sz w:val="18"/>
                      <w:szCs w:val="18"/>
                      <w:lang w:val="lv-LV" w:eastAsia="lv-LV"/>
                    </w:rPr>
                  </w:pPr>
                  <w:r w:rsidRPr="00EE1E8A">
                    <w:rPr>
                      <w:rFonts w:eastAsia="Calibri"/>
                      <w:b/>
                      <w:bCs/>
                      <w:sz w:val="18"/>
                      <w:szCs w:val="18"/>
                      <w:lang w:val="lv-LV" w:eastAsia="lv-LV"/>
                    </w:rPr>
                    <w:t>4</w:t>
                  </w:r>
                  <w:r w:rsidR="002A0BCC">
                    <w:rPr>
                      <w:rFonts w:eastAsia="Calibri"/>
                      <w:b/>
                      <w:bCs/>
                      <w:sz w:val="18"/>
                      <w:szCs w:val="18"/>
                      <w:lang w:val="lv-LV" w:eastAsia="lv-LV"/>
                    </w:rPr>
                    <w:t xml:space="preserve"> </w:t>
                  </w:r>
                  <w:r w:rsidRPr="00EE1E8A">
                    <w:rPr>
                      <w:rFonts w:eastAsia="Calibri"/>
                      <w:b/>
                      <w:bCs/>
                      <w:sz w:val="18"/>
                      <w:szCs w:val="18"/>
                      <w:lang w:val="lv-LV" w:eastAsia="lv-LV"/>
                    </w:rPr>
                    <w:t>207,6</w:t>
                  </w:r>
                </w:p>
              </w:tc>
              <w:tc>
                <w:tcPr>
                  <w:tcW w:w="895" w:type="dxa"/>
                  <w:tcMar>
                    <w:top w:w="0" w:type="dxa"/>
                    <w:left w:w="108" w:type="dxa"/>
                    <w:bottom w:w="0" w:type="dxa"/>
                    <w:right w:w="108" w:type="dxa"/>
                  </w:tcMar>
                  <w:vAlign w:val="center"/>
                </w:tcPr>
                <w:p w14:paraId="6713A4FF" w14:textId="5EF4CC84" w:rsidR="009734BB" w:rsidRPr="00EE1E8A" w:rsidRDefault="009734BB" w:rsidP="007E49BD">
                  <w:pPr>
                    <w:autoSpaceDE w:val="0"/>
                    <w:autoSpaceDN w:val="0"/>
                    <w:jc w:val="center"/>
                    <w:rPr>
                      <w:rFonts w:eastAsia="Calibri"/>
                      <w:b/>
                      <w:bCs/>
                      <w:sz w:val="18"/>
                      <w:szCs w:val="18"/>
                      <w:lang w:val="lv-LV" w:eastAsia="lv-LV"/>
                    </w:rPr>
                  </w:pPr>
                  <w:r w:rsidRPr="00EE1E8A">
                    <w:rPr>
                      <w:rFonts w:eastAsia="Calibri"/>
                      <w:b/>
                      <w:bCs/>
                      <w:sz w:val="18"/>
                      <w:szCs w:val="18"/>
                      <w:lang w:val="lv-LV" w:eastAsia="lv-LV"/>
                    </w:rPr>
                    <w:t>6</w:t>
                  </w:r>
                  <w:r w:rsidR="002A0BCC">
                    <w:rPr>
                      <w:rFonts w:eastAsia="Calibri"/>
                      <w:b/>
                      <w:bCs/>
                      <w:sz w:val="18"/>
                      <w:szCs w:val="18"/>
                      <w:lang w:val="lv-LV" w:eastAsia="lv-LV"/>
                    </w:rPr>
                    <w:t xml:space="preserve"> </w:t>
                  </w:r>
                  <w:r w:rsidRPr="00EE1E8A">
                    <w:rPr>
                      <w:rFonts w:eastAsia="Calibri"/>
                      <w:b/>
                      <w:bCs/>
                      <w:sz w:val="18"/>
                      <w:szCs w:val="18"/>
                      <w:lang w:val="lv-LV" w:eastAsia="lv-LV"/>
                    </w:rPr>
                    <w:t>034,3</w:t>
                  </w:r>
                </w:p>
              </w:tc>
            </w:tr>
            <w:tr w:rsidR="009734BB" w:rsidRPr="00EE1E8A" w14:paraId="22A66E85" w14:textId="77777777" w:rsidTr="007E49BD">
              <w:trPr>
                <w:trHeight w:val="279"/>
                <w:jc w:val="center"/>
              </w:trPr>
              <w:tc>
                <w:tcPr>
                  <w:tcW w:w="1562" w:type="dxa"/>
                  <w:tcMar>
                    <w:top w:w="0" w:type="dxa"/>
                    <w:left w:w="108" w:type="dxa"/>
                    <w:bottom w:w="0" w:type="dxa"/>
                    <w:right w:w="108" w:type="dxa"/>
                  </w:tcMar>
                  <w:vAlign w:val="center"/>
                  <w:hideMark/>
                </w:tcPr>
                <w:p w14:paraId="60BE921D" w14:textId="77777777" w:rsidR="009734BB" w:rsidRPr="00EE1E8A" w:rsidRDefault="009734BB" w:rsidP="007E49BD">
                  <w:pPr>
                    <w:autoSpaceDE w:val="0"/>
                    <w:autoSpaceDN w:val="0"/>
                    <w:jc w:val="right"/>
                    <w:rPr>
                      <w:rFonts w:eastAsia="Calibri"/>
                      <w:bCs/>
                      <w:i/>
                      <w:iCs/>
                      <w:sz w:val="20"/>
                      <w:szCs w:val="20"/>
                      <w:lang w:val="lv-LV" w:eastAsia="lv-LV"/>
                    </w:rPr>
                  </w:pPr>
                  <w:r w:rsidRPr="00EE1E8A">
                    <w:rPr>
                      <w:bCs/>
                      <w:i/>
                      <w:iCs/>
                      <w:sz w:val="20"/>
                      <w:szCs w:val="20"/>
                      <w:lang w:val="lv-LV" w:eastAsia="lv-LV"/>
                    </w:rPr>
                    <w:t>rezerve</w:t>
                  </w:r>
                </w:p>
              </w:tc>
              <w:tc>
                <w:tcPr>
                  <w:tcW w:w="1013" w:type="dxa"/>
                  <w:tcMar>
                    <w:top w:w="0" w:type="dxa"/>
                    <w:left w:w="108" w:type="dxa"/>
                    <w:bottom w:w="0" w:type="dxa"/>
                    <w:right w:w="108" w:type="dxa"/>
                  </w:tcMar>
                  <w:vAlign w:val="center"/>
                </w:tcPr>
                <w:p w14:paraId="09F8461E" w14:textId="77777777" w:rsidR="009734BB" w:rsidRPr="00EE1E8A" w:rsidRDefault="009734BB" w:rsidP="007E49BD">
                  <w:pPr>
                    <w:autoSpaceDE w:val="0"/>
                    <w:autoSpaceDN w:val="0"/>
                    <w:jc w:val="center"/>
                    <w:rPr>
                      <w:rFonts w:eastAsia="Calibri"/>
                      <w:i/>
                      <w:iCs/>
                      <w:sz w:val="18"/>
                      <w:szCs w:val="18"/>
                      <w:lang w:val="lv-LV" w:eastAsia="lv-LV"/>
                    </w:rPr>
                  </w:pPr>
                  <w:r w:rsidRPr="00EE1E8A">
                    <w:rPr>
                      <w:rFonts w:eastAsia="Calibri"/>
                      <w:i/>
                      <w:iCs/>
                      <w:sz w:val="18"/>
                      <w:szCs w:val="18"/>
                      <w:lang w:val="lv-LV" w:eastAsia="lv-LV"/>
                    </w:rPr>
                    <w:t>1 814,6</w:t>
                  </w:r>
                </w:p>
              </w:tc>
              <w:tc>
                <w:tcPr>
                  <w:tcW w:w="1014" w:type="dxa"/>
                  <w:tcMar>
                    <w:top w:w="0" w:type="dxa"/>
                    <w:left w:w="108" w:type="dxa"/>
                    <w:bottom w:w="0" w:type="dxa"/>
                    <w:right w:w="108" w:type="dxa"/>
                  </w:tcMar>
                  <w:vAlign w:val="center"/>
                </w:tcPr>
                <w:p w14:paraId="14A6AFBD" w14:textId="77777777" w:rsidR="009734BB" w:rsidRPr="006971D7" w:rsidRDefault="009734BB" w:rsidP="007E49BD">
                  <w:pPr>
                    <w:autoSpaceDE w:val="0"/>
                    <w:autoSpaceDN w:val="0"/>
                    <w:jc w:val="center"/>
                    <w:rPr>
                      <w:rFonts w:eastAsia="Calibri"/>
                      <w:i/>
                      <w:iCs/>
                      <w:sz w:val="18"/>
                      <w:szCs w:val="18"/>
                      <w:lang w:val="lv-LV" w:eastAsia="lv-LV"/>
                    </w:rPr>
                  </w:pPr>
                  <w:r w:rsidRPr="006971D7">
                    <w:rPr>
                      <w:rFonts w:eastAsia="Calibri"/>
                      <w:i/>
                      <w:iCs/>
                      <w:sz w:val="18"/>
                      <w:szCs w:val="18"/>
                      <w:lang w:val="lv-LV" w:eastAsia="lv-LV"/>
                    </w:rPr>
                    <w:t>20 108,0</w:t>
                  </w:r>
                </w:p>
              </w:tc>
              <w:tc>
                <w:tcPr>
                  <w:tcW w:w="1013" w:type="dxa"/>
                  <w:tcMar>
                    <w:top w:w="0" w:type="dxa"/>
                    <w:left w:w="108" w:type="dxa"/>
                    <w:bottom w:w="0" w:type="dxa"/>
                    <w:right w:w="108" w:type="dxa"/>
                  </w:tcMar>
                  <w:vAlign w:val="center"/>
                </w:tcPr>
                <w:p w14:paraId="59B09A09" w14:textId="77777777" w:rsidR="009734BB" w:rsidRPr="005A2B67" w:rsidRDefault="009734BB" w:rsidP="007E49BD">
                  <w:pPr>
                    <w:autoSpaceDE w:val="0"/>
                    <w:autoSpaceDN w:val="0"/>
                    <w:jc w:val="center"/>
                    <w:rPr>
                      <w:rFonts w:eastAsia="Calibri"/>
                      <w:i/>
                      <w:iCs/>
                      <w:sz w:val="18"/>
                      <w:szCs w:val="18"/>
                      <w:lang w:val="lv-LV" w:eastAsia="lv-LV"/>
                    </w:rPr>
                  </w:pPr>
                  <w:r w:rsidRPr="005A2B67">
                    <w:rPr>
                      <w:rFonts w:eastAsia="Calibri"/>
                      <w:i/>
                      <w:iCs/>
                      <w:sz w:val="18"/>
                      <w:szCs w:val="18"/>
                      <w:lang w:val="lv-LV" w:eastAsia="lv-LV"/>
                    </w:rPr>
                    <w:t>3 020,6</w:t>
                  </w:r>
                </w:p>
              </w:tc>
              <w:tc>
                <w:tcPr>
                  <w:tcW w:w="1014" w:type="dxa"/>
                  <w:tcMar>
                    <w:top w:w="0" w:type="dxa"/>
                    <w:left w:w="108" w:type="dxa"/>
                    <w:bottom w:w="0" w:type="dxa"/>
                    <w:right w:w="108" w:type="dxa"/>
                  </w:tcMar>
                  <w:vAlign w:val="center"/>
                </w:tcPr>
                <w:p w14:paraId="671223D5" w14:textId="77777777" w:rsidR="009734BB" w:rsidRPr="00EE1E8A" w:rsidRDefault="009734BB" w:rsidP="007E49BD">
                  <w:pPr>
                    <w:autoSpaceDE w:val="0"/>
                    <w:autoSpaceDN w:val="0"/>
                    <w:jc w:val="center"/>
                    <w:rPr>
                      <w:rFonts w:eastAsia="Calibri"/>
                      <w:i/>
                      <w:iCs/>
                      <w:sz w:val="18"/>
                      <w:szCs w:val="18"/>
                      <w:lang w:val="lv-LV" w:eastAsia="lv-LV"/>
                    </w:rPr>
                  </w:pPr>
                  <w:r w:rsidRPr="00EE1E8A">
                    <w:rPr>
                      <w:rFonts w:eastAsia="Calibri"/>
                      <w:i/>
                      <w:iCs/>
                      <w:sz w:val="18"/>
                      <w:szCs w:val="18"/>
                      <w:lang w:val="lv-LV" w:eastAsia="lv-LV"/>
                    </w:rPr>
                    <w:t>20 346,4</w:t>
                  </w:r>
                </w:p>
              </w:tc>
              <w:tc>
                <w:tcPr>
                  <w:tcW w:w="995" w:type="dxa"/>
                  <w:tcMar>
                    <w:top w:w="0" w:type="dxa"/>
                    <w:left w:w="108" w:type="dxa"/>
                    <w:bottom w:w="0" w:type="dxa"/>
                    <w:right w:w="108" w:type="dxa"/>
                  </w:tcMar>
                  <w:vAlign w:val="center"/>
                </w:tcPr>
                <w:p w14:paraId="3DF5970B" w14:textId="3AA3CD8A" w:rsidR="009734BB" w:rsidRPr="00EE1E8A" w:rsidRDefault="00D4722B" w:rsidP="00D4722B">
                  <w:pPr>
                    <w:autoSpaceDE w:val="0"/>
                    <w:autoSpaceDN w:val="0"/>
                    <w:jc w:val="center"/>
                    <w:rPr>
                      <w:rFonts w:eastAsia="Calibri"/>
                      <w:i/>
                      <w:iCs/>
                      <w:sz w:val="18"/>
                      <w:szCs w:val="18"/>
                      <w:lang w:val="lv-LV" w:eastAsia="lv-LV"/>
                    </w:rPr>
                  </w:pPr>
                  <w:r>
                    <w:rPr>
                      <w:rFonts w:eastAsia="Calibri"/>
                      <w:i/>
                      <w:iCs/>
                      <w:sz w:val="18"/>
                      <w:szCs w:val="18"/>
                      <w:lang w:val="lv-LV" w:eastAsia="lv-LV"/>
                    </w:rPr>
                    <w:t>425</w:t>
                  </w:r>
                  <w:r w:rsidR="00AE64E5" w:rsidRPr="00EE1E8A">
                    <w:rPr>
                      <w:rFonts w:eastAsia="Calibri"/>
                      <w:i/>
                      <w:iCs/>
                      <w:sz w:val="18"/>
                      <w:szCs w:val="18"/>
                      <w:lang w:val="lv-LV" w:eastAsia="lv-LV"/>
                    </w:rPr>
                    <w:t>,</w:t>
                  </w:r>
                  <w:r>
                    <w:rPr>
                      <w:rFonts w:eastAsia="Calibri"/>
                      <w:i/>
                      <w:iCs/>
                      <w:sz w:val="18"/>
                      <w:szCs w:val="18"/>
                      <w:lang w:val="lv-LV" w:eastAsia="lv-LV"/>
                    </w:rPr>
                    <w:t>8</w:t>
                  </w:r>
                </w:p>
              </w:tc>
              <w:tc>
                <w:tcPr>
                  <w:tcW w:w="995" w:type="dxa"/>
                  <w:tcMar>
                    <w:top w:w="0" w:type="dxa"/>
                    <w:left w:w="108" w:type="dxa"/>
                    <w:bottom w:w="0" w:type="dxa"/>
                    <w:right w:w="108" w:type="dxa"/>
                  </w:tcMar>
                  <w:vAlign w:val="center"/>
                </w:tcPr>
                <w:p w14:paraId="11B053B8" w14:textId="45CA3B05" w:rsidR="009734BB" w:rsidRPr="00EE1E8A" w:rsidRDefault="009734BB" w:rsidP="00D4722B">
                  <w:pPr>
                    <w:autoSpaceDE w:val="0"/>
                    <w:autoSpaceDN w:val="0"/>
                    <w:jc w:val="center"/>
                    <w:rPr>
                      <w:rFonts w:eastAsia="Calibri"/>
                      <w:i/>
                      <w:sz w:val="18"/>
                      <w:szCs w:val="18"/>
                      <w:lang w:val="lv-LV" w:eastAsia="lv-LV"/>
                    </w:rPr>
                  </w:pPr>
                  <w:r w:rsidRPr="00EE1E8A">
                    <w:rPr>
                      <w:rFonts w:eastAsia="Calibri"/>
                      <w:i/>
                      <w:sz w:val="18"/>
                      <w:szCs w:val="18"/>
                      <w:lang w:val="lv-LV" w:eastAsia="lv-LV"/>
                    </w:rPr>
                    <w:t>14</w:t>
                  </w:r>
                  <w:r w:rsidR="00AE64E5" w:rsidRPr="00EE1E8A">
                    <w:rPr>
                      <w:rFonts w:eastAsia="Calibri"/>
                      <w:i/>
                      <w:sz w:val="18"/>
                      <w:szCs w:val="18"/>
                      <w:lang w:val="lv-LV" w:eastAsia="lv-LV"/>
                    </w:rPr>
                    <w:t> </w:t>
                  </w:r>
                  <w:r w:rsidRPr="00EE1E8A">
                    <w:rPr>
                      <w:rFonts w:eastAsia="Calibri"/>
                      <w:i/>
                      <w:sz w:val="18"/>
                      <w:szCs w:val="18"/>
                      <w:lang w:val="lv-LV" w:eastAsia="lv-LV"/>
                    </w:rPr>
                    <w:t>6</w:t>
                  </w:r>
                  <w:r w:rsidR="00D4722B">
                    <w:rPr>
                      <w:rFonts w:eastAsia="Calibri"/>
                      <w:i/>
                      <w:sz w:val="18"/>
                      <w:szCs w:val="18"/>
                      <w:lang w:val="lv-LV" w:eastAsia="lv-LV"/>
                    </w:rPr>
                    <w:t>16</w:t>
                  </w:r>
                  <w:r w:rsidR="00AE64E5" w:rsidRPr="00EE1E8A">
                    <w:rPr>
                      <w:rFonts w:eastAsia="Calibri"/>
                      <w:i/>
                      <w:sz w:val="18"/>
                      <w:szCs w:val="18"/>
                      <w:lang w:val="lv-LV" w:eastAsia="lv-LV"/>
                    </w:rPr>
                    <w:t>,</w:t>
                  </w:r>
                  <w:r w:rsidR="00D4722B">
                    <w:rPr>
                      <w:rFonts w:eastAsia="Calibri"/>
                      <w:i/>
                      <w:sz w:val="18"/>
                      <w:szCs w:val="18"/>
                      <w:lang w:val="lv-LV" w:eastAsia="lv-LV"/>
                    </w:rPr>
                    <w:t>1</w:t>
                  </w:r>
                </w:p>
              </w:tc>
              <w:tc>
                <w:tcPr>
                  <w:tcW w:w="894" w:type="dxa"/>
                  <w:tcMar>
                    <w:top w:w="0" w:type="dxa"/>
                    <w:left w:w="108" w:type="dxa"/>
                    <w:bottom w:w="0" w:type="dxa"/>
                    <w:right w:w="108" w:type="dxa"/>
                  </w:tcMar>
                  <w:vAlign w:val="center"/>
                </w:tcPr>
                <w:p w14:paraId="348881B3" w14:textId="598AB0DA" w:rsidR="009734BB" w:rsidRPr="00EE1E8A" w:rsidRDefault="00704222" w:rsidP="00D4722B">
                  <w:pPr>
                    <w:autoSpaceDE w:val="0"/>
                    <w:autoSpaceDN w:val="0"/>
                    <w:jc w:val="center"/>
                    <w:rPr>
                      <w:rFonts w:eastAsia="Calibri"/>
                      <w:i/>
                      <w:iCs/>
                      <w:sz w:val="18"/>
                      <w:szCs w:val="18"/>
                      <w:lang w:val="lv-LV" w:eastAsia="lv-LV"/>
                    </w:rPr>
                  </w:pPr>
                  <w:r w:rsidRPr="00EE1E8A">
                    <w:rPr>
                      <w:rFonts w:eastAsia="Calibri"/>
                      <w:i/>
                      <w:iCs/>
                      <w:sz w:val="18"/>
                      <w:szCs w:val="18"/>
                      <w:lang w:val="lv-LV" w:eastAsia="lv-LV"/>
                    </w:rPr>
                    <w:t>-2</w:t>
                  </w:r>
                  <w:r w:rsidR="002A0BCC">
                    <w:rPr>
                      <w:rFonts w:eastAsia="Calibri"/>
                      <w:i/>
                      <w:iCs/>
                      <w:sz w:val="18"/>
                      <w:szCs w:val="18"/>
                      <w:lang w:val="lv-LV" w:eastAsia="lv-LV"/>
                    </w:rPr>
                    <w:t xml:space="preserve"> </w:t>
                  </w:r>
                  <w:r w:rsidRPr="00EE1E8A">
                    <w:rPr>
                      <w:rFonts w:eastAsia="Calibri"/>
                      <w:i/>
                      <w:iCs/>
                      <w:sz w:val="18"/>
                      <w:szCs w:val="18"/>
                      <w:lang w:val="lv-LV" w:eastAsia="lv-LV"/>
                    </w:rPr>
                    <w:t>5</w:t>
                  </w:r>
                  <w:r w:rsidR="00D4722B">
                    <w:rPr>
                      <w:rFonts w:eastAsia="Calibri"/>
                      <w:i/>
                      <w:iCs/>
                      <w:sz w:val="18"/>
                      <w:szCs w:val="18"/>
                      <w:lang w:val="lv-LV" w:eastAsia="lv-LV"/>
                    </w:rPr>
                    <w:t>94</w:t>
                  </w:r>
                  <w:r w:rsidRPr="00EE1E8A">
                    <w:rPr>
                      <w:rFonts w:eastAsia="Calibri"/>
                      <w:i/>
                      <w:iCs/>
                      <w:sz w:val="18"/>
                      <w:szCs w:val="18"/>
                      <w:lang w:val="lv-LV" w:eastAsia="lv-LV"/>
                    </w:rPr>
                    <w:t>,</w:t>
                  </w:r>
                  <w:r w:rsidR="00D4722B">
                    <w:rPr>
                      <w:rFonts w:eastAsia="Calibri"/>
                      <w:i/>
                      <w:iCs/>
                      <w:sz w:val="18"/>
                      <w:szCs w:val="18"/>
                      <w:lang w:val="lv-LV" w:eastAsia="lv-LV"/>
                    </w:rPr>
                    <w:t>8</w:t>
                  </w:r>
                </w:p>
              </w:tc>
              <w:tc>
                <w:tcPr>
                  <w:tcW w:w="895" w:type="dxa"/>
                  <w:tcMar>
                    <w:top w:w="0" w:type="dxa"/>
                    <w:left w:w="108" w:type="dxa"/>
                    <w:bottom w:w="0" w:type="dxa"/>
                    <w:right w:w="108" w:type="dxa"/>
                  </w:tcMar>
                  <w:vAlign w:val="center"/>
                </w:tcPr>
                <w:p w14:paraId="73E49148" w14:textId="44689D20" w:rsidR="009734BB" w:rsidRPr="00EE1E8A" w:rsidRDefault="00704222" w:rsidP="00D4722B">
                  <w:pPr>
                    <w:autoSpaceDE w:val="0"/>
                    <w:autoSpaceDN w:val="0"/>
                    <w:jc w:val="center"/>
                    <w:rPr>
                      <w:rFonts w:eastAsia="Calibri"/>
                      <w:i/>
                      <w:sz w:val="18"/>
                      <w:szCs w:val="18"/>
                      <w:lang w:val="lv-LV" w:eastAsia="lv-LV"/>
                    </w:rPr>
                  </w:pPr>
                  <w:r w:rsidRPr="00EE1E8A">
                    <w:rPr>
                      <w:rFonts w:eastAsia="Calibri"/>
                      <w:i/>
                      <w:sz w:val="18"/>
                      <w:szCs w:val="18"/>
                      <w:lang w:val="lv-LV" w:eastAsia="lv-LV"/>
                    </w:rPr>
                    <w:t>-5</w:t>
                  </w:r>
                  <w:r w:rsidR="002A0BCC">
                    <w:rPr>
                      <w:rFonts w:eastAsia="Calibri"/>
                      <w:i/>
                      <w:sz w:val="18"/>
                      <w:szCs w:val="18"/>
                      <w:lang w:val="lv-LV" w:eastAsia="lv-LV"/>
                    </w:rPr>
                    <w:t xml:space="preserve"> </w:t>
                  </w:r>
                  <w:r w:rsidRPr="00EE1E8A">
                    <w:rPr>
                      <w:rFonts w:eastAsia="Calibri"/>
                      <w:i/>
                      <w:sz w:val="18"/>
                      <w:szCs w:val="18"/>
                      <w:lang w:val="lv-LV" w:eastAsia="lv-LV"/>
                    </w:rPr>
                    <w:t>7</w:t>
                  </w:r>
                  <w:r w:rsidR="00D4722B">
                    <w:rPr>
                      <w:rFonts w:eastAsia="Calibri"/>
                      <w:i/>
                      <w:sz w:val="18"/>
                      <w:szCs w:val="18"/>
                      <w:lang w:val="lv-LV" w:eastAsia="lv-LV"/>
                    </w:rPr>
                    <w:t>30</w:t>
                  </w:r>
                  <w:r w:rsidRPr="00EE1E8A">
                    <w:rPr>
                      <w:rFonts w:eastAsia="Calibri"/>
                      <w:i/>
                      <w:sz w:val="18"/>
                      <w:szCs w:val="18"/>
                      <w:lang w:val="lv-LV" w:eastAsia="lv-LV"/>
                    </w:rPr>
                    <w:t>,</w:t>
                  </w:r>
                  <w:r w:rsidR="00D4722B">
                    <w:rPr>
                      <w:rFonts w:eastAsia="Calibri"/>
                      <w:i/>
                      <w:sz w:val="18"/>
                      <w:szCs w:val="18"/>
                      <w:lang w:val="lv-LV" w:eastAsia="lv-LV"/>
                    </w:rPr>
                    <w:t>3</w:t>
                  </w:r>
                </w:p>
              </w:tc>
            </w:tr>
            <w:tr w:rsidR="009734BB" w:rsidRPr="00EE1E8A" w14:paraId="461C197A" w14:textId="77777777" w:rsidTr="007E49BD">
              <w:trPr>
                <w:trHeight w:val="279"/>
                <w:jc w:val="center"/>
              </w:trPr>
              <w:tc>
                <w:tcPr>
                  <w:tcW w:w="1562" w:type="dxa"/>
                  <w:tcMar>
                    <w:top w:w="0" w:type="dxa"/>
                    <w:left w:w="108" w:type="dxa"/>
                    <w:bottom w:w="0" w:type="dxa"/>
                    <w:right w:w="108" w:type="dxa"/>
                  </w:tcMar>
                  <w:vAlign w:val="center"/>
                </w:tcPr>
                <w:p w14:paraId="65EAA56D" w14:textId="77777777" w:rsidR="009734BB" w:rsidRPr="00EE1E8A" w:rsidRDefault="009734BB" w:rsidP="007E49BD">
                  <w:pPr>
                    <w:autoSpaceDE w:val="0"/>
                    <w:autoSpaceDN w:val="0"/>
                    <w:jc w:val="right"/>
                    <w:rPr>
                      <w:bCs/>
                      <w:iCs/>
                      <w:sz w:val="20"/>
                      <w:szCs w:val="20"/>
                      <w:lang w:val="lv-LV" w:eastAsia="lv-LV"/>
                    </w:rPr>
                  </w:pPr>
                  <w:r w:rsidRPr="00EE1E8A">
                    <w:rPr>
                      <w:bCs/>
                      <w:iCs/>
                      <w:sz w:val="20"/>
                      <w:szCs w:val="20"/>
                      <w:lang w:val="lv-LV" w:eastAsia="lv-LV"/>
                    </w:rPr>
                    <w:t>Citi īpašie instrumenti</w:t>
                  </w:r>
                  <w:r w:rsidRPr="00EE1E8A">
                    <w:rPr>
                      <w:rStyle w:val="FootnoteReference"/>
                      <w:bCs/>
                      <w:iCs/>
                      <w:sz w:val="20"/>
                      <w:szCs w:val="20"/>
                      <w:lang w:val="lv-LV" w:eastAsia="lv-LV"/>
                    </w:rPr>
                    <w:footnoteReference w:id="6"/>
                  </w:r>
                </w:p>
              </w:tc>
              <w:tc>
                <w:tcPr>
                  <w:tcW w:w="1013" w:type="dxa"/>
                  <w:tcMar>
                    <w:top w:w="0" w:type="dxa"/>
                    <w:left w:w="108" w:type="dxa"/>
                    <w:bottom w:w="0" w:type="dxa"/>
                    <w:right w:w="108" w:type="dxa"/>
                  </w:tcMar>
                  <w:vAlign w:val="center"/>
                </w:tcPr>
                <w:p w14:paraId="75D940E1" w14:textId="7A922AD3" w:rsidR="009734BB" w:rsidRPr="00EE1E8A" w:rsidRDefault="005F5D31" w:rsidP="007E49BD">
                  <w:pPr>
                    <w:autoSpaceDE w:val="0"/>
                    <w:autoSpaceDN w:val="0"/>
                    <w:jc w:val="center"/>
                    <w:rPr>
                      <w:rFonts w:eastAsia="Calibri"/>
                      <w:iCs/>
                      <w:sz w:val="18"/>
                      <w:szCs w:val="18"/>
                      <w:lang w:val="lv-LV" w:eastAsia="lv-LV"/>
                    </w:rPr>
                  </w:pPr>
                  <w:r>
                    <w:rPr>
                      <w:rFonts w:eastAsia="Calibri"/>
                      <w:iCs/>
                      <w:sz w:val="18"/>
                      <w:szCs w:val="18"/>
                      <w:lang w:val="lv-LV" w:eastAsia="lv-LV"/>
                    </w:rPr>
                    <w:t>637,8</w:t>
                  </w:r>
                </w:p>
              </w:tc>
              <w:tc>
                <w:tcPr>
                  <w:tcW w:w="1014" w:type="dxa"/>
                  <w:tcMar>
                    <w:top w:w="0" w:type="dxa"/>
                    <w:left w:w="108" w:type="dxa"/>
                    <w:bottom w:w="0" w:type="dxa"/>
                    <w:right w:w="108" w:type="dxa"/>
                  </w:tcMar>
                  <w:vAlign w:val="center"/>
                </w:tcPr>
                <w:p w14:paraId="2A9AE25D" w14:textId="77777777" w:rsidR="009734BB" w:rsidRPr="006971D7" w:rsidRDefault="009734BB" w:rsidP="007E49BD">
                  <w:pPr>
                    <w:autoSpaceDE w:val="0"/>
                    <w:autoSpaceDN w:val="0"/>
                    <w:jc w:val="center"/>
                    <w:rPr>
                      <w:rFonts w:eastAsia="Calibri"/>
                      <w:iCs/>
                      <w:sz w:val="18"/>
                      <w:szCs w:val="18"/>
                      <w:lang w:val="lv-LV" w:eastAsia="lv-LV"/>
                    </w:rPr>
                  </w:pPr>
                  <w:r w:rsidRPr="006971D7">
                    <w:rPr>
                      <w:rFonts w:eastAsia="Calibri"/>
                      <w:iCs/>
                      <w:sz w:val="18"/>
                      <w:szCs w:val="18"/>
                      <w:lang w:val="lv-LV" w:eastAsia="lv-LV"/>
                    </w:rPr>
                    <w:t>468,5</w:t>
                  </w:r>
                </w:p>
              </w:tc>
              <w:tc>
                <w:tcPr>
                  <w:tcW w:w="1013" w:type="dxa"/>
                  <w:tcMar>
                    <w:top w:w="0" w:type="dxa"/>
                    <w:left w:w="108" w:type="dxa"/>
                    <w:bottom w:w="0" w:type="dxa"/>
                    <w:right w:w="108" w:type="dxa"/>
                  </w:tcMar>
                  <w:vAlign w:val="center"/>
                </w:tcPr>
                <w:p w14:paraId="12EACF8C" w14:textId="3231B314" w:rsidR="009734BB" w:rsidRPr="005A2B67" w:rsidRDefault="009734BB" w:rsidP="002A0BCC">
                  <w:pPr>
                    <w:autoSpaceDE w:val="0"/>
                    <w:autoSpaceDN w:val="0"/>
                    <w:jc w:val="center"/>
                    <w:rPr>
                      <w:rFonts w:eastAsia="Calibri"/>
                      <w:iCs/>
                      <w:sz w:val="18"/>
                      <w:szCs w:val="18"/>
                      <w:lang w:val="lv-LV" w:eastAsia="lv-LV"/>
                    </w:rPr>
                  </w:pPr>
                  <w:r w:rsidRPr="005A2B67">
                    <w:rPr>
                      <w:rFonts w:eastAsia="Calibri"/>
                      <w:iCs/>
                      <w:sz w:val="18"/>
                      <w:szCs w:val="18"/>
                      <w:lang w:val="lv-LV" w:eastAsia="lv-LV"/>
                    </w:rPr>
                    <w:t>587,</w:t>
                  </w:r>
                  <w:r w:rsidR="002A0BCC">
                    <w:rPr>
                      <w:rFonts w:eastAsia="Calibri"/>
                      <w:iCs/>
                      <w:sz w:val="18"/>
                      <w:szCs w:val="18"/>
                      <w:lang w:val="lv-LV" w:eastAsia="lv-LV"/>
                    </w:rPr>
                    <w:t>8</w:t>
                  </w:r>
                </w:p>
              </w:tc>
              <w:tc>
                <w:tcPr>
                  <w:tcW w:w="1014" w:type="dxa"/>
                  <w:tcMar>
                    <w:top w:w="0" w:type="dxa"/>
                    <w:left w:w="108" w:type="dxa"/>
                    <w:bottom w:w="0" w:type="dxa"/>
                    <w:right w:w="108" w:type="dxa"/>
                  </w:tcMar>
                  <w:vAlign w:val="center"/>
                </w:tcPr>
                <w:p w14:paraId="5528E575" w14:textId="77777777" w:rsidR="009734BB" w:rsidRPr="00EE1E8A" w:rsidRDefault="009734BB" w:rsidP="007E49BD">
                  <w:pPr>
                    <w:autoSpaceDE w:val="0"/>
                    <w:autoSpaceDN w:val="0"/>
                    <w:jc w:val="center"/>
                    <w:rPr>
                      <w:rFonts w:eastAsia="Calibri"/>
                      <w:iCs/>
                      <w:sz w:val="18"/>
                      <w:szCs w:val="18"/>
                      <w:lang w:val="lv-LV" w:eastAsia="lv-LV"/>
                    </w:rPr>
                  </w:pPr>
                  <w:r w:rsidRPr="00EE1E8A">
                    <w:rPr>
                      <w:rFonts w:eastAsia="Calibri"/>
                      <w:iCs/>
                      <w:sz w:val="18"/>
                      <w:szCs w:val="18"/>
                      <w:lang w:val="lv-LV" w:eastAsia="lv-LV"/>
                    </w:rPr>
                    <w:t>418,5</w:t>
                  </w:r>
                </w:p>
              </w:tc>
              <w:tc>
                <w:tcPr>
                  <w:tcW w:w="995" w:type="dxa"/>
                  <w:tcMar>
                    <w:top w:w="0" w:type="dxa"/>
                    <w:left w:w="108" w:type="dxa"/>
                    <w:bottom w:w="0" w:type="dxa"/>
                    <w:right w:w="108" w:type="dxa"/>
                  </w:tcMar>
                  <w:vAlign w:val="center"/>
                </w:tcPr>
                <w:p w14:paraId="1CF78ACE" w14:textId="317AF4BE" w:rsidR="009734BB" w:rsidRPr="00EE1E8A" w:rsidRDefault="009734BB" w:rsidP="002A0BCC">
                  <w:pPr>
                    <w:autoSpaceDE w:val="0"/>
                    <w:autoSpaceDN w:val="0"/>
                    <w:jc w:val="center"/>
                    <w:rPr>
                      <w:rFonts w:eastAsia="Calibri"/>
                      <w:iCs/>
                      <w:sz w:val="18"/>
                      <w:szCs w:val="18"/>
                      <w:lang w:val="lv-LV" w:eastAsia="lv-LV"/>
                    </w:rPr>
                  </w:pPr>
                  <w:r w:rsidRPr="00EE1E8A">
                    <w:rPr>
                      <w:rFonts w:eastAsia="Calibri"/>
                      <w:iCs/>
                      <w:sz w:val="18"/>
                      <w:szCs w:val="18"/>
                      <w:lang w:val="lv-LV" w:eastAsia="lv-LV"/>
                    </w:rPr>
                    <w:t>587,</w:t>
                  </w:r>
                  <w:r w:rsidR="002A0BCC">
                    <w:rPr>
                      <w:rFonts w:eastAsia="Calibri"/>
                      <w:iCs/>
                      <w:sz w:val="18"/>
                      <w:szCs w:val="18"/>
                      <w:lang w:val="lv-LV" w:eastAsia="lv-LV"/>
                    </w:rPr>
                    <w:t>8</w:t>
                  </w:r>
                </w:p>
              </w:tc>
              <w:tc>
                <w:tcPr>
                  <w:tcW w:w="995" w:type="dxa"/>
                  <w:tcMar>
                    <w:top w:w="0" w:type="dxa"/>
                    <w:left w:w="108" w:type="dxa"/>
                    <w:bottom w:w="0" w:type="dxa"/>
                    <w:right w:w="108" w:type="dxa"/>
                  </w:tcMar>
                  <w:vAlign w:val="center"/>
                </w:tcPr>
                <w:p w14:paraId="5F94B762" w14:textId="77777777" w:rsidR="009734BB" w:rsidRPr="00EE1E8A" w:rsidRDefault="009734BB" w:rsidP="007E49BD">
                  <w:pPr>
                    <w:autoSpaceDE w:val="0"/>
                    <w:autoSpaceDN w:val="0"/>
                    <w:jc w:val="center"/>
                    <w:rPr>
                      <w:rFonts w:eastAsia="Calibri"/>
                      <w:sz w:val="18"/>
                      <w:szCs w:val="18"/>
                      <w:lang w:val="lv-LV" w:eastAsia="lv-LV"/>
                    </w:rPr>
                  </w:pPr>
                  <w:r w:rsidRPr="00EE1E8A">
                    <w:rPr>
                      <w:rFonts w:eastAsia="Calibri"/>
                      <w:sz w:val="18"/>
                      <w:szCs w:val="18"/>
                      <w:lang w:val="lv-LV" w:eastAsia="lv-LV"/>
                    </w:rPr>
                    <w:t>418,5</w:t>
                  </w:r>
                </w:p>
              </w:tc>
              <w:tc>
                <w:tcPr>
                  <w:tcW w:w="894" w:type="dxa"/>
                  <w:tcMar>
                    <w:top w:w="0" w:type="dxa"/>
                    <w:left w:w="108" w:type="dxa"/>
                    <w:bottom w:w="0" w:type="dxa"/>
                    <w:right w:w="108" w:type="dxa"/>
                  </w:tcMar>
                  <w:vAlign w:val="center"/>
                </w:tcPr>
                <w:p w14:paraId="674C0D6E" w14:textId="4E5A12BF" w:rsidR="009734BB" w:rsidRPr="00EE1E8A" w:rsidRDefault="00DF4AB9" w:rsidP="007E49BD">
                  <w:pPr>
                    <w:autoSpaceDE w:val="0"/>
                    <w:autoSpaceDN w:val="0"/>
                    <w:jc w:val="center"/>
                    <w:rPr>
                      <w:rFonts w:eastAsia="Calibri"/>
                      <w:iCs/>
                      <w:sz w:val="18"/>
                      <w:szCs w:val="18"/>
                      <w:lang w:val="lv-LV" w:eastAsia="lv-LV"/>
                    </w:rPr>
                  </w:pPr>
                  <w:r w:rsidRPr="00EE1E8A">
                    <w:rPr>
                      <w:rFonts w:eastAsia="Calibri"/>
                      <w:iCs/>
                      <w:sz w:val="18"/>
                      <w:szCs w:val="18"/>
                      <w:lang w:val="lv-LV" w:eastAsia="lv-LV"/>
                    </w:rPr>
                    <w:t>-</w:t>
                  </w:r>
                </w:p>
              </w:tc>
              <w:tc>
                <w:tcPr>
                  <w:tcW w:w="895" w:type="dxa"/>
                  <w:tcMar>
                    <w:top w:w="0" w:type="dxa"/>
                    <w:left w:w="108" w:type="dxa"/>
                    <w:bottom w:w="0" w:type="dxa"/>
                    <w:right w:w="108" w:type="dxa"/>
                  </w:tcMar>
                  <w:vAlign w:val="center"/>
                </w:tcPr>
                <w:p w14:paraId="6BAC2534" w14:textId="4591E085" w:rsidR="009734BB" w:rsidRPr="00EE1E8A" w:rsidRDefault="00DF4AB9" w:rsidP="007E49BD">
                  <w:pPr>
                    <w:autoSpaceDE w:val="0"/>
                    <w:autoSpaceDN w:val="0"/>
                    <w:jc w:val="center"/>
                    <w:rPr>
                      <w:rFonts w:eastAsia="Calibri"/>
                      <w:sz w:val="18"/>
                      <w:szCs w:val="18"/>
                      <w:lang w:val="lv-LV" w:eastAsia="lv-LV"/>
                    </w:rPr>
                  </w:pPr>
                  <w:r w:rsidRPr="00EE1E8A">
                    <w:rPr>
                      <w:rFonts w:eastAsia="Calibri"/>
                      <w:sz w:val="18"/>
                      <w:szCs w:val="18"/>
                      <w:lang w:val="lv-LV" w:eastAsia="lv-LV"/>
                    </w:rPr>
                    <w:t>-</w:t>
                  </w:r>
                </w:p>
              </w:tc>
            </w:tr>
            <w:tr w:rsidR="009734BB" w:rsidRPr="00EE1E8A" w14:paraId="14FA4E5D" w14:textId="77777777" w:rsidTr="007E49BD">
              <w:trPr>
                <w:trHeight w:val="279"/>
                <w:jc w:val="center"/>
              </w:trPr>
              <w:tc>
                <w:tcPr>
                  <w:tcW w:w="1562" w:type="dxa"/>
                  <w:tcMar>
                    <w:top w:w="0" w:type="dxa"/>
                    <w:left w:w="108" w:type="dxa"/>
                    <w:bottom w:w="0" w:type="dxa"/>
                    <w:right w:w="108" w:type="dxa"/>
                  </w:tcMar>
                  <w:vAlign w:val="center"/>
                  <w:hideMark/>
                </w:tcPr>
                <w:p w14:paraId="3F0A3237" w14:textId="77777777" w:rsidR="009734BB" w:rsidRPr="00EE1E8A" w:rsidRDefault="009734BB" w:rsidP="007E49BD">
                  <w:pPr>
                    <w:autoSpaceDE w:val="0"/>
                    <w:autoSpaceDN w:val="0"/>
                    <w:jc w:val="right"/>
                    <w:rPr>
                      <w:rFonts w:eastAsia="Calibri"/>
                      <w:sz w:val="20"/>
                      <w:szCs w:val="20"/>
                      <w:lang w:val="lv-LV" w:eastAsia="lv-LV"/>
                    </w:rPr>
                  </w:pPr>
                  <w:r w:rsidRPr="00EE1E8A">
                    <w:rPr>
                      <w:b/>
                      <w:bCs/>
                      <w:sz w:val="20"/>
                      <w:szCs w:val="20"/>
                      <w:lang w:val="lv-LV"/>
                    </w:rPr>
                    <w:t>Apropriācijas % no ES NKI</w:t>
                  </w:r>
                </w:p>
              </w:tc>
              <w:tc>
                <w:tcPr>
                  <w:tcW w:w="1013" w:type="dxa"/>
                  <w:tcMar>
                    <w:top w:w="0" w:type="dxa"/>
                    <w:left w:w="108" w:type="dxa"/>
                    <w:bottom w:w="0" w:type="dxa"/>
                    <w:right w:w="108" w:type="dxa"/>
                  </w:tcMar>
                  <w:vAlign w:val="center"/>
                </w:tcPr>
                <w:p w14:paraId="05353A1B" w14:textId="77777777" w:rsidR="009734BB" w:rsidRPr="00EE1E8A" w:rsidRDefault="009734BB" w:rsidP="007E49BD">
                  <w:pPr>
                    <w:autoSpaceDE w:val="0"/>
                    <w:autoSpaceDN w:val="0"/>
                    <w:jc w:val="center"/>
                    <w:rPr>
                      <w:rFonts w:eastAsia="Calibri"/>
                      <w:b/>
                      <w:sz w:val="18"/>
                      <w:szCs w:val="18"/>
                      <w:lang w:val="lv-LV" w:eastAsia="lv-LV"/>
                    </w:rPr>
                  </w:pPr>
                  <w:r w:rsidRPr="00EE1E8A">
                    <w:rPr>
                      <w:rFonts w:eastAsia="Calibri"/>
                      <w:b/>
                      <w:sz w:val="18"/>
                      <w:szCs w:val="18"/>
                      <w:lang w:val="lv-LV" w:eastAsia="lv-LV"/>
                    </w:rPr>
                    <w:t>0,99%</w:t>
                  </w:r>
                </w:p>
              </w:tc>
              <w:tc>
                <w:tcPr>
                  <w:tcW w:w="1014" w:type="dxa"/>
                  <w:tcMar>
                    <w:top w:w="0" w:type="dxa"/>
                    <w:left w:w="108" w:type="dxa"/>
                    <w:bottom w:w="0" w:type="dxa"/>
                    <w:right w:w="108" w:type="dxa"/>
                  </w:tcMar>
                  <w:vAlign w:val="center"/>
                </w:tcPr>
                <w:p w14:paraId="6602D448" w14:textId="77777777" w:rsidR="009734BB" w:rsidRPr="006971D7" w:rsidRDefault="009734BB" w:rsidP="007E49BD">
                  <w:pPr>
                    <w:autoSpaceDE w:val="0"/>
                    <w:autoSpaceDN w:val="0"/>
                    <w:jc w:val="center"/>
                    <w:rPr>
                      <w:rFonts w:eastAsia="Calibri"/>
                      <w:b/>
                      <w:sz w:val="18"/>
                      <w:szCs w:val="18"/>
                      <w:lang w:val="lv-LV" w:eastAsia="lv-LV"/>
                    </w:rPr>
                  </w:pPr>
                  <w:r w:rsidRPr="006971D7">
                    <w:rPr>
                      <w:rFonts w:eastAsia="Calibri"/>
                      <w:b/>
                      <w:sz w:val="18"/>
                      <w:szCs w:val="18"/>
                      <w:lang w:val="lv-LV" w:eastAsia="lv-LV"/>
                    </w:rPr>
                    <w:t>0,90%</w:t>
                  </w:r>
                </w:p>
              </w:tc>
              <w:tc>
                <w:tcPr>
                  <w:tcW w:w="1013" w:type="dxa"/>
                  <w:tcMar>
                    <w:top w:w="0" w:type="dxa"/>
                    <w:left w:w="108" w:type="dxa"/>
                    <w:bottom w:w="0" w:type="dxa"/>
                    <w:right w:w="108" w:type="dxa"/>
                  </w:tcMar>
                  <w:vAlign w:val="center"/>
                </w:tcPr>
                <w:p w14:paraId="1596AA05" w14:textId="77777777" w:rsidR="009734BB" w:rsidRPr="005A2B67" w:rsidRDefault="009734BB" w:rsidP="007E49BD">
                  <w:pPr>
                    <w:autoSpaceDE w:val="0"/>
                    <w:autoSpaceDN w:val="0"/>
                    <w:jc w:val="center"/>
                    <w:rPr>
                      <w:rFonts w:eastAsia="Calibri"/>
                      <w:b/>
                      <w:sz w:val="18"/>
                      <w:szCs w:val="18"/>
                      <w:lang w:val="lv-LV" w:eastAsia="lv-LV"/>
                    </w:rPr>
                  </w:pPr>
                  <w:r w:rsidRPr="005A2B67">
                    <w:rPr>
                      <w:rFonts w:eastAsia="Calibri"/>
                      <w:b/>
                      <w:sz w:val="18"/>
                      <w:szCs w:val="18"/>
                      <w:lang w:val="lv-LV" w:eastAsia="lv-LV"/>
                    </w:rPr>
                    <w:t>0,98%</w:t>
                  </w:r>
                </w:p>
              </w:tc>
              <w:tc>
                <w:tcPr>
                  <w:tcW w:w="1014" w:type="dxa"/>
                  <w:tcMar>
                    <w:top w:w="0" w:type="dxa"/>
                    <w:left w:w="108" w:type="dxa"/>
                    <w:bottom w:w="0" w:type="dxa"/>
                    <w:right w:w="108" w:type="dxa"/>
                  </w:tcMar>
                  <w:vAlign w:val="center"/>
                </w:tcPr>
                <w:p w14:paraId="50054FD1" w14:textId="77777777" w:rsidR="009734BB" w:rsidRPr="00EE1E8A" w:rsidRDefault="009734BB" w:rsidP="007E49BD">
                  <w:pPr>
                    <w:autoSpaceDE w:val="0"/>
                    <w:autoSpaceDN w:val="0"/>
                    <w:jc w:val="center"/>
                    <w:rPr>
                      <w:rFonts w:eastAsia="Calibri"/>
                      <w:b/>
                      <w:sz w:val="18"/>
                      <w:szCs w:val="18"/>
                      <w:lang w:val="lv-LV" w:eastAsia="lv-LV"/>
                    </w:rPr>
                  </w:pPr>
                  <w:r w:rsidRPr="00EE1E8A">
                    <w:rPr>
                      <w:rFonts w:eastAsia="Calibri"/>
                      <w:b/>
                      <w:sz w:val="18"/>
                      <w:szCs w:val="18"/>
                      <w:lang w:val="lv-LV" w:eastAsia="lv-LV"/>
                    </w:rPr>
                    <w:t>0,90%</w:t>
                  </w:r>
                </w:p>
              </w:tc>
              <w:tc>
                <w:tcPr>
                  <w:tcW w:w="995" w:type="dxa"/>
                  <w:tcMar>
                    <w:top w:w="0" w:type="dxa"/>
                    <w:left w:w="108" w:type="dxa"/>
                    <w:bottom w:w="0" w:type="dxa"/>
                    <w:right w:w="108" w:type="dxa"/>
                  </w:tcMar>
                  <w:vAlign w:val="center"/>
                </w:tcPr>
                <w:p w14:paraId="76D3E222" w14:textId="77777777" w:rsidR="009734BB" w:rsidRPr="00EE1E8A" w:rsidRDefault="009734BB" w:rsidP="007E49BD">
                  <w:pPr>
                    <w:autoSpaceDE w:val="0"/>
                    <w:autoSpaceDN w:val="0"/>
                    <w:jc w:val="center"/>
                    <w:rPr>
                      <w:rFonts w:eastAsia="Calibri"/>
                      <w:b/>
                      <w:sz w:val="18"/>
                      <w:szCs w:val="18"/>
                      <w:lang w:val="lv-LV" w:eastAsia="lv-LV"/>
                    </w:rPr>
                  </w:pPr>
                  <w:r w:rsidRPr="00EE1E8A">
                    <w:rPr>
                      <w:rFonts w:eastAsia="Calibri"/>
                      <w:b/>
                      <w:sz w:val="18"/>
                      <w:szCs w:val="18"/>
                      <w:lang w:val="lv-LV" w:eastAsia="lv-LV"/>
                    </w:rPr>
                    <w:t>1,01%</w:t>
                  </w:r>
                </w:p>
              </w:tc>
              <w:tc>
                <w:tcPr>
                  <w:tcW w:w="995" w:type="dxa"/>
                  <w:tcMar>
                    <w:top w:w="0" w:type="dxa"/>
                    <w:left w:w="108" w:type="dxa"/>
                    <w:bottom w:w="0" w:type="dxa"/>
                    <w:right w:w="108" w:type="dxa"/>
                  </w:tcMar>
                  <w:vAlign w:val="center"/>
                </w:tcPr>
                <w:p w14:paraId="3997310E" w14:textId="77777777" w:rsidR="009734BB" w:rsidRPr="00EE1E8A" w:rsidRDefault="009734BB" w:rsidP="007E49BD">
                  <w:pPr>
                    <w:autoSpaceDE w:val="0"/>
                    <w:autoSpaceDN w:val="0"/>
                    <w:jc w:val="center"/>
                    <w:rPr>
                      <w:rFonts w:eastAsia="Calibri"/>
                      <w:b/>
                      <w:sz w:val="18"/>
                      <w:szCs w:val="18"/>
                      <w:lang w:val="lv-LV" w:eastAsia="lv-LV"/>
                    </w:rPr>
                  </w:pPr>
                  <w:r w:rsidRPr="00EE1E8A">
                    <w:rPr>
                      <w:rFonts w:eastAsia="Calibri"/>
                      <w:b/>
                      <w:sz w:val="18"/>
                      <w:szCs w:val="18"/>
                      <w:lang w:val="lv-LV" w:eastAsia="lv-LV"/>
                    </w:rPr>
                    <w:t>0,94%</w:t>
                  </w:r>
                </w:p>
              </w:tc>
              <w:tc>
                <w:tcPr>
                  <w:tcW w:w="894" w:type="dxa"/>
                  <w:tcMar>
                    <w:top w:w="0" w:type="dxa"/>
                    <w:left w:w="108" w:type="dxa"/>
                    <w:bottom w:w="0" w:type="dxa"/>
                    <w:right w:w="108" w:type="dxa"/>
                  </w:tcMar>
                  <w:vAlign w:val="center"/>
                </w:tcPr>
                <w:p w14:paraId="7841C5EB" w14:textId="77777777" w:rsidR="009734BB" w:rsidRPr="00EE1E8A" w:rsidRDefault="009734BB" w:rsidP="007E49BD">
                  <w:pPr>
                    <w:autoSpaceDE w:val="0"/>
                    <w:autoSpaceDN w:val="0"/>
                    <w:rPr>
                      <w:rFonts w:eastAsia="Calibri"/>
                      <w:b/>
                      <w:sz w:val="18"/>
                      <w:szCs w:val="18"/>
                      <w:lang w:val="lv-LV" w:eastAsia="lv-LV"/>
                    </w:rPr>
                  </w:pPr>
                </w:p>
              </w:tc>
              <w:tc>
                <w:tcPr>
                  <w:tcW w:w="895" w:type="dxa"/>
                  <w:tcMar>
                    <w:top w:w="0" w:type="dxa"/>
                    <w:left w:w="108" w:type="dxa"/>
                    <w:bottom w:w="0" w:type="dxa"/>
                    <w:right w:w="108" w:type="dxa"/>
                  </w:tcMar>
                  <w:vAlign w:val="center"/>
                </w:tcPr>
                <w:p w14:paraId="0E52AE6D" w14:textId="77777777" w:rsidR="009734BB" w:rsidRPr="00EE1E8A" w:rsidRDefault="009734BB" w:rsidP="007E49BD">
                  <w:pPr>
                    <w:autoSpaceDE w:val="0"/>
                    <w:autoSpaceDN w:val="0"/>
                    <w:jc w:val="center"/>
                    <w:rPr>
                      <w:rFonts w:eastAsia="Calibri"/>
                      <w:b/>
                      <w:sz w:val="18"/>
                      <w:szCs w:val="18"/>
                      <w:lang w:val="lv-LV" w:eastAsia="lv-LV"/>
                    </w:rPr>
                  </w:pPr>
                </w:p>
              </w:tc>
            </w:tr>
          </w:tbl>
          <w:p w14:paraId="41D03856" w14:textId="14DA12F7" w:rsidR="009734BB" w:rsidRPr="006971D7" w:rsidRDefault="009734BB" w:rsidP="00DF0EC8">
            <w:pPr>
              <w:spacing w:before="120" w:after="120"/>
              <w:jc w:val="center"/>
              <w:rPr>
                <w:b/>
                <w:lang w:val="lv-LV"/>
              </w:rPr>
            </w:pPr>
            <w:r w:rsidRPr="00EE1E8A">
              <w:rPr>
                <w:b/>
                <w:lang w:val="lv-LV"/>
              </w:rPr>
              <w:t>1.KATEGORIJA: „GUDRA UN IEKĻAUJOŠA IZAUGSME”</w:t>
            </w:r>
          </w:p>
          <w:p w14:paraId="6C0E117B" w14:textId="77777777" w:rsidR="009734BB" w:rsidRPr="005A2B67" w:rsidRDefault="009734BB" w:rsidP="007E49BD">
            <w:pPr>
              <w:jc w:val="right"/>
              <w:rPr>
                <w:b/>
                <w:lang w:val="lv-LV"/>
              </w:rPr>
            </w:pPr>
            <w:r w:rsidRPr="005A2B67">
              <w:rPr>
                <w:b/>
                <w:lang w:val="lv-LV"/>
              </w:rPr>
              <w:t xml:space="preserve">2.tabula. 1.A </w:t>
            </w:r>
            <w:proofErr w:type="spellStart"/>
            <w:r w:rsidRPr="005A2B67">
              <w:rPr>
                <w:b/>
                <w:lang w:val="lv-LV"/>
              </w:rPr>
              <w:t>apakškategorija</w:t>
            </w:r>
            <w:proofErr w:type="spellEnd"/>
            <w:r w:rsidRPr="005A2B67">
              <w:rPr>
                <w:b/>
                <w:lang w:val="lv-LV"/>
              </w:rPr>
              <w:t xml:space="preserve"> „Konkurētspēja izaugsmei un nodarbinātībai”</w:t>
            </w:r>
            <w:r w:rsidRPr="005A2B67">
              <w:rPr>
                <w:bCs/>
                <w:sz w:val="20"/>
                <w:szCs w:val="20"/>
                <w:lang w:val="lv-LV"/>
              </w:rPr>
              <w:t xml:space="preserve"> </w:t>
            </w:r>
          </w:p>
          <w:p w14:paraId="72C19E81" w14:textId="77777777" w:rsidR="009734BB" w:rsidRPr="00EE1E8A" w:rsidRDefault="009734BB" w:rsidP="007E49BD">
            <w:pPr>
              <w:jc w:val="right"/>
              <w:rPr>
                <w:i/>
                <w:sz w:val="20"/>
                <w:szCs w:val="20"/>
                <w:lang w:val="lv-LV"/>
              </w:rPr>
            </w:pPr>
            <w:r w:rsidRPr="00EE1E8A">
              <w:rPr>
                <w:bCs/>
                <w:i/>
                <w:sz w:val="20"/>
                <w:szCs w:val="20"/>
                <w:lang w:val="lv-LV"/>
              </w:rPr>
              <w:t>(milj. EUR)</w:t>
            </w:r>
          </w:p>
          <w:tbl>
            <w:tblPr>
              <w:tblW w:w="9506"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689"/>
              <w:gridCol w:w="851"/>
              <w:gridCol w:w="850"/>
              <w:gridCol w:w="851"/>
              <w:gridCol w:w="850"/>
              <w:gridCol w:w="851"/>
              <w:gridCol w:w="850"/>
              <w:gridCol w:w="851"/>
              <w:gridCol w:w="863"/>
            </w:tblGrid>
            <w:tr w:rsidR="00DA7C75" w:rsidRPr="00EE1E8A" w14:paraId="7B965400" w14:textId="77777777" w:rsidTr="007E49BD">
              <w:tc>
                <w:tcPr>
                  <w:tcW w:w="2689" w:type="dxa"/>
                  <w:vMerge w:val="restart"/>
                  <w:tcMar>
                    <w:top w:w="0" w:type="dxa"/>
                    <w:left w:w="108" w:type="dxa"/>
                    <w:bottom w:w="0" w:type="dxa"/>
                    <w:right w:w="108" w:type="dxa"/>
                  </w:tcMar>
                  <w:vAlign w:val="center"/>
                  <w:hideMark/>
                </w:tcPr>
                <w:p w14:paraId="08EAC0C4" w14:textId="77777777" w:rsidR="009734BB" w:rsidRPr="00EB3D99" w:rsidRDefault="009734BB" w:rsidP="007E49BD">
                  <w:pPr>
                    <w:autoSpaceDE w:val="0"/>
                    <w:autoSpaceDN w:val="0"/>
                    <w:ind w:hanging="92"/>
                    <w:jc w:val="center"/>
                    <w:rPr>
                      <w:b/>
                      <w:bCs/>
                      <w:sz w:val="18"/>
                      <w:szCs w:val="18"/>
                      <w:lang w:val="lv-LV"/>
                    </w:rPr>
                  </w:pPr>
                  <w:r w:rsidRPr="00EB3D99">
                    <w:rPr>
                      <w:b/>
                      <w:bCs/>
                      <w:sz w:val="18"/>
                      <w:szCs w:val="18"/>
                      <w:lang w:val="lv-LV" w:eastAsia="lv-LV"/>
                    </w:rPr>
                    <w:t>Kategorija</w:t>
                  </w:r>
                </w:p>
              </w:tc>
              <w:tc>
                <w:tcPr>
                  <w:tcW w:w="1701" w:type="dxa"/>
                  <w:gridSpan w:val="2"/>
                  <w:tcMar>
                    <w:top w:w="0" w:type="dxa"/>
                    <w:left w:w="108" w:type="dxa"/>
                    <w:bottom w:w="0" w:type="dxa"/>
                    <w:right w:w="108" w:type="dxa"/>
                  </w:tcMar>
                  <w:vAlign w:val="center"/>
                  <w:hideMark/>
                </w:tcPr>
                <w:p w14:paraId="30F1C318" w14:textId="77777777" w:rsidR="009734BB" w:rsidRPr="00EB3D99" w:rsidRDefault="009734BB" w:rsidP="007E49BD">
                  <w:pPr>
                    <w:autoSpaceDE w:val="0"/>
                    <w:autoSpaceDN w:val="0"/>
                    <w:jc w:val="center"/>
                    <w:rPr>
                      <w:rFonts w:eastAsia="Calibri"/>
                      <w:b/>
                      <w:bCs/>
                      <w:sz w:val="18"/>
                      <w:szCs w:val="18"/>
                      <w:lang w:val="lv-LV" w:eastAsia="lv-LV"/>
                    </w:rPr>
                  </w:pPr>
                  <w:r w:rsidRPr="00EB3D99">
                    <w:rPr>
                      <w:b/>
                      <w:bCs/>
                      <w:sz w:val="20"/>
                      <w:szCs w:val="20"/>
                      <w:lang w:val="lv-LV" w:eastAsia="lv-LV"/>
                    </w:rPr>
                    <w:t>EK BP 2020.gadam (</w:t>
                  </w:r>
                  <w:proofErr w:type="spellStart"/>
                  <w:r w:rsidRPr="00EB3D99">
                    <w:rPr>
                      <w:b/>
                      <w:bCs/>
                      <w:sz w:val="20"/>
                      <w:szCs w:val="20"/>
                      <w:lang w:val="lv-LV" w:eastAsia="lv-LV"/>
                    </w:rPr>
                    <w:t>iekļ</w:t>
                  </w:r>
                  <w:proofErr w:type="spellEnd"/>
                  <w:r w:rsidRPr="00EB3D99">
                    <w:rPr>
                      <w:b/>
                      <w:bCs/>
                      <w:sz w:val="20"/>
                      <w:szCs w:val="20"/>
                      <w:lang w:val="lv-LV" w:eastAsia="lv-LV"/>
                    </w:rPr>
                    <w:t>. AL 1/2020)</w:t>
                  </w:r>
                </w:p>
              </w:tc>
              <w:tc>
                <w:tcPr>
                  <w:tcW w:w="1701" w:type="dxa"/>
                  <w:gridSpan w:val="2"/>
                  <w:tcMar>
                    <w:top w:w="0" w:type="dxa"/>
                    <w:left w:w="108" w:type="dxa"/>
                    <w:bottom w:w="0" w:type="dxa"/>
                    <w:right w:w="108" w:type="dxa"/>
                  </w:tcMar>
                  <w:vAlign w:val="center"/>
                  <w:hideMark/>
                </w:tcPr>
                <w:p w14:paraId="45D649C8" w14:textId="77777777" w:rsidR="009734BB" w:rsidRPr="00EB3D99" w:rsidRDefault="009734BB" w:rsidP="007E49BD">
                  <w:pPr>
                    <w:autoSpaceDE w:val="0"/>
                    <w:autoSpaceDN w:val="0"/>
                    <w:jc w:val="center"/>
                    <w:rPr>
                      <w:rFonts w:eastAsia="Calibri"/>
                      <w:b/>
                      <w:bCs/>
                      <w:sz w:val="18"/>
                      <w:szCs w:val="18"/>
                      <w:lang w:val="lv-LV" w:eastAsia="lv-LV"/>
                    </w:rPr>
                  </w:pPr>
                  <w:r w:rsidRPr="00EB3D99">
                    <w:rPr>
                      <w:b/>
                      <w:bCs/>
                      <w:sz w:val="20"/>
                      <w:szCs w:val="20"/>
                      <w:lang w:val="lv-LV" w:eastAsia="lv-LV"/>
                    </w:rPr>
                    <w:t>Padomes pozīcija par BP 2020.gadam</w:t>
                  </w:r>
                </w:p>
              </w:tc>
              <w:tc>
                <w:tcPr>
                  <w:tcW w:w="1701" w:type="dxa"/>
                  <w:gridSpan w:val="2"/>
                  <w:tcMar>
                    <w:top w:w="0" w:type="dxa"/>
                    <w:left w:w="108" w:type="dxa"/>
                    <w:bottom w:w="0" w:type="dxa"/>
                    <w:right w:w="108" w:type="dxa"/>
                  </w:tcMar>
                  <w:vAlign w:val="center"/>
                  <w:hideMark/>
                </w:tcPr>
                <w:p w14:paraId="48D9643C" w14:textId="77777777" w:rsidR="009734BB" w:rsidRPr="00EB3D99" w:rsidRDefault="009734BB" w:rsidP="007E49BD">
                  <w:pPr>
                    <w:autoSpaceDE w:val="0"/>
                    <w:autoSpaceDN w:val="0"/>
                    <w:jc w:val="center"/>
                    <w:rPr>
                      <w:rFonts w:eastAsia="Calibri"/>
                      <w:b/>
                      <w:bCs/>
                      <w:sz w:val="18"/>
                      <w:szCs w:val="18"/>
                      <w:lang w:val="lv-LV" w:eastAsia="lv-LV"/>
                    </w:rPr>
                  </w:pPr>
                  <w:r w:rsidRPr="00EB3D99">
                    <w:rPr>
                      <w:rFonts w:eastAsia="Calibri"/>
                      <w:b/>
                      <w:sz w:val="20"/>
                      <w:szCs w:val="20"/>
                      <w:lang w:val="lv-LV"/>
                    </w:rPr>
                    <w:t>EP pozīcija par BP 2020.gadam</w:t>
                  </w:r>
                </w:p>
              </w:tc>
              <w:tc>
                <w:tcPr>
                  <w:tcW w:w="1714" w:type="dxa"/>
                  <w:gridSpan w:val="2"/>
                  <w:tcMar>
                    <w:top w:w="0" w:type="dxa"/>
                    <w:left w:w="108" w:type="dxa"/>
                    <w:bottom w:w="0" w:type="dxa"/>
                    <w:right w:w="108" w:type="dxa"/>
                  </w:tcMar>
                  <w:vAlign w:val="center"/>
                  <w:hideMark/>
                </w:tcPr>
                <w:p w14:paraId="56E71ED2" w14:textId="77777777" w:rsidR="009734BB" w:rsidRPr="00EB3D99" w:rsidRDefault="009734BB" w:rsidP="007E49BD">
                  <w:pPr>
                    <w:autoSpaceDE w:val="0"/>
                    <w:autoSpaceDN w:val="0"/>
                    <w:jc w:val="center"/>
                    <w:rPr>
                      <w:rFonts w:eastAsia="Calibri"/>
                      <w:b/>
                      <w:bCs/>
                      <w:sz w:val="18"/>
                      <w:szCs w:val="18"/>
                      <w:lang w:val="lv-LV" w:eastAsia="lv-LV"/>
                    </w:rPr>
                  </w:pPr>
                  <w:r w:rsidRPr="00EB3D99">
                    <w:rPr>
                      <w:rFonts w:eastAsia="Calibri"/>
                      <w:b/>
                      <w:sz w:val="20"/>
                      <w:szCs w:val="20"/>
                      <w:lang w:val="lv-LV"/>
                    </w:rPr>
                    <w:t>Atšķirība EP/Padome</w:t>
                  </w:r>
                </w:p>
              </w:tc>
            </w:tr>
            <w:tr w:rsidR="00DA7C75" w:rsidRPr="00EE1E8A" w14:paraId="3676C541" w14:textId="77777777" w:rsidTr="007E49BD">
              <w:tc>
                <w:tcPr>
                  <w:tcW w:w="2689" w:type="dxa"/>
                  <w:vMerge/>
                  <w:vAlign w:val="center"/>
                  <w:hideMark/>
                </w:tcPr>
                <w:p w14:paraId="51216B8D" w14:textId="77777777" w:rsidR="009734BB" w:rsidRPr="00EB3D99" w:rsidRDefault="009734BB" w:rsidP="007E49BD">
                  <w:pPr>
                    <w:rPr>
                      <w:rFonts w:eastAsia="Calibri"/>
                      <w:b/>
                      <w:bCs/>
                      <w:sz w:val="18"/>
                      <w:szCs w:val="18"/>
                      <w:lang w:val="lv-LV"/>
                    </w:rPr>
                  </w:pPr>
                </w:p>
              </w:tc>
              <w:tc>
                <w:tcPr>
                  <w:tcW w:w="851" w:type="dxa"/>
                  <w:tcMar>
                    <w:top w:w="0" w:type="dxa"/>
                    <w:left w:w="108" w:type="dxa"/>
                    <w:bottom w:w="0" w:type="dxa"/>
                    <w:right w:w="108" w:type="dxa"/>
                  </w:tcMar>
                  <w:hideMark/>
                </w:tcPr>
                <w:p w14:paraId="0A27DB44"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850" w:type="dxa"/>
                  <w:tcMar>
                    <w:top w:w="0" w:type="dxa"/>
                    <w:left w:w="108" w:type="dxa"/>
                    <w:bottom w:w="0" w:type="dxa"/>
                    <w:right w:w="108" w:type="dxa"/>
                  </w:tcMar>
                  <w:hideMark/>
                </w:tcPr>
                <w:p w14:paraId="3613676B"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c>
                <w:tcPr>
                  <w:tcW w:w="851" w:type="dxa"/>
                  <w:tcMar>
                    <w:top w:w="0" w:type="dxa"/>
                    <w:left w:w="108" w:type="dxa"/>
                    <w:bottom w:w="0" w:type="dxa"/>
                    <w:right w:w="108" w:type="dxa"/>
                  </w:tcMar>
                  <w:hideMark/>
                </w:tcPr>
                <w:p w14:paraId="217331B0"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850" w:type="dxa"/>
                  <w:tcMar>
                    <w:top w:w="0" w:type="dxa"/>
                    <w:left w:w="108" w:type="dxa"/>
                    <w:bottom w:w="0" w:type="dxa"/>
                    <w:right w:w="108" w:type="dxa"/>
                  </w:tcMar>
                  <w:hideMark/>
                </w:tcPr>
                <w:p w14:paraId="5B460128"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c>
                <w:tcPr>
                  <w:tcW w:w="851" w:type="dxa"/>
                  <w:tcMar>
                    <w:top w:w="0" w:type="dxa"/>
                    <w:left w:w="108" w:type="dxa"/>
                    <w:bottom w:w="0" w:type="dxa"/>
                    <w:right w:w="108" w:type="dxa"/>
                  </w:tcMar>
                  <w:hideMark/>
                </w:tcPr>
                <w:p w14:paraId="27A73BAB"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850" w:type="dxa"/>
                  <w:tcMar>
                    <w:top w:w="0" w:type="dxa"/>
                    <w:left w:w="108" w:type="dxa"/>
                    <w:bottom w:w="0" w:type="dxa"/>
                    <w:right w:w="108" w:type="dxa"/>
                  </w:tcMar>
                  <w:hideMark/>
                </w:tcPr>
                <w:p w14:paraId="55A8C452"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c>
                <w:tcPr>
                  <w:tcW w:w="851" w:type="dxa"/>
                  <w:tcMar>
                    <w:top w:w="0" w:type="dxa"/>
                    <w:left w:w="108" w:type="dxa"/>
                    <w:bottom w:w="0" w:type="dxa"/>
                    <w:right w:w="108" w:type="dxa"/>
                  </w:tcMar>
                  <w:hideMark/>
                </w:tcPr>
                <w:p w14:paraId="46805648"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863" w:type="dxa"/>
                  <w:tcMar>
                    <w:top w:w="0" w:type="dxa"/>
                    <w:left w:w="108" w:type="dxa"/>
                    <w:bottom w:w="0" w:type="dxa"/>
                    <w:right w:w="108" w:type="dxa"/>
                  </w:tcMar>
                  <w:hideMark/>
                </w:tcPr>
                <w:p w14:paraId="447ACF7D"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r>
            <w:tr w:rsidR="00DA7C75" w:rsidRPr="00EE1E8A" w14:paraId="7C892717" w14:textId="77777777" w:rsidTr="007E49BD">
              <w:trPr>
                <w:trHeight w:val="365"/>
              </w:trPr>
              <w:tc>
                <w:tcPr>
                  <w:tcW w:w="2689" w:type="dxa"/>
                  <w:vAlign w:val="center"/>
                  <w:hideMark/>
                </w:tcPr>
                <w:p w14:paraId="057A1619" w14:textId="77777777" w:rsidR="009734BB" w:rsidRPr="00EB3D99" w:rsidRDefault="009734BB" w:rsidP="007E49BD">
                  <w:pPr>
                    <w:jc w:val="right"/>
                    <w:rPr>
                      <w:rFonts w:eastAsia="Calibri"/>
                      <w:b/>
                      <w:bCs/>
                      <w:sz w:val="18"/>
                      <w:szCs w:val="18"/>
                      <w:lang w:val="lv-LV"/>
                    </w:rPr>
                  </w:pPr>
                  <w:r w:rsidRPr="00EB3D99">
                    <w:rPr>
                      <w:b/>
                      <w:sz w:val="18"/>
                      <w:szCs w:val="18"/>
                      <w:lang w:val="lv-LV"/>
                    </w:rPr>
                    <w:lastRenderedPageBreak/>
                    <w:t>Konkurētspēja izaugsmei un nodarbinātībai</w:t>
                  </w:r>
                </w:p>
              </w:tc>
              <w:tc>
                <w:tcPr>
                  <w:tcW w:w="851" w:type="dxa"/>
                  <w:tcMar>
                    <w:top w:w="0" w:type="dxa"/>
                    <w:left w:w="108" w:type="dxa"/>
                    <w:bottom w:w="0" w:type="dxa"/>
                    <w:right w:w="108" w:type="dxa"/>
                  </w:tcMar>
                  <w:vAlign w:val="center"/>
                </w:tcPr>
                <w:p w14:paraId="37AE7B80" w14:textId="77777777"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24 716,4</w:t>
                  </w:r>
                </w:p>
              </w:tc>
              <w:tc>
                <w:tcPr>
                  <w:tcW w:w="850" w:type="dxa"/>
                  <w:tcMar>
                    <w:top w:w="0" w:type="dxa"/>
                    <w:left w:w="108" w:type="dxa"/>
                    <w:bottom w:w="0" w:type="dxa"/>
                    <w:right w:w="108" w:type="dxa"/>
                  </w:tcMar>
                  <w:vAlign w:val="center"/>
                </w:tcPr>
                <w:p w14:paraId="3BC49CBD" w14:textId="77777777"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22 108,5</w:t>
                  </w:r>
                </w:p>
              </w:tc>
              <w:tc>
                <w:tcPr>
                  <w:tcW w:w="851" w:type="dxa"/>
                  <w:tcMar>
                    <w:top w:w="0" w:type="dxa"/>
                    <w:left w:w="108" w:type="dxa"/>
                    <w:bottom w:w="0" w:type="dxa"/>
                    <w:right w:w="108" w:type="dxa"/>
                  </w:tcMar>
                  <w:vAlign w:val="center"/>
                </w:tcPr>
                <w:p w14:paraId="00BDE431" w14:textId="77777777"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23 969,0</w:t>
                  </w:r>
                </w:p>
              </w:tc>
              <w:tc>
                <w:tcPr>
                  <w:tcW w:w="850" w:type="dxa"/>
                  <w:tcMar>
                    <w:top w:w="0" w:type="dxa"/>
                    <w:left w:w="108" w:type="dxa"/>
                    <w:bottom w:w="0" w:type="dxa"/>
                    <w:right w:w="108" w:type="dxa"/>
                  </w:tcMar>
                  <w:vAlign w:val="center"/>
                </w:tcPr>
                <w:p w14:paraId="0FE7E400" w14:textId="77777777"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22 004,1</w:t>
                  </w:r>
                </w:p>
              </w:tc>
              <w:tc>
                <w:tcPr>
                  <w:tcW w:w="851" w:type="dxa"/>
                  <w:tcMar>
                    <w:top w:w="0" w:type="dxa"/>
                    <w:left w:w="108" w:type="dxa"/>
                    <w:bottom w:w="0" w:type="dxa"/>
                    <w:right w:w="108" w:type="dxa"/>
                  </w:tcMar>
                  <w:vAlign w:val="center"/>
                </w:tcPr>
                <w:p w14:paraId="4E229051" w14:textId="77777777"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26 303,4</w:t>
                  </w:r>
                </w:p>
              </w:tc>
              <w:tc>
                <w:tcPr>
                  <w:tcW w:w="850" w:type="dxa"/>
                  <w:tcMar>
                    <w:top w:w="0" w:type="dxa"/>
                    <w:left w:w="108" w:type="dxa"/>
                    <w:bottom w:w="0" w:type="dxa"/>
                    <w:right w:w="108" w:type="dxa"/>
                  </w:tcMar>
                  <w:vAlign w:val="center"/>
                </w:tcPr>
                <w:p w14:paraId="1F07613C" w14:textId="77777777"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23 997,6</w:t>
                  </w:r>
                </w:p>
              </w:tc>
              <w:tc>
                <w:tcPr>
                  <w:tcW w:w="851" w:type="dxa"/>
                  <w:tcMar>
                    <w:top w:w="0" w:type="dxa"/>
                    <w:left w:w="108" w:type="dxa"/>
                    <w:bottom w:w="0" w:type="dxa"/>
                    <w:right w:w="108" w:type="dxa"/>
                  </w:tcMar>
                  <w:vAlign w:val="center"/>
                </w:tcPr>
                <w:p w14:paraId="792A08DE" w14:textId="76EFFD53"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2</w:t>
                  </w:r>
                  <w:r w:rsidR="00D4722B">
                    <w:rPr>
                      <w:rFonts w:eastAsia="Calibri"/>
                      <w:b/>
                      <w:sz w:val="18"/>
                      <w:szCs w:val="18"/>
                      <w:lang w:val="lv-LV"/>
                    </w:rPr>
                    <w:t xml:space="preserve"> </w:t>
                  </w:r>
                  <w:r w:rsidRPr="00EB3D99">
                    <w:rPr>
                      <w:rFonts w:eastAsia="Calibri"/>
                      <w:b/>
                      <w:sz w:val="18"/>
                      <w:szCs w:val="18"/>
                      <w:lang w:val="lv-LV"/>
                    </w:rPr>
                    <w:t>334,4</w:t>
                  </w:r>
                </w:p>
              </w:tc>
              <w:tc>
                <w:tcPr>
                  <w:tcW w:w="863" w:type="dxa"/>
                  <w:tcMar>
                    <w:top w:w="0" w:type="dxa"/>
                    <w:left w:w="108" w:type="dxa"/>
                    <w:bottom w:w="0" w:type="dxa"/>
                    <w:right w:w="108" w:type="dxa"/>
                  </w:tcMar>
                  <w:vAlign w:val="center"/>
                </w:tcPr>
                <w:p w14:paraId="5CA33730" w14:textId="3CEF8B86" w:rsidR="009734BB" w:rsidRPr="00EB3D99" w:rsidRDefault="009734BB" w:rsidP="007E49BD">
                  <w:pPr>
                    <w:autoSpaceDE w:val="0"/>
                    <w:autoSpaceDN w:val="0"/>
                    <w:jc w:val="center"/>
                    <w:rPr>
                      <w:rFonts w:eastAsia="Calibri"/>
                      <w:b/>
                      <w:sz w:val="18"/>
                      <w:szCs w:val="18"/>
                      <w:lang w:val="lv-LV"/>
                    </w:rPr>
                  </w:pPr>
                  <w:r w:rsidRPr="00EB3D99">
                    <w:rPr>
                      <w:rFonts w:eastAsia="Calibri"/>
                      <w:b/>
                      <w:sz w:val="18"/>
                      <w:szCs w:val="18"/>
                      <w:lang w:val="lv-LV"/>
                    </w:rPr>
                    <w:t>1</w:t>
                  </w:r>
                  <w:r w:rsidR="00D4722B">
                    <w:rPr>
                      <w:rFonts w:eastAsia="Calibri"/>
                      <w:b/>
                      <w:sz w:val="18"/>
                      <w:szCs w:val="18"/>
                      <w:lang w:val="lv-LV"/>
                    </w:rPr>
                    <w:t xml:space="preserve"> </w:t>
                  </w:r>
                  <w:r w:rsidRPr="00EB3D99">
                    <w:rPr>
                      <w:rFonts w:eastAsia="Calibri"/>
                      <w:b/>
                      <w:sz w:val="18"/>
                      <w:szCs w:val="18"/>
                      <w:lang w:val="lv-LV"/>
                    </w:rPr>
                    <w:t>993,5</w:t>
                  </w:r>
                </w:p>
              </w:tc>
            </w:tr>
            <w:tr w:rsidR="00DA7C75" w:rsidRPr="00EE1E8A" w14:paraId="06CFFF9C" w14:textId="77777777" w:rsidTr="007E49BD">
              <w:trPr>
                <w:trHeight w:val="365"/>
              </w:trPr>
              <w:tc>
                <w:tcPr>
                  <w:tcW w:w="2689" w:type="dxa"/>
                  <w:shd w:val="clear" w:color="auto" w:fill="auto"/>
                  <w:vAlign w:val="center"/>
                </w:tcPr>
                <w:p w14:paraId="1FE4F1BC" w14:textId="77777777" w:rsidR="009734BB" w:rsidRPr="00EB3D99" w:rsidRDefault="009734BB" w:rsidP="007E49BD">
                  <w:pPr>
                    <w:jc w:val="right"/>
                    <w:rPr>
                      <w:b/>
                      <w:sz w:val="18"/>
                      <w:szCs w:val="18"/>
                      <w:lang w:val="lv-LV"/>
                    </w:rPr>
                  </w:pPr>
                  <w:r w:rsidRPr="00EE1E8A">
                    <w:rPr>
                      <w:bCs/>
                      <w:i/>
                      <w:sz w:val="18"/>
                      <w:szCs w:val="18"/>
                      <w:u w:val="single"/>
                      <w:lang w:val="lv-LV"/>
                    </w:rPr>
                    <w:t>tostarp Vispārējā rezerve saistībām</w:t>
                  </w:r>
                </w:p>
              </w:tc>
              <w:tc>
                <w:tcPr>
                  <w:tcW w:w="851" w:type="dxa"/>
                  <w:tcMar>
                    <w:top w:w="0" w:type="dxa"/>
                    <w:left w:w="108" w:type="dxa"/>
                    <w:bottom w:w="0" w:type="dxa"/>
                    <w:right w:w="108" w:type="dxa"/>
                  </w:tcMar>
                  <w:vAlign w:val="center"/>
                </w:tcPr>
                <w:p w14:paraId="2D1A831A" w14:textId="44DB0FD2" w:rsidR="009734BB" w:rsidRPr="00C0406B" w:rsidRDefault="00DA7C75" w:rsidP="007E49BD">
                  <w:pPr>
                    <w:autoSpaceDE w:val="0"/>
                    <w:autoSpaceDN w:val="0"/>
                    <w:jc w:val="center"/>
                    <w:rPr>
                      <w:rFonts w:eastAsia="Calibri"/>
                      <w:i/>
                      <w:sz w:val="18"/>
                      <w:szCs w:val="18"/>
                      <w:u w:val="single"/>
                      <w:lang w:val="lv-LV"/>
                    </w:rPr>
                  </w:pPr>
                  <w:r w:rsidRPr="00C0406B">
                    <w:rPr>
                      <w:rFonts w:eastAsia="Calibri"/>
                      <w:i/>
                      <w:sz w:val="18"/>
                      <w:szCs w:val="18"/>
                      <w:u w:val="single"/>
                      <w:lang w:val="lv-LV"/>
                    </w:rPr>
                    <w:t>141,9</w:t>
                  </w:r>
                </w:p>
              </w:tc>
              <w:tc>
                <w:tcPr>
                  <w:tcW w:w="850" w:type="dxa"/>
                  <w:tcMar>
                    <w:top w:w="0" w:type="dxa"/>
                    <w:left w:w="108" w:type="dxa"/>
                    <w:bottom w:w="0" w:type="dxa"/>
                    <w:right w:w="108" w:type="dxa"/>
                  </w:tcMar>
                  <w:vAlign w:val="center"/>
                </w:tcPr>
                <w:p w14:paraId="6D24530F" w14:textId="77777777" w:rsidR="009734BB" w:rsidRPr="00EB3D99" w:rsidRDefault="009734BB" w:rsidP="007E49BD">
                  <w:pPr>
                    <w:autoSpaceDE w:val="0"/>
                    <w:autoSpaceDN w:val="0"/>
                    <w:jc w:val="center"/>
                    <w:rPr>
                      <w:rFonts w:eastAsia="Calibri"/>
                      <w:b/>
                      <w:sz w:val="18"/>
                      <w:szCs w:val="18"/>
                      <w:lang w:val="lv-LV"/>
                    </w:rPr>
                  </w:pPr>
                </w:p>
              </w:tc>
              <w:tc>
                <w:tcPr>
                  <w:tcW w:w="851" w:type="dxa"/>
                  <w:tcMar>
                    <w:top w:w="0" w:type="dxa"/>
                    <w:left w:w="108" w:type="dxa"/>
                    <w:bottom w:w="0" w:type="dxa"/>
                    <w:right w:w="108" w:type="dxa"/>
                  </w:tcMar>
                  <w:vAlign w:val="center"/>
                </w:tcPr>
                <w:p w14:paraId="259365C1" w14:textId="77777777" w:rsidR="009734BB" w:rsidRPr="00EB3D99" w:rsidRDefault="009734BB" w:rsidP="007E49BD">
                  <w:pPr>
                    <w:autoSpaceDE w:val="0"/>
                    <w:autoSpaceDN w:val="0"/>
                    <w:jc w:val="center"/>
                    <w:rPr>
                      <w:rFonts w:eastAsia="Calibri"/>
                      <w:b/>
                      <w:sz w:val="18"/>
                      <w:szCs w:val="18"/>
                      <w:lang w:val="lv-LV"/>
                    </w:rPr>
                  </w:pPr>
                </w:p>
              </w:tc>
              <w:tc>
                <w:tcPr>
                  <w:tcW w:w="850" w:type="dxa"/>
                  <w:tcMar>
                    <w:top w:w="0" w:type="dxa"/>
                    <w:left w:w="108" w:type="dxa"/>
                    <w:bottom w:w="0" w:type="dxa"/>
                    <w:right w:w="108" w:type="dxa"/>
                  </w:tcMar>
                  <w:vAlign w:val="center"/>
                </w:tcPr>
                <w:p w14:paraId="22B367F8" w14:textId="77777777" w:rsidR="009734BB" w:rsidRPr="00EB3D99" w:rsidRDefault="009734BB" w:rsidP="007E49BD">
                  <w:pPr>
                    <w:autoSpaceDE w:val="0"/>
                    <w:autoSpaceDN w:val="0"/>
                    <w:jc w:val="center"/>
                    <w:rPr>
                      <w:rFonts w:eastAsia="Calibri"/>
                      <w:b/>
                      <w:sz w:val="18"/>
                      <w:szCs w:val="18"/>
                      <w:lang w:val="lv-LV"/>
                    </w:rPr>
                  </w:pPr>
                </w:p>
              </w:tc>
              <w:tc>
                <w:tcPr>
                  <w:tcW w:w="851" w:type="dxa"/>
                  <w:tcMar>
                    <w:top w:w="0" w:type="dxa"/>
                    <w:left w:w="108" w:type="dxa"/>
                    <w:bottom w:w="0" w:type="dxa"/>
                    <w:right w:w="108" w:type="dxa"/>
                  </w:tcMar>
                  <w:vAlign w:val="center"/>
                </w:tcPr>
                <w:p w14:paraId="57A85A2D" w14:textId="11CF9DE6" w:rsidR="009734BB" w:rsidRPr="00C0406B" w:rsidRDefault="00C0406B" w:rsidP="00C0406B">
                  <w:pPr>
                    <w:autoSpaceDE w:val="0"/>
                    <w:autoSpaceDN w:val="0"/>
                    <w:jc w:val="center"/>
                    <w:rPr>
                      <w:rFonts w:eastAsia="Calibri"/>
                      <w:i/>
                      <w:sz w:val="18"/>
                      <w:szCs w:val="18"/>
                      <w:highlight w:val="yellow"/>
                      <w:u w:val="single"/>
                      <w:lang w:val="lv-LV"/>
                    </w:rPr>
                  </w:pPr>
                  <w:r w:rsidRPr="00C0406B">
                    <w:rPr>
                      <w:rFonts w:eastAsia="Calibri"/>
                      <w:i/>
                      <w:sz w:val="18"/>
                      <w:szCs w:val="18"/>
                      <w:u w:val="single"/>
                      <w:lang w:val="lv-LV"/>
                    </w:rPr>
                    <w:t>831</w:t>
                  </w:r>
                  <w:r w:rsidR="00DA7C75" w:rsidRPr="00C0406B">
                    <w:rPr>
                      <w:rFonts w:eastAsia="Calibri"/>
                      <w:i/>
                      <w:sz w:val="18"/>
                      <w:szCs w:val="18"/>
                      <w:u w:val="single"/>
                      <w:lang w:val="lv-LV"/>
                    </w:rPr>
                    <w:t>,</w:t>
                  </w:r>
                  <w:r w:rsidRPr="00C0406B">
                    <w:rPr>
                      <w:rFonts w:eastAsia="Calibri"/>
                      <w:i/>
                      <w:sz w:val="18"/>
                      <w:szCs w:val="18"/>
                      <w:u w:val="single"/>
                      <w:lang w:val="lv-LV"/>
                    </w:rPr>
                    <w:t>7</w:t>
                  </w:r>
                </w:p>
              </w:tc>
              <w:tc>
                <w:tcPr>
                  <w:tcW w:w="850" w:type="dxa"/>
                  <w:tcMar>
                    <w:top w:w="0" w:type="dxa"/>
                    <w:left w:w="108" w:type="dxa"/>
                    <w:bottom w:w="0" w:type="dxa"/>
                    <w:right w:w="108" w:type="dxa"/>
                  </w:tcMar>
                  <w:vAlign w:val="center"/>
                </w:tcPr>
                <w:p w14:paraId="70985C51" w14:textId="77777777" w:rsidR="009734BB" w:rsidRPr="00EB3D99" w:rsidRDefault="009734BB" w:rsidP="007E49BD">
                  <w:pPr>
                    <w:autoSpaceDE w:val="0"/>
                    <w:autoSpaceDN w:val="0"/>
                    <w:jc w:val="center"/>
                    <w:rPr>
                      <w:rFonts w:eastAsia="Calibri"/>
                      <w:b/>
                      <w:sz w:val="18"/>
                      <w:szCs w:val="18"/>
                      <w:lang w:val="lv-LV"/>
                    </w:rPr>
                  </w:pPr>
                </w:p>
              </w:tc>
              <w:tc>
                <w:tcPr>
                  <w:tcW w:w="851" w:type="dxa"/>
                  <w:tcMar>
                    <w:top w:w="0" w:type="dxa"/>
                    <w:left w:w="108" w:type="dxa"/>
                    <w:bottom w:w="0" w:type="dxa"/>
                    <w:right w:w="108" w:type="dxa"/>
                  </w:tcMar>
                  <w:vAlign w:val="center"/>
                </w:tcPr>
                <w:p w14:paraId="201A85D1" w14:textId="675E6570" w:rsidR="009734BB" w:rsidRPr="00C0406B" w:rsidRDefault="00C0406B" w:rsidP="007E49BD">
                  <w:pPr>
                    <w:autoSpaceDE w:val="0"/>
                    <w:autoSpaceDN w:val="0"/>
                    <w:jc w:val="center"/>
                    <w:rPr>
                      <w:rFonts w:eastAsia="Calibri"/>
                      <w:i/>
                      <w:sz w:val="18"/>
                      <w:szCs w:val="18"/>
                      <w:u w:val="single"/>
                      <w:lang w:val="lv-LV"/>
                    </w:rPr>
                  </w:pPr>
                  <w:r w:rsidRPr="00C0406B">
                    <w:rPr>
                      <w:rFonts w:eastAsia="Calibri"/>
                      <w:i/>
                      <w:sz w:val="18"/>
                      <w:szCs w:val="18"/>
                      <w:u w:val="single"/>
                      <w:lang w:val="lv-LV"/>
                    </w:rPr>
                    <w:t>831,7</w:t>
                  </w:r>
                </w:p>
              </w:tc>
              <w:tc>
                <w:tcPr>
                  <w:tcW w:w="863" w:type="dxa"/>
                  <w:tcMar>
                    <w:top w:w="0" w:type="dxa"/>
                    <w:left w:w="108" w:type="dxa"/>
                    <w:bottom w:w="0" w:type="dxa"/>
                    <w:right w:w="108" w:type="dxa"/>
                  </w:tcMar>
                  <w:vAlign w:val="center"/>
                </w:tcPr>
                <w:p w14:paraId="348C561A" w14:textId="77777777" w:rsidR="009734BB" w:rsidRPr="00EB3D99" w:rsidRDefault="009734BB" w:rsidP="007E49BD">
                  <w:pPr>
                    <w:autoSpaceDE w:val="0"/>
                    <w:autoSpaceDN w:val="0"/>
                    <w:jc w:val="center"/>
                    <w:rPr>
                      <w:rFonts w:eastAsia="Calibri"/>
                      <w:b/>
                      <w:sz w:val="18"/>
                      <w:szCs w:val="18"/>
                      <w:lang w:val="lv-LV"/>
                    </w:rPr>
                  </w:pPr>
                </w:p>
              </w:tc>
            </w:tr>
            <w:tr w:rsidR="00DA7C75" w:rsidRPr="00EE1E8A" w14:paraId="6203001F" w14:textId="77777777" w:rsidTr="007E49BD">
              <w:trPr>
                <w:trHeight w:val="365"/>
              </w:trPr>
              <w:tc>
                <w:tcPr>
                  <w:tcW w:w="2689" w:type="dxa"/>
                  <w:vAlign w:val="center"/>
                </w:tcPr>
                <w:p w14:paraId="748DC72E" w14:textId="77777777" w:rsidR="009734BB" w:rsidRPr="00EB3D99" w:rsidRDefault="009734BB" w:rsidP="007E49BD">
                  <w:pPr>
                    <w:jc w:val="right"/>
                    <w:rPr>
                      <w:i/>
                      <w:sz w:val="18"/>
                      <w:szCs w:val="18"/>
                      <w:lang w:val="lv-LV"/>
                    </w:rPr>
                  </w:pPr>
                  <w:r w:rsidRPr="00EB3D99">
                    <w:rPr>
                      <w:i/>
                      <w:sz w:val="18"/>
                      <w:szCs w:val="18"/>
                      <w:lang w:val="lv-LV"/>
                    </w:rPr>
                    <w:t>Tostarp saskaņā ar Neparedzēto izdevumu rezerves kompensēšanu</w:t>
                  </w:r>
                </w:p>
              </w:tc>
              <w:tc>
                <w:tcPr>
                  <w:tcW w:w="851" w:type="dxa"/>
                  <w:tcMar>
                    <w:top w:w="0" w:type="dxa"/>
                    <w:left w:w="108" w:type="dxa"/>
                    <w:bottom w:w="0" w:type="dxa"/>
                    <w:right w:w="108" w:type="dxa"/>
                  </w:tcMar>
                  <w:vAlign w:val="center"/>
                </w:tcPr>
                <w:p w14:paraId="7E1F22CC" w14:textId="77777777" w:rsidR="009734BB" w:rsidRPr="00EB3D99" w:rsidRDefault="009734BB" w:rsidP="007E49BD">
                  <w:pPr>
                    <w:autoSpaceDE w:val="0"/>
                    <w:autoSpaceDN w:val="0"/>
                    <w:jc w:val="center"/>
                    <w:rPr>
                      <w:rFonts w:eastAsia="Calibri"/>
                      <w:b/>
                      <w:sz w:val="18"/>
                      <w:szCs w:val="18"/>
                      <w:lang w:val="lv-LV"/>
                    </w:rPr>
                  </w:pPr>
                </w:p>
              </w:tc>
              <w:tc>
                <w:tcPr>
                  <w:tcW w:w="850" w:type="dxa"/>
                  <w:tcMar>
                    <w:top w:w="0" w:type="dxa"/>
                    <w:left w:w="108" w:type="dxa"/>
                    <w:bottom w:w="0" w:type="dxa"/>
                    <w:right w:w="108" w:type="dxa"/>
                  </w:tcMar>
                  <w:vAlign w:val="center"/>
                </w:tcPr>
                <w:p w14:paraId="0B86EC51" w14:textId="77777777" w:rsidR="009734BB" w:rsidRPr="00EB3D99" w:rsidRDefault="009734BB" w:rsidP="007E49BD">
                  <w:pPr>
                    <w:autoSpaceDE w:val="0"/>
                    <w:autoSpaceDN w:val="0"/>
                    <w:jc w:val="center"/>
                    <w:rPr>
                      <w:rFonts w:eastAsia="Calibri"/>
                      <w:b/>
                      <w:sz w:val="18"/>
                      <w:szCs w:val="18"/>
                      <w:lang w:val="lv-LV"/>
                    </w:rPr>
                  </w:pPr>
                </w:p>
              </w:tc>
              <w:tc>
                <w:tcPr>
                  <w:tcW w:w="851" w:type="dxa"/>
                  <w:tcMar>
                    <w:top w:w="0" w:type="dxa"/>
                    <w:left w:w="108" w:type="dxa"/>
                    <w:bottom w:w="0" w:type="dxa"/>
                    <w:right w:w="108" w:type="dxa"/>
                  </w:tcMar>
                  <w:vAlign w:val="center"/>
                </w:tcPr>
                <w:p w14:paraId="52248ACF" w14:textId="77777777" w:rsidR="009734BB" w:rsidRPr="00EB3D99" w:rsidRDefault="009734BB" w:rsidP="007E49BD">
                  <w:pPr>
                    <w:autoSpaceDE w:val="0"/>
                    <w:autoSpaceDN w:val="0"/>
                    <w:jc w:val="center"/>
                    <w:rPr>
                      <w:rFonts w:eastAsia="Calibri"/>
                      <w:b/>
                      <w:sz w:val="18"/>
                      <w:szCs w:val="18"/>
                      <w:lang w:val="lv-LV"/>
                    </w:rPr>
                  </w:pPr>
                </w:p>
              </w:tc>
              <w:tc>
                <w:tcPr>
                  <w:tcW w:w="850" w:type="dxa"/>
                  <w:tcMar>
                    <w:top w:w="0" w:type="dxa"/>
                    <w:left w:w="108" w:type="dxa"/>
                    <w:bottom w:w="0" w:type="dxa"/>
                    <w:right w:w="108" w:type="dxa"/>
                  </w:tcMar>
                  <w:vAlign w:val="center"/>
                </w:tcPr>
                <w:p w14:paraId="5EEE078E" w14:textId="77777777" w:rsidR="009734BB" w:rsidRPr="00EB3D99" w:rsidRDefault="009734BB" w:rsidP="007E49BD">
                  <w:pPr>
                    <w:autoSpaceDE w:val="0"/>
                    <w:autoSpaceDN w:val="0"/>
                    <w:jc w:val="center"/>
                    <w:rPr>
                      <w:rFonts w:eastAsia="Calibri"/>
                      <w:b/>
                      <w:sz w:val="18"/>
                      <w:szCs w:val="18"/>
                      <w:lang w:val="lv-LV"/>
                    </w:rPr>
                  </w:pPr>
                </w:p>
              </w:tc>
              <w:tc>
                <w:tcPr>
                  <w:tcW w:w="851" w:type="dxa"/>
                  <w:tcMar>
                    <w:top w:w="0" w:type="dxa"/>
                    <w:left w:w="108" w:type="dxa"/>
                    <w:bottom w:w="0" w:type="dxa"/>
                    <w:right w:w="108" w:type="dxa"/>
                  </w:tcMar>
                  <w:vAlign w:val="center"/>
                </w:tcPr>
                <w:p w14:paraId="6CA4C30D" w14:textId="321BD20B" w:rsidR="009734BB" w:rsidRPr="00C0406B" w:rsidRDefault="00C0406B" w:rsidP="00C0406B">
                  <w:pPr>
                    <w:autoSpaceDE w:val="0"/>
                    <w:autoSpaceDN w:val="0"/>
                    <w:jc w:val="center"/>
                    <w:rPr>
                      <w:rFonts w:eastAsia="Calibri"/>
                      <w:i/>
                      <w:sz w:val="18"/>
                      <w:szCs w:val="18"/>
                      <w:highlight w:val="yellow"/>
                      <w:u w:val="single"/>
                      <w:lang w:val="lv-LV"/>
                    </w:rPr>
                  </w:pPr>
                  <w:r w:rsidRPr="00C0406B">
                    <w:rPr>
                      <w:rFonts w:eastAsia="Calibri"/>
                      <w:i/>
                      <w:sz w:val="18"/>
                      <w:szCs w:val="18"/>
                      <w:u w:val="single"/>
                      <w:lang w:val="lv-LV"/>
                    </w:rPr>
                    <w:t>265</w:t>
                  </w:r>
                  <w:r w:rsidR="00DA7C75" w:rsidRPr="00C0406B">
                    <w:rPr>
                      <w:rFonts w:eastAsia="Calibri"/>
                      <w:i/>
                      <w:sz w:val="18"/>
                      <w:szCs w:val="18"/>
                      <w:u w:val="single"/>
                      <w:lang w:val="lv-LV"/>
                    </w:rPr>
                    <w:t>,</w:t>
                  </w:r>
                  <w:r w:rsidRPr="00C0406B">
                    <w:rPr>
                      <w:rFonts w:eastAsia="Calibri"/>
                      <w:i/>
                      <w:sz w:val="18"/>
                      <w:szCs w:val="18"/>
                      <w:u w:val="single"/>
                      <w:lang w:val="lv-LV"/>
                    </w:rPr>
                    <w:t>8</w:t>
                  </w:r>
                </w:p>
              </w:tc>
              <w:tc>
                <w:tcPr>
                  <w:tcW w:w="850" w:type="dxa"/>
                  <w:tcMar>
                    <w:top w:w="0" w:type="dxa"/>
                    <w:left w:w="108" w:type="dxa"/>
                    <w:bottom w:w="0" w:type="dxa"/>
                    <w:right w:w="108" w:type="dxa"/>
                  </w:tcMar>
                  <w:vAlign w:val="center"/>
                </w:tcPr>
                <w:p w14:paraId="07DBBC38" w14:textId="77777777" w:rsidR="009734BB" w:rsidRPr="00EB3D99" w:rsidRDefault="009734BB" w:rsidP="007E49BD">
                  <w:pPr>
                    <w:autoSpaceDE w:val="0"/>
                    <w:autoSpaceDN w:val="0"/>
                    <w:jc w:val="center"/>
                    <w:rPr>
                      <w:rFonts w:eastAsia="Calibri"/>
                      <w:b/>
                      <w:sz w:val="18"/>
                      <w:szCs w:val="18"/>
                      <w:lang w:val="lv-LV"/>
                    </w:rPr>
                  </w:pPr>
                </w:p>
              </w:tc>
              <w:tc>
                <w:tcPr>
                  <w:tcW w:w="851" w:type="dxa"/>
                  <w:tcMar>
                    <w:top w:w="0" w:type="dxa"/>
                    <w:left w:w="108" w:type="dxa"/>
                    <w:bottom w:w="0" w:type="dxa"/>
                    <w:right w:w="108" w:type="dxa"/>
                  </w:tcMar>
                  <w:vAlign w:val="center"/>
                </w:tcPr>
                <w:p w14:paraId="13D05270" w14:textId="3FE58E74" w:rsidR="009734BB" w:rsidRPr="00C0406B" w:rsidRDefault="00C0406B" w:rsidP="007E49BD">
                  <w:pPr>
                    <w:autoSpaceDE w:val="0"/>
                    <w:autoSpaceDN w:val="0"/>
                    <w:jc w:val="center"/>
                    <w:rPr>
                      <w:rFonts w:eastAsia="Calibri"/>
                      <w:i/>
                      <w:sz w:val="18"/>
                      <w:szCs w:val="18"/>
                      <w:u w:val="single"/>
                      <w:lang w:val="lv-LV"/>
                    </w:rPr>
                  </w:pPr>
                  <w:r w:rsidRPr="00C0406B">
                    <w:rPr>
                      <w:rFonts w:eastAsia="Calibri"/>
                      <w:i/>
                      <w:sz w:val="18"/>
                      <w:szCs w:val="18"/>
                      <w:u w:val="single"/>
                      <w:lang w:val="lv-LV"/>
                    </w:rPr>
                    <w:t>265,8</w:t>
                  </w:r>
                </w:p>
              </w:tc>
              <w:tc>
                <w:tcPr>
                  <w:tcW w:w="863" w:type="dxa"/>
                  <w:tcMar>
                    <w:top w:w="0" w:type="dxa"/>
                    <w:left w:w="108" w:type="dxa"/>
                    <w:bottom w:w="0" w:type="dxa"/>
                    <w:right w:w="108" w:type="dxa"/>
                  </w:tcMar>
                  <w:vAlign w:val="center"/>
                </w:tcPr>
                <w:p w14:paraId="39F75EF7" w14:textId="77777777" w:rsidR="009734BB" w:rsidRPr="00EB3D99" w:rsidRDefault="009734BB" w:rsidP="007E49BD">
                  <w:pPr>
                    <w:autoSpaceDE w:val="0"/>
                    <w:autoSpaceDN w:val="0"/>
                    <w:jc w:val="center"/>
                    <w:rPr>
                      <w:rFonts w:eastAsia="Calibri"/>
                      <w:b/>
                      <w:sz w:val="18"/>
                      <w:szCs w:val="18"/>
                      <w:lang w:val="lv-LV"/>
                    </w:rPr>
                  </w:pPr>
                </w:p>
              </w:tc>
            </w:tr>
            <w:tr w:rsidR="00DA7C75" w:rsidRPr="00EE1E8A" w14:paraId="5DB964F0" w14:textId="77777777" w:rsidTr="007E49BD">
              <w:trPr>
                <w:trHeight w:val="239"/>
              </w:trPr>
              <w:tc>
                <w:tcPr>
                  <w:tcW w:w="2689" w:type="dxa"/>
                  <w:tcMar>
                    <w:top w:w="0" w:type="dxa"/>
                    <w:left w:w="108" w:type="dxa"/>
                    <w:bottom w:w="0" w:type="dxa"/>
                    <w:right w:w="108" w:type="dxa"/>
                  </w:tcMar>
                  <w:vAlign w:val="center"/>
                </w:tcPr>
                <w:p w14:paraId="28288FA9" w14:textId="77777777" w:rsidR="009734BB" w:rsidRPr="00EB3D99" w:rsidRDefault="009734BB" w:rsidP="007E49BD">
                  <w:pPr>
                    <w:autoSpaceDE w:val="0"/>
                    <w:autoSpaceDN w:val="0"/>
                    <w:jc w:val="right"/>
                    <w:rPr>
                      <w:bCs/>
                      <w:i/>
                      <w:sz w:val="18"/>
                      <w:szCs w:val="18"/>
                      <w:u w:val="single"/>
                      <w:lang w:val="lv-LV" w:eastAsia="lv-LV"/>
                    </w:rPr>
                  </w:pPr>
                  <w:r w:rsidRPr="00EB3D99">
                    <w:rPr>
                      <w:bCs/>
                      <w:i/>
                      <w:sz w:val="18"/>
                      <w:szCs w:val="18"/>
                      <w:u w:val="single"/>
                      <w:lang w:val="lv-LV" w:eastAsia="lv-LV"/>
                    </w:rPr>
                    <w:t>rezerve</w:t>
                  </w:r>
                </w:p>
              </w:tc>
              <w:tc>
                <w:tcPr>
                  <w:tcW w:w="851" w:type="dxa"/>
                  <w:tcMar>
                    <w:top w:w="0" w:type="dxa"/>
                    <w:left w:w="108" w:type="dxa"/>
                    <w:bottom w:w="0" w:type="dxa"/>
                    <w:right w:w="108" w:type="dxa"/>
                  </w:tcMar>
                  <w:vAlign w:val="center"/>
                </w:tcPr>
                <w:p w14:paraId="371C1D89" w14:textId="77777777" w:rsidR="009734BB" w:rsidRPr="00EB3D99" w:rsidRDefault="009734BB" w:rsidP="007E49BD">
                  <w:pPr>
                    <w:autoSpaceDE w:val="0"/>
                    <w:autoSpaceDN w:val="0"/>
                    <w:jc w:val="center"/>
                    <w:rPr>
                      <w:rFonts w:eastAsia="Calibri"/>
                      <w:i/>
                      <w:sz w:val="18"/>
                      <w:szCs w:val="18"/>
                      <w:u w:val="single"/>
                      <w:lang w:val="lv-LV" w:eastAsia="lv-LV"/>
                    </w:rPr>
                  </w:pPr>
                  <w:r w:rsidRPr="00EB3D99">
                    <w:rPr>
                      <w:rFonts w:eastAsia="Calibri"/>
                      <w:i/>
                      <w:sz w:val="18"/>
                      <w:szCs w:val="18"/>
                      <w:u w:val="single"/>
                      <w:lang w:val="lv-LV" w:eastAsia="lv-LV"/>
                    </w:rPr>
                    <w:t>474,6</w:t>
                  </w:r>
                </w:p>
              </w:tc>
              <w:tc>
                <w:tcPr>
                  <w:tcW w:w="850" w:type="dxa"/>
                  <w:tcMar>
                    <w:top w:w="0" w:type="dxa"/>
                    <w:left w:w="108" w:type="dxa"/>
                    <w:bottom w:w="0" w:type="dxa"/>
                    <w:right w:w="108" w:type="dxa"/>
                  </w:tcMar>
                  <w:vAlign w:val="center"/>
                </w:tcPr>
                <w:p w14:paraId="4CA5F420" w14:textId="77777777" w:rsidR="009734BB" w:rsidRPr="00EB3D99" w:rsidRDefault="009734BB" w:rsidP="007E49BD">
                  <w:pPr>
                    <w:autoSpaceDE w:val="0"/>
                    <w:autoSpaceDN w:val="0"/>
                    <w:jc w:val="center"/>
                    <w:rPr>
                      <w:rFonts w:eastAsia="Calibri"/>
                      <w:i/>
                      <w:sz w:val="18"/>
                      <w:szCs w:val="18"/>
                      <w:u w:val="single"/>
                      <w:lang w:val="lv-LV" w:eastAsia="lv-LV"/>
                    </w:rPr>
                  </w:pPr>
                </w:p>
              </w:tc>
              <w:tc>
                <w:tcPr>
                  <w:tcW w:w="851" w:type="dxa"/>
                  <w:tcMar>
                    <w:top w:w="0" w:type="dxa"/>
                    <w:left w:w="108" w:type="dxa"/>
                    <w:bottom w:w="0" w:type="dxa"/>
                    <w:right w:w="108" w:type="dxa"/>
                  </w:tcMar>
                  <w:vAlign w:val="center"/>
                </w:tcPr>
                <w:p w14:paraId="159343EC" w14:textId="77777777" w:rsidR="009734BB" w:rsidRPr="00EB3D99" w:rsidRDefault="009734BB" w:rsidP="007E49BD">
                  <w:pPr>
                    <w:autoSpaceDE w:val="0"/>
                    <w:autoSpaceDN w:val="0"/>
                    <w:jc w:val="center"/>
                    <w:rPr>
                      <w:rFonts w:eastAsia="Calibri"/>
                      <w:i/>
                      <w:sz w:val="18"/>
                      <w:szCs w:val="18"/>
                      <w:u w:val="single"/>
                      <w:lang w:val="lv-LV" w:eastAsia="lv-LV"/>
                    </w:rPr>
                  </w:pPr>
                  <w:r w:rsidRPr="00EB3D99">
                    <w:rPr>
                      <w:rFonts w:eastAsia="Calibri"/>
                      <w:i/>
                      <w:sz w:val="18"/>
                      <w:szCs w:val="18"/>
                      <w:u w:val="single"/>
                      <w:lang w:val="lv-LV" w:eastAsia="lv-LV"/>
                    </w:rPr>
                    <w:t>1 222,0</w:t>
                  </w:r>
                </w:p>
              </w:tc>
              <w:tc>
                <w:tcPr>
                  <w:tcW w:w="850" w:type="dxa"/>
                  <w:tcMar>
                    <w:top w:w="0" w:type="dxa"/>
                    <w:left w:w="108" w:type="dxa"/>
                    <w:bottom w:w="0" w:type="dxa"/>
                    <w:right w:w="108" w:type="dxa"/>
                  </w:tcMar>
                  <w:vAlign w:val="center"/>
                </w:tcPr>
                <w:p w14:paraId="4DA17579" w14:textId="77777777" w:rsidR="009734BB" w:rsidRPr="00EB3D99" w:rsidRDefault="009734BB" w:rsidP="007E49BD">
                  <w:pPr>
                    <w:autoSpaceDE w:val="0"/>
                    <w:autoSpaceDN w:val="0"/>
                    <w:jc w:val="center"/>
                    <w:rPr>
                      <w:rFonts w:eastAsia="Calibri"/>
                      <w:i/>
                      <w:sz w:val="18"/>
                      <w:szCs w:val="18"/>
                      <w:u w:val="single"/>
                      <w:lang w:val="lv-LV" w:eastAsia="lv-LV"/>
                    </w:rPr>
                  </w:pPr>
                </w:p>
              </w:tc>
              <w:tc>
                <w:tcPr>
                  <w:tcW w:w="851" w:type="dxa"/>
                  <w:tcMar>
                    <w:top w:w="0" w:type="dxa"/>
                    <w:left w:w="108" w:type="dxa"/>
                    <w:bottom w:w="0" w:type="dxa"/>
                    <w:right w:w="108" w:type="dxa"/>
                  </w:tcMar>
                  <w:vAlign w:val="center"/>
                </w:tcPr>
                <w:p w14:paraId="46247A66" w14:textId="77777777" w:rsidR="009734BB" w:rsidRPr="00EB3D99" w:rsidRDefault="009734BB" w:rsidP="007E49BD">
                  <w:pPr>
                    <w:autoSpaceDE w:val="0"/>
                    <w:autoSpaceDN w:val="0"/>
                    <w:jc w:val="center"/>
                    <w:rPr>
                      <w:rFonts w:eastAsia="Calibri"/>
                      <w:i/>
                      <w:sz w:val="18"/>
                      <w:szCs w:val="18"/>
                      <w:u w:val="single"/>
                      <w:lang w:val="lv-LV" w:eastAsia="lv-LV"/>
                    </w:rPr>
                  </w:pPr>
                  <w:r w:rsidRPr="00EB3D99">
                    <w:rPr>
                      <w:rFonts w:eastAsia="Calibri"/>
                      <w:i/>
                      <w:sz w:val="18"/>
                      <w:szCs w:val="18"/>
                      <w:u w:val="single"/>
                      <w:lang w:val="lv-LV" w:eastAsia="lv-LV"/>
                    </w:rPr>
                    <w:t>-</w:t>
                  </w:r>
                </w:p>
              </w:tc>
              <w:tc>
                <w:tcPr>
                  <w:tcW w:w="850" w:type="dxa"/>
                  <w:tcMar>
                    <w:top w:w="0" w:type="dxa"/>
                    <w:left w:w="108" w:type="dxa"/>
                    <w:bottom w:w="0" w:type="dxa"/>
                    <w:right w:w="108" w:type="dxa"/>
                  </w:tcMar>
                  <w:vAlign w:val="center"/>
                </w:tcPr>
                <w:p w14:paraId="007873ED" w14:textId="77777777" w:rsidR="009734BB" w:rsidRPr="00EB3D99" w:rsidRDefault="009734BB" w:rsidP="007E49BD">
                  <w:pPr>
                    <w:autoSpaceDE w:val="0"/>
                    <w:autoSpaceDN w:val="0"/>
                    <w:jc w:val="center"/>
                    <w:rPr>
                      <w:rFonts w:eastAsia="Calibri"/>
                      <w:i/>
                      <w:sz w:val="18"/>
                      <w:szCs w:val="18"/>
                      <w:lang w:val="lv-LV" w:eastAsia="lv-LV"/>
                    </w:rPr>
                  </w:pPr>
                </w:p>
              </w:tc>
              <w:tc>
                <w:tcPr>
                  <w:tcW w:w="851" w:type="dxa"/>
                  <w:tcMar>
                    <w:top w:w="0" w:type="dxa"/>
                    <w:left w:w="108" w:type="dxa"/>
                    <w:bottom w:w="0" w:type="dxa"/>
                    <w:right w:w="108" w:type="dxa"/>
                  </w:tcMar>
                  <w:vAlign w:val="center"/>
                </w:tcPr>
                <w:p w14:paraId="2803E88C" w14:textId="77777777" w:rsidR="009734BB" w:rsidRPr="00EB3D99" w:rsidRDefault="009734BB" w:rsidP="007E49BD">
                  <w:pPr>
                    <w:autoSpaceDE w:val="0"/>
                    <w:autoSpaceDN w:val="0"/>
                    <w:jc w:val="center"/>
                    <w:rPr>
                      <w:rFonts w:eastAsia="Calibri"/>
                      <w:i/>
                      <w:sz w:val="18"/>
                      <w:szCs w:val="18"/>
                      <w:u w:val="single"/>
                      <w:lang w:val="lv-LV" w:eastAsia="lv-LV"/>
                    </w:rPr>
                  </w:pPr>
                  <w:r w:rsidRPr="00EB3D99">
                    <w:rPr>
                      <w:rFonts w:eastAsia="Calibri"/>
                      <w:i/>
                      <w:sz w:val="18"/>
                      <w:szCs w:val="18"/>
                      <w:u w:val="single"/>
                      <w:lang w:val="lv-LV" w:eastAsia="lv-LV"/>
                    </w:rPr>
                    <w:t>-1 222,0</w:t>
                  </w:r>
                </w:p>
              </w:tc>
              <w:tc>
                <w:tcPr>
                  <w:tcW w:w="863" w:type="dxa"/>
                  <w:tcMar>
                    <w:top w:w="0" w:type="dxa"/>
                    <w:left w:w="108" w:type="dxa"/>
                    <w:bottom w:w="0" w:type="dxa"/>
                    <w:right w:w="108" w:type="dxa"/>
                  </w:tcMar>
                  <w:vAlign w:val="center"/>
                </w:tcPr>
                <w:p w14:paraId="38FD0519" w14:textId="77777777" w:rsidR="009734BB" w:rsidRPr="00EB3D99" w:rsidRDefault="009734BB" w:rsidP="007E49BD">
                  <w:pPr>
                    <w:autoSpaceDE w:val="0"/>
                    <w:autoSpaceDN w:val="0"/>
                    <w:jc w:val="center"/>
                    <w:rPr>
                      <w:rFonts w:eastAsia="Calibri"/>
                      <w:i/>
                      <w:sz w:val="18"/>
                      <w:szCs w:val="18"/>
                      <w:lang w:val="lv-LV" w:eastAsia="lv-LV"/>
                    </w:rPr>
                  </w:pPr>
                </w:p>
              </w:tc>
            </w:tr>
          </w:tbl>
          <w:p w14:paraId="2C622D0C" w14:textId="77777777"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b/>
                <w:u w:val="single"/>
                <w:lang w:val="lv-LV" w:eastAsia="lv-LV"/>
              </w:rPr>
              <w:t>EK priekšlikums BP 2020.gadam un AL 1/2020</w:t>
            </w:r>
          </w:p>
          <w:p w14:paraId="4D66E160" w14:textId="42ABFE26"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lang w:val="lv-LV"/>
              </w:rPr>
              <w:t>Ar EK iesniegto grozījumu vēstuli netiek mainīts sākotnējais BP 20</w:t>
            </w:r>
            <w:r w:rsidR="00562B3F">
              <w:rPr>
                <w:rFonts w:eastAsia="Calibri"/>
                <w:lang w:val="lv-LV"/>
              </w:rPr>
              <w:t>20</w:t>
            </w:r>
            <w:r w:rsidRPr="00EE1E8A">
              <w:rPr>
                <w:rFonts w:eastAsia="Calibri"/>
                <w:lang w:val="lv-LV"/>
              </w:rPr>
              <w:t>.gadam</w:t>
            </w:r>
            <w:r w:rsidR="00C26C5C">
              <w:rPr>
                <w:rFonts w:eastAsia="Calibri"/>
                <w:lang w:val="lv-LV"/>
              </w:rPr>
              <w:t xml:space="preserve"> 1a </w:t>
            </w:r>
            <w:proofErr w:type="spellStart"/>
            <w:r w:rsidR="00C26C5C">
              <w:rPr>
                <w:rFonts w:eastAsia="Calibri"/>
                <w:lang w:val="lv-LV"/>
              </w:rPr>
              <w:t>apakškategorijā</w:t>
            </w:r>
            <w:proofErr w:type="spellEnd"/>
            <w:r w:rsidRPr="00EE1E8A">
              <w:rPr>
                <w:rFonts w:eastAsia="Calibri"/>
                <w:lang w:val="lv-LV"/>
              </w:rPr>
              <w:t>.</w:t>
            </w:r>
          </w:p>
          <w:p w14:paraId="7EE10CAB" w14:textId="7F6214A1" w:rsidR="009734BB" w:rsidRPr="00EE1E8A" w:rsidRDefault="009734BB" w:rsidP="007E49BD">
            <w:pPr>
              <w:spacing w:before="120" w:after="120"/>
              <w:jc w:val="both"/>
              <w:rPr>
                <w:lang w:val="lv-LV"/>
              </w:rPr>
            </w:pPr>
            <w:r w:rsidRPr="00562B3F">
              <w:rPr>
                <w:lang w:val="lv-LV"/>
              </w:rPr>
              <w:t xml:space="preserve">1a. izdevumu </w:t>
            </w:r>
            <w:proofErr w:type="spellStart"/>
            <w:r w:rsidRPr="00562B3F">
              <w:rPr>
                <w:lang w:val="lv-LV"/>
              </w:rPr>
              <w:t>apakškategorijas</w:t>
            </w:r>
            <w:proofErr w:type="spellEnd"/>
            <w:r w:rsidRPr="00562B3F">
              <w:rPr>
                <w:lang w:val="lv-LV"/>
              </w:rPr>
              <w:t xml:space="preserve"> ietvaros plāno finansējumu konkurētspējas un uzņēmējdarbības, pētniecības un inovāciju, kā arī savienojošās infrastruktūras, apmācību un kosmosa programmām. EK BP budžeta rezerve saistībās šajā izdevumu </w:t>
            </w:r>
            <w:proofErr w:type="spellStart"/>
            <w:r w:rsidRPr="00562B3F">
              <w:rPr>
                <w:lang w:val="lv-LV"/>
              </w:rPr>
              <w:t>apakškategorijā</w:t>
            </w:r>
            <w:proofErr w:type="spellEnd"/>
            <w:r w:rsidRPr="00562B3F">
              <w:rPr>
                <w:lang w:val="lv-LV"/>
              </w:rPr>
              <w:t xml:space="preserve"> 2020.gadam veido 474,6 milj. EUR. Nomināli lielākais izdevumu apjoms tiek plānots pētniecības un inovāciju programmai </w:t>
            </w:r>
            <w:r w:rsidR="00255C4F">
              <w:rPr>
                <w:lang w:val="lv-LV"/>
              </w:rPr>
              <w:t>“</w:t>
            </w:r>
            <w:r w:rsidRPr="00562B3F">
              <w:rPr>
                <w:lang w:val="lv-LV"/>
              </w:rPr>
              <w:t>Apvārsnis 2020</w:t>
            </w:r>
            <w:r w:rsidR="00255C4F">
              <w:rPr>
                <w:lang w:val="lv-LV"/>
              </w:rPr>
              <w:t>”</w:t>
            </w:r>
            <w:r w:rsidRPr="00562B3F">
              <w:rPr>
                <w:lang w:val="lv-LV"/>
              </w:rPr>
              <w:t xml:space="preserve"> (pieaugums gan SA, gan MA salīdzinājumā ar 2019.g</w:t>
            </w:r>
            <w:r w:rsidRPr="00255C4F">
              <w:rPr>
                <w:lang w:val="lv-LV"/>
              </w:rPr>
              <w:t xml:space="preserve">. budžetā paredzētājiem resursiem atbilstoši +6,4% un +6,7%). </w:t>
            </w:r>
            <w:r w:rsidRPr="00EB3D99">
              <w:rPr>
                <w:u w:val="single"/>
                <w:lang w:val="lv-LV"/>
              </w:rPr>
              <w:t xml:space="preserve">Atvērtais jautājums programmas </w:t>
            </w:r>
            <w:r w:rsidR="00255C4F" w:rsidRPr="00EB3D99">
              <w:rPr>
                <w:u w:val="single"/>
                <w:lang w:val="lv-LV"/>
              </w:rPr>
              <w:t>“</w:t>
            </w:r>
            <w:r w:rsidRPr="00EB3D99">
              <w:rPr>
                <w:u w:val="single"/>
                <w:lang w:val="lv-LV"/>
              </w:rPr>
              <w:t>Apvārsnis</w:t>
            </w:r>
            <w:r w:rsidR="00255C4F" w:rsidRPr="00EB3D99">
              <w:rPr>
                <w:u w:val="single"/>
                <w:lang w:val="lv-LV"/>
              </w:rPr>
              <w:t xml:space="preserve"> </w:t>
            </w:r>
            <w:r w:rsidRPr="00EB3D99">
              <w:rPr>
                <w:u w:val="single"/>
                <w:lang w:val="lv-LV"/>
              </w:rPr>
              <w:t>2020</w:t>
            </w:r>
            <w:r w:rsidR="00255C4F" w:rsidRPr="00EB3D99">
              <w:rPr>
                <w:u w:val="single"/>
                <w:lang w:val="lv-LV"/>
              </w:rPr>
              <w:t>”</w:t>
            </w:r>
            <w:r w:rsidRPr="00EB3D99">
              <w:rPr>
                <w:u w:val="single"/>
                <w:lang w:val="lv-LV"/>
              </w:rPr>
              <w:t xml:space="preserve"> finansēšanā ir Finanšu regulas</w:t>
            </w:r>
            <w:r w:rsidRPr="00EB3D99">
              <w:rPr>
                <w:rStyle w:val="FootnoteReference"/>
                <w:u w:val="single"/>
                <w:lang w:val="lv-LV"/>
              </w:rPr>
              <w:footnoteReference w:id="7"/>
            </w:r>
            <w:r w:rsidR="009E3D40">
              <w:rPr>
                <w:u w:val="single"/>
                <w:lang w:val="lv-LV"/>
              </w:rPr>
              <w:t>(</w:t>
            </w:r>
            <w:r w:rsidR="00D4722B">
              <w:rPr>
                <w:u w:val="single"/>
                <w:lang w:val="lv-LV"/>
              </w:rPr>
              <w:t xml:space="preserve">turpmāk - </w:t>
            </w:r>
            <w:r w:rsidR="009E3D40">
              <w:rPr>
                <w:u w:val="single"/>
                <w:lang w:val="lv-LV"/>
              </w:rPr>
              <w:t>FR)</w:t>
            </w:r>
            <w:r w:rsidRPr="00EB3D99">
              <w:rPr>
                <w:u w:val="single"/>
                <w:lang w:val="lv-LV"/>
              </w:rPr>
              <w:t xml:space="preserve"> 15.3. panta piemērošana (atcelto saistību atkārtota izmantošana tikai pētniecības projektiem).</w:t>
            </w:r>
            <w:r w:rsidRPr="00EE1E8A">
              <w:rPr>
                <w:lang w:val="lv-LV"/>
              </w:rPr>
              <w:t xml:space="preserve"> 2020.gadam EK piedāvā atkārtoti izmantot finansējumu 72 milj. EUR apmērā saistībās</w:t>
            </w:r>
            <w:r w:rsidR="00154F55">
              <w:rPr>
                <w:lang w:val="lv-LV"/>
              </w:rPr>
              <w:t xml:space="preserve"> (tā ir tikai daļa no kopumā pieejamajiem 281 milj.</w:t>
            </w:r>
            <w:r w:rsidR="00447CFC">
              <w:rPr>
                <w:lang w:val="lv-LV"/>
              </w:rPr>
              <w:t xml:space="preserve"> EUR</w:t>
            </w:r>
            <w:r w:rsidR="00154F55">
              <w:rPr>
                <w:lang w:val="lv-LV"/>
              </w:rPr>
              <w:t>)</w:t>
            </w:r>
            <w:r w:rsidRPr="00EE1E8A">
              <w:rPr>
                <w:lang w:val="lv-LV"/>
              </w:rPr>
              <w:t>, lai finansētu Eiropas Inovāciju padomes (EIC) pilotprojekta iniciatīvu.</w:t>
            </w:r>
          </w:p>
          <w:p w14:paraId="1AAFF26F" w14:textId="29F4C657" w:rsidR="009734BB" w:rsidRPr="00255C4F" w:rsidRDefault="009734BB" w:rsidP="007E49BD">
            <w:pPr>
              <w:spacing w:before="120" w:after="120"/>
              <w:jc w:val="both"/>
              <w:rPr>
                <w:lang w:val="lv-LV"/>
              </w:rPr>
            </w:pPr>
            <w:r w:rsidRPr="00562B3F">
              <w:rPr>
                <w:lang w:val="lv-LV"/>
              </w:rPr>
              <w:t>Citām lielākajām programmām arī ierosināts lielāks finansējums nekā 2019.g., kā piemēram mazo un vidējo uzņēmumu (</w:t>
            </w:r>
            <w:r w:rsidR="00D4722B">
              <w:rPr>
                <w:lang w:val="lv-LV"/>
              </w:rPr>
              <w:t xml:space="preserve">turpmāk - </w:t>
            </w:r>
            <w:r w:rsidRPr="00562B3F">
              <w:rPr>
                <w:lang w:val="lv-LV"/>
              </w:rPr>
              <w:t xml:space="preserve">MVU) atbalsta programmai COSME (+12,5% un +51,2% atbilstoši SA un MA), </w:t>
            </w:r>
            <w:proofErr w:type="spellStart"/>
            <w:r w:rsidRPr="00562B3F">
              <w:rPr>
                <w:lang w:val="lv-LV"/>
              </w:rPr>
              <w:t>Erasmus</w:t>
            </w:r>
            <w:proofErr w:type="spellEnd"/>
            <w:r w:rsidRPr="00562B3F">
              <w:rPr>
                <w:lang w:val="lv-LV"/>
              </w:rPr>
              <w:t xml:space="preserve">+ programmai (+1,8% SA un +4,9% MA), kā arī CEF programmai (+4,6% SA un +21,3% MA). </w:t>
            </w:r>
          </w:p>
          <w:p w14:paraId="6AF45EF8" w14:textId="048CDF07" w:rsidR="009734BB" w:rsidRPr="00EB3D99" w:rsidRDefault="009734BB" w:rsidP="007E49BD">
            <w:pPr>
              <w:spacing w:before="120" w:after="120"/>
              <w:jc w:val="both"/>
              <w:rPr>
                <w:b/>
                <w:u w:val="single"/>
                <w:lang w:val="lv-LV"/>
              </w:rPr>
            </w:pPr>
            <w:r w:rsidRPr="00EB3D99">
              <w:rPr>
                <w:b/>
                <w:u w:val="single"/>
                <w:lang w:val="lv-LV"/>
              </w:rPr>
              <w:t>Padomes pozīcija par BP 2020.gadam</w:t>
            </w:r>
          </w:p>
          <w:p w14:paraId="292A419C" w14:textId="02C8260B" w:rsidR="00683307" w:rsidRPr="00EE1E8A" w:rsidRDefault="00D8017E" w:rsidP="007E49BD">
            <w:pPr>
              <w:spacing w:before="120" w:after="120"/>
              <w:jc w:val="both"/>
              <w:rPr>
                <w:lang w:val="lv-LV"/>
              </w:rPr>
            </w:pPr>
            <w:r w:rsidRPr="00EE1E8A">
              <w:rPr>
                <w:lang w:val="lv-LV"/>
              </w:rPr>
              <w:t>Iepretim EK priekšlikumam puse no Padomes samazinājumiem (EUR 747 milj</w:t>
            </w:r>
            <w:r w:rsidR="00D4722B">
              <w:rPr>
                <w:lang w:val="lv-LV"/>
              </w:rPr>
              <w:t>.</w:t>
            </w:r>
            <w:r w:rsidRPr="00EE1E8A">
              <w:rPr>
                <w:lang w:val="lv-LV"/>
              </w:rPr>
              <w:t xml:space="preserve">) attiecas uz 1.a izdevumu </w:t>
            </w:r>
            <w:proofErr w:type="spellStart"/>
            <w:r w:rsidR="008B7300">
              <w:rPr>
                <w:lang w:val="lv-LV"/>
              </w:rPr>
              <w:t>apakš</w:t>
            </w:r>
            <w:r w:rsidRPr="00EE1E8A">
              <w:rPr>
                <w:lang w:val="lv-LV"/>
              </w:rPr>
              <w:t>kategoriju</w:t>
            </w:r>
            <w:proofErr w:type="spellEnd"/>
            <w:r w:rsidRPr="00EE1E8A">
              <w:rPr>
                <w:lang w:val="lv-LV"/>
              </w:rPr>
              <w:t xml:space="preserve">. Padome samazina 29 pamatprogrammas “Apvārsnis 2020” budžeta līnijas 485 milj. EUR apmērā un palielina vienu </w:t>
            </w:r>
            <w:r w:rsidR="004062DB" w:rsidRPr="00EE1E8A">
              <w:rPr>
                <w:lang w:val="lv-LV"/>
              </w:rPr>
              <w:t xml:space="preserve">budžeta </w:t>
            </w:r>
            <w:r w:rsidRPr="00EE1E8A">
              <w:rPr>
                <w:lang w:val="lv-LV"/>
              </w:rPr>
              <w:t>līniju</w:t>
            </w:r>
            <w:r w:rsidR="004062DB">
              <w:rPr>
                <w:lang w:val="lv-LV"/>
              </w:rPr>
              <w:t xml:space="preserve"> -</w:t>
            </w:r>
            <w:r w:rsidRPr="00EE1E8A">
              <w:rPr>
                <w:lang w:val="lv-LV"/>
              </w:rPr>
              <w:t xml:space="preserve"> EIC</w:t>
            </w:r>
            <w:r w:rsidR="004062DB">
              <w:rPr>
                <w:lang w:val="lv-LV"/>
              </w:rPr>
              <w:t>,</w:t>
            </w:r>
            <w:r w:rsidR="00082C74" w:rsidRPr="00EE1E8A">
              <w:rPr>
                <w:lang w:val="lv-LV"/>
              </w:rPr>
              <w:t xml:space="preserve"> </w:t>
            </w:r>
            <w:r w:rsidRPr="00EE1E8A">
              <w:rPr>
                <w:lang w:val="lv-LV"/>
              </w:rPr>
              <w:t>par EUR 72 milj., tāpēc programmas “Apvārsnis 2020” neto ietekme ir samazinājums par 4</w:t>
            </w:r>
            <w:r w:rsidRPr="00562B3F">
              <w:rPr>
                <w:lang w:val="lv-LV"/>
              </w:rPr>
              <w:t>13 milj.</w:t>
            </w:r>
            <w:r w:rsidR="00D4722B">
              <w:rPr>
                <w:lang w:val="lv-LV"/>
              </w:rPr>
              <w:t xml:space="preserve"> </w:t>
            </w:r>
            <w:r w:rsidR="009E3D40">
              <w:rPr>
                <w:lang w:val="lv-LV"/>
              </w:rPr>
              <w:t>EUR</w:t>
            </w:r>
            <w:r w:rsidRPr="00562B3F">
              <w:rPr>
                <w:lang w:val="lv-LV"/>
              </w:rPr>
              <w:t xml:space="preserve"> EIC palielinājums ir saistīts ar Padomes nostāju, kuras ietvaros tā neatbalsta</w:t>
            </w:r>
            <w:r w:rsidR="00D4722B">
              <w:rPr>
                <w:lang w:val="lv-LV"/>
              </w:rPr>
              <w:t xml:space="preserve"> </w:t>
            </w:r>
            <w:r w:rsidR="009E3D40">
              <w:rPr>
                <w:lang w:val="lv-LV"/>
              </w:rPr>
              <w:t>FR</w:t>
            </w:r>
            <w:r w:rsidRPr="00EE1E8A">
              <w:rPr>
                <w:rStyle w:val="FootnoteReference"/>
                <w:lang w:val="lv-LV"/>
              </w:rPr>
              <w:footnoteReference w:id="8"/>
            </w:r>
            <w:r w:rsidRPr="00EE1E8A">
              <w:rPr>
                <w:lang w:val="lv-LV"/>
              </w:rPr>
              <w:t xml:space="preserve"> 15.3. panta piemērošanu atcelto saistību atkārtota</w:t>
            </w:r>
            <w:r w:rsidR="004E094A">
              <w:rPr>
                <w:lang w:val="lv-LV"/>
              </w:rPr>
              <w:t>i</w:t>
            </w:r>
            <w:r w:rsidRPr="00EE1E8A">
              <w:rPr>
                <w:lang w:val="lv-LV"/>
              </w:rPr>
              <w:t xml:space="preserve"> izmantošanai tikai pētniecības projektiem. Padome arī samazina CEF saistības par </w:t>
            </w:r>
            <w:r w:rsidR="004E094A">
              <w:rPr>
                <w:lang w:val="lv-LV"/>
              </w:rPr>
              <w:t xml:space="preserve">EUR </w:t>
            </w:r>
            <w:r w:rsidRPr="00EE1E8A">
              <w:rPr>
                <w:lang w:val="lv-LV"/>
              </w:rPr>
              <w:t>197 milj</w:t>
            </w:r>
            <w:r w:rsidR="004E094A">
              <w:rPr>
                <w:lang w:val="lv-LV"/>
              </w:rPr>
              <w:t>.</w:t>
            </w:r>
            <w:r w:rsidRPr="00EE1E8A">
              <w:rPr>
                <w:lang w:val="lv-LV"/>
              </w:rPr>
              <w:t xml:space="preserve">, </w:t>
            </w:r>
            <w:r w:rsidR="003B0B35">
              <w:rPr>
                <w:lang w:val="lv-LV"/>
              </w:rPr>
              <w:t>t.sk.</w:t>
            </w:r>
            <w:r w:rsidRPr="00EE1E8A">
              <w:rPr>
                <w:lang w:val="lv-LV"/>
              </w:rPr>
              <w:t xml:space="preserve"> transporta </w:t>
            </w:r>
            <w:r w:rsidR="003B0B35">
              <w:rPr>
                <w:lang w:val="lv-LV"/>
              </w:rPr>
              <w:t xml:space="preserve"> </w:t>
            </w:r>
            <w:r w:rsidRPr="00EE1E8A">
              <w:rPr>
                <w:lang w:val="lv-LV"/>
              </w:rPr>
              <w:t xml:space="preserve">169 milj. </w:t>
            </w:r>
            <w:r w:rsidR="00447CFC">
              <w:rPr>
                <w:lang w:val="lv-LV"/>
              </w:rPr>
              <w:t>EUR</w:t>
            </w:r>
            <w:r w:rsidR="00447CFC" w:rsidRPr="00EE1E8A" w:rsidDel="003B0B35">
              <w:rPr>
                <w:lang w:val="lv-LV"/>
              </w:rPr>
              <w:t xml:space="preserve"> </w:t>
            </w:r>
            <w:r w:rsidRPr="00EE1E8A">
              <w:rPr>
                <w:lang w:val="lv-LV"/>
              </w:rPr>
              <w:t xml:space="preserve"> un IKT 28 milj.</w:t>
            </w:r>
            <w:r w:rsidR="00447CFC">
              <w:rPr>
                <w:lang w:val="lv-LV"/>
              </w:rPr>
              <w:t xml:space="preserve"> EUR</w:t>
            </w:r>
            <w:r w:rsidR="00447CFC" w:rsidRPr="00EE1E8A" w:rsidDel="003B0B35">
              <w:rPr>
                <w:lang w:val="lv-LV"/>
              </w:rPr>
              <w:t xml:space="preserve"> </w:t>
            </w:r>
            <w:r w:rsidRPr="00EE1E8A">
              <w:rPr>
                <w:lang w:val="lv-LV"/>
              </w:rPr>
              <w:t xml:space="preserve"> atzaros. 90 milj.</w:t>
            </w:r>
            <w:r w:rsidR="00447CFC">
              <w:rPr>
                <w:lang w:val="lv-LV"/>
              </w:rPr>
              <w:t xml:space="preserve"> EUR</w:t>
            </w:r>
            <w:r w:rsidRPr="00EE1E8A">
              <w:rPr>
                <w:lang w:val="lv-LV"/>
              </w:rPr>
              <w:t xml:space="preserve"> samazināti no Eiropas Stratēģisko investīciju fonda (ESIF) garantiju fonda nodrošināšanai.</w:t>
            </w:r>
          </w:p>
          <w:p w14:paraId="4CC9B6B2" w14:textId="77777777" w:rsidR="009734BB" w:rsidRPr="00562B3F" w:rsidRDefault="009734BB" w:rsidP="007E49BD">
            <w:pPr>
              <w:autoSpaceDE w:val="0"/>
              <w:autoSpaceDN w:val="0"/>
              <w:adjustRightInd w:val="0"/>
              <w:spacing w:before="120" w:after="120"/>
              <w:jc w:val="both"/>
              <w:rPr>
                <w:b/>
                <w:u w:val="single"/>
                <w:lang w:val="lv-LV"/>
              </w:rPr>
            </w:pPr>
            <w:r w:rsidRPr="00562B3F">
              <w:rPr>
                <w:b/>
                <w:u w:val="single"/>
                <w:lang w:val="lv-LV"/>
              </w:rPr>
              <w:t>EP pozīcija par BP 2020.gadam</w:t>
            </w:r>
          </w:p>
          <w:p w14:paraId="3CA88031" w14:textId="1A25CF29" w:rsidR="00E7077F" w:rsidRPr="00F75C24" w:rsidRDefault="009734BB" w:rsidP="00E7077F">
            <w:pPr>
              <w:spacing w:before="120" w:after="120"/>
              <w:jc w:val="both"/>
              <w:rPr>
                <w:lang w:val="lv-LV"/>
              </w:rPr>
            </w:pPr>
            <w:r w:rsidRPr="00255C4F">
              <w:rPr>
                <w:lang w:val="lv-LV"/>
              </w:rPr>
              <w:t xml:space="preserve">EP </w:t>
            </w:r>
            <w:r w:rsidR="00970659" w:rsidRPr="00255C4F">
              <w:rPr>
                <w:lang w:val="lv-LV"/>
              </w:rPr>
              <w:t xml:space="preserve">1a izdevumu </w:t>
            </w:r>
            <w:proofErr w:type="spellStart"/>
            <w:r w:rsidR="00970659" w:rsidRPr="00255C4F">
              <w:rPr>
                <w:lang w:val="lv-LV"/>
              </w:rPr>
              <w:t>apak</w:t>
            </w:r>
            <w:r w:rsidR="00F365A8" w:rsidRPr="00255C4F">
              <w:rPr>
                <w:lang w:val="lv-LV"/>
              </w:rPr>
              <w:t>škategoriju</w:t>
            </w:r>
            <w:proofErr w:type="spellEnd"/>
            <w:r w:rsidR="00970659" w:rsidRPr="00255C4F">
              <w:rPr>
                <w:lang w:val="lv-LV"/>
              </w:rPr>
              <w:t xml:space="preserve"> </w:t>
            </w:r>
            <w:r w:rsidRPr="00255C4F">
              <w:rPr>
                <w:lang w:val="lv-LV"/>
              </w:rPr>
              <w:t xml:space="preserve">ierosina palielināt </w:t>
            </w:r>
            <w:r w:rsidR="00E7077F" w:rsidRPr="00255C4F">
              <w:rPr>
                <w:lang w:val="lv-LV"/>
              </w:rPr>
              <w:t>par 1,6 miljardiem</w:t>
            </w:r>
            <w:r w:rsidR="002946EA">
              <w:rPr>
                <w:lang w:val="lv-LV"/>
              </w:rPr>
              <w:t xml:space="preserve"> EUR</w:t>
            </w:r>
            <w:r w:rsidR="00E7077F" w:rsidRPr="00255C4F">
              <w:rPr>
                <w:lang w:val="lv-LV"/>
              </w:rPr>
              <w:t xml:space="preserve"> virs BP. Tas ievērojami pārsniedz </w:t>
            </w:r>
            <w:r w:rsidR="00E7077F" w:rsidRPr="00154F55">
              <w:rPr>
                <w:lang w:val="lv-LV"/>
              </w:rPr>
              <w:t>kategorijas griestus, tāpēc tā</w:t>
            </w:r>
            <w:r w:rsidR="00F75C24">
              <w:rPr>
                <w:lang w:val="lv-LV"/>
              </w:rPr>
              <w:t>s</w:t>
            </w:r>
            <w:r w:rsidR="00E7077F" w:rsidRPr="00154F55">
              <w:rPr>
                <w:lang w:val="lv-LV"/>
              </w:rPr>
              <w:t xml:space="preserve"> finansēšanai būtu jāizmanto </w:t>
            </w:r>
            <w:r w:rsidR="00F75C24">
              <w:rPr>
                <w:lang w:val="lv-LV"/>
              </w:rPr>
              <w:t xml:space="preserve">EUR </w:t>
            </w:r>
            <w:r w:rsidR="00E7077F" w:rsidRPr="00154F55">
              <w:rPr>
                <w:lang w:val="lv-LV"/>
              </w:rPr>
              <w:t xml:space="preserve">1,1 miljardu īpašie instrumenti. </w:t>
            </w:r>
            <w:r w:rsidR="002946EA">
              <w:rPr>
                <w:lang w:val="lv-LV"/>
              </w:rPr>
              <w:t>EP</w:t>
            </w:r>
            <w:r w:rsidR="002946EA" w:rsidRPr="00154F55">
              <w:rPr>
                <w:lang w:val="lv-LV"/>
              </w:rPr>
              <w:t xml:space="preserve"> </w:t>
            </w:r>
            <w:r w:rsidR="00E7077F" w:rsidRPr="00154F55">
              <w:rPr>
                <w:lang w:val="lv-LV"/>
              </w:rPr>
              <w:t xml:space="preserve">arī ierosina pārsniegt </w:t>
            </w:r>
            <w:r w:rsidR="002946EA">
              <w:rPr>
                <w:lang w:val="lv-LV"/>
              </w:rPr>
              <w:t>EK</w:t>
            </w:r>
            <w:r w:rsidR="002946EA" w:rsidRPr="00154F55">
              <w:rPr>
                <w:lang w:val="lv-LV"/>
              </w:rPr>
              <w:t xml:space="preserve"> </w:t>
            </w:r>
            <w:r w:rsidR="00E7077F" w:rsidRPr="00154F55">
              <w:rPr>
                <w:lang w:val="lv-LV"/>
              </w:rPr>
              <w:t>priekšlikumu un pilnībā izmantot saistību atcelšanu 28</w:t>
            </w:r>
            <w:r w:rsidR="00E7077F" w:rsidRPr="00F75C24">
              <w:rPr>
                <w:lang w:val="lv-LV"/>
              </w:rPr>
              <w:t xml:space="preserve">1 </w:t>
            </w:r>
            <w:r w:rsidR="00EB3D99" w:rsidRPr="00F75C24">
              <w:rPr>
                <w:lang w:val="lv-LV"/>
              </w:rPr>
              <w:t>milj</w:t>
            </w:r>
            <w:r w:rsidR="00EB3D99">
              <w:rPr>
                <w:lang w:val="lv-LV"/>
              </w:rPr>
              <w:t>.</w:t>
            </w:r>
            <w:r w:rsidR="00EB3D99" w:rsidRPr="00F75C24">
              <w:rPr>
                <w:lang w:val="lv-LV"/>
              </w:rPr>
              <w:t xml:space="preserve"> </w:t>
            </w:r>
            <w:r w:rsidR="002946EA" w:rsidRPr="00154F55">
              <w:rPr>
                <w:lang w:val="lv-LV"/>
              </w:rPr>
              <w:t>EUR</w:t>
            </w:r>
            <w:r w:rsidR="002946EA" w:rsidRPr="00F75C24">
              <w:rPr>
                <w:lang w:val="lv-LV"/>
              </w:rPr>
              <w:t xml:space="preserve"> </w:t>
            </w:r>
            <w:r w:rsidR="00E7077F" w:rsidRPr="00F75C24">
              <w:rPr>
                <w:lang w:val="lv-LV"/>
              </w:rPr>
              <w:t>apmērā, kas ir pieejami saskaņā ar FR 15.3. p</w:t>
            </w:r>
            <w:r w:rsidR="002946EA">
              <w:rPr>
                <w:lang w:val="lv-LV"/>
              </w:rPr>
              <w:t>a</w:t>
            </w:r>
            <w:r w:rsidR="00E7077F" w:rsidRPr="00F75C24">
              <w:rPr>
                <w:lang w:val="lv-LV"/>
              </w:rPr>
              <w:t xml:space="preserve">ntu, nevis Eiropas Tehnoloģiju institūtam, bet gan ar “Apvārsnis 2020” ar klimatu saistītajām budžeta pozīcijām. </w:t>
            </w:r>
          </w:p>
          <w:p w14:paraId="4A56C9EE" w14:textId="68334EC9" w:rsidR="00080080" w:rsidRPr="00DF0EC8" w:rsidRDefault="00F325CD" w:rsidP="00DF0EC8">
            <w:pPr>
              <w:spacing w:before="120" w:after="120"/>
              <w:jc w:val="both"/>
              <w:rPr>
                <w:lang w:val="lv-LV"/>
              </w:rPr>
            </w:pPr>
            <w:r>
              <w:rPr>
                <w:lang w:val="lv-LV"/>
              </w:rPr>
              <w:t>EP</w:t>
            </w:r>
            <w:r w:rsidR="00B65F19" w:rsidRPr="00512731">
              <w:rPr>
                <w:lang w:val="lv-LV"/>
              </w:rPr>
              <w:t xml:space="preserve"> ierosina palielināt CEF enerģētikas atzaru par 320 milj. EUR SA un par 160 milj. EUR MA, kā arī CEF transporta atzaru par 225 </w:t>
            </w:r>
            <w:r>
              <w:rPr>
                <w:lang w:val="lv-LV"/>
              </w:rPr>
              <w:t xml:space="preserve">milj. </w:t>
            </w:r>
            <w:r w:rsidR="00B65F19" w:rsidRPr="00512731">
              <w:rPr>
                <w:lang w:val="lv-LV"/>
              </w:rPr>
              <w:t>EUR SA un 112,5 milj. EUR MA.</w:t>
            </w:r>
          </w:p>
          <w:p w14:paraId="7E8B962F" w14:textId="5E4F0F14" w:rsidR="009734BB" w:rsidRPr="00EE1E8A" w:rsidRDefault="009734BB" w:rsidP="00DF0EC8">
            <w:pPr>
              <w:jc w:val="center"/>
              <w:rPr>
                <w:b/>
                <w:lang w:val="lv-LV"/>
              </w:rPr>
            </w:pPr>
            <w:r w:rsidRPr="00EE1E8A">
              <w:rPr>
                <w:b/>
                <w:lang w:val="lv-LV"/>
              </w:rPr>
              <w:t xml:space="preserve">3.tabula. 1.B </w:t>
            </w:r>
            <w:proofErr w:type="spellStart"/>
            <w:r w:rsidRPr="00EE1E8A">
              <w:rPr>
                <w:b/>
                <w:lang w:val="lv-LV"/>
              </w:rPr>
              <w:t>apakškategorija</w:t>
            </w:r>
            <w:proofErr w:type="spellEnd"/>
            <w:r w:rsidRPr="00EE1E8A">
              <w:rPr>
                <w:b/>
                <w:lang w:val="lv-LV"/>
              </w:rPr>
              <w:t xml:space="preserve"> „</w:t>
            </w:r>
            <w:r w:rsidRPr="00EE1E8A">
              <w:rPr>
                <w:b/>
                <w:szCs w:val="28"/>
                <w:lang w:val="lv-LV"/>
              </w:rPr>
              <w:t xml:space="preserve">Ekonomiskā, teritoriālā un sociālā kohēzija </w:t>
            </w:r>
            <w:r w:rsidRPr="00EE1E8A">
              <w:rPr>
                <w:b/>
                <w:lang w:val="lv-LV"/>
              </w:rPr>
              <w:t>”</w:t>
            </w:r>
          </w:p>
          <w:p w14:paraId="4C0D9231" w14:textId="77777777" w:rsidR="009734BB" w:rsidRPr="00EE1E8A" w:rsidRDefault="009734BB" w:rsidP="007E49BD">
            <w:pPr>
              <w:jc w:val="right"/>
              <w:rPr>
                <w:bCs/>
                <w:i/>
                <w:sz w:val="20"/>
                <w:szCs w:val="20"/>
                <w:lang w:val="lv-LV"/>
              </w:rPr>
            </w:pPr>
            <w:r w:rsidRPr="00EE1E8A">
              <w:rPr>
                <w:bCs/>
                <w:i/>
                <w:sz w:val="20"/>
                <w:szCs w:val="20"/>
                <w:lang w:val="lv-LV"/>
              </w:rPr>
              <w:t>(milj. EUR)</w:t>
            </w:r>
          </w:p>
          <w:tbl>
            <w:tblPr>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99"/>
              <w:gridCol w:w="956"/>
              <w:gridCol w:w="956"/>
              <w:gridCol w:w="1093"/>
              <w:gridCol w:w="956"/>
              <w:gridCol w:w="957"/>
              <w:gridCol w:w="956"/>
              <w:gridCol w:w="873"/>
              <w:gridCol w:w="1279"/>
            </w:tblGrid>
            <w:tr w:rsidR="009734BB" w:rsidRPr="00EE1E8A" w14:paraId="4603F85F" w14:textId="77777777" w:rsidTr="007E49BD">
              <w:trPr>
                <w:trHeight w:val="397"/>
              </w:trPr>
              <w:tc>
                <w:tcPr>
                  <w:tcW w:w="1499" w:type="dxa"/>
                  <w:vMerge w:val="restart"/>
                  <w:shd w:val="clear" w:color="auto" w:fill="auto"/>
                  <w:vAlign w:val="center"/>
                </w:tcPr>
                <w:p w14:paraId="3FAE4B3A" w14:textId="77777777" w:rsidR="009734BB" w:rsidRPr="00EE1E8A" w:rsidRDefault="009734BB" w:rsidP="007E49BD">
                  <w:pPr>
                    <w:jc w:val="center"/>
                    <w:rPr>
                      <w:b/>
                      <w:sz w:val="18"/>
                      <w:szCs w:val="18"/>
                      <w:lang w:val="lv-LV"/>
                    </w:rPr>
                  </w:pPr>
                  <w:r w:rsidRPr="00EE1E8A">
                    <w:rPr>
                      <w:b/>
                      <w:bCs/>
                      <w:sz w:val="18"/>
                      <w:szCs w:val="18"/>
                      <w:lang w:val="lv-LV"/>
                    </w:rPr>
                    <w:lastRenderedPageBreak/>
                    <w:t>Kategorija</w:t>
                  </w:r>
                </w:p>
              </w:tc>
              <w:tc>
                <w:tcPr>
                  <w:tcW w:w="1912" w:type="dxa"/>
                  <w:gridSpan w:val="2"/>
                  <w:shd w:val="clear" w:color="auto" w:fill="auto"/>
                  <w:vAlign w:val="center"/>
                </w:tcPr>
                <w:p w14:paraId="1C88B95A" w14:textId="77777777" w:rsidR="009734BB" w:rsidRPr="00EE1E8A" w:rsidRDefault="009734BB" w:rsidP="007E49BD">
                  <w:pPr>
                    <w:autoSpaceDE w:val="0"/>
                    <w:autoSpaceDN w:val="0"/>
                    <w:jc w:val="center"/>
                    <w:rPr>
                      <w:rFonts w:eastAsia="Calibri"/>
                      <w:b/>
                      <w:bCs/>
                      <w:sz w:val="18"/>
                      <w:szCs w:val="18"/>
                      <w:lang w:val="lv-LV" w:eastAsia="lv-LV"/>
                    </w:rPr>
                  </w:pPr>
                  <w:r w:rsidRPr="00EE1E8A">
                    <w:rPr>
                      <w:b/>
                      <w:bCs/>
                      <w:sz w:val="20"/>
                      <w:szCs w:val="20"/>
                      <w:lang w:val="lv-LV" w:eastAsia="lv-LV"/>
                    </w:rPr>
                    <w:t>EK BP 2020.gadam (</w:t>
                  </w:r>
                  <w:proofErr w:type="spellStart"/>
                  <w:r w:rsidRPr="00EE1E8A">
                    <w:rPr>
                      <w:b/>
                      <w:bCs/>
                      <w:sz w:val="20"/>
                      <w:szCs w:val="20"/>
                      <w:lang w:val="lv-LV" w:eastAsia="lv-LV"/>
                    </w:rPr>
                    <w:t>iekļ</w:t>
                  </w:r>
                  <w:proofErr w:type="spellEnd"/>
                  <w:r w:rsidRPr="00EE1E8A">
                    <w:rPr>
                      <w:b/>
                      <w:bCs/>
                      <w:sz w:val="20"/>
                      <w:szCs w:val="20"/>
                      <w:lang w:val="lv-LV" w:eastAsia="lv-LV"/>
                    </w:rPr>
                    <w:t>. AL 1/2020)</w:t>
                  </w:r>
                </w:p>
              </w:tc>
              <w:tc>
                <w:tcPr>
                  <w:tcW w:w="2049" w:type="dxa"/>
                  <w:gridSpan w:val="2"/>
                  <w:shd w:val="clear" w:color="auto" w:fill="auto"/>
                  <w:vAlign w:val="center"/>
                </w:tcPr>
                <w:p w14:paraId="443B7DE6" w14:textId="77777777" w:rsidR="009734BB" w:rsidRPr="00EE1E8A" w:rsidRDefault="009734BB" w:rsidP="007E49BD">
                  <w:pPr>
                    <w:autoSpaceDE w:val="0"/>
                    <w:autoSpaceDN w:val="0"/>
                    <w:jc w:val="center"/>
                    <w:rPr>
                      <w:rFonts w:eastAsia="Calibri"/>
                      <w:b/>
                      <w:bCs/>
                      <w:sz w:val="18"/>
                      <w:szCs w:val="18"/>
                      <w:lang w:val="lv-LV" w:eastAsia="lv-LV"/>
                    </w:rPr>
                  </w:pPr>
                  <w:r w:rsidRPr="00EE1E8A">
                    <w:rPr>
                      <w:b/>
                      <w:bCs/>
                      <w:sz w:val="20"/>
                      <w:szCs w:val="20"/>
                      <w:lang w:val="lv-LV" w:eastAsia="lv-LV"/>
                    </w:rPr>
                    <w:t>Padomes pozīcija par BP 2020.gadam</w:t>
                  </w:r>
                </w:p>
              </w:tc>
              <w:tc>
                <w:tcPr>
                  <w:tcW w:w="1913" w:type="dxa"/>
                  <w:gridSpan w:val="2"/>
                  <w:shd w:val="clear" w:color="auto" w:fill="auto"/>
                  <w:vAlign w:val="center"/>
                </w:tcPr>
                <w:p w14:paraId="3959AFFB" w14:textId="77777777" w:rsidR="009734BB" w:rsidRPr="00EE1E8A" w:rsidRDefault="009734BB" w:rsidP="007E49BD">
                  <w:pPr>
                    <w:autoSpaceDE w:val="0"/>
                    <w:autoSpaceDN w:val="0"/>
                    <w:jc w:val="center"/>
                    <w:rPr>
                      <w:rFonts w:eastAsia="Calibri"/>
                      <w:b/>
                      <w:bCs/>
                      <w:sz w:val="18"/>
                      <w:szCs w:val="18"/>
                      <w:lang w:val="lv-LV" w:eastAsia="lv-LV"/>
                    </w:rPr>
                  </w:pPr>
                  <w:r w:rsidRPr="00EE1E8A">
                    <w:rPr>
                      <w:rFonts w:eastAsia="Calibri"/>
                      <w:b/>
                      <w:sz w:val="20"/>
                      <w:szCs w:val="20"/>
                      <w:lang w:val="lv-LV"/>
                    </w:rPr>
                    <w:t>EP pozīcija par BP 2020.gadam</w:t>
                  </w:r>
                </w:p>
              </w:tc>
              <w:tc>
                <w:tcPr>
                  <w:tcW w:w="2152" w:type="dxa"/>
                  <w:gridSpan w:val="2"/>
                  <w:shd w:val="clear" w:color="auto" w:fill="auto"/>
                  <w:vAlign w:val="center"/>
                </w:tcPr>
                <w:p w14:paraId="40C0F857" w14:textId="77777777" w:rsidR="009734BB" w:rsidRPr="00EE1E8A" w:rsidRDefault="009734BB" w:rsidP="007E49BD">
                  <w:pPr>
                    <w:autoSpaceDE w:val="0"/>
                    <w:autoSpaceDN w:val="0"/>
                    <w:jc w:val="center"/>
                    <w:rPr>
                      <w:rFonts w:eastAsia="Calibri"/>
                      <w:b/>
                      <w:bCs/>
                      <w:sz w:val="18"/>
                      <w:szCs w:val="18"/>
                      <w:lang w:val="lv-LV" w:eastAsia="lv-LV"/>
                    </w:rPr>
                  </w:pPr>
                  <w:r w:rsidRPr="00EE1E8A">
                    <w:rPr>
                      <w:rFonts w:eastAsia="Calibri"/>
                      <w:b/>
                      <w:sz w:val="20"/>
                      <w:szCs w:val="20"/>
                      <w:lang w:val="lv-LV"/>
                    </w:rPr>
                    <w:t>Atšķirība EP/Padome</w:t>
                  </w:r>
                </w:p>
              </w:tc>
            </w:tr>
            <w:tr w:rsidR="009734BB" w:rsidRPr="00EE1E8A" w14:paraId="61DBD9A3" w14:textId="77777777" w:rsidTr="007E49BD">
              <w:trPr>
                <w:trHeight w:val="220"/>
              </w:trPr>
              <w:tc>
                <w:tcPr>
                  <w:tcW w:w="1499" w:type="dxa"/>
                  <w:vMerge/>
                  <w:shd w:val="clear" w:color="auto" w:fill="auto"/>
                </w:tcPr>
                <w:p w14:paraId="215C3B64" w14:textId="77777777" w:rsidR="009734BB" w:rsidRPr="00EE1E8A" w:rsidRDefault="009734BB" w:rsidP="007E49BD">
                  <w:pPr>
                    <w:jc w:val="center"/>
                    <w:rPr>
                      <w:b/>
                      <w:sz w:val="18"/>
                      <w:szCs w:val="18"/>
                      <w:lang w:val="lv-LV"/>
                    </w:rPr>
                  </w:pPr>
                </w:p>
              </w:tc>
              <w:tc>
                <w:tcPr>
                  <w:tcW w:w="956" w:type="dxa"/>
                  <w:shd w:val="clear" w:color="auto" w:fill="auto"/>
                </w:tcPr>
                <w:p w14:paraId="6A5F2DDD" w14:textId="77777777" w:rsidR="009734BB" w:rsidRPr="00EE1E8A" w:rsidRDefault="009734BB" w:rsidP="007E49BD">
                  <w:pPr>
                    <w:jc w:val="center"/>
                    <w:rPr>
                      <w:b/>
                      <w:sz w:val="18"/>
                      <w:szCs w:val="18"/>
                      <w:lang w:val="lv-LV"/>
                    </w:rPr>
                  </w:pPr>
                  <w:r w:rsidRPr="00EE1E8A">
                    <w:rPr>
                      <w:b/>
                      <w:bCs/>
                      <w:sz w:val="18"/>
                      <w:szCs w:val="18"/>
                      <w:lang w:val="lv-LV"/>
                    </w:rPr>
                    <w:t>SA</w:t>
                  </w:r>
                </w:p>
              </w:tc>
              <w:tc>
                <w:tcPr>
                  <w:tcW w:w="956" w:type="dxa"/>
                  <w:shd w:val="clear" w:color="auto" w:fill="auto"/>
                </w:tcPr>
                <w:p w14:paraId="606F5C83" w14:textId="77777777" w:rsidR="009734BB" w:rsidRPr="00EE1E8A" w:rsidRDefault="009734BB" w:rsidP="007E49BD">
                  <w:pPr>
                    <w:jc w:val="center"/>
                    <w:rPr>
                      <w:b/>
                      <w:sz w:val="18"/>
                      <w:szCs w:val="18"/>
                      <w:lang w:val="lv-LV"/>
                    </w:rPr>
                  </w:pPr>
                  <w:r w:rsidRPr="00EE1E8A">
                    <w:rPr>
                      <w:b/>
                      <w:bCs/>
                      <w:sz w:val="18"/>
                      <w:szCs w:val="18"/>
                      <w:lang w:val="lv-LV"/>
                    </w:rPr>
                    <w:t>MA</w:t>
                  </w:r>
                </w:p>
              </w:tc>
              <w:tc>
                <w:tcPr>
                  <w:tcW w:w="1093" w:type="dxa"/>
                  <w:shd w:val="clear" w:color="auto" w:fill="auto"/>
                </w:tcPr>
                <w:p w14:paraId="2B3CF6A4" w14:textId="77777777" w:rsidR="009734BB" w:rsidRPr="00EE1E8A" w:rsidRDefault="009734BB" w:rsidP="007E49BD">
                  <w:pPr>
                    <w:jc w:val="center"/>
                    <w:rPr>
                      <w:b/>
                      <w:sz w:val="18"/>
                      <w:szCs w:val="18"/>
                      <w:lang w:val="lv-LV"/>
                    </w:rPr>
                  </w:pPr>
                  <w:r w:rsidRPr="00EE1E8A">
                    <w:rPr>
                      <w:b/>
                      <w:bCs/>
                      <w:sz w:val="18"/>
                      <w:szCs w:val="18"/>
                      <w:lang w:val="lv-LV"/>
                    </w:rPr>
                    <w:t>SA</w:t>
                  </w:r>
                </w:p>
              </w:tc>
              <w:tc>
                <w:tcPr>
                  <w:tcW w:w="956" w:type="dxa"/>
                  <w:shd w:val="clear" w:color="auto" w:fill="auto"/>
                </w:tcPr>
                <w:p w14:paraId="5CCEBE61" w14:textId="77777777" w:rsidR="009734BB" w:rsidRPr="00EE1E8A" w:rsidRDefault="009734BB" w:rsidP="007E49BD">
                  <w:pPr>
                    <w:jc w:val="center"/>
                    <w:rPr>
                      <w:b/>
                      <w:sz w:val="18"/>
                      <w:szCs w:val="18"/>
                      <w:lang w:val="lv-LV"/>
                    </w:rPr>
                  </w:pPr>
                  <w:r w:rsidRPr="00EE1E8A">
                    <w:rPr>
                      <w:b/>
                      <w:bCs/>
                      <w:sz w:val="18"/>
                      <w:szCs w:val="18"/>
                      <w:lang w:val="lv-LV"/>
                    </w:rPr>
                    <w:t>MA</w:t>
                  </w:r>
                </w:p>
              </w:tc>
              <w:tc>
                <w:tcPr>
                  <w:tcW w:w="957" w:type="dxa"/>
                  <w:shd w:val="clear" w:color="auto" w:fill="auto"/>
                </w:tcPr>
                <w:p w14:paraId="026A700D" w14:textId="77777777" w:rsidR="009734BB" w:rsidRPr="00EE1E8A" w:rsidRDefault="009734BB" w:rsidP="007E49BD">
                  <w:pPr>
                    <w:jc w:val="center"/>
                    <w:rPr>
                      <w:b/>
                      <w:sz w:val="18"/>
                      <w:szCs w:val="18"/>
                      <w:lang w:val="lv-LV"/>
                    </w:rPr>
                  </w:pPr>
                  <w:r w:rsidRPr="00EE1E8A">
                    <w:rPr>
                      <w:b/>
                      <w:bCs/>
                      <w:sz w:val="18"/>
                      <w:szCs w:val="18"/>
                      <w:lang w:val="lv-LV"/>
                    </w:rPr>
                    <w:t>SA</w:t>
                  </w:r>
                </w:p>
              </w:tc>
              <w:tc>
                <w:tcPr>
                  <w:tcW w:w="956" w:type="dxa"/>
                  <w:shd w:val="clear" w:color="auto" w:fill="auto"/>
                </w:tcPr>
                <w:p w14:paraId="485949E9" w14:textId="77777777" w:rsidR="009734BB" w:rsidRPr="00EE1E8A" w:rsidRDefault="009734BB" w:rsidP="007E49BD">
                  <w:pPr>
                    <w:jc w:val="center"/>
                    <w:rPr>
                      <w:b/>
                      <w:sz w:val="18"/>
                      <w:szCs w:val="18"/>
                      <w:lang w:val="lv-LV"/>
                    </w:rPr>
                  </w:pPr>
                  <w:r w:rsidRPr="00EE1E8A">
                    <w:rPr>
                      <w:b/>
                      <w:bCs/>
                      <w:sz w:val="18"/>
                      <w:szCs w:val="18"/>
                      <w:lang w:val="lv-LV"/>
                    </w:rPr>
                    <w:t>MA</w:t>
                  </w:r>
                </w:p>
              </w:tc>
              <w:tc>
                <w:tcPr>
                  <w:tcW w:w="873" w:type="dxa"/>
                  <w:shd w:val="clear" w:color="auto" w:fill="auto"/>
                </w:tcPr>
                <w:p w14:paraId="2475496A" w14:textId="77777777" w:rsidR="009734BB" w:rsidRPr="00EE1E8A" w:rsidRDefault="009734BB" w:rsidP="007E49BD">
                  <w:pPr>
                    <w:jc w:val="center"/>
                    <w:rPr>
                      <w:b/>
                      <w:sz w:val="18"/>
                      <w:szCs w:val="18"/>
                      <w:lang w:val="lv-LV"/>
                    </w:rPr>
                  </w:pPr>
                  <w:r w:rsidRPr="00EE1E8A">
                    <w:rPr>
                      <w:b/>
                      <w:bCs/>
                      <w:sz w:val="18"/>
                      <w:szCs w:val="18"/>
                      <w:lang w:val="lv-LV"/>
                    </w:rPr>
                    <w:t>SA</w:t>
                  </w:r>
                </w:p>
              </w:tc>
              <w:tc>
                <w:tcPr>
                  <w:tcW w:w="1279" w:type="dxa"/>
                  <w:shd w:val="clear" w:color="auto" w:fill="auto"/>
                </w:tcPr>
                <w:p w14:paraId="428E22DA" w14:textId="77777777" w:rsidR="009734BB" w:rsidRPr="00EE1E8A" w:rsidRDefault="009734BB" w:rsidP="007E49BD">
                  <w:pPr>
                    <w:jc w:val="center"/>
                    <w:rPr>
                      <w:b/>
                      <w:sz w:val="18"/>
                      <w:szCs w:val="18"/>
                      <w:lang w:val="lv-LV"/>
                    </w:rPr>
                  </w:pPr>
                  <w:r w:rsidRPr="00EE1E8A">
                    <w:rPr>
                      <w:b/>
                      <w:bCs/>
                      <w:sz w:val="18"/>
                      <w:szCs w:val="18"/>
                      <w:lang w:val="lv-LV"/>
                    </w:rPr>
                    <w:t>MA</w:t>
                  </w:r>
                </w:p>
              </w:tc>
            </w:tr>
            <w:tr w:rsidR="009734BB" w:rsidRPr="00EE1E8A" w14:paraId="0DBA984B" w14:textId="77777777" w:rsidTr="007E49BD">
              <w:trPr>
                <w:trHeight w:val="603"/>
              </w:trPr>
              <w:tc>
                <w:tcPr>
                  <w:tcW w:w="1499" w:type="dxa"/>
                  <w:shd w:val="clear" w:color="auto" w:fill="auto"/>
                  <w:vAlign w:val="center"/>
                </w:tcPr>
                <w:p w14:paraId="4A393741" w14:textId="77777777" w:rsidR="009734BB" w:rsidRPr="00EE1E8A" w:rsidRDefault="009734BB" w:rsidP="007E49BD">
                  <w:pPr>
                    <w:jc w:val="right"/>
                    <w:rPr>
                      <w:b/>
                      <w:sz w:val="18"/>
                      <w:szCs w:val="18"/>
                      <w:lang w:val="lv-LV"/>
                    </w:rPr>
                  </w:pPr>
                  <w:r w:rsidRPr="00EE1E8A">
                    <w:rPr>
                      <w:b/>
                      <w:bCs/>
                      <w:sz w:val="18"/>
                      <w:szCs w:val="18"/>
                      <w:lang w:val="lv-LV"/>
                    </w:rPr>
                    <w:t>Ekonomiskā, teritoriālā un sociālā kohēzija</w:t>
                  </w:r>
                </w:p>
              </w:tc>
              <w:tc>
                <w:tcPr>
                  <w:tcW w:w="956" w:type="dxa"/>
                  <w:shd w:val="clear" w:color="auto" w:fill="auto"/>
                  <w:vAlign w:val="center"/>
                </w:tcPr>
                <w:p w14:paraId="100987D1" w14:textId="77777777" w:rsidR="009734BB" w:rsidRPr="00EE1E8A" w:rsidRDefault="009734BB" w:rsidP="007E49BD">
                  <w:pPr>
                    <w:jc w:val="center"/>
                    <w:rPr>
                      <w:b/>
                      <w:sz w:val="18"/>
                      <w:szCs w:val="18"/>
                      <w:lang w:val="lv-LV"/>
                    </w:rPr>
                  </w:pPr>
                  <w:r w:rsidRPr="00EE1E8A">
                    <w:rPr>
                      <w:b/>
                      <w:sz w:val="18"/>
                      <w:szCs w:val="18"/>
                      <w:lang w:val="lv-LV"/>
                    </w:rPr>
                    <w:t>58 611,9</w:t>
                  </w:r>
                </w:p>
              </w:tc>
              <w:tc>
                <w:tcPr>
                  <w:tcW w:w="956" w:type="dxa"/>
                  <w:shd w:val="clear" w:color="auto" w:fill="auto"/>
                  <w:vAlign w:val="center"/>
                </w:tcPr>
                <w:p w14:paraId="58AC102D" w14:textId="77777777" w:rsidR="009734BB" w:rsidRPr="00562B3F" w:rsidRDefault="009734BB" w:rsidP="007E49BD">
                  <w:pPr>
                    <w:jc w:val="center"/>
                    <w:rPr>
                      <w:b/>
                      <w:sz w:val="18"/>
                      <w:szCs w:val="18"/>
                      <w:lang w:val="lv-LV"/>
                    </w:rPr>
                  </w:pPr>
                  <w:r w:rsidRPr="00562B3F">
                    <w:rPr>
                      <w:b/>
                      <w:sz w:val="18"/>
                      <w:szCs w:val="18"/>
                      <w:lang w:val="lv-LV"/>
                    </w:rPr>
                    <w:t>50 042,4</w:t>
                  </w:r>
                </w:p>
              </w:tc>
              <w:tc>
                <w:tcPr>
                  <w:tcW w:w="1093" w:type="dxa"/>
                  <w:shd w:val="clear" w:color="auto" w:fill="auto"/>
                  <w:vAlign w:val="center"/>
                </w:tcPr>
                <w:p w14:paraId="5BF5717A" w14:textId="77777777" w:rsidR="009734BB" w:rsidRPr="00255C4F" w:rsidRDefault="009734BB" w:rsidP="007E49BD">
                  <w:pPr>
                    <w:jc w:val="center"/>
                    <w:rPr>
                      <w:b/>
                      <w:sz w:val="18"/>
                      <w:szCs w:val="18"/>
                      <w:lang w:val="lv-LV"/>
                    </w:rPr>
                  </w:pPr>
                  <w:r w:rsidRPr="00255C4F">
                    <w:rPr>
                      <w:b/>
                      <w:sz w:val="18"/>
                      <w:szCs w:val="18"/>
                      <w:lang w:val="lv-LV"/>
                    </w:rPr>
                    <w:t>58 470,0</w:t>
                  </w:r>
                </w:p>
              </w:tc>
              <w:tc>
                <w:tcPr>
                  <w:tcW w:w="956" w:type="dxa"/>
                  <w:shd w:val="clear" w:color="auto" w:fill="auto"/>
                  <w:vAlign w:val="center"/>
                </w:tcPr>
                <w:p w14:paraId="720F3B12" w14:textId="77777777" w:rsidR="009734BB" w:rsidRPr="00154F55" w:rsidRDefault="009734BB" w:rsidP="007E49BD">
                  <w:pPr>
                    <w:jc w:val="center"/>
                    <w:rPr>
                      <w:b/>
                      <w:sz w:val="18"/>
                      <w:szCs w:val="18"/>
                      <w:lang w:val="lv-LV"/>
                    </w:rPr>
                  </w:pPr>
                  <w:r w:rsidRPr="00154F55">
                    <w:rPr>
                      <w:b/>
                      <w:sz w:val="18"/>
                      <w:szCs w:val="18"/>
                      <w:lang w:val="lv-LV"/>
                    </w:rPr>
                    <w:t>50 007,4</w:t>
                  </w:r>
                </w:p>
              </w:tc>
              <w:tc>
                <w:tcPr>
                  <w:tcW w:w="957" w:type="dxa"/>
                  <w:shd w:val="clear" w:color="auto" w:fill="auto"/>
                  <w:vAlign w:val="center"/>
                </w:tcPr>
                <w:p w14:paraId="4D5A1501" w14:textId="77777777" w:rsidR="009734BB" w:rsidRPr="00512731" w:rsidRDefault="009734BB" w:rsidP="007E49BD">
                  <w:pPr>
                    <w:jc w:val="center"/>
                    <w:rPr>
                      <w:b/>
                      <w:sz w:val="18"/>
                      <w:szCs w:val="18"/>
                      <w:lang w:val="lv-LV"/>
                    </w:rPr>
                  </w:pPr>
                  <w:r w:rsidRPr="00512731">
                    <w:rPr>
                      <w:b/>
                      <w:sz w:val="18"/>
                      <w:szCs w:val="18"/>
                      <w:lang w:val="lv-LV"/>
                    </w:rPr>
                    <w:t>58 991,8</w:t>
                  </w:r>
                </w:p>
              </w:tc>
              <w:tc>
                <w:tcPr>
                  <w:tcW w:w="956" w:type="dxa"/>
                  <w:shd w:val="clear" w:color="auto" w:fill="auto"/>
                  <w:vAlign w:val="center"/>
                </w:tcPr>
                <w:p w14:paraId="13E49DC2" w14:textId="77777777" w:rsidR="009734BB" w:rsidRPr="000652F6" w:rsidRDefault="009734BB" w:rsidP="007E49BD">
                  <w:pPr>
                    <w:jc w:val="center"/>
                    <w:rPr>
                      <w:b/>
                      <w:sz w:val="18"/>
                      <w:szCs w:val="18"/>
                      <w:lang w:val="lv-LV"/>
                    </w:rPr>
                  </w:pPr>
                  <w:r w:rsidRPr="000652F6">
                    <w:rPr>
                      <w:b/>
                      <w:sz w:val="18"/>
                      <w:szCs w:val="18"/>
                      <w:lang w:val="lv-LV"/>
                    </w:rPr>
                    <w:t>53 231,3</w:t>
                  </w:r>
                </w:p>
              </w:tc>
              <w:tc>
                <w:tcPr>
                  <w:tcW w:w="873" w:type="dxa"/>
                  <w:shd w:val="clear" w:color="auto" w:fill="auto"/>
                  <w:vAlign w:val="center"/>
                </w:tcPr>
                <w:p w14:paraId="4484DF83" w14:textId="77777777" w:rsidR="009734BB" w:rsidRPr="000652F6" w:rsidRDefault="009734BB" w:rsidP="007E49BD">
                  <w:pPr>
                    <w:jc w:val="center"/>
                    <w:rPr>
                      <w:b/>
                      <w:sz w:val="18"/>
                      <w:szCs w:val="18"/>
                      <w:lang w:val="lv-LV"/>
                    </w:rPr>
                  </w:pPr>
                  <w:r w:rsidRPr="000652F6">
                    <w:rPr>
                      <w:b/>
                      <w:sz w:val="18"/>
                      <w:szCs w:val="18"/>
                      <w:lang w:val="lv-LV"/>
                    </w:rPr>
                    <w:t>521,8</w:t>
                  </w:r>
                </w:p>
              </w:tc>
              <w:tc>
                <w:tcPr>
                  <w:tcW w:w="1279" w:type="dxa"/>
                  <w:shd w:val="clear" w:color="auto" w:fill="auto"/>
                  <w:vAlign w:val="center"/>
                </w:tcPr>
                <w:p w14:paraId="387F7BBB" w14:textId="77777777" w:rsidR="009734BB" w:rsidRPr="000652F6" w:rsidRDefault="009734BB" w:rsidP="007E49BD">
                  <w:pPr>
                    <w:jc w:val="center"/>
                    <w:rPr>
                      <w:b/>
                      <w:sz w:val="18"/>
                      <w:szCs w:val="18"/>
                      <w:lang w:val="lv-LV"/>
                    </w:rPr>
                  </w:pPr>
                  <w:r w:rsidRPr="000652F6">
                    <w:rPr>
                      <w:b/>
                      <w:sz w:val="18"/>
                      <w:szCs w:val="18"/>
                      <w:lang w:val="lv-LV"/>
                    </w:rPr>
                    <w:t>3 223,9</w:t>
                  </w:r>
                </w:p>
              </w:tc>
            </w:tr>
            <w:tr w:rsidR="009734BB" w:rsidRPr="00EE1E8A" w14:paraId="1FD2CE42" w14:textId="77777777" w:rsidTr="007E49BD">
              <w:trPr>
                <w:trHeight w:val="397"/>
              </w:trPr>
              <w:tc>
                <w:tcPr>
                  <w:tcW w:w="1499" w:type="dxa"/>
                  <w:shd w:val="clear" w:color="auto" w:fill="auto"/>
                  <w:vAlign w:val="center"/>
                </w:tcPr>
                <w:p w14:paraId="4A71232D" w14:textId="77777777" w:rsidR="009734BB" w:rsidRPr="00EE1E8A" w:rsidRDefault="009734BB" w:rsidP="007E49BD">
                  <w:pPr>
                    <w:jc w:val="right"/>
                    <w:rPr>
                      <w:bCs/>
                      <w:i/>
                      <w:sz w:val="18"/>
                      <w:szCs w:val="18"/>
                      <w:u w:val="single"/>
                      <w:lang w:val="lv-LV"/>
                    </w:rPr>
                  </w:pPr>
                  <w:r w:rsidRPr="00EE1E8A">
                    <w:rPr>
                      <w:bCs/>
                      <w:i/>
                      <w:sz w:val="18"/>
                      <w:szCs w:val="18"/>
                      <w:u w:val="single"/>
                      <w:lang w:val="lv-LV"/>
                    </w:rPr>
                    <w:t>tostarp Vispārējā rezerve saistībām</w:t>
                  </w:r>
                </w:p>
              </w:tc>
              <w:tc>
                <w:tcPr>
                  <w:tcW w:w="956" w:type="dxa"/>
                  <w:shd w:val="clear" w:color="auto" w:fill="auto"/>
                  <w:vAlign w:val="center"/>
                </w:tcPr>
                <w:p w14:paraId="715F5C72" w14:textId="77777777" w:rsidR="009734BB" w:rsidRPr="00EE1E8A" w:rsidRDefault="009734BB" w:rsidP="007E49BD">
                  <w:pPr>
                    <w:jc w:val="center"/>
                    <w:rPr>
                      <w:i/>
                      <w:sz w:val="18"/>
                      <w:szCs w:val="18"/>
                      <w:u w:val="single"/>
                      <w:lang w:val="lv-LV"/>
                    </w:rPr>
                  </w:pPr>
                  <w:r w:rsidRPr="00EE1E8A">
                    <w:rPr>
                      <w:i/>
                      <w:sz w:val="18"/>
                      <w:szCs w:val="18"/>
                      <w:u w:val="single"/>
                      <w:lang w:val="lv-LV"/>
                    </w:rPr>
                    <w:t>141,9</w:t>
                  </w:r>
                </w:p>
              </w:tc>
              <w:tc>
                <w:tcPr>
                  <w:tcW w:w="956" w:type="dxa"/>
                  <w:shd w:val="clear" w:color="auto" w:fill="auto"/>
                  <w:vAlign w:val="center"/>
                </w:tcPr>
                <w:p w14:paraId="726A7F37" w14:textId="77777777" w:rsidR="009734BB" w:rsidRPr="00562B3F" w:rsidRDefault="009734BB" w:rsidP="007E49BD">
                  <w:pPr>
                    <w:jc w:val="center"/>
                    <w:rPr>
                      <w:i/>
                      <w:sz w:val="18"/>
                      <w:szCs w:val="18"/>
                      <w:u w:val="single"/>
                      <w:lang w:val="lv-LV"/>
                    </w:rPr>
                  </w:pPr>
                </w:p>
              </w:tc>
              <w:tc>
                <w:tcPr>
                  <w:tcW w:w="1093" w:type="dxa"/>
                  <w:shd w:val="clear" w:color="auto" w:fill="auto"/>
                  <w:vAlign w:val="center"/>
                </w:tcPr>
                <w:p w14:paraId="7A9F6048" w14:textId="77777777" w:rsidR="009734BB" w:rsidRPr="00255C4F" w:rsidRDefault="009734BB" w:rsidP="007E49BD">
                  <w:pPr>
                    <w:jc w:val="center"/>
                    <w:rPr>
                      <w:i/>
                      <w:sz w:val="18"/>
                      <w:szCs w:val="18"/>
                      <w:u w:val="single"/>
                      <w:lang w:val="lv-LV"/>
                    </w:rPr>
                  </w:pPr>
                </w:p>
              </w:tc>
              <w:tc>
                <w:tcPr>
                  <w:tcW w:w="956" w:type="dxa"/>
                  <w:shd w:val="clear" w:color="auto" w:fill="auto"/>
                  <w:vAlign w:val="center"/>
                </w:tcPr>
                <w:p w14:paraId="4F3D9B5F" w14:textId="77777777" w:rsidR="009734BB" w:rsidRPr="00154F55" w:rsidRDefault="009734BB" w:rsidP="007E49BD">
                  <w:pPr>
                    <w:jc w:val="center"/>
                    <w:rPr>
                      <w:i/>
                      <w:sz w:val="18"/>
                      <w:szCs w:val="18"/>
                      <w:u w:val="single"/>
                      <w:lang w:val="lv-LV"/>
                    </w:rPr>
                  </w:pPr>
                </w:p>
              </w:tc>
              <w:tc>
                <w:tcPr>
                  <w:tcW w:w="957" w:type="dxa"/>
                  <w:shd w:val="clear" w:color="auto" w:fill="auto"/>
                  <w:vAlign w:val="center"/>
                </w:tcPr>
                <w:p w14:paraId="097E770A" w14:textId="77777777" w:rsidR="009734BB" w:rsidRPr="00512731" w:rsidRDefault="009734BB" w:rsidP="007E49BD">
                  <w:pPr>
                    <w:jc w:val="center"/>
                    <w:rPr>
                      <w:i/>
                      <w:sz w:val="18"/>
                      <w:szCs w:val="18"/>
                      <w:u w:val="single"/>
                      <w:lang w:val="lv-LV"/>
                    </w:rPr>
                  </w:pPr>
                  <w:r w:rsidRPr="00512731">
                    <w:rPr>
                      <w:i/>
                      <w:sz w:val="18"/>
                      <w:szCs w:val="18"/>
                      <w:u w:val="single"/>
                      <w:lang w:val="lv-LV"/>
                    </w:rPr>
                    <w:t>521,8</w:t>
                  </w:r>
                </w:p>
              </w:tc>
              <w:tc>
                <w:tcPr>
                  <w:tcW w:w="956" w:type="dxa"/>
                  <w:shd w:val="clear" w:color="auto" w:fill="auto"/>
                  <w:vAlign w:val="center"/>
                </w:tcPr>
                <w:p w14:paraId="53A960D8" w14:textId="77777777" w:rsidR="009734BB" w:rsidRPr="000652F6" w:rsidRDefault="009734BB" w:rsidP="007E49BD">
                  <w:pPr>
                    <w:jc w:val="center"/>
                    <w:rPr>
                      <w:i/>
                      <w:sz w:val="18"/>
                      <w:szCs w:val="18"/>
                      <w:u w:val="single"/>
                      <w:lang w:val="lv-LV"/>
                    </w:rPr>
                  </w:pPr>
                </w:p>
              </w:tc>
              <w:tc>
                <w:tcPr>
                  <w:tcW w:w="873" w:type="dxa"/>
                  <w:shd w:val="clear" w:color="auto" w:fill="auto"/>
                  <w:vAlign w:val="center"/>
                </w:tcPr>
                <w:p w14:paraId="23F530BD" w14:textId="77777777" w:rsidR="009734BB" w:rsidRPr="00C0406B" w:rsidRDefault="009734BB" w:rsidP="007E49BD">
                  <w:pPr>
                    <w:jc w:val="center"/>
                    <w:rPr>
                      <w:i/>
                      <w:sz w:val="18"/>
                      <w:szCs w:val="18"/>
                      <w:u w:val="single"/>
                      <w:lang w:val="lv-LV"/>
                    </w:rPr>
                  </w:pPr>
                  <w:r w:rsidRPr="00C0406B">
                    <w:rPr>
                      <w:i/>
                      <w:sz w:val="18"/>
                      <w:szCs w:val="18"/>
                      <w:u w:val="single"/>
                      <w:lang w:val="lv-LV"/>
                    </w:rPr>
                    <w:t>521,8</w:t>
                  </w:r>
                </w:p>
              </w:tc>
              <w:tc>
                <w:tcPr>
                  <w:tcW w:w="1279" w:type="dxa"/>
                  <w:shd w:val="clear" w:color="auto" w:fill="auto"/>
                  <w:vAlign w:val="center"/>
                </w:tcPr>
                <w:p w14:paraId="105B7637" w14:textId="77777777" w:rsidR="009734BB" w:rsidRPr="000652F6" w:rsidRDefault="009734BB" w:rsidP="007E49BD">
                  <w:pPr>
                    <w:jc w:val="center"/>
                    <w:rPr>
                      <w:i/>
                      <w:sz w:val="18"/>
                      <w:szCs w:val="18"/>
                      <w:lang w:val="lv-LV"/>
                    </w:rPr>
                  </w:pPr>
                </w:p>
              </w:tc>
            </w:tr>
            <w:tr w:rsidR="009734BB" w:rsidRPr="00EE1E8A" w14:paraId="2D588DA7" w14:textId="77777777" w:rsidTr="007E49BD">
              <w:trPr>
                <w:trHeight w:val="190"/>
              </w:trPr>
              <w:tc>
                <w:tcPr>
                  <w:tcW w:w="1499" w:type="dxa"/>
                  <w:shd w:val="clear" w:color="auto" w:fill="auto"/>
                  <w:vAlign w:val="center"/>
                </w:tcPr>
                <w:p w14:paraId="753F8F3E" w14:textId="77777777" w:rsidR="009734BB" w:rsidRPr="00EE1E8A" w:rsidRDefault="009734BB" w:rsidP="007E49BD">
                  <w:pPr>
                    <w:jc w:val="right"/>
                    <w:rPr>
                      <w:i/>
                      <w:sz w:val="18"/>
                      <w:szCs w:val="18"/>
                      <w:u w:val="single"/>
                      <w:lang w:val="lv-LV"/>
                    </w:rPr>
                  </w:pPr>
                  <w:r w:rsidRPr="00EE1E8A">
                    <w:rPr>
                      <w:bCs/>
                      <w:i/>
                      <w:iCs/>
                      <w:sz w:val="18"/>
                      <w:szCs w:val="18"/>
                      <w:u w:val="single"/>
                      <w:lang w:val="lv-LV"/>
                    </w:rPr>
                    <w:t>rezerve</w:t>
                  </w:r>
                </w:p>
              </w:tc>
              <w:tc>
                <w:tcPr>
                  <w:tcW w:w="956" w:type="dxa"/>
                  <w:shd w:val="clear" w:color="auto" w:fill="auto"/>
                  <w:vAlign w:val="center"/>
                </w:tcPr>
                <w:p w14:paraId="2267327D" w14:textId="77777777" w:rsidR="009734BB" w:rsidRPr="00EE1E8A" w:rsidRDefault="009734BB" w:rsidP="007E49BD">
                  <w:pPr>
                    <w:jc w:val="center"/>
                    <w:rPr>
                      <w:b/>
                      <w:i/>
                      <w:sz w:val="18"/>
                      <w:szCs w:val="18"/>
                      <w:u w:val="single"/>
                      <w:lang w:val="lv-LV"/>
                    </w:rPr>
                  </w:pPr>
                  <w:r w:rsidRPr="00EE1E8A">
                    <w:rPr>
                      <w:i/>
                      <w:sz w:val="18"/>
                      <w:szCs w:val="18"/>
                      <w:u w:val="single"/>
                      <w:lang w:val="lv-LV"/>
                    </w:rPr>
                    <w:t>-</w:t>
                  </w:r>
                </w:p>
              </w:tc>
              <w:tc>
                <w:tcPr>
                  <w:tcW w:w="956" w:type="dxa"/>
                  <w:shd w:val="clear" w:color="auto" w:fill="auto"/>
                  <w:vAlign w:val="center"/>
                </w:tcPr>
                <w:p w14:paraId="6C08ADB7" w14:textId="77777777" w:rsidR="009734BB" w:rsidRPr="00562B3F" w:rsidRDefault="009734BB" w:rsidP="007E49BD">
                  <w:pPr>
                    <w:jc w:val="center"/>
                    <w:rPr>
                      <w:b/>
                      <w:i/>
                      <w:sz w:val="18"/>
                      <w:szCs w:val="18"/>
                      <w:u w:val="single"/>
                      <w:lang w:val="lv-LV"/>
                    </w:rPr>
                  </w:pPr>
                </w:p>
              </w:tc>
              <w:tc>
                <w:tcPr>
                  <w:tcW w:w="1093" w:type="dxa"/>
                  <w:shd w:val="clear" w:color="auto" w:fill="auto"/>
                  <w:vAlign w:val="center"/>
                </w:tcPr>
                <w:p w14:paraId="23FD2A30" w14:textId="77777777" w:rsidR="009734BB" w:rsidRPr="00255C4F" w:rsidRDefault="009734BB" w:rsidP="007E49BD">
                  <w:pPr>
                    <w:jc w:val="center"/>
                    <w:rPr>
                      <w:i/>
                      <w:sz w:val="18"/>
                      <w:szCs w:val="18"/>
                      <w:u w:val="single"/>
                      <w:lang w:val="lv-LV"/>
                    </w:rPr>
                  </w:pPr>
                  <w:r w:rsidRPr="00255C4F">
                    <w:rPr>
                      <w:i/>
                      <w:sz w:val="18"/>
                      <w:szCs w:val="18"/>
                      <w:u w:val="single"/>
                      <w:lang w:val="lv-LV"/>
                    </w:rPr>
                    <w:t>-</w:t>
                  </w:r>
                </w:p>
              </w:tc>
              <w:tc>
                <w:tcPr>
                  <w:tcW w:w="956" w:type="dxa"/>
                  <w:shd w:val="clear" w:color="auto" w:fill="auto"/>
                  <w:vAlign w:val="center"/>
                </w:tcPr>
                <w:p w14:paraId="42482BB5" w14:textId="77777777" w:rsidR="009734BB" w:rsidRPr="00154F55" w:rsidRDefault="009734BB" w:rsidP="007E49BD">
                  <w:pPr>
                    <w:jc w:val="center"/>
                    <w:rPr>
                      <w:b/>
                      <w:i/>
                      <w:sz w:val="18"/>
                      <w:szCs w:val="18"/>
                      <w:u w:val="single"/>
                      <w:lang w:val="lv-LV"/>
                    </w:rPr>
                  </w:pPr>
                </w:p>
              </w:tc>
              <w:tc>
                <w:tcPr>
                  <w:tcW w:w="957" w:type="dxa"/>
                  <w:shd w:val="clear" w:color="auto" w:fill="auto"/>
                  <w:vAlign w:val="center"/>
                </w:tcPr>
                <w:p w14:paraId="65C1A867" w14:textId="77777777" w:rsidR="009734BB" w:rsidRPr="00512731" w:rsidRDefault="009734BB" w:rsidP="007E49BD">
                  <w:pPr>
                    <w:jc w:val="center"/>
                    <w:rPr>
                      <w:i/>
                      <w:sz w:val="18"/>
                      <w:szCs w:val="18"/>
                      <w:u w:val="single"/>
                      <w:lang w:val="lv-LV"/>
                    </w:rPr>
                  </w:pPr>
                  <w:r w:rsidRPr="00512731">
                    <w:rPr>
                      <w:i/>
                      <w:sz w:val="18"/>
                      <w:szCs w:val="18"/>
                      <w:u w:val="single"/>
                      <w:lang w:val="lv-LV"/>
                    </w:rPr>
                    <w:t>-</w:t>
                  </w:r>
                </w:p>
              </w:tc>
              <w:tc>
                <w:tcPr>
                  <w:tcW w:w="956" w:type="dxa"/>
                  <w:shd w:val="clear" w:color="auto" w:fill="auto"/>
                  <w:vAlign w:val="center"/>
                </w:tcPr>
                <w:p w14:paraId="5166559A" w14:textId="77777777" w:rsidR="009734BB" w:rsidRPr="000652F6" w:rsidRDefault="009734BB" w:rsidP="007E49BD">
                  <w:pPr>
                    <w:jc w:val="center"/>
                    <w:rPr>
                      <w:b/>
                      <w:i/>
                      <w:sz w:val="18"/>
                      <w:szCs w:val="18"/>
                      <w:u w:val="single"/>
                      <w:lang w:val="lv-LV"/>
                    </w:rPr>
                  </w:pPr>
                </w:p>
              </w:tc>
              <w:tc>
                <w:tcPr>
                  <w:tcW w:w="873" w:type="dxa"/>
                  <w:shd w:val="clear" w:color="auto" w:fill="auto"/>
                  <w:vAlign w:val="center"/>
                </w:tcPr>
                <w:p w14:paraId="5DEEDB25" w14:textId="77777777" w:rsidR="009734BB" w:rsidRPr="000652F6" w:rsidRDefault="009734BB" w:rsidP="007E49BD">
                  <w:pPr>
                    <w:jc w:val="center"/>
                    <w:rPr>
                      <w:i/>
                      <w:sz w:val="18"/>
                      <w:szCs w:val="18"/>
                      <w:lang w:val="lv-LV"/>
                    </w:rPr>
                  </w:pPr>
                  <w:r w:rsidRPr="000652F6">
                    <w:rPr>
                      <w:i/>
                      <w:sz w:val="18"/>
                      <w:szCs w:val="18"/>
                      <w:lang w:val="lv-LV"/>
                    </w:rPr>
                    <w:t>-</w:t>
                  </w:r>
                </w:p>
              </w:tc>
              <w:tc>
                <w:tcPr>
                  <w:tcW w:w="1279" w:type="dxa"/>
                  <w:shd w:val="clear" w:color="auto" w:fill="auto"/>
                  <w:vAlign w:val="center"/>
                </w:tcPr>
                <w:p w14:paraId="2F5A115B" w14:textId="77777777" w:rsidR="009734BB" w:rsidRPr="000652F6" w:rsidRDefault="009734BB" w:rsidP="007E49BD">
                  <w:pPr>
                    <w:jc w:val="center"/>
                    <w:rPr>
                      <w:b/>
                      <w:sz w:val="18"/>
                      <w:szCs w:val="18"/>
                      <w:lang w:val="lv-LV"/>
                    </w:rPr>
                  </w:pPr>
                </w:p>
              </w:tc>
            </w:tr>
          </w:tbl>
          <w:p w14:paraId="73B79DB2" w14:textId="77777777" w:rsidR="00874110" w:rsidRDefault="00874110" w:rsidP="007E49BD">
            <w:pPr>
              <w:autoSpaceDE w:val="0"/>
              <w:autoSpaceDN w:val="0"/>
              <w:adjustRightInd w:val="0"/>
              <w:spacing w:before="120" w:after="120"/>
              <w:jc w:val="both"/>
              <w:rPr>
                <w:rFonts w:eastAsia="Calibri"/>
                <w:b/>
                <w:u w:val="single"/>
                <w:lang w:val="lv-LV" w:eastAsia="lv-LV"/>
              </w:rPr>
            </w:pPr>
          </w:p>
          <w:p w14:paraId="40C8CFAE" w14:textId="134C5DD0"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b/>
                <w:u w:val="single"/>
                <w:lang w:val="lv-LV" w:eastAsia="lv-LV"/>
              </w:rPr>
              <w:t>EK priekšlikums BP 2020.gadam un AL 1/2020</w:t>
            </w:r>
          </w:p>
          <w:p w14:paraId="72D420A6" w14:textId="4E693B22"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lang w:val="lv-LV"/>
              </w:rPr>
              <w:t>Ar EK iesniegto grozījumu vēstuli netiek mainīts sākotnējais BP 20</w:t>
            </w:r>
            <w:r w:rsidR="002E4D8A">
              <w:rPr>
                <w:rFonts w:eastAsia="Calibri"/>
                <w:lang w:val="lv-LV"/>
              </w:rPr>
              <w:t>20</w:t>
            </w:r>
            <w:r w:rsidRPr="00EE1E8A">
              <w:rPr>
                <w:rFonts w:eastAsia="Calibri"/>
                <w:lang w:val="lv-LV"/>
              </w:rPr>
              <w:t>.gadam</w:t>
            </w:r>
            <w:r w:rsidR="00521847">
              <w:rPr>
                <w:rFonts w:eastAsia="Calibri"/>
                <w:lang w:val="lv-LV"/>
              </w:rPr>
              <w:t xml:space="preserve"> 1b </w:t>
            </w:r>
            <w:proofErr w:type="spellStart"/>
            <w:r w:rsidR="00521847">
              <w:rPr>
                <w:rFonts w:eastAsia="Calibri"/>
                <w:lang w:val="lv-LV"/>
              </w:rPr>
              <w:t>apakškategorijā</w:t>
            </w:r>
            <w:proofErr w:type="spellEnd"/>
            <w:r w:rsidRPr="00EE1E8A">
              <w:rPr>
                <w:rFonts w:eastAsia="Calibri"/>
                <w:lang w:val="lv-LV"/>
              </w:rPr>
              <w:t>.</w:t>
            </w:r>
          </w:p>
          <w:p w14:paraId="4EF5635C" w14:textId="1DA5B48C" w:rsidR="009734BB" w:rsidRPr="00154F55" w:rsidRDefault="009734BB" w:rsidP="007E49BD">
            <w:pPr>
              <w:spacing w:before="120" w:after="120"/>
              <w:jc w:val="both"/>
              <w:rPr>
                <w:lang w:val="lv-LV"/>
              </w:rPr>
            </w:pPr>
            <w:r w:rsidRPr="00562B3F">
              <w:rPr>
                <w:lang w:val="lv-LV"/>
              </w:rPr>
              <w:t xml:space="preserve">ES budžeta 1b </w:t>
            </w:r>
            <w:proofErr w:type="spellStart"/>
            <w:r w:rsidRPr="00562B3F">
              <w:rPr>
                <w:lang w:val="lv-LV"/>
              </w:rPr>
              <w:t>apakškategorija</w:t>
            </w:r>
            <w:proofErr w:type="spellEnd"/>
            <w:r w:rsidRPr="00562B3F">
              <w:rPr>
                <w:lang w:val="lv-LV"/>
              </w:rPr>
              <w:t xml:space="preserve"> ietver finansējumu Eiropas Reģionālās attīstības fondam (turpmāk - ERDF), Eiropas Sociālajam fondam (turpmāk - ESF)</w:t>
            </w:r>
            <w:r w:rsidR="0058389A">
              <w:rPr>
                <w:lang w:val="lv-LV"/>
              </w:rPr>
              <w:t>,</w:t>
            </w:r>
            <w:r w:rsidRPr="00562B3F">
              <w:rPr>
                <w:lang w:val="lv-LV"/>
              </w:rPr>
              <w:t xml:space="preserve"> ieskaitot JNI</w:t>
            </w:r>
            <w:r w:rsidR="0058389A">
              <w:rPr>
                <w:lang w:val="lv-LV"/>
              </w:rPr>
              <w:t>/ YEI</w:t>
            </w:r>
            <w:r w:rsidRPr="00562B3F">
              <w:rPr>
                <w:lang w:val="lv-LV"/>
              </w:rPr>
              <w:t xml:space="preserve">, Kohēzijas fondam (turpmāk - KF) un Eiropas Atbalsta fondam vistrūcīgākajām personām (FEAD). </w:t>
            </w:r>
          </w:p>
          <w:p w14:paraId="36F19F5B" w14:textId="4552BCE1" w:rsidR="009734BB" w:rsidRPr="000652F6" w:rsidRDefault="009734BB" w:rsidP="007E49BD">
            <w:pPr>
              <w:spacing w:before="120" w:after="120"/>
              <w:jc w:val="both"/>
              <w:rPr>
                <w:lang w:val="lv-LV"/>
              </w:rPr>
            </w:pPr>
            <w:r w:rsidRPr="00512731">
              <w:rPr>
                <w:lang w:val="lv-LV"/>
              </w:rPr>
              <w:t xml:space="preserve">EK priekšlikumā pie piedāvātā SA kopapjoma neveidojas budžeta rezerve 1b.izdevumu </w:t>
            </w:r>
            <w:proofErr w:type="spellStart"/>
            <w:r w:rsidRPr="00512731">
              <w:rPr>
                <w:lang w:val="lv-LV"/>
              </w:rPr>
              <w:t>apakškategorijā</w:t>
            </w:r>
            <w:proofErr w:type="spellEnd"/>
            <w:r w:rsidRPr="00512731">
              <w:rPr>
                <w:lang w:val="lv-LV"/>
              </w:rPr>
              <w:t>. Turklāt, vajadzību segšanai šajā jomā papildus EK piedāvā izmantot Vispārējo rezerv</w:t>
            </w:r>
            <w:r w:rsidR="003D51E9">
              <w:rPr>
                <w:lang w:val="lv-LV"/>
              </w:rPr>
              <w:t>i</w:t>
            </w:r>
            <w:r w:rsidRPr="00512731">
              <w:rPr>
                <w:lang w:val="lv-LV"/>
              </w:rPr>
              <w:t xml:space="preserve"> saistībām (GMC) 141,9 milj. EUR apmērā, kuru, kā minēts iepriekš, izmanto JNI</w:t>
            </w:r>
            <w:r w:rsidR="003D51E9">
              <w:rPr>
                <w:lang w:val="lv-LV"/>
              </w:rPr>
              <w:t>/YEI</w:t>
            </w:r>
            <w:r w:rsidRPr="00512731">
              <w:rPr>
                <w:lang w:val="lv-LV"/>
              </w:rPr>
              <w:t xml:space="preserve"> u</w:t>
            </w:r>
            <w:r w:rsidRPr="000652F6">
              <w:rPr>
                <w:lang w:val="lv-LV"/>
              </w:rPr>
              <w:t xml:space="preserve">n </w:t>
            </w:r>
            <w:r w:rsidR="009E3D40">
              <w:rPr>
                <w:lang w:val="lv-LV"/>
              </w:rPr>
              <w:t>Strukturālo reformu atbalsta programmas</w:t>
            </w:r>
            <w:r w:rsidR="00C0406B">
              <w:rPr>
                <w:lang w:val="lv-LV"/>
              </w:rPr>
              <w:t xml:space="preserve"> </w:t>
            </w:r>
            <w:r w:rsidR="009E3D40">
              <w:rPr>
                <w:lang w:val="lv-LV"/>
              </w:rPr>
              <w:t>(turpmāk</w:t>
            </w:r>
            <w:r w:rsidR="00D4722B">
              <w:rPr>
                <w:lang w:val="lv-LV"/>
              </w:rPr>
              <w:t xml:space="preserve"> </w:t>
            </w:r>
            <w:r w:rsidR="009E3D40">
              <w:rPr>
                <w:lang w:val="lv-LV"/>
              </w:rPr>
              <w:t>-</w:t>
            </w:r>
            <w:r w:rsidR="00D4722B">
              <w:rPr>
                <w:lang w:val="lv-LV"/>
              </w:rPr>
              <w:t xml:space="preserve"> </w:t>
            </w:r>
            <w:r w:rsidRPr="000652F6">
              <w:rPr>
                <w:lang w:val="lv-LV"/>
              </w:rPr>
              <w:t>SRSP</w:t>
            </w:r>
            <w:r w:rsidR="009E3D40">
              <w:rPr>
                <w:lang w:val="lv-LV"/>
              </w:rPr>
              <w:t xml:space="preserve"> (</w:t>
            </w:r>
            <w:proofErr w:type="spellStart"/>
            <w:r w:rsidR="009E3D40" w:rsidRPr="00EB3D99">
              <w:rPr>
                <w:i/>
                <w:lang w:val="lv-LV"/>
              </w:rPr>
              <w:t>Structural</w:t>
            </w:r>
            <w:proofErr w:type="spellEnd"/>
            <w:r w:rsidR="009E3D40" w:rsidRPr="00EB3D99">
              <w:rPr>
                <w:i/>
                <w:lang w:val="lv-LV"/>
              </w:rPr>
              <w:t xml:space="preserve"> </w:t>
            </w:r>
            <w:proofErr w:type="spellStart"/>
            <w:r w:rsidR="009E3D40" w:rsidRPr="00EB3D99">
              <w:rPr>
                <w:i/>
                <w:lang w:val="lv-LV"/>
              </w:rPr>
              <w:t>reform</w:t>
            </w:r>
            <w:proofErr w:type="spellEnd"/>
            <w:r w:rsidR="009E3D40" w:rsidRPr="00EB3D99">
              <w:rPr>
                <w:i/>
                <w:lang w:val="lv-LV"/>
              </w:rPr>
              <w:t xml:space="preserve"> </w:t>
            </w:r>
            <w:proofErr w:type="spellStart"/>
            <w:r w:rsidR="009E3D40" w:rsidRPr="00EB3D99">
              <w:rPr>
                <w:i/>
                <w:lang w:val="lv-LV"/>
              </w:rPr>
              <w:t>support</w:t>
            </w:r>
            <w:proofErr w:type="spellEnd"/>
            <w:r w:rsidR="009E3D40" w:rsidRPr="00EB3D99">
              <w:rPr>
                <w:i/>
                <w:lang w:val="lv-LV"/>
              </w:rPr>
              <w:t xml:space="preserve"> </w:t>
            </w:r>
            <w:proofErr w:type="spellStart"/>
            <w:r w:rsidR="009E3D40" w:rsidRPr="00EB3D99">
              <w:rPr>
                <w:i/>
                <w:lang w:val="lv-LV"/>
              </w:rPr>
              <w:t>programme</w:t>
            </w:r>
            <w:proofErr w:type="spellEnd"/>
            <w:r w:rsidR="009E3D40">
              <w:rPr>
                <w:lang w:val="lv-LV"/>
              </w:rPr>
              <w:t>))</w:t>
            </w:r>
            <w:r w:rsidRPr="000652F6">
              <w:rPr>
                <w:lang w:val="lv-LV"/>
              </w:rPr>
              <w:t xml:space="preserve"> programmu finansēšanai. </w:t>
            </w:r>
          </w:p>
          <w:p w14:paraId="0A1B430C" w14:textId="77777777" w:rsidR="009734BB" w:rsidRPr="00EB3D99" w:rsidRDefault="009734BB" w:rsidP="007E49BD">
            <w:pPr>
              <w:spacing w:before="120" w:after="120"/>
              <w:jc w:val="both"/>
              <w:rPr>
                <w:b/>
                <w:u w:val="single"/>
                <w:lang w:val="lv-LV"/>
              </w:rPr>
            </w:pPr>
            <w:r w:rsidRPr="00EB3D99">
              <w:rPr>
                <w:b/>
                <w:u w:val="single"/>
                <w:lang w:val="lv-LV"/>
              </w:rPr>
              <w:t>Padomes pozīcija par BP 2020.gadam</w:t>
            </w:r>
          </w:p>
          <w:p w14:paraId="18CE7A2E" w14:textId="783BA9BD" w:rsidR="0004341E" w:rsidRPr="003111DB" w:rsidRDefault="0004341E" w:rsidP="007E49BD">
            <w:pPr>
              <w:spacing w:before="120" w:after="120"/>
              <w:jc w:val="both"/>
              <w:rPr>
                <w:lang w:val="lv-LV"/>
              </w:rPr>
            </w:pPr>
            <w:r w:rsidRPr="00EE1E8A">
              <w:rPr>
                <w:lang w:val="lv-LV"/>
              </w:rPr>
              <w:t xml:space="preserve">Padome ir ierosinājusi samazināt SA 1.b izdevumu </w:t>
            </w:r>
            <w:proofErr w:type="spellStart"/>
            <w:r w:rsidR="00C358B6">
              <w:rPr>
                <w:lang w:val="lv-LV"/>
              </w:rPr>
              <w:t>apakš</w:t>
            </w:r>
            <w:r w:rsidRPr="00EE1E8A">
              <w:rPr>
                <w:lang w:val="lv-LV"/>
              </w:rPr>
              <w:t>kategorijā</w:t>
            </w:r>
            <w:proofErr w:type="spellEnd"/>
            <w:r w:rsidRPr="00EE1E8A">
              <w:rPr>
                <w:lang w:val="lv-LV"/>
              </w:rPr>
              <w:t xml:space="preserve"> “Ekonomiskā, sociālā un teritoriālā kohēzija” par 142 milj</w:t>
            </w:r>
            <w:r w:rsidR="00C358B6">
              <w:rPr>
                <w:lang w:val="lv-LV"/>
              </w:rPr>
              <w:t xml:space="preserve">. </w:t>
            </w:r>
            <w:r w:rsidR="00C358B6" w:rsidRPr="00EE1E8A">
              <w:rPr>
                <w:lang w:val="lv-LV"/>
              </w:rPr>
              <w:t>EUR</w:t>
            </w:r>
            <w:r w:rsidRPr="00EE1E8A">
              <w:rPr>
                <w:lang w:val="lv-LV"/>
              </w:rPr>
              <w:t xml:space="preserve">, kas paredzētas </w:t>
            </w:r>
            <w:r w:rsidRPr="00562B3F">
              <w:rPr>
                <w:lang w:val="lv-LV"/>
              </w:rPr>
              <w:t>JNI</w:t>
            </w:r>
            <w:r w:rsidR="00C358B6">
              <w:rPr>
                <w:lang w:val="lv-LV"/>
              </w:rPr>
              <w:t>/YEI</w:t>
            </w:r>
            <w:r w:rsidRPr="00562B3F">
              <w:rPr>
                <w:lang w:val="lv-LV"/>
              </w:rPr>
              <w:t xml:space="preserve"> (-116,7 milj. EUR) un SRSP</w:t>
            </w:r>
            <w:r w:rsidRPr="00255C4F">
              <w:rPr>
                <w:lang w:val="lv-LV"/>
              </w:rPr>
              <w:t xml:space="preserve"> (-25,2 milj. EUR). Padome uzskata, ka </w:t>
            </w:r>
            <w:r w:rsidRPr="00154F55">
              <w:rPr>
                <w:lang w:val="lv-LV"/>
              </w:rPr>
              <w:t>JNI</w:t>
            </w:r>
            <w:r w:rsidR="006971D7">
              <w:rPr>
                <w:lang w:val="lv-LV"/>
              </w:rPr>
              <w:t>/ YEI</w:t>
            </w:r>
            <w:r w:rsidRPr="00154F55">
              <w:rPr>
                <w:lang w:val="lv-LV"/>
              </w:rPr>
              <w:t xml:space="preserve"> jau ir sasniegusi </w:t>
            </w:r>
            <w:r w:rsidRPr="004062DB">
              <w:rPr>
                <w:lang w:val="lv-LV"/>
              </w:rPr>
              <w:t>mērķi</w:t>
            </w:r>
            <w:r w:rsidRPr="003B0B35">
              <w:rPr>
                <w:lang w:val="lv-LV"/>
              </w:rPr>
              <w:t>, kas noteikt</w:t>
            </w:r>
            <w:r w:rsidR="000B7392">
              <w:rPr>
                <w:lang w:val="lv-LV"/>
              </w:rPr>
              <w:t>s</w:t>
            </w:r>
            <w:r w:rsidRPr="003B0B35">
              <w:rPr>
                <w:lang w:val="lv-LV"/>
              </w:rPr>
              <w:t xml:space="preserve"> DFS </w:t>
            </w:r>
            <w:proofErr w:type="spellStart"/>
            <w:r w:rsidRPr="003B0B35">
              <w:rPr>
                <w:lang w:val="lv-LV"/>
              </w:rPr>
              <w:t>vidusposma</w:t>
            </w:r>
            <w:proofErr w:type="spellEnd"/>
            <w:r w:rsidRPr="003B0B35">
              <w:rPr>
                <w:lang w:val="lv-LV"/>
              </w:rPr>
              <w:t xml:space="preserve"> pārskatā 2019.gadā.</w:t>
            </w:r>
            <w:r w:rsidR="00096609">
              <w:rPr>
                <w:lang w:val="lv-LV"/>
              </w:rPr>
              <w:t xml:space="preserve"> </w:t>
            </w:r>
            <w:r w:rsidRPr="003B0B35">
              <w:rPr>
                <w:lang w:val="lv-LV"/>
              </w:rPr>
              <w:t xml:space="preserve">Padome samazina SRSP par </w:t>
            </w:r>
            <w:r w:rsidRPr="00512731">
              <w:rPr>
                <w:lang w:val="lv-LV"/>
              </w:rPr>
              <w:t>25 milj</w:t>
            </w:r>
            <w:r w:rsidR="006971D7">
              <w:rPr>
                <w:lang w:val="lv-LV"/>
              </w:rPr>
              <w:t xml:space="preserve">. </w:t>
            </w:r>
            <w:r w:rsidR="006971D7" w:rsidRPr="003B0B35">
              <w:rPr>
                <w:lang w:val="lv-LV"/>
              </w:rPr>
              <w:t>E</w:t>
            </w:r>
            <w:r w:rsidR="00096609">
              <w:rPr>
                <w:lang w:val="lv-LV"/>
              </w:rPr>
              <w:t>UR</w:t>
            </w:r>
            <w:r w:rsidRPr="00512731">
              <w:rPr>
                <w:lang w:val="lv-LV"/>
              </w:rPr>
              <w:t xml:space="preserve">, neskatoties uz likumdevēju vienošanos 2018. gadā </w:t>
            </w:r>
            <w:r w:rsidRPr="000652F6">
              <w:rPr>
                <w:lang w:val="lv-LV"/>
              </w:rPr>
              <w:t>par 40 milj. EUR palielinājumu 2020.gadā.</w:t>
            </w:r>
          </w:p>
          <w:p w14:paraId="2540495D" w14:textId="77777777" w:rsidR="009734BB" w:rsidRPr="00FF4FC0" w:rsidRDefault="009734BB" w:rsidP="007E49BD">
            <w:pPr>
              <w:autoSpaceDE w:val="0"/>
              <w:autoSpaceDN w:val="0"/>
              <w:adjustRightInd w:val="0"/>
              <w:spacing w:before="120" w:after="120"/>
              <w:jc w:val="both"/>
              <w:rPr>
                <w:b/>
                <w:u w:val="single"/>
                <w:lang w:val="lv-LV"/>
              </w:rPr>
            </w:pPr>
            <w:r w:rsidRPr="00FF4FC0">
              <w:rPr>
                <w:b/>
                <w:u w:val="single"/>
                <w:lang w:val="lv-LV"/>
              </w:rPr>
              <w:t>EP pozīcija par BP 2020.gadam</w:t>
            </w:r>
          </w:p>
          <w:p w14:paraId="145FE37F" w14:textId="450F24EE" w:rsidR="009734BB" w:rsidRPr="008374E4" w:rsidRDefault="009734BB" w:rsidP="007E49BD">
            <w:pPr>
              <w:spacing w:before="120" w:after="120"/>
              <w:jc w:val="both"/>
              <w:rPr>
                <w:lang w:val="lv-LV"/>
              </w:rPr>
            </w:pPr>
            <w:r w:rsidRPr="00222336">
              <w:rPr>
                <w:lang w:val="lv-LV"/>
              </w:rPr>
              <w:t xml:space="preserve">EP ierosina palielināt SA kopapjomu salīdzinājumā ar Padomes pozīciju par </w:t>
            </w:r>
            <w:r w:rsidRPr="00C0406B">
              <w:rPr>
                <w:lang w:val="lv-LV"/>
              </w:rPr>
              <w:t>521,8 milj. EUR</w:t>
            </w:r>
            <w:r w:rsidRPr="00222336">
              <w:rPr>
                <w:lang w:val="lv-LV"/>
              </w:rPr>
              <w:t>, tādējādi ne vien atja</w:t>
            </w:r>
            <w:r w:rsidRPr="006971D7">
              <w:rPr>
                <w:lang w:val="lv-LV"/>
              </w:rPr>
              <w:t xml:space="preserve">unojot EK priekšlikuma apjomus, bet arī pārsniedzot šai </w:t>
            </w:r>
            <w:proofErr w:type="spellStart"/>
            <w:r w:rsidRPr="006971D7">
              <w:rPr>
                <w:lang w:val="lv-LV"/>
              </w:rPr>
              <w:t>apakškategorijai</w:t>
            </w:r>
            <w:proofErr w:type="spellEnd"/>
            <w:r w:rsidRPr="006971D7">
              <w:rPr>
                <w:lang w:val="lv-LV"/>
              </w:rPr>
              <w:t xml:space="preserve"> noteiktos maksimālos griestus par 521,8 milj. EUR</w:t>
            </w:r>
            <w:r w:rsidR="00C313A9" w:rsidRPr="006971D7">
              <w:rPr>
                <w:lang w:val="lv-LV"/>
              </w:rPr>
              <w:t>.</w:t>
            </w:r>
            <w:r w:rsidR="008374E4">
              <w:rPr>
                <w:lang w:val="lv-LV"/>
              </w:rPr>
              <w:t xml:space="preserve"> </w:t>
            </w:r>
            <w:r w:rsidRPr="006971D7">
              <w:rPr>
                <w:lang w:val="lv-LV"/>
              </w:rPr>
              <w:t xml:space="preserve">Tradicionāli EP apropriāciju palielinājums, galvenokārt, skar </w:t>
            </w:r>
            <w:r w:rsidR="0072301E" w:rsidRPr="008374E4">
              <w:rPr>
                <w:lang w:val="lv-LV"/>
              </w:rPr>
              <w:t>JNI</w:t>
            </w:r>
            <w:r w:rsidR="008374E4">
              <w:rPr>
                <w:lang w:val="lv-LV"/>
              </w:rPr>
              <w:t>/ YEI</w:t>
            </w:r>
            <w:r w:rsidRPr="008374E4">
              <w:rPr>
                <w:lang w:val="lv-LV"/>
              </w:rPr>
              <w:t>. Papildus EP ir paredzējis palielinājumus</w:t>
            </w:r>
            <w:r w:rsidR="00F272ED">
              <w:rPr>
                <w:lang w:val="lv-LV"/>
              </w:rPr>
              <w:t xml:space="preserve"> arī</w:t>
            </w:r>
            <w:r w:rsidRPr="008374E4">
              <w:rPr>
                <w:lang w:val="lv-LV"/>
              </w:rPr>
              <w:t xml:space="preserve"> </w:t>
            </w:r>
            <w:r w:rsidR="00C313A9" w:rsidRPr="008374E4">
              <w:rPr>
                <w:lang w:val="lv-LV"/>
              </w:rPr>
              <w:t>SRSP</w:t>
            </w:r>
            <w:r w:rsidRPr="008374E4">
              <w:rPr>
                <w:lang w:val="lv-LV"/>
              </w:rPr>
              <w:t xml:space="preserve">. </w:t>
            </w:r>
          </w:p>
          <w:p w14:paraId="3DA7480B" w14:textId="77777777" w:rsidR="009734BB" w:rsidRPr="005A2B67" w:rsidRDefault="009734BB" w:rsidP="007E49BD">
            <w:pPr>
              <w:autoSpaceDE w:val="0"/>
              <w:autoSpaceDN w:val="0"/>
              <w:adjustRightInd w:val="0"/>
              <w:jc w:val="center"/>
              <w:rPr>
                <w:b/>
                <w:lang w:val="lv-LV"/>
              </w:rPr>
            </w:pPr>
            <w:r w:rsidRPr="005A2B67">
              <w:rPr>
                <w:b/>
                <w:lang w:val="lv-LV"/>
              </w:rPr>
              <w:t>2.KATEGORIJA „ILGTSPĒJĪGA IZAUGSME: DABAS RESURSI”</w:t>
            </w:r>
          </w:p>
          <w:p w14:paraId="55839DB8" w14:textId="77777777" w:rsidR="009734BB" w:rsidRPr="00EE1E8A" w:rsidRDefault="009734BB" w:rsidP="007E49BD">
            <w:pPr>
              <w:autoSpaceDE w:val="0"/>
              <w:autoSpaceDN w:val="0"/>
              <w:adjustRightInd w:val="0"/>
              <w:jc w:val="right"/>
              <w:rPr>
                <w:b/>
                <w:lang w:val="lv-LV"/>
              </w:rPr>
            </w:pPr>
            <w:r w:rsidRPr="00EE1E8A">
              <w:rPr>
                <w:b/>
                <w:lang w:val="lv-LV"/>
              </w:rPr>
              <w:t>4.tabula. 2.kategorija “Ilgtspējīga izaugsme: dabas resursi”</w:t>
            </w:r>
          </w:p>
          <w:p w14:paraId="35467FE0" w14:textId="77777777" w:rsidR="009734BB" w:rsidRPr="00EE1E8A" w:rsidRDefault="009734BB" w:rsidP="007E49BD">
            <w:pPr>
              <w:autoSpaceDE w:val="0"/>
              <w:autoSpaceDN w:val="0"/>
              <w:adjustRightInd w:val="0"/>
              <w:jc w:val="right"/>
              <w:rPr>
                <w:b/>
                <w:lang w:val="lv-LV"/>
              </w:rPr>
            </w:pPr>
            <w:r w:rsidRPr="00EE1E8A">
              <w:rPr>
                <w:bCs/>
                <w:i/>
                <w:sz w:val="20"/>
                <w:szCs w:val="20"/>
                <w:lang w:val="lv-LV"/>
              </w:rPr>
              <w:t>(milj. EUR)</w:t>
            </w:r>
          </w:p>
          <w:tbl>
            <w:tblPr>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232"/>
              <w:gridCol w:w="850"/>
              <w:gridCol w:w="851"/>
              <w:gridCol w:w="850"/>
              <w:gridCol w:w="992"/>
              <w:gridCol w:w="993"/>
              <w:gridCol w:w="992"/>
              <w:gridCol w:w="887"/>
              <w:gridCol w:w="878"/>
            </w:tblGrid>
            <w:tr w:rsidR="009734BB" w:rsidRPr="00EE1E8A" w14:paraId="3FC9DAE0" w14:textId="77777777" w:rsidTr="007E49BD">
              <w:tc>
                <w:tcPr>
                  <w:tcW w:w="2232" w:type="dxa"/>
                  <w:vMerge w:val="restart"/>
                  <w:tcMar>
                    <w:top w:w="0" w:type="dxa"/>
                    <w:left w:w="108" w:type="dxa"/>
                    <w:bottom w:w="0" w:type="dxa"/>
                    <w:right w:w="108" w:type="dxa"/>
                  </w:tcMar>
                  <w:vAlign w:val="center"/>
                  <w:hideMark/>
                </w:tcPr>
                <w:p w14:paraId="6CA47AA8" w14:textId="77777777" w:rsidR="009734BB" w:rsidRPr="00EB3D99" w:rsidRDefault="009734BB" w:rsidP="007E49BD">
                  <w:pPr>
                    <w:autoSpaceDE w:val="0"/>
                    <w:autoSpaceDN w:val="0"/>
                    <w:jc w:val="center"/>
                    <w:rPr>
                      <w:b/>
                      <w:bCs/>
                      <w:sz w:val="18"/>
                      <w:szCs w:val="18"/>
                      <w:lang w:val="lv-LV"/>
                    </w:rPr>
                  </w:pPr>
                  <w:r w:rsidRPr="00EB3D99">
                    <w:rPr>
                      <w:b/>
                      <w:bCs/>
                      <w:sz w:val="18"/>
                      <w:szCs w:val="18"/>
                      <w:lang w:val="lv-LV" w:eastAsia="lv-LV"/>
                    </w:rPr>
                    <w:t>Kategorija</w:t>
                  </w:r>
                  <w:r w:rsidRPr="00EB3D99">
                    <w:rPr>
                      <w:b/>
                      <w:bCs/>
                      <w:sz w:val="18"/>
                      <w:szCs w:val="18"/>
                      <w:lang w:val="lv-LV"/>
                    </w:rPr>
                    <w:t xml:space="preserve"> </w:t>
                  </w:r>
                </w:p>
                <w:p w14:paraId="7D026767" w14:textId="77777777" w:rsidR="009734BB" w:rsidRPr="00EB3D99" w:rsidRDefault="009734BB" w:rsidP="007E49BD">
                  <w:pPr>
                    <w:autoSpaceDE w:val="0"/>
                    <w:autoSpaceDN w:val="0"/>
                    <w:jc w:val="center"/>
                    <w:rPr>
                      <w:rFonts w:eastAsia="Calibri"/>
                      <w:b/>
                      <w:bCs/>
                      <w:sz w:val="18"/>
                      <w:szCs w:val="18"/>
                      <w:lang w:val="lv-LV"/>
                    </w:rPr>
                  </w:pPr>
                </w:p>
              </w:tc>
              <w:tc>
                <w:tcPr>
                  <w:tcW w:w="1701" w:type="dxa"/>
                  <w:gridSpan w:val="2"/>
                  <w:tcMar>
                    <w:top w:w="0" w:type="dxa"/>
                    <w:left w:w="108" w:type="dxa"/>
                    <w:bottom w:w="0" w:type="dxa"/>
                    <w:right w:w="108" w:type="dxa"/>
                  </w:tcMar>
                  <w:vAlign w:val="center"/>
                  <w:hideMark/>
                </w:tcPr>
                <w:p w14:paraId="6045DBAB" w14:textId="77777777" w:rsidR="009734BB" w:rsidRPr="00EB3D99" w:rsidRDefault="009734BB" w:rsidP="007E49BD">
                  <w:pPr>
                    <w:autoSpaceDE w:val="0"/>
                    <w:autoSpaceDN w:val="0"/>
                    <w:jc w:val="center"/>
                    <w:rPr>
                      <w:rFonts w:eastAsia="Calibri"/>
                      <w:b/>
                      <w:bCs/>
                      <w:sz w:val="18"/>
                      <w:szCs w:val="18"/>
                      <w:lang w:val="lv-LV" w:eastAsia="lv-LV"/>
                    </w:rPr>
                  </w:pPr>
                  <w:r w:rsidRPr="00EB3D99">
                    <w:rPr>
                      <w:b/>
                      <w:bCs/>
                      <w:sz w:val="20"/>
                      <w:szCs w:val="20"/>
                      <w:lang w:val="lv-LV" w:eastAsia="lv-LV"/>
                    </w:rPr>
                    <w:t>EK BP 2020.gadam (</w:t>
                  </w:r>
                  <w:proofErr w:type="spellStart"/>
                  <w:r w:rsidRPr="00EB3D99">
                    <w:rPr>
                      <w:b/>
                      <w:bCs/>
                      <w:sz w:val="20"/>
                      <w:szCs w:val="20"/>
                      <w:lang w:val="lv-LV" w:eastAsia="lv-LV"/>
                    </w:rPr>
                    <w:t>iekļ</w:t>
                  </w:r>
                  <w:proofErr w:type="spellEnd"/>
                  <w:r w:rsidRPr="00EB3D99">
                    <w:rPr>
                      <w:b/>
                      <w:bCs/>
                      <w:sz w:val="20"/>
                      <w:szCs w:val="20"/>
                      <w:lang w:val="lv-LV" w:eastAsia="lv-LV"/>
                    </w:rPr>
                    <w:t>. AL 1/2020)</w:t>
                  </w:r>
                </w:p>
              </w:tc>
              <w:tc>
                <w:tcPr>
                  <w:tcW w:w="1842" w:type="dxa"/>
                  <w:gridSpan w:val="2"/>
                  <w:tcMar>
                    <w:top w:w="0" w:type="dxa"/>
                    <w:left w:w="108" w:type="dxa"/>
                    <w:bottom w:w="0" w:type="dxa"/>
                    <w:right w:w="108" w:type="dxa"/>
                  </w:tcMar>
                  <w:vAlign w:val="center"/>
                  <w:hideMark/>
                </w:tcPr>
                <w:p w14:paraId="730915B2" w14:textId="77777777" w:rsidR="009734BB" w:rsidRPr="00EB3D99" w:rsidRDefault="009734BB" w:rsidP="007E49BD">
                  <w:pPr>
                    <w:autoSpaceDE w:val="0"/>
                    <w:autoSpaceDN w:val="0"/>
                    <w:jc w:val="center"/>
                    <w:rPr>
                      <w:rFonts w:eastAsia="Calibri"/>
                      <w:b/>
                      <w:bCs/>
                      <w:sz w:val="18"/>
                      <w:szCs w:val="18"/>
                      <w:lang w:val="lv-LV" w:eastAsia="lv-LV"/>
                    </w:rPr>
                  </w:pPr>
                  <w:r w:rsidRPr="00EB3D99">
                    <w:rPr>
                      <w:b/>
                      <w:bCs/>
                      <w:sz w:val="20"/>
                      <w:szCs w:val="20"/>
                      <w:lang w:val="lv-LV" w:eastAsia="lv-LV"/>
                    </w:rPr>
                    <w:t>Padomes pozīcija par BP 2020.gadam</w:t>
                  </w:r>
                </w:p>
              </w:tc>
              <w:tc>
                <w:tcPr>
                  <w:tcW w:w="1985" w:type="dxa"/>
                  <w:gridSpan w:val="2"/>
                  <w:tcMar>
                    <w:top w:w="0" w:type="dxa"/>
                    <w:left w:w="108" w:type="dxa"/>
                    <w:bottom w:w="0" w:type="dxa"/>
                    <w:right w:w="108" w:type="dxa"/>
                  </w:tcMar>
                  <w:vAlign w:val="center"/>
                  <w:hideMark/>
                </w:tcPr>
                <w:p w14:paraId="3E92410E" w14:textId="77777777" w:rsidR="009734BB" w:rsidRPr="00EB3D99" w:rsidRDefault="009734BB" w:rsidP="007E49BD">
                  <w:pPr>
                    <w:autoSpaceDE w:val="0"/>
                    <w:autoSpaceDN w:val="0"/>
                    <w:jc w:val="center"/>
                    <w:rPr>
                      <w:rFonts w:eastAsia="Calibri"/>
                      <w:b/>
                      <w:bCs/>
                      <w:sz w:val="18"/>
                      <w:szCs w:val="18"/>
                      <w:lang w:val="lv-LV" w:eastAsia="lv-LV"/>
                    </w:rPr>
                  </w:pPr>
                  <w:r w:rsidRPr="00EB3D99">
                    <w:rPr>
                      <w:rFonts w:eastAsia="Calibri"/>
                      <w:b/>
                      <w:sz w:val="20"/>
                      <w:szCs w:val="20"/>
                      <w:lang w:val="lv-LV"/>
                    </w:rPr>
                    <w:t>EP pozīcija par BP 2020.gadam</w:t>
                  </w:r>
                </w:p>
              </w:tc>
              <w:tc>
                <w:tcPr>
                  <w:tcW w:w="1765" w:type="dxa"/>
                  <w:gridSpan w:val="2"/>
                  <w:tcMar>
                    <w:top w:w="0" w:type="dxa"/>
                    <w:left w:w="108" w:type="dxa"/>
                    <w:bottom w:w="0" w:type="dxa"/>
                    <w:right w:w="108" w:type="dxa"/>
                  </w:tcMar>
                  <w:vAlign w:val="center"/>
                  <w:hideMark/>
                </w:tcPr>
                <w:p w14:paraId="0BD68570" w14:textId="77777777" w:rsidR="009734BB" w:rsidRPr="00EB3D99" w:rsidRDefault="009734BB" w:rsidP="007E49BD">
                  <w:pPr>
                    <w:autoSpaceDE w:val="0"/>
                    <w:autoSpaceDN w:val="0"/>
                    <w:jc w:val="center"/>
                    <w:rPr>
                      <w:rFonts w:eastAsia="Calibri"/>
                      <w:b/>
                      <w:bCs/>
                      <w:sz w:val="18"/>
                      <w:szCs w:val="18"/>
                      <w:lang w:val="lv-LV" w:eastAsia="lv-LV"/>
                    </w:rPr>
                  </w:pPr>
                  <w:r w:rsidRPr="00EB3D99">
                    <w:rPr>
                      <w:rFonts w:eastAsia="Calibri"/>
                      <w:b/>
                      <w:sz w:val="20"/>
                      <w:szCs w:val="20"/>
                      <w:lang w:val="lv-LV"/>
                    </w:rPr>
                    <w:t>Atšķirība EP/Padome</w:t>
                  </w:r>
                </w:p>
              </w:tc>
            </w:tr>
            <w:tr w:rsidR="009734BB" w:rsidRPr="00EE1E8A" w14:paraId="70CBEF2F" w14:textId="77777777" w:rsidTr="007E49BD">
              <w:tc>
                <w:tcPr>
                  <w:tcW w:w="2232" w:type="dxa"/>
                  <w:vMerge/>
                  <w:vAlign w:val="center"/>
                  <w:hideMark/>
                </w:tcPr>
                <w:p w14:paraId="3DDE9E43" w14:textId="77777777" w:rsidR="009734BB" w:rsidRPr="00EB3D99" w:rsidRDefault="009734BB" w:rsidP="007E49BD">
                  <w:pPr>
                    <w:rPr>
                      <w:rFonts w:eastAsia="Calibri"/>
                      <w:b/>
                      <w:bCs/>
                      <w:sz w:val="18"/>
                      <w:szCs w:val="18"/>
                      <w:lang w:val="lv-LV"/>
                    </w:rPr>
                  </w:pPr>
                </w:p>
              </w:tc>
              <w:tc>
                <w:tcPr>
                  <w:tcW w:w="850" w:type="dxa"/>
                  <w:tcMar>
                    <w:top w:w="0" w:type="dxa"/>
                    <w:left w:w="108" w:type="dxa"/>
                    <w:bottom w:w="0" w:type="dxa"/>
                    <w:right w:w="108" w:type="dxa"/>
                  </w:tcMar>
                  <w:hideMark/>
                </w:tcPr>
                <w:p w14:paraId="206A56D8"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851" w:type="dxa"/>
                  <w:tcMar>
                    <w:top w:w="0" w:type="dxa"/>
                    <w:left w:w="108" w:type="dxa"/>
                    <w:bottom w:w="0" w:type="dxa"/>
                    <w:right w:w="108" w:type="dxa"/>
                  </w:tcMar>
                  <w:hideMark/>
                </w:tcPr>
                <w:p w14:paraId="2A926287"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c>
                <w:tcPr>
                  <w:tcW w:w="850" w:type="dxa"/>
                  <w:tcMar>
                    <w:top w:w="0" w:type="dxa"/>
                    <w:left w:w="108" w:type="dxa"/>
                    <w:bottom w:w="0" w:type="dxa"/>
                    <w:right w:w="108" w:type="dxa"/>
                  </w:tcMar>
                  <w:hideMark/>
                </w:tcPr>
                <w:p w14:paraId="4CDAA883"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992" w:type="dxa"/>
                  <w:tcMar>
                    <w:top w:w="0" w:type="dxa"/>
                    <w:left w:w="108" w:type="dxa"/>
                    <w:bottom w:w="0" w:type="dxa"/>
                    <w:right w:w="108" w:type="dxa"/>
                  </w:tcMar>
                  <w:hideMark/>
                </w:tcPr>
                <w:p w14:paraId="7B7F90C3"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c>
                <w:tcPr>
                  <w:tcW w:w="993" w:type="dxa"/>
                  <w:tcMar>
                    <w:top w:w="0" w:type="dxa"/>
                    <w:left w:w="108" w:type="dxa"/>
                    <w:bottom w:w="0" w:type="dxa"/>
                    <w:right w:w="108" w:type="dxa"/>
                  </w:tcMar>
                  <w:hideMark/>
                </w:tcPr>
                <w:p w14:paraId="67E18D9C"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992" w:type="dxa"/>
                  <w:tcMar>
                    <w:top w:w="0" w:type="dxa"/>
                    <w:left w:w="108" w:type="dxa"/>
                    <w:bottom w:w="0" w:type="dxa"/>
                    <w:right w:w="108" w:type="dxa"/>
                  </w:tcMar>
                  <w:hideMark/>
                </w:tcPr>
                <w:p w14:paraId="530294C7"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c>
                <w:tcPr>
                  <w:tcW w:w="887" w:type="dxa"/>
                  <w:tcMar>
                    <w:top w:w="0" w:type="dxa"/>
                    <w:left w:w="108" w:type="dxa"/>
                    <w:bottom w:w="0" w:type="dxa"/>
                    <w:right w:w="108" w:type="dxa"/>
                  </w:tcMar>
                  <w:hideMark/>
                </w:tcPr>
                <w:p w14:paraId="251280D8"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SA</w:t>
                  </w:r>
                </w:p>
              </w:tc>
              <w:tc>
                <w:tcPr>
                  <w:tcW w:w="878" w:type="dxa"/>
                  <w:tcMar>
                    <w:top w:w="0" w:type="dxa"/>
                    <w:left w:w="108" w:type="dxa"/>
                    <w:bottom w:w="0" w:type="dxa"/>
                    <w:right w:w="108" w:type="dxa"/>
                  </w:tcMar>
                  <w:hideMark/>
                </w:tcPr>
                <w:p w14:paraId="51E59D2F" w14:textId="77777777" w:rsidR="009734BB" w:rsidRPr="00EB3D99" w:rsidRDefault="009734BB" w:rsidP="007E49BD">
                  <w:pPr>
                    <w:autoSpaceDE w:val="0"/>
                    <w:autoSpaceDN w:val="0"/>
                    <w:jc w:val="center"/>
                    <w:rPr>
                      <w:rFonts w:eastAsia="Calibri"/>
                      <w:b/>
                      <w:bCs/>
                      <w:sz w:val="18"/>
                      <w:szCs w:val="18"/>
                      <w:lang w:val="lv-LV"/>
                    </w:rPr>
                  </w:pPr>
                  <w:r w:rsidRPr="00EB3D99">
                    <w:rPr>
                      <w:b/>
                      <w:bCs/>
                      <w:sz w:val="18"/>
                      <w:szCs w:val="18"/>
                      <w:lang w:val="lv-LV" w:eastAsia="lv-LV"/>
                    </w:rPr>
                    <w:t>MA</w:t>
                  </w:r>
                </w:p>
              </w:tc>
            </w:tr>
            <w:tr w:rsidR="009734BB" w:rsidRPr="00EE1E8A" w14:paraId="721F1CEA" w14:textId="77777777" w:rsidTr="007E49BD">
              <w:trPr>
                <w:trHeight w:val="365"/>
              </w:trPr>
              <w:tc>
                <w:tcPr>
                  <w:tcW w:w="2232" w:type="dxa"/>
                  <w:vAlign w:val="center"/>
                  <w:hideMark/>
                </w:tcPr>
                <w:p w14:paraId="5AA3D97B" w14:textId="77777777" w:rsidR="009734BB" w:rsidRPr="00EB3D99" w:rsidRDefault="009734BB" w:rsidP="007E49BD">
                  <w:pPr>
                    <w:jc w:val="right"/>
                    <w:rPr>
                      <w:rFonts w:eastAsia="Calibri"/>
                      <w:b/>
                      <w:bCs/>
                      <w:sz w:val="18"/>
                      <w:szCs w:val="18"/>
                      <w:lang w:val="lv-LV"/>
                    </w:rPr>
                  </w:pPr>
                  <w:r w:rsidRPr="00EB3D99">
                    <w:rPr>
                      <w:b/>
                      <w:bCs/>
                      <w:sz w:val="18"/>
                      <w:szCs w:val="18"/>
                      <w:lang w:val="lv-LV"/>
                    </w:rPr>
                    <w:t>Ilgtspējīga izaugsme: dabas resursi</w:t>
                  </w:r>
                </w:p>
              </w:tc>
              <w:tc>
                <w:tcPr>
                  <w:tcW w:w="850" w:type="dxa"/>
                  <w:tcMar>
                    <w:top w:w="0" w:type="dxa"/>
                    <w:left w:w="108" w:type="dxa"/>
                    <w:bottom w:w="0" w:type="dxa"/>
                    <w:right w:w="108" w:type="dxa"/>
                  </w:tcMar>
                  <w:vAlign w:val="center"/>
                </w:tcPr>
                <w:p w14:paraId="5ADB23D1"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59 945,2</w:t>
                  </w:r>
                </w:p>
              </w:tc>
              <w:tc>
                <w:tcPr>
                  <w:tcW w:w="851" w:type="dxa"/>
                  <w:tcMar>
                    <w:top w:w="0" w:type="dxa"/>
                    <w:left w:w="108" w:type="dxa"/>
                    <w:bottom w:w="0" w:type="dxa"/>
                    <w:right w:w="108" w:type="dxa"/>
                  </w:tcMar>
                  <w:vAlign w:val="center"/>
                </w:tcPr>
                <w:p w14:paraId="23F9E47D"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57 964,6</w:t>
                  </w:r>
                </w:p>
              </w:tc>
              <w:tc>
                <w:tcPr>
                  <w:tcW w:w="850" w:type="dxa"/>
                  <w:tcMar>
                    <w:top w:w="0" w:type="dxa"/>
                    <w:left w:w="108" w:type="dxa"/>
                    <w:bottom w:w="0" w:type="dxa"/>
                    <w:right w:w="108" w:type="dxa"/>
                  </w:tcMar>
                  <w:vAlign w:val="center"/>
                </w:tcPr>
                <w:p w14:paraId="44BF67E7"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59 751,0</w:t>
                  </w:r>
                </w:p>
              </w:tc>
              <w:tc>
                <w:tcPr>
                  <w:tcW w:w="992" w:type="dxa"/>
                  <w:tcMar>
                    <w:top w:w="0" w:type="dxa"/>
                    <w:left w:w="108" w:type="dxa"/>
                    <w:bottom w:w="0" w:type="dxa"/>
                    <w:right w:w="108" w:type="dxa"/>
                  </w:tcMar>
                  <w:vAlign w:val="center"/>
                </w:tcPr>
                <w:p w14:paraId="7E01D03F"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57 774,4</w:t>
                  </w:r>
                </w:p>
              </w:tc>
              <w:tc>
                <w:tcPr>
                  <w:tcW w:w="993" w:type="dxa"/>
                  <w:tcMar>
                    <w:top w:w="0" w:type="dxa"/>
                    <w:left w:w="108" w:type="dxa"/>
                    <w:bottom w:w="0" w:type="dxa"/>
                    <w:right w:w="108" w:type="dxa"/>
                  </w:tcMar>
                  <w:vAlign w:val="center"/>
                </w:tcPr>
                <w:p w14:paraId="269EFE18"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60 288,6</w:t>
                  </w:r>
                </w:p>
              </w:tc>
              <w:tc>
                <w:tcPr>
                  <w:tcW w:w="992" w:type="dxa"/>
                  <w:tcMar>
                    <w:top w:w="0" w:type="dxa"/>
                    <w:left w:w="108" w:type="dxa"/>
                    <w:bottom w:w="0" w:type="dxa"/>
                    <w:right w:w="108" w:type="dxa"/>
                  </w:tcMar>
                  <w:vAlign w:val="center"/>
                </w:tcPr>
                <w:p w14:paraId="3C86A647"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58 177,8</w:t>
                  </w:r>
                </w:p>
              </w:tc>
              <w:tc>
                <w:tcPr>
                  <w:tcW w:w="887" w:type="dxa"/>
                  <w:tcMar>
                    <w:top w:w="0" w:type="dxa"/>
                    <w:left w:w="108" w:type="dxa"/>
                    <w:bottom w:w="0" w:type="dxa"/>
                    <w:right w:w="108" w:type="dxa"/>
                  </w:tcMar>
                  <w:vAlign w:val="center"/>
                </w:tcPr>
                <w:p w14:paraId="14A5B72E"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537,6</w:t>
                  </w:r>
                </w:p>
              </w:tc>
              <w:tc>
                <w:tcPr>
                  <w:tcW w:w="878" w:type="dxa"/>
                  <w:tcMar>
                    <w:top w:w="0" w:type="dxa"/>
                    <w:left w:w="108" w:type="dxa"/>
                    <w:bottom w:w="0" w:type="dxa"/>
                    <w:right w:w="108" w:type="dxa"/>
                  </w:tcMar>
                  <w:vAlign w:val="center"/>
                </w:tcPr>
                <w:p w14:paraId="34711AD5" w14:textId="77777777" w:rsidR="009734BB" w:rsidRPr="00EB3D99" w:rsidRDefault="009734BB" w:rsidP="007E49BD">
                  <w:pPr>
                    <w:autoSpaceDE w:val="0"/>
                    <w:autoSpaceDN w:val="0"/>
                    <w:jc w:val="center"/>
                    <w:rPr>
                      <w:rFonts w:eastAsia="Calibri"/>
                      <w:b/>
                      <w:sz w:val="18"/>
                      <w:szCs w:val="18"/>
                      <w:u w:val="single"/>
                      <w:lang w:val="lv-LV"/>
                    </w:rPr>
                  </w:pPr>
                  <w:r w:rsidRPr="00EB3D99">
                    <w:rPr>
                      <w:rFonts w:eastAsia="Calibri"/>
                      <w:b/>
                      <w:sz w:val="18"/>
                      <w:szCs w:val="18"/>
                      <w:u w:val="single"/>
                      <w:lang w:val="lv-LV"/>
                    </w:rPr>
                    <w:t>403,4</w:t>
                  </w:r>
                </w:p>
              </w:tc>
            </w:tr>
            <w:tr w:rsidR="009734BB" w:rsidRPr="00EE1E8A" w14:paraId="7A5D45A6" w14:textId="77777777" w:rsidTr="007E49BD">
              <w:trPr>
                <w:trHeight w:val="239"/>
              </w:trPr>
              <w:tc>
                <w:tcPr>
                  <w:tcW w:w="2232" w:type="dxa"/>
                  <w:tcMar>
                    <w:top w:w="0" w:type="dxa"/>
                    <w:left w:w="108" w:type="dxa"/>
                    <w:bottom w:w="0" w:type="dxa"/>
                    <w:right w:w="108" w:type="dxa"/>
                  </w:tcMar>
                  <w:vAlign w:val="center"/>
                  <w:hideMark/>
                </w:tcPr>
                <w:p w14:paraId="2EA53E69" w14:textId="77777777" w:rsidR="009734BB" w:rsidRPr="00EB3D99" w:rsidRDefault="009734BB" w:rsidP="007E49BD">
                  <w:pPr>
                    <w:autoSpaceDE w:val="0"/>
                    <w:autoSpaceDN w:val="0"/>
                    <w:jc w:val="right"/>
                    <w:rPr>
                      <w:rFonts w:eastAsia="Calibri"/>
                      <w:bCs/>
                      <w:i/>
                      <w:sz w:val="18"/>
                      <w:szCs w:val="18"/>
                      <w:u w:val="single"/>
                      <w:lang w:val="lv-LV" w:eastAsia="lv-LV"/>
                    </w:rPr>
                  </w:pPr>
                  <w:r w:rsidRPr="00EB3D99">
                    <w:rPr>
                      <w:bCs/>
                      <w:i/>
                      <w:sz w:val="18"/>
                      <w:szCs w:val="18"/>
                      <w:u w:val="single"/>
                      <w:lang w:val="lv-LV" w:eastAsia="lv-LV"/>
                    </w:rPr>
                    <w:t>rezerve</w:t>
                  </w:r>
                </w:p>
              </w:tc>
              <w:tc>
                <w:tcPr>
                  <w:tcW w:w="850" w:type="dxa"/>
                  <w:tcMar>
                    <w:top w:w="0" w:type="dxa"/>
                    <w:left w:w="108" w:type="dxa"/>
                    <w:bottom w:w="0" w:type="dxa"/>
                    <w:right w:w="108" w:type="dxa"/>
                  </w:tcMar>
                  <w:vAlign w:val="center"/>
                  <w:hideMark/>
                </w:tcPr>
                <w:p w14:paraId="1458104C" w14:textId="77777777" w:rsidR="009734BB" w:rsidRPr="00EB3D99" w:rsidRDefault="009734BB" w:rsidP="007E49BD">
                  <w:pPr>
                    <w:autoSpaceDE w:val="0"/>
                    <w:autoSpaceDN w:val="0"/>
                    <w:jc w:val="center"/>
                    <w:rPr>
                      <w:rFonts w:eastAsia="Calibri"/>
                      <w:i/>
                      <w:sz w:val="18"/>
                      <w:szCs w:val="18"/>
                      <w:u w:val="single"/>
                      <w:lang w:val="lv-LV" w:eastAsia="lv-LV"/>
                    </w:rPr>
                  </w:pPr>
                  <w:r w:rsidRPr="00EB3D99">
                    <w:rPr>
                      <w:rFonts w:eastAsia="Calibri"/>
                      <w:i/>
                      <w:sz w:val="18"/>
                      <w:szCs w:val="18"/>
                      <w:u w:val="single"/>
                      <w:lang w:val="lv-LV" w:eastAsia="lv-LV"/>
                    </w:rPr>
                    <w:t>475,8</w:t>
                  </w:r>
                </w:p>
              </w:tc>
              <w:tc>
                <w:tcPr>
                  <w:tcW w:w="851" w:type="dxa"/>
                  <w:tcMar>
                    <w:top w:w="0" w:type="dxa"/>
                    <w:left w:w="108" w:type="dxa"/>
                    <w:bottom w:w="0" w:type="dxa"/>
                    <w:right w:w="108" w:type="dxa"/>
                  </w:tcMar>
                  <w:vAlign w:val="center"/>
                </w:tcPr>
                <w:p w14:paraId="1175F866" w14:textId="77777777" w:rsidR="009734BB" w:rsidRPr="00EB3D99" w:rsidRDefault="009734BB" w:rsidP="007E49BD">
                  <w:pPr>
                    <w:autoSpaceDE w:val="0"/>
                    <w:autoSpaceDN w:val="0"/>
                    <w:jc w:val="center"/>
                    <w:rPr>
                      <w:rFonts w:eastAsia="Calibri"/>
                      <w:i/>
                      <w:sz w:val="18"/>
                      <w:szCs w:val="18"/>
                      <w:u w:val="single"/>
                      <w:lang w:val="lv-LV" w:eastAsia="lv-LV"/>
                    </w:rPr>
                  </w:pPr>
                </w:p>
              </w:tc>
              <w:tc>
                <w:tcPr>
                  <w:tcW w:w="850" w:type="dxa"/>
                  <w:tcMar>
                    <w:top w:w="0" w:type="dxa"/>
                    <w:left w:w="108" w:type="dxa"/>
                    <w:bottom w:w="0" w:type="dxa"/>
                    <w:right w:w="108" w:type="dxa"/>
                  </w:tcMar>
                  <w:vAlign w:val="center"/>
                  <w:hideMark/>
                </w:tcPr>
                <w:p w14:paraId="75C70AC9" w14:textId="77777777" w:rsidR="009734BB" w:rsidRPr="00EB3D99" w:rsidRDefault="009734BB" w:rsidP="007E49BD">
                  <w:pPr>
                    <w:autoSpaceDE w:val="0"/>
                    <w:autoSpaceDN w:val="0"/>
                    <w:jc w:val="right"/>
                    <w:rPr>
                      <w:rFonts w:eastAsia="Calibri"/>
                      <w:i/>
                      <w:sz w:val="18"/>
                      <w:szCs w:val="18"/>
                      <w:u w:val="single"/>
                      <w:lang w:val="lv-LV" w:eastAsia="lv-LV"/>
                    </w:rPr>
                  </w:pPr>
                  <w:r w:rsidRPr="00EB3D99">
                    <w:rPr>
                      <w:i/>
                      <w:sz w:val="18"/>
                      <w:szCs w:val="18"/>
                      <w:u w:val="single"/>
                      <w:lang w:val="lv-LV" w:eastAsia="lv-LV"/>
                    </w:rPr>
                    <w:t>670,0</w:t>
                  </w:r>
                </w:p>
              </w:tc>
              <w:tc>
                <w:tcPr>
                  <w:tcW w:w="992" w:type="dxa"/>
                  <w:tcMar>
                    <w:top w:w="0" w:type="dxa"/>
                    <w:left w:w="108" w:type="dxa"/>
                    <w:bottom w:w="0" w:type="dxa"/>
                    <w:right w:w="108" w:type="dxa"/>
                  </w:tcMar>
                  <w:vAlign w:val="center"/>
                </w:tcPr>
                <w:p w14:paraId="6FF5C7E3" w14:textId="77777777" w:rsidR="009734BB" w:rsidRPr="00EB3D99" w:rsidRDefault="009734BB" w:rsidP="007E49BD">
                  <w:pPr>
                    <w:autoSpaceDE w:val="0"/>
                    <w:autoSpaceDN w:val="0"/>
                    <w:jc w:val="center"/>
                    <w:rPr>
                      <w:rFonts w:eastAsia="Calibri"/>
                      <w:i/>
                      <w:sz w:val="18"/>
                      <w:szCs w:val="18"/>
                      <w:u w:val="single"/>
                      <w:lang w:val="lv-LV" w:eastAsia="lv-LV"/>
                    </w:rPr>
                  </w:pPr>
                </w:p>
              </w:tc>
              <w:tc>
                <w:tcPr>
                  <w:tcW w:w="993" w:type="dxa"/>
                  <w:tcMar>
                    <w:top w:w="0" w:type="dxa"/>
                    <w:left w:w="108" w:type="dxa"/>
                    <w:bottom w:w="0" w:type="dxa"/>
                    <w:right w:w="108" w:type="dxa"/>
                  </w:tcMar>
                  <w:vAlign w:val="center"/>
                </w:tcPr>
                <w:p w14:paraId="43024DDE" w14:textId="77777777" w:rsidR="009734BB" w:rsidRPr="00EB3D99" w:rsidRDefault="009734BB" w:rsidP="007E49BD">
                  <w:pPr>
                    <w:autoSpaceDE w:val="0"/>
                    <w:autoSpaceDN w:val="0"/>
                    <w:jc w:val="center"/>
                    <w:rPr>
                      <w:rFonts w:eastAsia="Calibri"/>
                      <w:i/>
                      <w:sz w:val="18"/>
                      <w:szCs w:val="18"/>
                      <w:u w:val="single"/>
                      <w:lang w:val="lv-LV" w:eastAsia="lv-LV"/>
                    </w:rPr>
                  </w:pPr>
                  <w:r w:rsidRPr="00EB3D99">
                    <w:rPr>
                      <w:rFonts w:eastAsia="Calibri"/>
                      <w:i/>
                      <w:sz w:val="18"/>
                      <w:szCs w:val="18"/>
                      <w:u w:val="single"/>
                      <w:lang w:val="lv-LV" w:eastAsia="lv-LV"/>
                    </w:rPr>
                    <w:t>132,4</w:t>
                  </w:r>
                </w:p>
              </w:tc>
              <w:tc>
                <w:tcPr>
                  <w:tcW w:w="992" w:type="dxa"/>
                  <w:tcMar>
                    <w:top w:w="0" w:type="dxa"/>
                    <w:left w:w="108" w:type="dxa"/>
                    <w:bottom w:w="0" w:type="dxa"/>
                    <w:right w:w="108" w:type="dxa"/>
                  </w:tcMar>
                  <w:vAlign w:val="center"/>
                </w:tcPr>
                <w:p w14:paraId="4A7227F9" w14:textId="77777777" w:rsidR="009734BB" w:rsidRPr="00EB3D99" w:rsidRDefault="009734BB" w:rsidP="007E49BD">
                  <w:pPr>
                    <w:autoSpaceDE w:val="0"/>
                    <w:autoSpaceDN w:val="0"/>
                    <w:jc w:val="center"/>
                    <w:rPr>
                      <w:rFonts w:eastAsia="Calibri"/>
                      <w:i/>
                      <w:sz w:val="18"/>
                      <w:szCs w:val="18"/>
                      <w:u w:val="single"/>
                      <w:lang w:val="lv-LV" w:eastAsia="lv-LV"/>
                    </w:rPr>
                  </w:pPr>
                </w:p>
              </w:tc>
              <w:tc>
                <w:tcPr>
                  <w:tcW w:w="887" w:type="dxa"/>
                  <w:tcMar>
                    <w:top w:w="0" w:type="dxa"/>
                    <w:left w:w="108" w:type="dxa"/>
                    <w:bottom w:w="0" w:type="dxa"/>
                    <w:right w:w="108" w:type="dxa"/>
                  </w:tcMar>
                  <w:vAlign w:val="center"/>
                </w:tcPr>
                <w:p w14:paraId="18744BA2" w14:textId="77777777" w:rsidR="009734BB" w:rsidRPr="00EB3D99" w:rsidRDefault="009734BB" w:rsidP="007E49BD">
                  <w:pPr>
                    <w:autoSpaceDE w:val="0"/>
                    <w:autoSpaceDN w:val="0"/>
                    <w:jc w:val="center"/>
                    <w:rPr>
                      <w:rFonts w:eastAsia="Calibri"/>
                      <w:i/>
                      <w:sz w:val="18"/>
                      <w:szCs w:val="18"/>
                      <w:u w:val="single"/>
                      <w:lang w:val="lv-LV" w:eastAsia="lv-LV"/>
                    </w:rPr>
                  </w:pPr>
                  <w:r w:rsidRPr="00EB3D99">
                    <w:rPr>
                      <w:rFonts w:eastAsia="Calibri"/>
                      <w:i/>
                      <w:sz w:val="18"/>
                      <w:szCs w:val="18"/>
                      <w:u w:val="single"/>
                      <w:lang w:val="lv-LV" w:eastAsia="lv-LV"/>
                    </w:rPr>
                    <w:t>-537,6</w:t>
                  </w:r>
                </w:p>
              </w:tc>
              <w:tc>
                <w:tcPr>
                  <w:tcW w:w="878" w:type="dxa"/>
                  <w:tcMar>
                    <w:top w:w="0" w:type="dxa"/>
                    <w:left w:w="108" w:type="dxa"/>
                    <w:bottom w:w="0" w:type="dxa"/>
                    <w:right w:w="108" w:type="dxa"/>
                  </w:tcMar>
                  <w:vAlign w:val="center"/>
                </w:tcPr>
                <w:p w14:paraId="408646F7" w14:textId="77777777" w:rsidR="009734BB" w:rsidRPr="00EB3D99" w:rsidRDefault="009734BB" w:rsidP="007E49BD">
                  <w:pPr>
                    <w:autoSpaceDE w:val="0"/>
                    <w:autoSpaceDN w:val="0"/>
                    <w:jc w:val="center"/>
                    <w:rPr>
                      <w:rFonts w:eastAsia="Calibri"/>
                      <w:i/>
                      <w:sz w:val="18"/>
                      <w:szCs w:val="18"/>
                      <w:u w:val="single"/>
                      <w:lang w:val="lv-LV" w:eastAsia="lv-LV"/>
                    </w:rPr>
                  </w:pPr>
                </w:p>
              </w:tc>
            </w:tr>
          </w:tbl>
          <w:p w14:paraId="2F218E10" w14:textId="3FDD71CB" w:rsidR="00255EC2" w:rsidRPr="00EE1E8A" w:rsidRDefault="009734BB" w:rsidP="001A631A">
            <w:pPr>
              <w:autoSpaceDE w:val="0"/>
              <w:autoSpaceDN w:val="0"/>
              <w:adjustRightInd w:val="0"/>
              <w:spacing w:before="120" w:after="120"/>
              <w:jc w:val="both"/>
              <w:rPr>
                <w:rFonts w:eastAsia="Calibri"/>
                <w:b/>
                <w:u w:val="single"/>
                <w:lang w:val="lv-LV" w:eastAsia="lv-LV"/>
              </w:rPr>
            </w:pPr>
            <w:r w:rsidRPr="00EE1E8A">
              <w:rPr>
                <w:rFonts w:eastAsia="Calibri"/>
                <w:b/>
                <w:u w:val="single"/>
                <w:lang w:val="lv-LV" w:eastAsia="lv-LV"/>
              </w:rPr>
              <w:t>EK priekšlikums BP 2020.gadam un AL 1/2020</w:t>
            </w:r>
          </w:p>
          <w:p w14:paraId="3553C877" w14:textId="08F116F2" w:rsidR="00255EC2" w:rsidRPr="00255C4F" w:rsidRDefault="00096609" w:rsidP="00096609">
            <w:pPr>
              <w:autoSpaceDE w:val="0"/>
              <w:autoSpaceDN w:val="0"/>
              <w:adjustRightInd w:val="0"/>
              <w:jc w:val="both"/>
              <w:rPr>
                <w:rFonts w:eastAsiaTheme="minorHAnsi"/>
                <w:color w:val="000000"/>
                <w:lang w:val="lv-LV"/>
              </w:rPr>
            </w:pPr>
            <w:r>
              <w:rPr>
                <w:rFonts w:eastAsiaTheme="minorHAnsi"/>
                <w:color w:val="000000"/>
                <w:lang w:val="lv-LV"/>
              </w:rPr>
              <w:t>Līdz ar a</w:t>
            </w:r>
            <w:r w:rsidR="00255EC2" w:rsidRPr="00EE1E8A">
              <w:rPr>
                <w:rFonts w:eastAsiaTheme="minorHAnsi"/>
                <w:color w:val="000000"/>
                <w:lang w:val="lv-LV"/>
              </w:rPr>
              <w:t xml:space="preserve">tjauninātiem datiem par lauksaimniecības izdevumu aplēstajām vajadzībām, piešķirtajiem ieņēmumiem un apropriācijām,  papildus mainīgajiem tirgus faktoriem </w:t>
            </w:r>
            <w:r w:rsidR="008C152E" w:rsidRPr="00EE1E8A">
              <w:rPr>
                <w:rFonts w:eastAsiaTheme="minorHAnsi"/>
                <w:color w:val="000000"/>
                <w:lang w:val="lv-LV"/>
              </w:rPr>
              <w:t xml:space="preserve">EK iesniegtajā grozījumu </w:t>
            </w:r>
            <w:r w:rsidR="00255EC2" w:rsidRPr="00562B3F">
              <w:rPr>
                <w:rFonts w:eastAsiaTheme="minorHAnsi"/>
                <w:color w:val="000000"/>
                <w:lang w:val="lv-LV"/>
              </w:rPr>
              <w:t>vēstulē</w:t>
            </w:r>
            <w:r w:rsidR="008374E4">
              <w:rPr>
                <w:rFonts w:eastAsiaTheme="minorHAnsi"/>
                <w:color w:val="000000"/>
                <w:lang w:val="lv-LV"/>
              </w:rPr>
              <w:t>/ AL</w:t>
            </w:r>
            <w:r w:rsidR="00255EC2" w:rsidRPr="00562B3F">
              <w:rPr>
                <w:rFonts w:eastAsiaTheme="minorHAnsi"/>
                <w:color w:val="000000"/>
                <w:lang w:val="lv-LV"/>
              </w:rPr>
              <w:t xml:space="preserve"> ir iestrādāta arī to lauksaimniecības nozares lēmumu ietekme, kuri pieņemti kopš 20</w:t>
            </w:r>
            <w:r w:rsidR="00F272ED">
              <w:rPr>
                <w:rFonts w:eastAsiaTheme="minorHAnsi"/>
                <w:color w:val="000000"/>
                <w:lang w:val="lv-LV"/>
              </w:rPr>
              <w:t>20</w:t>
            </w:r>
            <w:r w:rsidR="00255EC2" w:rsidRPr="00562B3F">
              <w:rPr>
                <w:rFonts w:eastAsiaTheme="minorHAnsi"/>
                <w:color w:val="000000"/>
                <w:lang w:val="lv-LV"/>
              </w:rPr>
              <w:t>.gada BP apstiprināšanas 201</w:t>
            </w:r>
            <w:r w:rsidR="00F272ED">
              <w:rPr>
                <w:rFonts w:eastAsiaTheme="minorHAnsi"/>
                <w:color w:val="000000"/>
                <w:lang w:val="lv-LV"/>
              </w:rPr>
              <w:t>9</w:t>
            </w:r>
            <w:r w:rsidR="00255EC2" w:rsidRPr="00562B3F">
              <w:rPr>
                <w:rFonts w:eastAsiaTheme="minorHAnsi"/>
                <w:color w:val="000000"/>
                <w:lang w:val="lv-LV"/>
              </w:rPr>
              <w:t>. gada jūnijā, kā arī citi priekšlikumi, kuriem būs būtiska ietekme 20</w:t>
            </w:r>
            <w:r w:rsidR="00F272ED">
              <w:rPr>
                <w:rFonts w:eastAsiaTheme="minorHAnsi"/>
                <w:color w:val="000000"/>
                <w:lang w:val="lv-LV"/>
              </w:rPr>
              <w:t>20</w:t>
            </w:r>
            <w:r w:rsidR="00255EC2" w:rsidRPr="00562B3F">
              <w:rPr>
                <w:rFonts w:eastAsiaTheme="minorHAnsi"/>
                <w:color w:val="000000"/>
                <w:lang w:val="lv-LV"/>
              </w:rPr>
              <w:t xml:space="preserve">. gadā. </w:t>
            </w:r>
          </w:p>
          <w:p w14:paraId="7C9FCEA3" w14:textId="77777777" w:rsidR="00255EC2" w:rsidRPr="00154F55" w:rsidRDefault="00255EC2" w:rsidP="007E49BD">
            <w:pPr>
              <w:autoSpaceDE w:val="0"/>
              <w:autoSpaceDN w:val="0"/>
              <w:adjustRightInd w:val="0"/>
              <w:spacing w:before="120" w:after="120"/>
              <w:jc w:val="both"/>
              <w:rPr>
                <w:rFonts w:eastAsia="Calibri"/>
                <w:b/>
                <w:u w:val="single"/>
                <w:lang w:val="lv-LV" w:eastAsia="lv-LV"/>
              </w:rPr>
            </w:pPr>
          </w:p>
          <w:p w14:paraId="39D5E54E" w14:textId="666CFB8C" w:rsidR="009734BB" w:rsidRPr="00EE1E8A" w:rsidRDefault="009734BB" w:rsidP="001A631A">
            <w:pPr>
              <w:spacing w:before="120" w:after="120"/>
              <w:jc w:val="both"/>
              <w:rPr>
                <w:rFonts w:eastAsia="Calibri"/>
                <w:b/>
                <w:u w:val="single"/>
                <w:lang w:val="lv-LV" w:eastAsia="lv-LV"/>
              </w:rPr>
            </w:pPr>
            <w:r w:rsidRPr="00EB3D99">
              <w:rPr>
                <w:lang w:val="lv-LV"/>
              </w:rPr>
              <w:lastRenderedPageBreak/>
              <w:t xml:space="preserve">Lauksaimniecībā izdevumiem ir pieejami aktuālākie dati (ražošanas līmenis un tirgus perspektīvas, faktiskie skaitļi par 2019.g. izpildi attiecībā uz </w:t>
            </w:r>
            <w:proofErr w:type="spellStart"/>
            <w:r w:rsidRPr="00EB3D99">
              <w:rPr>
                <w:lang w:val="lv-LV"/>
              </w:rPr>
              <w:t>tiešmaksājumiem</w:t>
            </w:r>
            <w:proofErr w:type="spellEnd"/>
            <w:r w:rsidRPr="00EB3D99">
              <w:rPr>
                <w:lang w:val="lv-LV"/>
              </w:rPr>
              <w:t>), kuri kalpo par pamatu 2020.g. vajadzību aplēsei. Kopumā EGAF (</w:t>
            </w:r>
            <w:proofErr w:type="spellStart"/>
            <w:r w:rsidRPr="00EB3D99">
              <w:rPr>
                <w:lang w:val="lv-LV"/>
              </w:rPr>
              <w:t>I.pīlārs</w:t>
            </w:r>
            <w:proofErr w:type="spellEnd"/>
            <w:r w:rsidR="00521847">
              <w:rPr>
                <w:lang w:val="lv-LV"/>
              </w:rPr>
              <w:t>:</w:t>
            </w:r>
            <w:r w:rsidRPr="00EB3D99">
              <w:rPr>
                <w:lang w:val="lv-LV"/>
              </w:rPr>
              <w:t xml:space="preserve"> </w:t>
            </w:r>
            <w:proofErr w:type="spellStart"/>
            <w:r w:rsidR="005E4C17">
              <w:rPr>
                <w:lang w:val="lv-LV"/>
              </w:rPr>
              <w:t>T</w:t>
            </w:r>
            <w:r w:rsidRPr="00EB3D99">
              <w:rPr>
                <w:lang w:val="lv-LV"/>
              </w:rPr>
              <w:t>iešmaksājumi</w:t>
            </w:r>
            <w:proofErr w:type="spellEnd"/>
            <w:r w:rsidRPr="00EB3D99">
              <w:rPr>
                <w:lang w:val="lv-LV"/>
              </w:rPr>
              <w:t xml:space="preserve"> un tirgus pasākumi) vajadzības salīdzinājumā ar sākotnēji piedāvāto </w:t>
            </w:r>
            <w:r w:rsidR="00634D42" w:rsidRPr="00EB3D99">
              <w:rPr>
                <w:lang w:val="lv-LV"/>
              </w:rPr>
              <w:t xml:space="preserve">BP </w:t>
            </w:r>
            <w:r w:rsidRPr="00EB3D99">
              <w:rPr>
                <w:lang w:val="lv-LV"/>
              </w:rPr>
              <w:t>pieaugušas par 304,3 milj.</w:t>
            </w:r>
            <w:r w:rsidR="00521847">
              <w:rPr>
                <w:lang w:val="lv-LV"/>
              </w:rPr>
              <w:t xml:space="preserve"> </w:t>
            </w:r>
            <w:r w:rsidRPr="00EB3D99">
              <w:rPr>
                <w:lang w:val="lv-LV"/>
              </w:rPr>
              <w:t>EUR. Taču vienlaicīgi ir pieaudzis arī iezīmēto ieņēmumu apjoms, kā rezultātā izdevumu segšanai pieejami papildu 354</w:t>
            </w:r>
            <w:r w:rsidR="005E4C17">
              <w:rPr>
                <w:lang w:val="lv-LV"/>
              </w:rPr>
              <w:t xml:space="preserve"> </w:t>
            </w:r>
            <w:r w:rsidRPr="00EB3D99">
              <w:rPr>
                <w:lang w:val="lv-LV"/>
              </w:rPr>
              <w:t>milj.</w:t>
            </w:r>
            <w:r w:rsidR="00521847">
              <w:rPr>
                <w:lang w:val="lv-LV"/>
              </w:rPr>
              <w:t xml:space="preserve"> </w:t>
            </w:r>
            <w:r w:rsidRPr="00EB3D99">
              <w:rPr>
                <w:lang w:val="lv-LV"/>
              </w:rPr>
              <w:t>EUR. Tādēļ EK ierosina lauksaimniecības vajadzību apjomu 2020.g. samazināt par -49,7 milj.</w:t>
            </w:r>
            <w:r w:rsidR="00521847">
              <w:rPr>
                <w:lang w:val="lv-LV"/>
              </w:rPr>
              <w:t xml:space="preserve"> </w:t>
            </w:r>
            <w:r w:rsidRPr="00EB3D99">
              <w:rPr>
                <w:lang w:val="lv-LV"/>
              </w:rPr>
              <w:t>EUR.</w:t>
            </w:r>
            <w:r w:rsidR="005E4C17">
              <w:rPr>
                <w:lang w:val="lv-LV"/>
              </w:rPr>
              <w:t xml:space="preserve"> AL 1/2020</w:t>
            </w:r>
            <w:r w:rsidR="00634D42" w:rsidRPr="00EB3D99">
              <w:rPr>
                <w:lang w:val="lv-LV"/>
              </w:rPr>
              <w:t xml:space="preserve"> ir </w:t>
            </w:r>
            <w:r w:rsidRPr="00EB3D99">
              <w:rPr>
                <w:lang w:val="lv-LV"/>
              </w:rPr>
              <w:t>iekļautas arī ilgtspējīgu zvejas partnerības nolīgumu izmaiņas. Arī šīs izmaiņas ir tehniskas</w:t>
            </w:r>
            <w:r w:rsidR="00634D42" w:rsidRPr="00EB3D99">
              <w:rPr>
                <w:lang w:val="lv-LV"/>
              </w:rPr>
              <w:t xml:space="preserve"> un neitrālas</w:t>
            </w:r>
            <w:r w:rsidRPr="00EB3D99">
              <w:rPr>
                <w:lang w:val="lv-LV"/>
              </w:rPr>
              <w:t xml:space="preserve"> iepretim sākotnējam </w:t>
            </w:r>
            <w:r w:rsidR="00634D42" w:rsidRPr="00EB3D99">
              <w:rPr>
                <w:lang w:val="lv-LV"/>
              </w:rPr>
              <w:t>BP</w:t>
            </w:r>
            <w:r w:rsidR="005E4C17">
              <w:rPr>
                <w:lang w:val="lv-LV"/>
              </w:rPr>
              <w:t>,</w:t>
            </w:r>
            <w:r w:rsidR="00634D42" w:rsidRPr="00EB3D99">
              <w:rPr>
                <w:lang w:val="lv-LV"/>
              </w:rPr>
              <w:t xml:space="preserve"> </w:t>
            </w:r>
            <w:r w:rsidRPr="00EB3D99">
              <w:rPr>
                <w:lang w:val="lv-LV"/>
              </w:rPr>
              <w:t>jo</w:t>
            </w:r>
            <w:r w:rsidR="00634D42" w:rsidRPr="00EB3D99">
              <w:rPr>
                <w:lang w:val="lv-LV"/>
              </w:rPr>
              <w:t xml:space="preserve"> tiek izvērtētas</w:t>
            </w:r>
            <w:r w:rsidRPr="00EB3D99">
              <w:rPr>
                <w:lang w:val="lv-LV"/>
              </w:rPr>
              <w:t xml:space="preserve"> precīzākas nozvejas vajadzības, kuras izriet no partnerības līgumiem</w:t>
            </w:r>
            <w:r w:rsidR="005E4C17">
              <w:rPr>
                <w:lang w:val="lv-LV"/>
              </w:rPr>
              <w:t>.</w:t>
            </w:r>
            <w:r w:rsidRPr="00EB3D99">
              <w:rPr>
                <w:lang w:val="lv-LV"/>
              </w:rPr>
              <w:t xml:space="preserve">  </w:t>
            </w:r>
          </w:p>
          <w:p w14:paraId="6EE03A52" w14:textId="77777777" w:rsidR="004D46A1" w:rsidRDefault="004D46A1" w:rsidP="007E49BD">
            <w:pPr>
              <w:spacing w:before="120" w:after="120"/>
              <w:jc w:val="both"/>
              <w:rPr>
                <w:b/>
                <w:u w:val="single"/>
                <w:lang w:val="lv-LV"/>
              </w:rPr>
            </w:pPr>
          </w:p>
          <w:p w14:paraId="5DCAB2C8" w14:textId="2819550A" w:rsidR="009734BB" w:rsidRPr="00EB3D99" w:rsidRDefault="009734BB" w:rsidP="007E49BD">
            <w:pPr>
              <w:spacing w:before="120" w:after="120"/>
              <w:jc w:val="both"/>
              <w:rPr>
                <w:b/>
                <w:u w:val="single"/>
                <w:lang w:val="lv-LV"/>
              </w:rPr>
            </w:pPr>
            <w:r w:rsidRPr="00EB3D99">
              <w:rPr>
                <w:b/>
                <w:u w:val="single"/>
                <w:lang w:val="lv-LV"/>
              </w:rPr>
              <w:t>Padomes pozīcija par BP 2020.gadam</w:t>
            </w:r>
          </w:p>
          <w:p w14:paraId="44398D81" w14:textId="2C8DC116" w:rsidR="009734BB" w:rsidRPr="00255C4F" w:rsidRDefault="009734BB" w:rsidP="007E49BD">
            <w:pPr>
              <w:autoSpaceDE w:val="0"/>
              <w:autoSpaceDN w:val="0"/>
              <w:spacing w:before="120" w:after="120"/>
              <w:jc w:val="both"/>
              <w:rPr>
                <w:lang w:val="lv-LV"/>
              </w:rPr>
            </w:pPr>
            <w:r w:rsidRPr="00EE1E8A">
              <w:rPr>
                <w:b/>
                <w:lang w:val="lv-LV"/>
              </w:rPr>
              <w:t>Padomes nostāja paredz</w:t>
            </w:r>
            <w:r w:rsidRPr="00EE1E8A">
              <w:rPr>
                <w:lang w:val="lv-LV"/>
              </w:rPr>
              <w:t xml:space="preserve"> </w:t>
            </w:r>
            <w:r w:rsidR="00255EC2" w:rsidRPr="00EE1E8A">
              <w:rPr>
                <w:lang w:val="lv-LV"/>
              </w:rPr>
              <w:t xml:space="preserve">EK BP </w:t>
            </w:r>
            <w:r w:rsidRPr="00EE1E8A">
              <w:rPr>
                <w:lang w:val="lv-LV"/>
              </w:rPr>
              <w:t>samazināt par -194,2</w:t>
            </w:r>
            <w:r w:rsidR="00E90681">
              <w:rPr>
                <w:lang w:val="lv-LV"/>
              </w:rPr>
              <w:t xml:space="preserve"> </w:t>
            </w:r>
            <w:r w:rsidRPr="00EE1E8A">
              <w:rPr>
                <w:lang w:val="lv-LV"/>
              </w:rPr>
              <w:t xml:space="preserve">milj. EUR SA un -190,2 milj. EUR MA. Lielākais samazinājums piedāvāts </w:t>
            </w:r>
            <w:proofErr w:type="spellStart"/>
            <w:r w:rsidRPr="00EE1E8A">
              <w:rPr>
                <w:lang w:val="lv-LV"/>
              </w:rPr>
              <w:t>tiešmaksājumiem</w:t>
            </w:r>
            <w:proofErr w:type="spellEnd"/>
            <w:r w:rsidRPr="00562B3F">
              <w:rPr>
                <w:lang w:val="lv-LV"/>
              </w:rPr>
              <w:t xml:space="preserve"> (</w:t>
            </w:r>
            <w:proofErr w:type="spellStart"/>
            <w:r w:rsidRPr="00562B3F">
              <w:rPr>
                <w:i/>
                <w:lang w:val="lv-LV"/>
              </w:rPr>
              <w:t>Basic</w:t>
            </w:r>
            <w:proofErr w:type="spellEnd"/>
            <w:r w:rsidRPr="00562B3F">
              <w:rPr>
                <w:i/>
                <w:lang w:val="lv-LV"/>
              </w:rPr>
              <w:t xml:space="preserve"> </w:t>
            </w:r>
            <w:proofErr w:type="spellStart"/>
            <w:r w:rsidRPr="00562B3F">
              <w:rPr>
                <w:i/>
                <w:lang w:val="lv-LV"/>
              </w:rPr>
              <w:t>payment</w:t>
            </w:r>
            <w:proofErr w:type="spellEnd"/>
            <w:r w:rsidRPr="00562B3F">
              <w:rPr>
                <w:i/>
                <w:lang w:val="lv-LV"/>
              </w:rPr>
              <w:t xml:space="preserve"> </w:t>
            </w:r>
            <w:proofErr w:type="spellStart"/>
            <w:r w:rsidRPr="00562B3F">
              <w:rPr>
                <w:i/>
                <w:lang w:val="lv-LV"/>
              </w:rPr>
              <w:t>scheme</w:t>
            </w:r>
            <w:proofErr w:type="spellEnd"/>
            <w:r w:rsidRPr="00255C4F">
              <w:rPr>
                <w:lang w:val="lv-LV"/>
              </w:rPr>
              <w:t>).</w:t>
            </w:r>
          </w:p>
          <w:p w14:paraId="3AF609BA" w14:textId="77777777" w:rsidR="000B59A8" w:rsidRDefault="00E90681" w:rsidP="007E49BD">
            <w:pPr>
              <w:jc w:val="both"/>
              <w:rPr>
                <w:rFonts w:eastAsia="Calibri"/>
                <w:b/>
                <w:u w:val="single"/>
                <w:lang w:val="lv-LV" w:eastAsia="lv-LV"/>
              </w:rPr>
            </w:pPr>
            <w:r w:rsidRPr="00FF4FC0">
              <w:rPr>
                <w:b/>
                <w:u w:val="single"/>
                <w:lang w:val="lv-LV"/>
              </w:rPr>
              <w:t>EP pozīcija par BP 2020.gadam</w:t>
            </w:r>
            <w:r w:rsidRPr="00154F55" w:rsidDel="00E90681">
              <w:rPr>
                <w:rFonts w:eastAsia="Calibri"/>
                <w:b/>
                <w:u w:val="single"/>
                <w:lang w:val="lv-LV" w:eastAsia="lv-LV"/>
              </w:rPr>
              <w:t xml:space="preserve"> </w:t>
            </w:r>
          </w:p>
          <w:p w14:paraId="7E11F4C4" w14:textId="0AE98092" w:rsidR="009734BB" w:rsidRPr="000652F6" w:rsidRDefault="009734BB" w:rsidP="007E49BD">
            <w:pPr>
              <w:jc w:val="both"/>
              <w:rPr>
                <w:rFonts w:eastAsia="Calibri"/>
                <w:lang w:val="lv-LV"/>
              </w:rPr>
            </w:pPr>
            <w:r w:rsidRPr="00512731">
              <w:rPr>
                <w:rFonts w:eastAsia="Calibri"/>
                <w:lang w:val="lv-LV"/>
              </w:rPr>
              <w:t xml:space="preserve">EP savā </w:t>
            </w:r>
            <w:proofErr w:type="spellStart"/>
            <w:r w:rsidRPr="00512731">
              <w:rPr>
                <w:rFonts w:eastAsia="Calibri"/>
                <w:lang w:val="lv-LV"/>
              </w:rPr>
              <w:t>nostājā</w:t>
            </w:r>
            <w:proofErr w:type="spellEnd"/>
            <w:r w:rsidRPr="00512731">
              <w:rPr>
                <w:rFonts w:eastAsia="Calibri"/>
                <w:lang w:val="lv-LV"/>
              </w:rPr>
              <w:t xml:space="preserve"> 2.izdevumu kategorijai iepretim Padomes pozīcijai palielinājis SA līdz 60 288,6 milj. EUR, bet provizorisko MA apjomu līdz 58 177,8 milj. EUR. Pie šāda SA apjoma kategorijas rezerve veido vien </w:t>
            </w:r>
            <w:r w:rsidRPr="000652F6">
              <w:rPr>
                <w:rFonts w:eastAsia="Calibri"/>
                <w:lang w:val="lv-LV"/>
              </w:rPr>
              <w:t>132,4</w:t>
            </w:r>
            <w:r w:rsidR="00044146">
              <w:rPr>
                <w:rFonts w:eastAsia="Calibri"/>
                <w:lang w:val="lv-LV"/>
              </w:rPr>
              <w:t xml:space="preserve"> </w:t>
            </w:r>
            <w:r w:rsidRPr="000652F6">
              <w:rPr>
                <w:rFonts w:eastAsia="Calibri"/>
                <w:lang w:val="lv-LV"/>
              </w:rPr>
              <w:t xml:space="preserve">milj. EUR. Palielinātās apropriācijas pamatā skar </w:t>
            </w:r>
            <w:proofErr w:type="spellStart"/>
            <w:r w:rsidRPr="000652F6">
              <w:rPr>
                <w:rFonts w:eastAsia="Calibri"/>
                <w:lang w:val="lv-LV"/>
              </w:rPr>
              <w:t>tiešmaksājumus</w:t>
            </w:r>
            <w:proofErr w:type="spellEnd"/>
            <w:r w:rsidRPr="000652F6">
              <w:rPr>
                <w:rFonts w:eastAsia="Calibri"/>
                <w:lang w:val="lv-LV"/>
              </w:rPr>
              <w:t>, kā arī klimata programmu</w:t>
            </w:r>
            <w:r w:rsidR="008E2ECD" w:rsidRPr="000652F6">
              <w:rPr>
                <w:rFonts w:eastAsia="Calibri"/>
                <w:lang w:val="lv-LV"/>
              </w:rPr>
              <w:t xml:space="preserve"> LIFE</w:t>
            </w:r>
            <w:r w:rsidRPr="000652F6">
              <w:rPr>
                <w:rFonts w:eastAsia="Calibri"/>
                <w:lang w:val="lv-LV"/>
              </w:rPr>
              <w:t xml:space="preserve">. </w:t>
            </w:r>
          </w:p>
          <w:p w14:paraId="11E8001D" w14:textId="77777777" w:rsidR="009734BB" w:rsidRPr="003111DB" w:rsidRDefault="009734BB" w:rsidP="007E49BD">
            <w:pPr>
              <w:autoSpaceDE w:val="0"/>
              <w:autoSpaceDN w:val="0"/>
              <w:spacing w:before="120" w:after="120"/>
              <w:jc w:val="both"/>
              <w:rPr>
                <w:highlight w:val="yellow"/>
                <w:lang w:val="lv-LV"/>
              </w:rPr>
            </w:pPr>
          </w:p>
          <w:p w14:paraId="0C590439" w14:textId="77777777" w:rsidR="009734BB" w:rsidRPr="00FF4FC0" w:rsidRDefault="009734BB" w:rsidP="007E49BD">
            <w:pPr>
              <w:jc w:val="center"/>
              <w:rPr>
                <w:b/>
                <w:lang w:val="lv-LV"/>
              </w:rPr>
            </w:pPr>
            <w:r w:rsidRPr="00FF4FC0">
              <w:rPr>
                <w:b/>
                <w:lang w:val="lv-LV"/>
              </w:rPr>
              <w:t>3.KATEGORIJA „DROŠĪBA UN PILSONĪBA”</w:t>
            </w:r>
          </w:p>
          <w:p w14:paraId="4E03AE36" w14:textId="77777777" w:rsidR="009734BB" w:rsidRPr="00222336" w:rsidRDefault="009734BB" w:rsidP="007E49BD">
            <w:pPr>
              <w:autoSpaceDE w:val="0"/>
              <w:autoSpaceDN w:val="0"/>
              <w:adjustRightInd w:val="0"/>
              <w:jc w:val="right"/>
              <w:rPr>
                <w:b/>
                <w:lang w:val="lv-LV"/>
              </w:rPr>
            </w:pPr>
            <w:r w:rsidRPr="00222336">
              <w:rPr>
                <w:b/>
                <w:lang w:val="lv-LV"/>
              </w:rPr>
              <w:t>5.tabula. 3.kategorija “Drošība un pilsonība”</w:t>
            </w:r>
          </w:p>
          <w:p w14:paraId="7E3F2D99" w14:textId="77777777" w:rsidR="009734BB" w:rsidRPr="006971D7" w:rsidRDefault="009734BB" w:rsidP="007E49BD">
            <w:pPr>
              <w:jc w:val="right"/>
              <w:rPr>
                <w:b/>
                <w:lang w:val="lv-LV"/>
              </w:rPr>
            </w:pPr>
            <w:r w:rsidRPr="006971D7">
              <w:rPr>
                <w:bCs/>
                <w:i/>
                <w:sz w:val="20"/>
                <w:szCs w:val="20"/>
                <w:lang w:val="lv-LV"/>
              </w:rPr>
              <w:t>(milj. EUR)</w:t>
            </w:r>
          </w:p>
          <w:p w14:paraId="58C53A92" w14:textId="77777777" w:rsidR="009734BB" w:rsidRPr="00725927" w:rsidRDefault="009734BB" w:rsidP="007E49BD">
            <w:pPr>
              <w:jc w:val="both"/>
              <w:rPr>
                <w:rFonts w:eastAsia="Calibri"/>
                <w:lang w:val="lv-LV"/>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86"/>
              <w:gridCol w:w="1134"/>
              <w:gridCol w:w="992"/>
              <w:gridCol w:w="993"/>
              <w:gridCol w:w="850"/>
              <w:gridCol w:w="851"/>
              <w:gridCol w:w="850"/>
              <w:gridCol w:w="805"/>
              <w:gridCol w:w="827"/>
            </w:tblGrid>
            <w:tr w:rsidR="009734BB" w:rsidRPr="00EE1E8A" w14:paraId="34D0E8B3" w14:textId="77777777" w:rsidTr="007E49BD">
              <w:trPr>
                <w:jc w:val="center"/>
              </w:trPr>
              <w:tc>
                <w:tcPr>
                  <w:tcW w:w="2086" w:type="dxa"/>
                  <w:vMerge w:val="restart"/>
                  <w:shd w:val="clear" w:color="auto" w:fill="auto"/>
                  <w:vAlign w:val="center"/>
                </w:tcPr>
                <w:p w14:paraId="2164D3C6" w14:textId="77777777" w:rsidR="009734BB" w:rsidRPr="00EB3D99" w:rsidRDefault="009734BB" w:rsidP="007E49BD">
                  <w:pPr>
                    <w:jc w:val="center"/>
                    <w:rPr>
                      <w:b/>
                      <w:sz w:val="18"/>
                      <w:szCs w:val="18"/>
                      <w:lang w:val="lv-LV"/>
                    </w:rPr>
                  </w:pPr>
                  <w:r w:rsidRPr="00EB3D99">
                    <w:rPr>
                      <w:b/>
                      <w:bCs/>
                      <w:sz w:val="18"/>
                      <w:szCs w:val="18"/>
                      <w:lang w:val="lv-LV"/>
                    </w:rPr>
                    <w:t>Kategorija</w:t>
                  </w:r>
                </w:p>
              </w:tc>
              <w:tc>
                <w:tcPr>
                  <w:tcW w:w="2126" w:type="dxa"/>
                  <w:gridSpan w:val="2"/>
                  <w:shd w:val="clear" w:color="auto" w:fill="auto"/>
                  <w:vAlign w:val="center"/>
                </w:tcPr>
                <w:p w14:paraId="341D1983" w14:textId="77777777" w:rsidR="009734BB" w:rsidRPr="00EB3D99" w:rsidRDefault="009734BB" w:rsidP="007E49BD">
                  <w:pPr>
                    <w:autoSpaceDE w:val="0"/>
                    <w:autoSpaceDN w:val="0"/>
                    <w:spacing w:before="100" w:beforeAutospacing="1"/>
                    <w:jc w:val="center"/>
                    <w:rPr>
                      <w:rFonts w:eastAsia="Calibri"/>
                      <w:b/>
                      <w:bCs/>
                      <w:sz w:val="18"/>
                      <w:szCs w:val="18"/>
                      <w:lang w:val="lv-LV" w:eastAsia="lv-LV"/>
                    </w:rPr>
                  </w:pPr>
                  <w:r w:rsidRPr="00EB3D99">
                    <w:rPr>
                      <w:b/>
                      <w:bCs/>
                      <w:sz w:val="20"/>
                      <w:szCs w:val="20"/>
                      <w:lang w:val="lv-LV" w:eastAsia="lv-LV"/>
                    </w:rPr>
                    <w:t>EK BP 2020.gadam (</w:t>
                  </w:r>
                  <w:proofErr w:type="spellStart"/>
                  <w:r w:rsidRPr="00EB3D99">
                    <w:rPr>
                      <w:b/>
                      <w:bCs/>
                      <w:sz w:val="20"/>
                      <w:szCs w:val="20"/>
                      <w:lang w:val="lv-LV" w:eastAsia="lv-LV"/>
                    </w:rPr>
                    <w:t>iekļ</w:t>
                  </w:r>
                  <w:proofErr w:type="spellEnd"/>
                  <w:r w:rsidRPr="00EB3D99">
                    <w:rPr>
                      <w:b/>
                      <w:bCs/>
                      <w:sz w:val="20"/>
                      <w:szCs w:val="20"/>
                      <w:lang w:val="lv-LV" w:eastAsia="lv-LV"/>
                    </w:rPr>
                    <w:t>. AL 1/2020)</w:t>
                  </w:r>
                </w:p>
              </w:tc>
              <w:tc>
                <w:tcPr>
                  <w:tcW w:w="1843" w:type="dxa"/>
                  <w:gridSpan w:val="2"/>
                  <w:shd w:val="clear" w:color="auto" w:fill="auto"/>
                  <w:vAlign w:val="center"/>
                </w:tcPr>
                <w:p w14:paraId="5B689479" w14:textId="77777777" w:rsidR="009734BB" w:rsidRPr="00EB3D99" w:rsidRDefault="009734BB" w:rsidP="007E49BD">
                  <w:pPr>
                    <w:autoSpaceDE w:val="0"/>
                    <w:autoSpaceDN w:val="0"/>
                    <w:spacing w:before="100" w:beforeAutospacing="1"/>
                    <w:jc w:val="center"/>
                    <w:rPr>
                      <w:rFonts w:eastAsia="Calibri"/>
                      <w:b/>
                      <w:bCs/>
                      <w:sz w:val="18"/>
                      <w:szCs w:val="18"/>
                      <w:lang w:val="lv-LV" w:eastAsia="lv-LV"/>
                    </w:rPr>
                  </w:pPr>
                  <w:r w:rsidRPr="00EB3D99">
                    <w:rPr>
                      <w:b/>
                      <w:bCs/>
                      <w:sz w:val="20"/>
                      <w:szCs w:val="20"/>
                      <w:lang w:val="lv-LV" w:eastAsia="lv-LV"/>
                    </w:rPr>
                    <w:t>Padomes pozīcija par BP 2020.gadam</w:t>
                  </w:r>
                </w:p>
              </w:tc>
              <w:tc>
                <w:tcPr>
                  <w:tcW w:w="1701" w:type="dxa"/>
                  <w:gridSpan w:val="2"/>
                  <w:shd w:val="clear" w:color="auto" w:fill="auto"/>
                  <w:vAlign w:val="center"/>
                </w:tcPr>
                <w:p w14:paraId="5614D6A6" w14:textId="77777777" w:rsidR="009734BB" w:rsidRPr="00EB3D99" w:rsidRDefault="009734BB" w:rsidP="007E49BD">
                  <w:pPr>
                    <w:autoSpaceDE w:val="0"/>
                    <w:autoSpaceDN w:val="0"/>
                    <w:jc w:val="center"/>
                    <w:rPr>
                      <w:rFonts w:eastAsia="Calibri"/>
                      <w:b/>
                      <w:bCs/>
                      <w:sz w:val="18"/>
                      <w:szCs w:val="18"/>
                      <w:lang w:val="lv-LV" w:eastAsia="lv-LV"/>
                    </w:rPr>
                  </w:pPr>
                  <w:r w:rsidRPr="00EB3D99">
                    <w:rPr>
                      <w:rFonts w:eastAsia="Calibri"/>
                      <w:b/>
                      <w:sz w:val="20"/>
                      <w:szCs w:val="20"/>
                      <w:lang w:val="lv-LV"/>
                    </w:rPr>
                    <w:t>EP pozīcija par BP 2019.gadam</w:t>
                  </w:r>
                </w:p>
              </w:tc>
              <w:tc>
                <w:tcPr>
                  <w:tcW w:w="1632" w:type="dxa"/>
                  <w:gridSpan w:val="2"/>
                  <w:shd w:val="clear" w:color="auto" w:fill="auto"/>
                  <w:vAlign w:val="center"/>
                </w:tcPr>
                <w:p w14:paraId="787B7F55" w14:textId="77777777" w:rsidR="009734BB" w:rsidRPr="00EB3D99" w:rsidRDefault="009734BB" w:rsidP="007E49BD">
                  <w:pPr>
                    <w:autoSpaceDE w:val="0"/>
                    <w:autoSpaceDN w:val="0"/>
                    <w:jc w:val="center"/>
                    <w:rPr>
                      <w:rFonts w:eastAsia="Calibri"/>
                      <w:b/>
                      <w:bCs/>
                      <w:sz w:val="18"/>
                      <w:szCs w:val="18"/>
                      <w:lang w:val="lv-LV" w:eastAsia="lv-LV"/>
                    </w:rPr>
                  </w:pPr>
                  <w:r w:rsidRPr="00EB3D99">
                    <w:rPr>
                      <w:rFonts w:eastAsia="Calibri"/>
                      <w:b/>
                      <w:sz w:val="20"/>
                      <w:szCs w:val="20"/>
                      <w:lang w:val="lv-LV"/>
                    </w:rPr>
                    <w:t>Atšķirība EP/Padome</w:t>
                  </w:r>
                </w:p>
              </w:tc>
            </w:tr>
            <w:tr w:rsidR="009734BB" w:rsidRPr="00EE1E8A" w14:paraId="3E43B71B" w14:textId="77777777" w:rsidTr="007E49BD">
              <w:trPr>
                <w:jc w:val="center"/>
              </w:trPr>
              <w:tc>
                <w:tcPr>
                  <w:tcW w:w="2086" w:type="dxa"/>
                  <w:vMerge/>
                  <w:shd w:val="clear" w:color="auto" w:fill="auto"/>
                </w:tcPr>
                <w:p w14:paraId="4D7BE894" w14:textId="77777777" w:rsidR="009734BB" w:rsidRPr="00EB3D99" w:rsidRDefault="009734BB" w:rsidP="007E49BD">
                  <w:pPr>
                    <w:jc w:val="center"/>
                    <w:rPr>
                      <w:b/>
                      <w:sz w:val="18"/>
                      <w:szCs w:val="18"/>
                      <w:lang w:val="lv-LV"/>
                    </w:rPr>
                  </w:pPr>
                </w:p>
              </w:tc>
              <w:tc>
                <w:tcPr>
                  <w:tcW w:w="1134" w:type="dxa"/>
                  <w:shd w:val="clear" w:color="auto" w:fill="auto"/>
                </w:tcPr>
                <w:p w14:paraId="25964F88" w14:textId="77777777" w:rsidR="009734BB" w:rsidRPr="00EB3D99" w:rsidRDefault="009734BB" w:rsidP="007E49BD">
                  <w:pPr>
                    <w:jc w:val="center"/>
                    <w:rPr>
                      <w:b/>
                      <w:sz w:val="18"/>
                      <w:szCs w:val="18"/>
                      <w:lang w:val="lv-LV"/>
                    </w:rPr>
                  </w:pPr>
                  <w:r w:rsidRPr="00EB3D99">
                    <w:rPr>
                      <w:b/>
                      <w:bCs/>
                      <w:sz w:val="18"/>
                      <w:szCs w:val="18"/>
                      <w:lang w:val="lv-LV"/>
                    </w:rPr>
                    <w:t>SA</w:t>
                  </w:r>
                </w:p>
              </w:tc>
              <w:tc>
                <w:tcPr>
                  <w:tcW w:w="992" w:type="dxa"/>
                  <w:shd w:val="clear" w:color="auto" w:fill="auto"/>
                </w:tcPr>
                <w:p w14:paraId="1275DF1D" w14:textId="77777777" w:rsidR="009734BB" w:rsidRPr="00EB3D99" w:rsidRDefault="009734BB" w:rsidP="007E49BD">
                  <w:pPr>
                    <w:jc w:val="center"/>
                    <w:rPr>
                      <w:b/>
                      <w:sz w:val="18"/>
                      <w:szCs w:val="18"/>
                      <w:lang w:val="lv-LV"/>
                    </w:rPr>
                  </w:pPr>
                  <w:r w:rsidRPr="00EB3D99">
                    <w:rPr>
                      <w:b/>
                      <w:bCs/>
                      <w:sz w:val="18"/>
                      <w:szCs w:val="18"/>
                      <w:lang w:val="lv-LV"/>
                    </w:rPr>
                    <w:t>MA</w:t>
                  </w:r>
                </w:p>
              </w:tc>
              <w:tc>
                <w:tcPr>
                  <w:tcW w:w="993" w:type="dxa"/>
                  <w:shd w:val="clear" w:color="auto" w:fill="auto"/>
                </w:tcPr>
                <w:p w14:paraId="4EFD12AF" w14:textId="77777777" w:rsidR="009734BB" w:rsidRPr="00EB3D99" w:rsidRDefault="009734BB" w:rsidP="007E49BD">
                  <w:pPr>
                    <w:jc w:val="center"/>
                    <w:rPr>
                      <w:b/>
                      <w:sz w:val="18"/>
                      <w:szCs w:val="18"/>
                      <w:lang w:val="lv-LV"/>
                    </w:rPr>
                  </w:pPr>
                  <w:r w:rsidRPr="00EB3D99">
                    <w:rPr>
                      <w:b/>
                      <w:bCs/>
                      <w:sz w:val="18"/>
                      <w:szCs w:val="18"/>
                      <w:lang w:val="lv-LV"/>
                    </w:rPr>
                    <w:t>SA</w:t>
                  </w:r>
                </w:p>
              </w:tc>
              <w:tc>
                <w:tcPr>
                  <w:tcW w:w="850" w:type="dxa"/>
                  <w:shd w:val="clear" w:color="auto" w:fill="auto"/>
                </w:tcPr>
                <w:p w14:paraId="5DC2916C" w14:textId="77777777" w:rsidR="009734BB" w:rsidRPr="00EB3D99" w:rsidRDefault="009734BB" w:rsidP="007E49BD">
                  <w:pPr>
                    <w:jc w:val="center"/>
                    <w:rPr>
                      <w:b/>
                      <w:sz w:val="18"/>
                      <w:szCs w:val="18"/>
                      <w:lang w:val="lv-LV"/>
                    </w:rPr>
                  </w:pPr>
                  <w:r w:rsidRPr="00EB3D99">
                    <w:rPr>
                      <w:b/>
                      <w:bCs/>
                      <w:sz w:val="18"/>
                      <w:szCs w:val="18"/>
                      <w:lang w:val="lv-LV"/>
                    </w:rPr>
                    <w:t>MA</w:t>
                  </w:r>
                </w:p>
              </w:tc>
              <w:tc>
                <w:tcPr>
                  <w:tcW w:w="851" w:type="dxa"/>
                  <w:shd w:val="clear" w:color="auto" w:fill="auto"/>
                </w:tcPr>
                <w:p w14:paraId="0C51D1E0" w14:textId="77777777" w:rsidR="009734BB" w:rsidRPr="00EB3D99" w:rsidRDefault="009734BB" w:rsidP="007E49BD">
                  <w:pPr>
                    <w:jc w:val="center"/>
                    <w:rPr>
                      <w:b/>
                      <w:sz w:val="18"/>
                      <w:szCs w:val="18"/>
                      <w:lang w:val="lv-LV"/>
                    </w:rPr>
                  </w:pPr>
                  <w:r w:rsidRPr="00EB3D99">
                    <w:rPr>
                      <w:b/>
                      <w:bCs/>
                      <w:sz w:val="18"/>
                      <w:szCs w:val="18"/>
                      <w:lang w:val="lv-LV"/>
                    </w:rPr>
                    <w:t>SA</w:t>
                  </w:r>
                </w:p>
              </w:tc>
              <w:tc>
                <w:tcPr>
                  <w:tcW w:w="850" w:type="dxa"/>
                  <w:shd w:val="clear" w:color="auto" w:fill="auto"/>
                </w:tcPr>
                <w:p w14:paraId="39ED3898" w14:textId="77777777" w:rsidR="009734BB" w:rsidRPr="00EB3D99" w:rsidRDefault="009734BB" w:rsidP="007E49BD">
                  <w:pPr>
                    <w:jc w:val="center"/>
                    <w:rPr>
                      <w:b/>
                      <w:sz w:val="18"/>
                      <w:szCs w:val="18"/>
                      <w:lang w:val="lv-LV"/>
                    </w:rPr>
                  </w:pPr>
                  <w:r w:rsidRPr="00EB3D99">
                    <w:rPr>
                      <w:b/>
                      <w:bCs/>
                      <w:sz w:val="18"/>
                      <w:szCs w:val="18"/>
                      <w:lang w:val="lv-LV"/>
                    </w:rPr>
                    <w:t>MA</w:t>
                  </w:r>
                </w:p>
              </w:tc>
              <w:tc>
                <w:tcPr>
                  <w:tcW w:w="805" w:type="dxa"/>
                  <w:shd w:val="clear" w:color="auto" w:fill="auto"/>
                </w:tcPr>
                <w:p w14:paraId="5CA0FE3A" w14:textId="77777777" w:rsidR="009734BB" w:rsidRPr="00EB3D99" w:rsidRDefault="009734BB" w:rsidP="007E49BD">
                  <w:pPr>
                    <w:jc w:val="center"/>
                    <w:rPr>
                      <w:b/>
                      <w:sz w:val="18"/>
                      <w:szCs w:val="18"/>
                      <w:lang w:val="lv-LV"/>
                    </w:rPr>
                  </w:pPr>
                  <w:r w:rsidRPr="00EB3D99">
                    <w:rPr>
                      <w:b/>
                      <w:bCs/>
                      <w:sz w:val="18"/>
                      <w:szCs w:val="18"/>
                      <w:lang w:val="lv-LV"/>
                    </w:rPr>
                    <w:t>SA</w:t>
                  </w:r>
                </w:p>
              </w:tc>
              <w:tc>
                <w:tcPr>
                  <w:tcW w:w="827" w:type="dxa"/>
                  <w:shd w:val="clear" w:color="auto" w:fill="auto"/>
                </w:tcPr>
                <w:p w14:paraId="2745DD33" w14:textId="77777777" w:rsidR="009734BB" w:rsidRPr="00EB3D99" w:rsidRDefault="009734BB" w:rsidP="007E49BD">
                  <w:pPr>
                    <w:jc w:val="center"/>
                    <w:rPr>
                      <w:b/>
                      <w:sz w:val="18"/>
                      <w:szCs w:val="18"/>
                      <w:lang w:val="lv-LV"/>
                    </w:rPr>
                  </w:pPr>
                  <w:r w:rsidRPr="00EB3D99">
                    <w:rPr>
                      <w:b/>
                      <w:bCs/>
                      <w:sz w:val="18"/>
                      <w:szCs w:val="18"/>
                      <w:lang w:val="lv-LV"/>
                    </w:rPr>
                    <w:t>MA</w:t>
                  </w:r>
                </w:p>
              </w:tc>
            </w:tr>
            <w:tr w:rsidR="009734BB" w:rsidRPr="00EE1E8A" w14:paraId="130AC7C4" w14:textId="77777777" w:rsidTr="007E49BD">
              <w:trPr>
                <w:jc w:val="center"/>
              </w:trPr>
              <w:tc>
                <w:tcPr>
                  <w:tcW w:w="2086" w:type="dxa"/>
                  <w:shd w:val="clear" w:color="auto" w:fill="auto"/>
                  <w:vAlign w:val="center"/>
                </w:tcPr>
                <w:p w14:paraId="46D46EE2" w14:textId="77777777" w:rsidR="009734BB" w:rsidRPr="00EB3D99" w:rsidRDefault="009734BB" w:rsidP="007E49BD">
                  <w:pPr>
                    <w:jc w:val="right"/>
                    <w:rPr>
                      <w:b/>
                      <w:sz w:val="18"/>
                      <w:szCs w:val="18"/>
                      <w:lang w:val="lv-LV"/>
                    </w:rPr>
                  </w:pPr>
                  <w:r w:rsidRPr="00EB3D99">
                    <w:rPr>
                      <w:b/>
                      <w:bCs/>
                      <w:sz w:val="18"/>
                      <w:szCs w:val="18"/>
                      <w:lang w:val="lv-LV"/>
                    </w:rPr>
                    <w:t>Drošība un pilsoniskums</w:t>
                  </w:r>
                </w:p>
              </w:tc>
              <w:tc>
                <w:tcPr>
                  <w:tcW w:w="1134" w:type="dxa"/>
                  <w:shd w:val="clear" w:color="auto" w:fill="auto"/>
                  <w:vAlign w:val="center"/>
                </w:tcPr>
                <w:p w14:paraId="5EAEB967" w14:textId="77777777" w:rsidR="009734BB" w:rsidRPr="00EB3D99" w:rsidRDefault="009734BB" w:rsidP="007E49BD">
                  <w:pPr>
                    <w:jc w:val="center"/>
                    <w:rPr>
                      <w:b/>
                      <w:sz w:val="18"/>
                      <w:szCs w:val="18"/>
                      <w:u w:val="single"/>
                      <w:lang w:val="lv-LV"/>
                    </w:rPr>
                  </w:pPr>
                  <w:r w:rsidRPr="00EB3D99">
                    <w:rPr>
                      <w:b/>
                      <w:sz w:val="18"/>
                      <w:szCs w:val="18"/>
                      <w:u w:val="single"/>
                      <w:lang w:val="lv-LV"/>
                    </w:rPr>
                    <w:t>3 729,1</w:t>
                  </w:r>
                </w:p>
              </w:tc>
              <w:tc>
                <w:tcPr>
                  <w:tcW w:w="992" w:type="dxa"/>
                  <w:shd w:val="clear" w:color="auto" w:fill="auto"/>
                  <w:vAlign w:val="center"/>
                </w:tcPr>
                <w:p w14:paraId="700B946F" w14:textId="77777777" w:rsidR="009734BB" w:rsidRPr="00EB3D99" w:rsidRDefault="009734BB" w:rsidP="007E49BD">
                  <w:pPr>
                    <w:jc w:val="center"/>
                    <w:rPr>
                      <w:b/>
                      <w:sz w:val="18"/>
                      <w:szCs w:val="18"/>
                      <w:u w:val="single"/>
                      <w:lang w:val="lv-LV"/>
                    </w:rPr>
                  </w:pPr>
                  <w:r w:rsidRPr="00EB3D99">
                    <w:rPr>
                      <w:b/>
                      <w:sz w:val="18"/>
                      <w:szCs w:val="18"/>
                      <w:u w:val="single"/>
                      <w:lang w:val="lv-LV"/>
                    </w:rPr>
                    <w:t>3 702,1</w:t>
                  </w:r>
                </w:p>
              </w:tc>
              <w:tc>
                <w:tcPr>
                  <w:tcW w:w="993" w:type="dxa"/>
                  <w:shd w:val="clear" w:color="auto" w:fill="auto"/>
                  <w:vAlign w:val="center"/>
                </w:tcPr>
                <w:p w14:paraId="074A555F" w14:textId="77777777" w:rsidR="009734BB" w:rsidRPr="00EB3D99" w:rsidRDefault="009734BB" w:rsidP="007E49BD">
                  <w:pPr>
                    <w:jc w:val="center"/>
                    <w:rPr>
                      <w:b/>
                      <w:sz w:val="18"/>
                      <w:szCs w:val="18"/>
                      <w:u w:val="single"/>
                      <w:lang w:val="lv-LV"/>
                    </w:rPr>
                  </w:pPr>
                  <w:r w:rsidRPr="00EB3D99">
                    <w:rPr>
                      <w:b/>
                      <w:sz w:val="18"/>
                      <w:szCs w:val="18"/>
                      <w:u w:val="single"/>
                      <w:lang w:val="lv-LV"/>
                    </w:rPr>
                    <w:t>3 602,7</w:t>
                  </w:r>
                </w:p>
              </w:tc>
              <w:tc>
                <w:tcPr>
                  <w:tcW w:w="850" w:type="dxa"/>
                  <w:shd w:val="clear" w:color="auto" w:fill="auto"/>
                  <w:vAlign w:val="center"/>
                </w:tcPr>
                <w:p w14:paraId="49B9D87B" w14:textId="77777777" w:rsidR="009734BB" w:rsidRPr="00EB3D99" w:rsidRDefault="009734BB" w:rsidP="007E49BD">
                  <w:pPr>
                    <w:jc w:val="center"/>
                    <w:rPr>
                      <w:b/>
                      <w:sz w:val="18"/>
                      <w:szCs w:val="18"/>
                      <w:u w:val="single"/>
                      <w:lang w:val="lv-LV"/>
                    </w:rPr>
                  </w:pPr>
                  <w:r w:rsidRPr="00EB3D99">
                    <w:rPr>
                      <w:b/>
                      <w:sz w:val="18"/>
                      <w:szCs w:val="18"/>
                      <w:u w:val="single"/>
                      <w:lang w:val="lv-LV"/>
                    </w:rPr>
                    <w:t>3 689,4</w:t>
                  </w:r>
                </w:p>
              </w:tc>
              <w:tc>
                <w:tcPr>
                  <w:tcW w:w="851" w:type="dxa"/>
                  <w:shd w:val="clear" w:color="auto" w:fill="auto"/>
                  <w:vAlign w:val="center"/>
                </w:tcPr>
                <w:p w14:paraId="79B2BEA5" w14:textId="77777777" w:rsidR="009734BB" w:rsidRPr="00EB3D99" w:rsidRDefault="009734BB" w:rsidP="007E49BD">
                  <w:pPr>
                    <w:jc w:val="center"/>
                    <w:rPr>
                      <w:b/>
                      <w:sz w:val="18"/>
                      <w:szCs w:val="18"/>
                      <w:u w:val="single"/>
                      <w:lang w:val="lv-LV"/>
                    </w:rPr>
                  </w:pPr>
                  <w:r w:rsidRPr="00EB3D99">
                    <w:rPr>
                      <w:b/>
                      <w:sz w:val="18"/>
                      <w:szCs w:val="18"/>
                      <w:u w:val="single"/>
                      <w:lang w:val="lv-LV"/>
                    </w:rPr>
                    <w:t>3 870,7</w:t>
                  </w:r>
                </w:p>
              </w:tc>
              <w:tc>
                <w:tcPr>
                  <w:tcW w:w="850" w:type="dxa"/>
                  <w:shd w:val="clear" w:color="auto" w:fill="auto"/>
                  <w:vAlign w:val="center"/>
                </w:tcPr>
                <w:p w14:paraId="5948C995" w14:textId="77777777" w:rsidR="009734BB" w:rsidRPr="00EB3D99" w:rsidRDefault="009734BB" w:rsidP="007E49BD">
                  <w:pPr>
                    <w:jc w:val="center"/>
                    <w:rPr>
                      <w:b/>
                      <w:sz w:val="18"/>
                      <w:szCs w:val="18"/>
                      <w:u w:val="single"/>
                      <w:lang w:val="lv-LV"/>
                    </w:rPr>
                  </w:pPr>
                  <w:r w:rsidRPr="00EB3D99">
                    <w:rPr>
                      <w:b/>
                      <w:sz w:val="18"/>
                      <w:szCs w:val="18"/>
                      <w:u w:val="single"/>
                      <w:lang w:val="lv-LV"/>
                    </w:rPr>
                    <w:t>3 822,8</w:t>
                  </w:r>
                </w:p>
              </w:tc>
              <w:tc>
                <w:tcPr>
                  <w:tcW w:w="805" w:type="dxa"/>
                  <w:shd w:val="clear" w:color="auto" w:fill="auto"/>
                  <w:vAlign w:val="center"/>
                </w:tcPr>
                <w:p w14:paraId="586A4CE4" w14:textId="77777777" w:rsidR="009734BB" w:rsidRPr="00EB3D99" w:rsidRDefault="009734BB" w:rsidP="007E49BD">
                  <w:pPr>
                    <w:jc w:val="center"/>
                    <w:rPr>
                      <w:b/>
                      <w:sz w:val="18"/>
                      <w:szCs w:val="18"/>
                      <w:u w:val="single"/>
                      <w:lang w:val="lv-LV"/>
                    </w:rPr>
                  </w:pPr>
                  <w:r w:rsidRPr="00EB3D99">
                    <w:rPr>
                      <w:b/>
                      <w:sz w:val="18"/>
                      <w:szCs w:val="18"/>
                      <w:u w:val="single"/>
                      <w:lang w:val="lv-LV"/>
                    </w:rPr>
                    <w:t>268,0</w:t>
                  </w:r>
                </w:p>
              </w:tc>
              <w:tc>
                <w:tcPr>
                  <w:tcW w:w="827" w:type="dxa"/>
                  <w:shd w:val="clear" w:color="auto" w:fill="auto"/>
                  <w:vAlign w:val="center"/>
                </w:tcPr>
                <w:p w14:paraId="0114B906" w14:textId="77777777" w:rsidR="009734BB" w:rsidRPr="00EB3D99" w:rsidRDefault="009734BB" w:rsidP="007E49BD">
                  <w:pPr>
                    <w:jc w:val="center"/>
                    <w:rPr>
                      <w:b/>
                      <w:sz w:val="18"/>
                      <w:szCs w:val="18"/>
                      <w:u w:val="single"/>
                      <w:lang w:val="lv-LV"/>
                    </w:rPr>
                  </w:pPr>
                  <w:r w:rsidRPr="00EB3D99">
                    <w:rPr>
                      <w:b/>
                      <w:sz w:val="18"/>
                      <w:szCs w:val="18"/>
                      <w:u w:val="single"/>
                      <w:lang w:val="lv-LV"/>
                    </w:rPr>
                    <w:t>133,4</w:t>
                  </w:r>
                </w:p>
              </w:tc>
            </w:tr>
            <w:tr w:rsidR="009734BB" w:rsidRPr="00EE1E8A" w14:paraId="00E45B1F" w14:textId="77777777" w:rsidTr="007E49BD">
              <w:trPr>
                <w:jc w:val="center"/>
              </w:trPr>
              <w:tc>
                <w:tcPr>
                  <w:tcW w:w="2086" w:type="dxa"/>
                  <w:shd w:val="clear" w:color="auto" w:fill="auto"/>
                  <w:vAlign w:val="center"/>
                </w:tcPr>
                <w:p w14:paraId="1F9E609B" w14:textId="77777777" w:rsidR="009734BB" w:rsidRPr="00EB3D99" w:rsidRDefault="009734BB" w:rsidP="007E49BD">
                  <w:pPr>
                    <w:jc w:val="right"/>
                    <w:rPr>
                      <w:bCs/>
                      <w:i/>
                      <w:sz w:val="18"/>
                      <w:szCs w:val="18"/>
                      <w:u w:val="single"/>
                      <w:lang w:val="lv-LV"/>
                    </w:rPr>
                  </w:pPr>
                  <w:r w:rsidRPr="00EB3D99">
                    <w:rPr>
                      <w:bCs/>
                      <w:i/>
                      <w:sz w:val="18"/>
                      <w:szCs w:val="18"/>
                      <w:u w:val="single"/>
                      <w:lang w:val="lv-LV"/>
                    </w:rPr>
                    <w:t>tostarp Elastības instruments</w:t>
                  </w:r>
                </w:p>
              </w:tc>
              <w:tc>
                <w:tcPr>
                  <w:tcW w:w="1134" w:type="dxa"/>
                  <w:shd w:val="clear" w:color="auto" w:fill="auto"/>
                  <w:vAlign w:val="center"/>
                </w:tcPr>
                <w:p w14:paraId="19ECD458" w14:textId="77777777" w:rsidR="009734BB" w:rsidRPr="00EB3D99" w:rsidRDefault="009734BB" w:rsidP="007E49BD">
                  <w:pPr>
                    <w:jc w:val="center"/>
                    <w:rPr>
                      <w:i/>
                      <w:sz w:val="18"/>
                      <w:szCs w:val="18"/>
                      <w:u w:val="single"/>
                      <w:lang w:val="lv-LV"/>
                    </w:rPr>
                  </w:pPr>
                  <w:r w:rsidRPr="00EB3D99">
                    <w:rPr>
                      <w:i/>
                      <w:sz w:val="18"/>
                      <w:szCs w:val="18"/>
                      <w:u w:val="single"/>
                      <w:lang w:val="lv-LV"/>
                    </w:rPr>
                    <w:t>778,1</w:t>
                  </w:r>
                </w:p>
              </w:tc>
              <w:tc>
                <w:tcPr>
                  <w:tcW w:w="992" w:type="dxa"/>
                  <w:shd w:val="clear" w:color="auto" w:fill="auto"/>
                  <w:vAlign w:val="center"/>
                </w:tcPr>
                <w:p w14:paraId="2D9AEE60" w14:textId="77777777" w:rsidR="009734BB" w:rsidRPr="00EB3D99" w:rsidRDefault="009734BB" w:rsidP="007E49BD">
                  <w:pPr>
                    <w:jc w:val="center"/>
                    <w:rPr>
                      <w:i/>
                      <w:sz w:val="18"/>
                      <w:szCs w:val="18"/>
                      <w:u w:val="single"/>
                      <w:lang w:val="lv-LV"/>
                    </w:rPr>
                  </w:pPr>
                </w:p>
              </w:tc>
              <w:tc>
                <w:tcPr>
                  <w:tcW w:w="993" w:type="dxa"/>
                  <w:shd w:val="clear" w:color="auto" w:fill="auto"/>
                  <w:vAlign w:val="center"/>
                </w:tcPr>
                <w:p w14:paraId="2BB7B620" w14:textId="77777777" w:rsidR="009734BB" w:rsidRPr="00EB3D99" w:rsidRDefault="009734BB" w:rsidP="007E49BD">
                  <w:pPr>
                    <w:jc w:val="center"/>
                    <w:rPr>
                      <w:i/>
                      <w:sz w:val="18"/>
                      <w:szCs w:val="18"/>
                      <w:u w:val="single"/>
                      <w:lang w:val="lv-LV"/>
                    </w:rPr>
                  </w:pPr>
                  <w:r w:rsidRPr="00EB3D99">
                    <w:rPr>
                      <w:i/>
                      <w:sz w:val="18"/>
                      <w:szCs w:val="18"/>
                      <w:u w:val="single"/>
                      <w:lang w:val="lv-LV"/>
                    </w:rPr>
                    <w:t>338,9</w:t>
                  </w:r>
                </w:p>
              </w:tc>
              <w:tc>
                <w:tcPr>
                  <w:tcW w:w="850" w:type="dxa"/>
                  <w:shd w:val="clear" w:color="auto" w:fill="auto"/>
                  <w:vAlign w:val="center"/>
                </w:tcPr>
                <w:p w14:paraId="41D2B245" w14:textId="77777777" w:rsidR="009734BB" w:rsidRPr="00EB3D99" w:rsidRDefault="009734BB" w:rsidP="007E49BD">
                  <w:pPr>
                    <w:jc w:val="center"/>
                    <w:rPr>
                      <w:i/>
                      <w:sz w:val="18"/>
                      <w:szCs w:val="18"/>
                      <w:u w:val="single"/>
                      <w:lang w:val="lv-LV"/>
                    </w:rPr>
                  </w:pPr>
                </w:p>
              </w:tc>
              <w:tc>
                <w:tcPr>
                  <w:tcW w:w="851" w:type="dxa"/>
                  <w:shd w:val="clear" w:color="auto" w:fill="auto"/>
                  <w:vAlign w:val="center"/>
                </w:tcPr>
                <w:p w14:paraId="4B0DCB95" w14:textId="7237A3DA" w:rsidR="009734BB" w:rsidRPr="00EB3D99" w:rsidRDefault="00096609" w:rsidP="000B59A8">
                  <w:pPr>
                    <w:jc w:val="center"/>
                    <w:rPr>
                      <w:i/>
                      <w:sz w:val="18"/>
                      <w:szCs w:val="18"/>
                      <w:u w:val="single"/>
                      <w:lang w:val="lv-LV"/>
                    </w:rPr>
                  </w:pPr>
                  <w:r>
                    <w:rPr>
                      <w:i/>
                      <w:sz w:val="18"/>
                      <w:szCs w:val="18"/>
                      <w:u w:val="single"/>
                      <w:lang w:val="lv-LV"/>
                    </w:rPr>
                    <w:t>919,</w:t>
                  </w:r>
                  <w:r w:rsidR="000B59A8">
                    <w:rPr>
                      <w:i/>
                      <w:sz w:val="18"/>
                      <w:szCs w:val="18"/>
                      <w:u w:val="single"/>
                      <w:lang w:val="lv-LV"/>
                    </w:rPr>
                    <w:t>7</w:t>
                  </w:r>
                </w:p>
              </w:tc>
              <w:tc>
                <w:tcPr>
                  <w:tcW w:w="850" w:type="dxa"/>
                  <w:shd w:val="clear" w:color="auto" w:fill="auto"/>
                  <w:vAlign w:val="center"/>
                </w:tcPr>
                <w:p w14:paraId="6B47F26F" w14:textId="77777777" w:rsidR="009734BB" w:rsidRPr="00EB3D99" w:rsidRDefault="009734BB" w:rsidP="007E49BD">
                  <w:pPr>
                    <w:jc w:val="center"/>
                    <w:rPr>
                      <w:i/>
                      <w:sz w:val="18"/>
                      <w:szCs w:val="18"/>
                      <w:u w:val="single"/>
                      <w:lang w:val="lv-LV"/>
                    </w:rPr>
                  </w:pPr>
                </w:p>
              </w:tc>
              <w:tc>
                <w:tcPr>
                  <w:tcW w:w="805" w:type="dxa"/>
                  <w:shd w:val="clear" w:color="auto" w:fill="auto"/>
                  <w:vAlign w:val="center"/>
                </w:tcPr>
                <w:p w14:paraId="422C8E53" w14:textId="50557F6E" w:rsidR="009734BB" w:rsidRPr="00EB3D99" w:rsidRDefault="00096609" w:rsidP="007E49BD">
                  <w:pPr>
                    <w:jc w:val="center"/>
                    <w:rPr>
                      <w:i/>
                      <w:sz w:val="18"/>
                      <w:szCs w:val="18"/>
                      <w:u w:val="single"/>
                      <w:lang w:val="lv-LV"/>
                    </w:rPr>
                  </w:pPr>
                  <w:r>
                    <w:rPr>
                      <w:i/>
                      <w:sz w:val="18"/>
                      <w:szCs w:val="18"/>
                      <w:u w:val="single"/>
                      <w:lang w:val="lv-LV"/>
                    </w:rPr>
                    <w:t>580,5</w:t>
                  </w:r>
                </w:p>
              </w:tc>
              <w:tc>
                <w:tcPr>
                  <w:tcW w:w="827" w:type="dxa"/>
                  <w:shd w:val="clear" w:color="auto" w:fill="auto"/>
                  <w:vAlign w:val="center"/>
                </w:tcPr>
                <w:p w14:paraId="425CE5B0" w14:textId="77777777" w:rsidR="009734BB" w:rsidRPr="00EB3D99" w:rsidRDefault="009734BB" w:rsidP="007E49BD">
                  <w:pPr>
                    <w:jc w:val="center"/>
                    <w:rPr>
                      <w:i/>
                      <w:sz w:val="18"/>
                      <w:szCs w:val="18"/>
                      <w:u w:val="single"/>
                      <w:lang w:val="lv-LV"/>
                    </w:rPr>
                  </w:pPr>
                </w:p>
              </w:tc>
            </w:tr>
            <w:tr w:rsidR="009734BB" w:rsidRPr="00EE1E8A" w14:paraId="56AEED50" w14:textId="77777777" w:rsidTr="007E49BD">
              <w:trPr>
                <w:jc w:val="center"/>
              </w:trPr>
              <w:tc>
                <w:tcPr>
                  <w:tcW w:w="2086" w:type="dxa"/>
                  <w:shd w:val="clear" w:color="auto" w:fill="auto"/>
                  <w:vAlign w:val="center"/>
                </w:tcPr>
                <w:p w14:paraId="538860FE" w14:textId="77777777" w:rsidR="009734BB" w:rsidRPr="00EB3D99" w:rsidRDefault="009734BB" w:rsidP="007E49BD">
                  <w:pPr>
                    <w:jc w:val="right"/>
                    <w:rPr>
                      <w:bCs/>
                      <w:i/>
                      <w:sz w:val="18"/>
                      <w:szCs w:val="18"/>
                      <w:u w:val="single"/>
                      <w:lang w:val="lv-LV"/>
                    </w:rPr>
                  </w:pPr>
                  <w:r w:rsidRPr="00EE1E8A">
                    <w:rPr>
                      <w:bCs/>
                      <w:i/>
                      <w:sz w:val="18"/>
                      <w:szCs w:val="18"/>
                      <w:u w:val="single"/>
                      <w:lang w:val="lv-LV"/>
                    </w:rPr>
                    <w:t>tostarp Vispārējā rezerve saistībām</w:t>
                  </w:r>
                  <w:r w:rsidRPr="00EB3D99">
                    <w:rPr>
                      <w:bCs/>
                      <w:i/>
                      <w:sz w:val="18"/>
                      <w:szCs w:val="18"/>
                      <w:u w:val="single"/>
                      <w:lang w:val="lv-LV"/>
                    </w:rPr>
                    <w:t xml:space="preserve"> </w:t>
                  </w:r>
                </w:p>
              </w:tc>
              <w:tc>
                <w:tcPr>
                  <w:tcW w:w="1134" w:type="dxa"/>
                  <w:shd w:val="clear" w:color="auto" w:fill="auto"/>
                  <w:vAlign w:val="center"/>
                </w:tcPr>
                <w:p w14:paraId="31FDDAF9" w14:textId="77777777" w:rsidR="009734BB" w:rsidRPr="00EB3D99" w:rsidRDefault="009734BB" w:rsidP="007E49BD">
                  <w:pPr>
                    <w:jc w:val="center"/>
                    <w:rPr>
                      <w:i/>
                      <w:sz w:val="18"/>
                      <w:szCs w:val="18"/>
                      <w:u w:val="single"/>
                      <w:lang w:val="lv-LV"/>
                    </w:rPr>
                  </w:pPr>
                </w:p>
              </w:tc>
              <w:tc>
                <w:tcPr>
                  <w:tcW w:w="992" w:type="dxa"/>
                  <w:shd w:val="clear" w:color="auto" w:fill="auto"/>
                  <w:vAlign w:val="center"/>
                </w:tcPr>
                <w:p w14:paraId="72C65A92" w14:textId="77777777" w:rsidR="009734BB" w:rsidRPr="00EB3D99" w:rsidRDefault="009734BB" w:rsidP="007E49BD">
                  <w:pPr>
                    <w:jc w:val="center"/>
                    <w:rPr>
                      <w:i/>
                      <w:sz w:val="18"/>
                      <w:szCs w:val="18"/>
                      <w:u w:val="single"/>
                      <w:lang w:val="lv-LV"/>
                    </w:rPr>
                  </w:pPr>
                </w:p>
              </w:tc>
              <w:tc>
                <w:tcPr>
                  <w:tcW w:w="993" w:type="dxa"/>
                  <w:shd w:val="clear" w:color="auto" w:fill="auto"/>
                  <w:vAlign w:val="center"/>
                </w:tcPr>
                <w:p w14:paraId="3E8D8442" w14:textId="77777777" w:rsidR="009734BB" w:rsidRPr="00EB3D99" w:rsidRDefault="009734BB" w:rsidP="007E49BD">
                  <w:pPr>
                    <w:jc w:val="center"/>
                    <w:rPr>
                      <w:i/>
                      <w:sz w:val="18"/>
                      <w:szCs w:val="18"/>
                      <w:u w:val="single"/>
                      <w:lang w:val="lv-LV"/>
                    </w:rPr>
                  </w:pPr>
                  <w:r w:rsidRPr="00EB3D99">
                    <w:rPr>
                      <w:i/>
                      <w:sz w:val="18"/>
                      <w:szCs w:val="18"/>
                      <w:u w:val="single"/>
                      <w:lang w:val="lv-LV"/>
                    </w:rPr>
                    <w:t>312,8</w:t>
                  </w:r>
                </w:p>
              </w:tc>
              <w:tc>
                <w:tcPr>
                  <w:tcW w:w="850" w:type="dxa"/>
                  <w:shd w:val="clear" w:color="auto" w:fill="auto"/>
                  <w:vAlign w:val="center"/>
                </w:tcPr>
                <w:p w14:paraId="56179D22" w14:textId="77777777" w:rsidR="009734BB" w:rsidRPr="00EB3D99" w:rsidRDefault="009734BB" w:rsidP="007E49BD">
                  <w:pPr>
                    <w:jc w:val="center"/>
                    <w:rPr>
                      <w:i/>
                      <w:sz w:val="18"/>
                      <w:szCs w:val="18"/>
                      <w:u w:val="single"/>
                      <w:lang w:val="lv-LV"/>
                    </w:rPr>
                  </w:pPr>
                </w:p>
              </w:tc>
              <w:tc>
                <w:tcPr>
                  <w:tcW w:w="851" w:type="dxa"/>
                  <w:shd w:val="clear" w:color="auto" w:fill="auto"/>
                  <w:vAlign w:val="center"/>
                </w:tcPr>
                <w:p w14:paraId="62F4144A" w14:textId="244A0AE6" w:rsidR="009734BB" w:rsidRPr="00EB3D99" w:rsidRDefault="000B59A8" w:rsidP="007E49BD">
                  <w:pPr>
                    <w:jc w:val="center"/>
                    <w:rPr>
                      <w:i/>
                      <w:sz w:val="18"/>
                      <w:szCs w:val="18"/>
                      <w:u w:val="single"/>
                      <w:lang w:val="lv-LV"/>
                    </w:rPr>
                  </w:pPr>
                  <w:r>
                    <w:rPr>
                      <w:i/>
                      <w:sz w:val="18"/>
                      <w:szCs w:val="18"/>
                      <w:u w:val="single"/>
                      <w:lang w:val="lv-LV"/>
                    </w:rPr>
                    <w:t>-</w:t>
                  </w:r>
                </w:p>
              </w:tc>
              <w:tc>
                <w:tcPr>
                  <w:tcW w:w="850" w:type="dxa"/>
                  <w:shd w:val="clear" w:color="auto" w:fill="auto"/>
                  <w:vAlign w:val="center"/>
                </w:tcPr>
                <w:p w14:paraId="48BB4D26" w14:textId="77777777" w:rsidR="009734BB" w:rsidRPr="00EB3D99" w:rsidRDefault="009734BB" w:rsidP="007E49BD">
                  <w:pPr>
                    <w:jc w:val="center"/>
                    <w:rPr>
                      <w:i/>
                      <w:sz w:val="18"/>
                      <w:szCs w:val="18"/>
                      <w:u w:val="single"/>
                      <w:lang w:val="lv-LV"/>
                    </w:rPr>
                  </w:pPr>
                </w:p>
              </w:tc>
              <w:tc>
                <w:tcPr>
                  <w:tcW w:w="805" w:type="dxa"/>
                  <w:shd w:val="clear" w:color="auto" w:fill="auto"/>
                  <w:vAlign w:val="center"/>
                </w:tcPr>
                <w:p w14:paraId="548B84B8" w14:textId="3422920D" w:rsidR="009734BB" w:rsidRPr="00EB3D99" w:rsidRDefault="00096609" w:rsidP="000B59A8">
                  <w:pPr>
                    <w:jc w:val="center"/>
                    <w:rPr>
                      <w:i/>
                      <w:sz w:val="18"/>
                      <w:szCs w:val="18"/>
                      <w:u w:val="single"/>
                      <w:lang w:val="lv-LV"/>
                    </w:rPr>
                  </w:pPr>
                  <w:r>
                    <w:rPr>
                      <w:i/>
                      <w:sz w:val="18"/>
                      <w:szCs w:val="18"/>
                      <w:u w:val="single"/>
                      <w:lang w:val="lv-LV"/>
                    </w:rPr>
                    <w:t>-312,</w:t>
                  </w:r>
                  <w:r w:rsidR="000B59A8">
                    <w:rPr>
                      <w:i/>
                      <w:sz w:val="18"/>
                      <w:szCs w:val="18"/>
                      <w:u w:val="single"/>
                      <w:lang w:val="lv-LV"/>
                    </w:rPr>
                    <w:t>8</w:t>
                  </w:r>
                </w:p>
              </w:tc>
              <w:tc>
                <w:tcPr>
                  <w:tcW w:w="827" w:type="dxa"/>
                  <w:shd w:val="clear" w:color="auto" w:fill="auto"/>
                  <w:vAlign w:val="center"/>
                </w:tcPr>
                <w:p w14:paraId="076F5F7D" w14:textId="77777777" w:rsidR="009734BB" w:rsidRPr="00EB3D99" w:rsidRDefault="009734BB" w:rsidP="007E49BD">
                  <w:pPr>
                    <w:jc w:val="center"/>
                    <w:rPr>
                      <w:i/>
                      <w:sz w:val="18"/>
                      <w:szCs w:val="18"/>
                      <w:u w:val="single"/>
                      <w:lang w:val="lv-LV"/>
                    </w:rPr>
                  </w:pPr>
                </w:p>
              </w:tc>
            </w:tr>
            <w:tr w:rsidR="009734BB" w:rsidRPr="00EE1E8A" w14:paraId="1AC9C2AE" w14:textId="77777777" w:rsidTr="007E49BD">
              <w:trPr>
                <w:jc w:val="center"/>
              </w:trPr>
              <w:tc>
                <w:tcPr>
                  <w:tcW w:w="2086" w:type="dxa"/>
                  <w:shd w:val="clear" w:color="auto" w:fill="auto"/>
                  <w:vAlign w:val="center"/>
                </w:tcPr>
                <w:p w14:paraId="0FD30B07" w14:textId="77777777" w:rsidR="009734BB" w:rsidRPr="00EB3D99" w:rsidRDefault="009734BB" w:rsidP="007E49BD">
                  <w:pPr>
                    <w:jc w:val="right"/>
                    <w:rPr>
                      <w:i/>
                      <w:sz w:val="18"/>
                      <w:szCs w:val="18"/>
                      <w:lang w:val="lv-LV"/>
                    </w:rPr>
                  </w:pPr>
                  <w:r w:rsidRPr="00EB3D99">
                    <w:rPr>
                      <w:i/>
                      <w:sz w:val="18"/>
                      <w:szCs w:val="18"/>
                      <w:lang w:val="lv-LV"/>
                    </w:rPr>
                    <w:t>rezerve</w:t>
                  </w:r>
                </w:p>
              </w:tc>
              <w:tc>
                <w:tcPr>
                  <w:tcW w:w="1134" w:type="dxa"/>
                  <w:shd w:val="clear" w:color="auto" w:fill="auto"/>
                  <w:vAlign w:val="center"/>
                </w:tcPr>
                <w:p w14:paraId="2E5AD3C6" w14:textId="77777777" w:rsidR="009734BB" w:rsidRPr="00EB3D99" w:rsidRDefault="009734BB" w:rsidP="007E49BD">
                  <w:pPr>
                    <w:jc w:val="center"/>
                    <w:rPr>
                      <w:i/>
                      <w:sz w:val="18"/>
                      <w:szCs w:val="18"/>
                      <w:lang w:val="lv-LV"/>
                    </w:rPr>
                  </w:pPr>
                  <w:r w:rsidRPr="00EB3D99">
                    <w:rPr>
                      <w:i/>
                      <w:sz w:val="18"/>
                      <w:szCs w:val="18"/>
                      <w:lang w:val="lv-LV"/>
                    </w:rPr>
                    <w:t>-</w:t>
                  </w:r>
                </w:p>
              </w:tc>
              <w:tc>
                <w:tcPr>
                  <w:tcW w:w="992" w:type="dxa"/>
                  <w:shd w:val="clear" w:color="auto" w:fill="auto"/>
                  <w:vAlign w:val="center"/>
                </w:tcPr>
                <w:p w14:paraId="6D7B30AA" w14:textId="77777777" w:rsidR="009734BB" w:rsidRPr="00EB3D99" w:rsidRDefault="009734BB" w:rsidP="007E49BD">
                  <w:pPr>
                    <w:jc w:val="center"/>
                    <w:rPr>
                      <w:b/>
                      <w:i/>
                      <w:sz w:val="18"/>
                      <w:szCs w:val="18"/>
                      <w:lang w:val="lv-LV"/>
                    </w:rPr>
                  </w:pPr>
                </w:p>
              </w:tc>
              <w:tc>
                <w:tcPr>
                  <w:tcW w:w="993" w:type="dxa"/>
                  <w:shd w:val="clear" w:color="auto" w:fill="auto"/>
                  <w:vAlign w:val="center"/>
                </w:tcPr>
                <w:p w14:paraId="2A06CC84" w14:textId="77777777" w:rsidR="009734BB" w:rsidRPr="00EB3D99" w:rsidRDefault="009734BB" w:rsidP="007E49BD">
                  <w:pPr>
                    <w:jc w:val="center"/>
                    <w:rPr>
                      <w:i/>
                      <w:sz w:val="18"/>
                      <w:szCs w:val="18"/>
                      <w:u w:val="single"/>
                      <w:lang w:val="lv-LV"/>
                    </w:rPr>
                  </w:pPr>
                  <w:r w:rsidRPr="00EB3D99">
                    <w:rPr>
                      <w:i/>
                      <w:sz w:val="18"/>
                      <w:szCs w:val="18"/>
                      <w:u w:val="single"/>
                      <w:lang w:val="lv-LV"/>
                    </w:rPr>
                    <w:t>-</w:t>
                  </w:r>
                </w:p>
              </w:tc>
              <w:tc>
                <w:tcPr>
                  <w:tcW w:w="850" w:type="dxa"/>
                  <w:shd w:val="clear" w:color="auto" w:fill="auto"/>
                  <w:vAlign w:val="center"/>
                </w:tcPr>
                <w:p w14:paraId="61E0A703" w14:textId="77777777" w:rsidR="009734BB" w:rsidRPr="00EB3D99" w:rsidRDefault="009734BB" w:rsidP="007E49BD">
                  <w:pPr>
                    <w:jc w:val="center"/>
                    <w:rPr>
                      <w:b/>
                      <w:i/>
                      <w:sz w:val="18"/>
                      <w:szCs w:val="18"/>
                      <w:lang w:val="lv-LV"/>
                    </w:rPr>
                  </w:pPr>
                </w:p>
              </w:tc>
              <w:tc>
                <w:tcPr>
                  <w:tcW w:w="851" w:type="dxa"/>
                  <w:shd w:val="clear" w:color="auto" w:fill="auto"/>
                  <w:vAlign w:val="center"/>
                </w:tcPr>
                <w:p w14:paraId="02740DBD" w14:textId="77777777" w:rsidR="009734BB" w:rsidRPr="00EB3D99" w:rsidRDefault="009734BB" w:rsidP="007E49BD">
                  <w:pPr>
                    <w:jc w:val="center"/>
                    <w:rPr>
                      <w:i/>
                      <w:sz w:val="18"/>
                      <w:szCs w:val="18"/>
                      <w:u w:val="single"/>
                      <w:lang w:val="lv-LV"/>
                    </w:rPr>
                  </w:pPr>
                  <w:r w:rsidRPr="00EB3D99">
                    <w:rPr>
                      <w:i/>
                      <w:sz w:val="18"/>
                      <w:szCs w:val="18"/>
                      <w:u w:val="single"/>
                      <w:lang w:val="lv-LV"/>
                    </w:rPr>
                    <w:t>-</w:t>
                  </w:r>
                </w:p>
              </w:tc>
              <w:tc>
                <w:tcPr>
                  <w:tcW w:w="850" w:type="dxa"/>
                  <w:shd w:val="clear" w:color="auto" w:fill="auto"/>
                  <w:vAlign w:val="center"/>
                </w:tcPr>
                <w:p w14:paraId="393FB180" w14:textId="77777777" w:rsidR="009734BB" w:rsidRPr="00EB3D99" w:rsidRDefault="009734BB" w:rsidP="007E49BD">
                  <w:pPr>
                    <w:jc w:val="center"/>
                    <w:rPr>
                      <w:b/>
                      <w:i/>
                      <w:sz w:val="18"/>
                      <w:szCs w:val="18"/>
                      <w:lang w:val="lv-LV"/>
                    </w:rPr>
                  </w:pPr>
                </w:p>
              </w:tc>
              <w:tc>
                <w:tcPr>
                  <w:tcW w:w="805" w:type="dxa"/>
                  <w:shd w:val="clear" w:color="auto" w:fill="auto"/>
                  <w:vAlign w:val="center"/>
                </w:tcPr>
                <w:p w14:paraId="5B894AED" w14:textId="77777777" w:rsidR="009734BB" w:rsidRPr="00EB3D99" w:rsidRDefault="009734BB" w:rsidP="007E49BD">
                  <w:pPr>
                    <w:jc w:val="center"/>
                    <w:rPr>
                      <w:b/>
                      <w:i/>
                      <w:sz w:val="18"/>
                      <w:szCs w:val="18"/>
                      <w:lang w:val="lv-LV"/>
                    </w:rPr>
                  </w:pPr>
                </w:p>
              </w:tc>
              <w:tc>
                <w:tcPr>
                  <w:tcW w:w="827" w:type="dxa"/>
                  <w:shd w:val="clear" w:color="auto" w:fill="auto"/>
                  <w:vAlign w:val="center"/>
                </w:tcPr>
                <w:p w14:paraId="3D0C4542" w14:textId="77777777" w:rsidR="009734BB" w:rsidRPr="00EB3D99" w:rsidRDefault="009734BB" w:rsidP="007E49BD">
                  <w:pPr>
                    <w:jc w:val="center"/>
                    <w:rPr>
                      <w:b/>
                      <w:i/>
                      <w:sz w:val="18"/>
                      <w:szCs w:val="18"/>
                      <w:lang w:val="lv-LV"/>
                    </w:rPr>
                  </w:pPr>
                </w:p>
              </w:tc>
            </w:tr>
          </w:tbl>
          <w:p w14:paraId="493E4E8C" w14:textId="77777777" w:rsidR="009734BB" w:rsidRPr="00EE1E8A" w:rsidRDefault="009734BB" w:rsidP="007E49BD">
            <w:pPr>
              <w:jc w:val="both"/>
              <w:rPr>
                <w:rFonts w:eastAsia="Calibri"/>
                <w:lang w:val="lv-LV"/>
              </w:rPr>
            </w:pPr>
          </w:p>
          <w:p w14:paraId="765839AE" w14:textId="77777777"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b/>
                <w:u w:val="single"/>
                <w:lang w:val="lv-LV" w:eastAsia="lv-LV"/>
              </w:rPr>
              <w:t>EK priekšlikums BP 2020.gadam un AL 1/2020</w:t>
            </w:r>
          </w:p>
          <w:p w14:paraId="31A9CCD6" w14:textId="01C73DA8" w:rsidR="009734BB" w:rsidRPr="00154F55" w:rsidRDefault="009734BB" w:rsidP="007E49BD">
            <w:pPr>
              <w:jc w:val="both"/>
              <w:rPr>
                <w:rFonts w:eastAsia="Calibri"/>
                <w:lang w:val="lv-LV"/>
              </w:rPr>
            </w:pPr>
            <w:r w:rsidRPr="00562B3F">
              <w:rPr>
                <w:rFonts w:eastAsia="Calibri"/>
                <w:lang w:val="lv-LV"/>
              </w:rPr>
              <w:t>EK BP ierosinātais SA apjoms neveido budžeta rezervi šajā izdevumu kategorijā, turklāt virs DFS pieļaujamajiem griestiem tiek mobilizēts Elastības instruments 778,1 milj. EUR apmērā migrācijas iekšējo seku risināšanai un ES iekšējai drošībai. Kopumā no visiem kategorijā ieplānotajiem izdevumiem absolūtais vairākums resursu tiek novirzīt</w:t>
            </w:r>
            <w:r w:rsidR="00997106">
              <w:rPr>
                <w:rFonts w:eastAsia="Calibri"/>
                <w:lang w:val="lv-LV"/>
              </w:rPr>
              <w:t>s</w:t>
            </w:r>
            <w:r w:rsidRPr="00562B3F">
              <w:rPr>
                <w:rFonts w:eastAsia="Calibri"/>
                <w:lang w:val="lv-LV"/>
              </w:rPr>
              <w:t xml:space="preserve"> migrācijas krīzes risināšanai, bēgļu plūsmas mazināšanai un drošības jautājumiem (t.sk. </w:t>
            </w:r>
            <w:proofErr w:type="spellStart"/>
            <w:r w:rsidRPr="00562B3F">
              <w:rPr>
                <w:rFonts w:eastAsia="Calibri"/>
                <w:lang w:val="lv-LV"/>
              </w:rPr>
              <w:t>radikalizācijas</w:t>
            </w:r>
            <w:proofErr w:type="spellEnd"/>
            <w:r w:rsidRPr="00562B3F">
              <w:rPr>
                <w:rFonts w:eastAsia="Calibri"/>
                <w:lang w:val="lv-LV"/>
              </w:rPr>
              <w:t xml:space="preserve">, vardarbības un terorisma draudu novēršanai). EK norāda, ka </w:t>
            </w:r>
            <w:r w:rsidR="00DD06AA" w:rsidRPr="00EE1E8A">
              <w:rPr>
                <w:rFonts w:eastAsia="Calibri"/>
                <w:lang w:val="lv-LV"/>
              </w:rPr>
              <w:t>Patvēruma, migrācijas un integrācijas fonda (</w:t>
            </w:r>
            <w:r w:rsidR="00096609">
              <w:rPr>
                <w:rFonts w:eastAsia="Calibri"/>
                <w:lang w:val="lv-LV"/>
              </w:rPr>
              <w:t xml:space="preserve">turpmāk - </w:t>
            </w:r>
            <w:r w:rsidR="00DD06AA" w:rsidRPr="00EE1E8A">
              <w:rPr>
                <w:rFonts w:eastAsia="Calibri"/>
                <w:lang w:val="lv-LV"/>
              </w:rPr>
              <w:t>AMIF) un Iekšējā drošības fonda (</w:t>
            </w:r>
            <w:r w:rsidR="00096609">
              <w:rPr>
                <w:rFonts w:eastAsia="Calibri"/>
                <w:lang w:val="lv-LV"/>
              </w:rPr>
              <w:t xml:space="preserve">turpmāk - </w:t>
            </w:r>
            <w:r w:rsidR="00DD06AA" w:rsidRPr="00EE1E8A">
              <w:rPr>
                <w:rFonts w:eastAsia="Calibri"/>
                <w:lang w:val="lv-LV"/>
              </w:rPr>
              <w:t>ISF)</w:t>
            </w:r>
            <w:r w:rsidRPr="00255C4F">
              <w:rPr>
                <w:rFonts w:eastAsia="Calibri"/>
                <w:lang w:val="lv-LV"/>
              </w:rPr>
              <w:t xml:space="preserve"> iekļautās summas, atbilst iepriekšējos gados veiktajai finanšu programmēšanai un fondu apguves tempam. Salīdzinoši liels finansējuma apjoms ieplānots 3.izdevumu kategorijas decentralizētajām aģentūrām, kuras sniedz nozīmīgu atbalstu dalībvalstīm bēgļu</w:t>
            </w:r>
            <w:r w:rsidRPr="00154F55">
              <w:rPr>
                <w:rFonts w:eastAsia="Calibri"/>
                <w:lang w:val="lv-LV"/>
              </w:rPr>
              <w:t xml:space="preserve"> plūsmu pārvaldībā, piemēram, </w:t>
            </w:r>
            <w:proofErr w:type="spellStart"/>
            <w:r w:rsidRPr="00154F55">
              <w:rPr>
                <w:rFonts w:eastAsia="Calibri"/>
                <w:lang w:val="lv-LV"/>
              </w:rPr>
              <w:t>Frontex</w:t>
            </w:r>
            <w:proofErr w:type="spellEnd"/>
            <w:r w:rsidRPr="00154F55">
              <w:rPr>
                <w:rFonts w:eastAsia="Calibri"/>
                <w:lang w:val="lv-LV"/>
              </w:rPr>
              <w:t xml:space="preserve"> aģentūrai, kurai uzstādīts ambiciozs mērķis robežsargu apjoma palielināšanai.</w:t>
            </w:r>
          </w:p>
          <w:p w14:paraId="306F5164" w14:textId="6E5EB700" w:rsidR="009734BB" w:rsidRPr="00EB3D99" w:rsidRDefault="009734BB" w:rsidP="007E49BD">
            <w:pPr>
              <w:jc w:val="both"/>
              <w:rPr>
                <w:lang w:val="lv-LV"/>
              </w:rPr>
            </w:pPr>
            <w:r w:rsidRPr="00EB3D99">
              <w:rPr>
                <w:lang w:val="lv-LV"/>
              </w:rPr>
              <w:t xml:space="preserve">Pārrakstīšanās kļūdas dēļ  publicētajā BP maksājumu apropriācijas šim postenim neatbilda aģentūras vajadzībām, kas izklāstītas </w:t>
            </w:r>
            <w:r w:rsidR="00787715">
              <w:rPr>
                <w:lang w:val="lv-LV"/>
              </w:rPr>
              <w:t xml:space="preserve">BP </w:t>
            </w:r>
            <w:r w:rsidRPr="00EB3D99">
              <w:rPr>
                <w:lang w:val="lv-LV"/>
              </w:rPr>
              <w:t xml:space="preserve">pievienotajā III darba dokumentā. Tādēļ </w:t>
            </w:r>
            <w:r w:rsidR="008C152E" w:rsidRPr="00EB3D99">
              <w:rPr>
                <w:lang w:val="lv-LV"/>
              </w:rPr>
              <w:t>EK iesniegtajā</w:t>
            </w:r>
            <w:r w:rsidR="00787715">
              <w:rPr>
                <w:lang w:val="lv-LV"/>
              </w:rPr>
              <w:t xml:space="preserve"> </w:t>
            </w:r>
            <w:r w:rsidR="001E06D1" w:rsidRPr="00EB3D99">
              <w:rPr>
                <w:lang w:val="lv-LV"/>
              </w:rPr>
              <w:t>grozījum</w:t>
            </w:r>
            <w:r w:rsidR="008C152E" w:rsidRPr="00EB3D99">
              <w:rPr>
                <w:lang w:val="lv-LV"/>
              </w:rPr>
              <w:t>u vēstulē</w:t>
            </w:r>
            <w:r w:rsidR="00787715">
              <w:rPr>
                <w:lang w:val="lv-LV"/>
              </w:rPr>
              <w:t xml:space="preserve">/ AL </w:t>
            </w:r>
            <w:r w:rsidRPr="00EB3D99">
              <w:rPr>
                <w:lang w:val="lv-LV"/>
              </w:rPr>
              <w:t xml:space="preserve">tiek ierosināts </w:t>
            </w:r>
            <w:r w:rsidR="00787715">
              <w:rPr>
                <w:lang w:val="lv-LV"/>
              </w:rPr>
              <w:t>MA</w:t>
            </w:r>
            <w:r w:rsidRPr="00EB3D99">
              <w:rPr>
                <w:lang w:val="lv-LV"/>
              </w:rPr>
              <w:t xml:space="preserve"> </w:t>
            </w:r>
            <w:proofErr w:type="spellStart"/>
            <w:r w:rsidRPr="00EB3D99">
              <w:rPr>
                <w:i/>
                <w:iCs/>
                <w:lang w:val="lv-LV"/>
              </w:rPr>
              <w:t>eu</w:t>
            </w:r>
            <w:proofErr w:type="spellEnd"/>
            <w:r w:rsidRPr="00EB3D99">
              <w:rPr>
                <w:i/>
                <w:iCs/>
                <w:lang w:val="lv-LV"/>
              </w:rPr>
              <w:t xml:space="preserve">-LISA </w:t>
            </w:r>
            <w:r w:rsidRPr="00EB3D99">
              <w:rPr>
                <w:lang w:val="lv-LV"/>
              </w:rPr>
              <w:t>samazināt par 21,8 miljoniem EUR, kopumā piešķirot 196 milj</w:t>
            </w:r>
            <w:r w:rsidR="00787715">
              <w:rPr>
                <w:lang w:val="lv-LV"/>
              </w:rPr>
              <w:t>.</w:t>
            </w:r>
            <w:r w:rsidRPr="00EB3D99">
              <w:rPr>
                <w:lang w:val="lv-LV"/>
              </w:rPr>
              <w:t xml:space="preserve"> EUR, kas atbilst aģentūras faktiskajām vajadzībām 2020.gadā.</w:t>
            </w:r>
          </w:p>
          <w:p w14:paraId="3992456A" w14:textId="77777777" w:rsidR="009734BB" w:rsidRPr="00EB3D99" w:rsidRDefault="009734BB" w:rsidP="007E49BD">
            <w:pPr>
              <w:spacing w:before="120" w:after="120"/>
              <w:jc w:val="both"/>
              <w:rPr>
                <w:b/>
                <w:u w:val="single"/>
                <w:lang w:val="lv-LV"/>
              </w:rPr>
            </w:pPr>
            <w:r w:rsidRPr="00EB3D99">
              <w:rPr>
                <w:b/>
                <w:u w:val="single"/>
                <w:lang w:val="lv-LV"/>
              </w:rPr>
              <w:lastRenderedPageBreak/>
              <w:t>Padomes pozīcija par BP 2020.gadam</w:t>
            </w:r>
          </w:p>
          <w:p w14:paraId="5A37522E" w14:textId="5A2E9BD9" w:rsidR="00DF0EC8" w:rsidRPr="004D46A1" w:rsidRDefault="009734BB" w:rsidP="007E49BD">
            <w:pPr>
              <w:spacing w:before="120" w:after="120"/>
              <w:jc w:val="both"/>
              <w:rPr>
                <w:lang w:val="lv-LV"/>
              </w:rPr>
            </w:pPr>
            <w:r w:rsidRPr="00EE1E8A">
              <w:rPr>
                <w:b/>
                <w:lang w:val="lv-LV"/>
              </w:rPr>
              <w:t>Padomes pozīcijā</w:t>
            </w:r>
            <w:r w:rsidRPr="00EE1E8A">
              <w:rPr>
                <w:lang w:val="lv-LV"/>
              </w:rPr>
              <w:t xml:space="preserve"> ir</w:t>
            </w:r>
            <w:r w:rsidR="001E06D1" w:rsidRPr="00EE1E8A">
              <w:rPr>
                <w:lang w:val="lv-LV"/>
              </w:rPr>
              <w:t xml:space="preserve"> </w:t>
            </w:r>
            <w:r w:rsidRPr="00EE1E8A">
              <w:rPr>
                <w:lang w:val="lv-LV"/>
              </w:rPr>
              <w:t>mazinātas migrāciju</w:t>
            </w:r>
            <w:r w:rsidR="00F272ED">
              <w:rPr>
                <w:lang w:val="lv-LV"/>
              </w:rPr>
              <w:t xml:space="preserve"> </w:t>
            </w:r>
            <w:r w:rsidR="00F272ED" w:rsidRPr="00EB3D99">
              <w:rPr>
                <w:i/>
                <w:lang w:val="lv-LV"/>
              </w:rPr>
              <w:t>(AMIF, ISF)</w:t>
            </w:r>
            <w:r w:rsidRPr="00EB3D99">
              <w:rPr>
                <w:i/>
                <w:lang w:val="lv-LV"/>
              </w:rPr>
              <w:t>,</w:t>
            </w:r>
            <w:r w:rsidRPr="00EE1E8A">
              <w:rPr>
                <w:lang w:val="lv-LV"/>
              </w:rPr>
              <w:t xml:space="preserve"> ēdināšanas</w:t>
            </w:r>
            <w:r w:rsidR="00B05880">
              <w:rPr>
                <w:lang w:val="lv-LV"/>
              </w:rPr>
              <w:t xml:space="preserve"> </w:t>
            </w:r>
            <w:r w:rsidR="00B05880" w:rsidRPr="00EB3D99">
              <w:rPr>
                <w:i/>
                <w:lang w:val="lv-LV"/>
              </w:rPr>
              <w:t>(</w:t>
            </w:r>
            <w:proofErr w:type="spellStart"/>
            <w:r w:rsidR="00B05880" w:rsidRPr="00EB3D99">
              <w:rPr>
                <w:i/>
                <w:lang w:val="lv-LV"/>
              </w:rPr>
              <w:t>Food</w:t>
            </w:r>
            <w:proofErr w:type="spellEnd"/>
            <w:r w:rsidR="00B05880" w:rsidRPr="00EB3D99">
              <w:rPr>
                <w:i/>
                <w:lang w:val="lv-LV"/>
              </w:rPr>
              <w:t xml:space="preserve"> </w:t>
            </w:r>
            <w:proofErr w:type="spellStart"/>
            <w:r w:rsidR="00B05880" w:rsidRPr="00EB3D99">
              <w:rPr>
                <w:i/>
                <w:lang w:val="lv-LV"/>
              </w:rPr>
              <w:t>and</w:t>
            </w:r>
            <w:proofErr w:type="spellEnd"/>
            <w:r w:rsidR="00B05880" w:rsidRPr="00EB3D99">
              <w:rPr>
                <w:i/>
                <w:lang w:val="lv-LV"/>
              </w:rPr>
              <w:t xml:space="preserve"> </w:t>
            </w:r>
            <w:proofErr w:type="spellStart"/>
            <w:r w:rsidR="00B05880" w:rsidRPr="00EB3D99">
              <w:rPr>
                <w:i/>
                <w:lang w:val="lv-LV"/>
              </w:rPr>
              <w:t>feed</w:t>
            </w:r>
            <w:proofErr w:type="spellEnd"/>
            <w:r w:rsidR="00B05880" w:rsidRPr="00EB3D99">
              <w:rPr>
                <w:i/>
                <w:lang w:val="lv-LV"/>
              </w:rPr>
              <w:t>)</w:t>
            </w:r>
            <w:r w:rsidRPr="00EB3D99">
              <w:rPr>
                <w:i/>
                <w:lang w:val="lv-LV"/>
              </w:rPr>
              <w:t>,</w:t>
            </w:r>
            <w:r w:rsidRPr="00EE1E8A">
              <w:rPr>
                <w:lang w:val="lv-LV"/>
              </w:rPr>
              <w:t xml:space="preserve"> </w:t>
            </w:r>
            <w:r w:rsidR="00B05880">
              <w:rPr>
                <w:lang w:val="lv-LV"/>
              </w:rPr>
              <w:t xml:space="preserve">kultūras </w:t>
            </w:r>
            <w:r w:rsidR="00B05880" w:rsidRPr="00EB3D99">
              <w:rPr>
                <w:i/>
                <w:lang w:val="lv-LV"/>
              </w:rPr>
              <w:t>(</w:t>
            </w:r>
            <w:proofErr w:type="spellStart"/>
            <w:r w:rsidR="00B05880" w:rsidRPr="00EB3D99">
              <w:rPr>
                <w:i/>
                <w:lang w:val="lv-LV"/>
              </w:rPr>
              <w:t>Createve</w:t>
            </w:r>
            <w:proofErr w:type="spellEnd"/>
            <w:r w:rsidR="00B05880" w:rsidRPr="00EB3D99">
              <w:rPr>
                <w:i/>
                <w:lang w:val="lv-LV"/>
              </w:rPr>
              <w:t xml:space="preserve"> </w:t>
            </w:r>
            <w:proofErr w:type="spellStart"/>
            <w:r w:rsidR="00B05880" w:rsidRPr="00EB3D99">
              <w:rPr>
                <w:i/>
                <w:lang w:val="lv-LV"/>
              </w:rPr>
              <w:t>Europe</w:t>
            </w:r>
            <w:proofErr w:type="spellEnd"/>
            <w:r w:rsidR="00B05880" w:rsidRPr="00EB3D99">
              <w:rPr>
                <w:i/>
                <w:lang w:val="lv-LV"/>
              </w:rPr>
              <w:t>)</w:t>
            </w:r>
            <w:r w:rsidRPr="00EE1E8A">
              <w:rPr>
                <w:lang w:val="lv-LV"/>
              </w:rPr>
              <w:t>un tiesiskuma</w:t>
            </w:r>
            <w:r w:rsidR="00B05880">
              <w:rPr>
                <w:lang w:val="lv-LV"/>
              </w:rPr>
              <w:t xml:space="preserve"> </w:t>
            </w:r>
            <w:r w:rsidR="00B05880" w:rsidRPr="00EB3D99">
              <w:rPr>
                <w:i/>
                <w:lang w:val="lv-LV"/>
              </w:rPr>
              <w:t>(</w:t>
            </w:r>
            <w:proofErr w:type="spellStart"/>
            <w:r w:rsidR="00B05880" w:rsidRPr="00EB3D99">
              <w:rPr>
                <w:i/>
                <w:lang w:val="lv-LV"/>
              </w:rPr>
              <w:t>Rights</w:t>
            </w:r>
            <w:proofErr w:type="spellEnd"/>
            <w:r w:rsidR="00B05880" w:rsidRPr="00EB3D99">
              <w:rPr>
                <w:i/>
                <w:lang w:val="lv-LV"/>
              </w:rPr>
              <w:t xml:space="preserve">, </w:t>
            </w:r>
            <w:proofErr w:type="spellStart"/>
            <w:r w:rsidR="00B05880" w:rsidRPr="00EB3D99">
              <w:rPr>
                <w:i/>
                <w:lang w:val="lv-LV"/>
              </w:rPr>
              <w:t>Equity</w:t>
            </w:r>
            <w:proofErr w:type="spellEnd"/>
            <w:r w:rsidR="00B05880" w:rsidRPr="00EB3D99">
              <w:rPr>
                <w:i/>
                <w:lang w:val="lv-LV"/>
              </w:rPr>
              <w:t xml:space="preserve"> </w:t>
            </w:r>
            <w:proofErr w:type="spellStart"/>
            <w:r w:rsidR="00B05880" w:rsidRPr="00EB3D99">
              <w:rPr>
                <w:i/>
                <w:lang w:val="lv-LV"/>
              </w:rPr>
              <w:t>and</w:t>
            </w:r>
            <w:proofErr w:type="spellEnd"/>
            <w:r w:rsidR="00B05880" w:rsidRPr="00EB3D99">
              <w:rPr>
                <w:i/>
                <w:lang w:val="lv-LV"/>
              </w:rPr>
              <w:t xml:space="preserve"> </w:t>
            </w:r>
            <w:proofErr w:type="spellStart"/>
            <w:r w:rsidR="00B05880" w:rsidRPr="00EB3D99">
              <w:rPr>
                <w:i/>
                <w:lang w:val="lv-LV"/>
              </w:rPr>
              <w:t>Citizenship</w:t>
            </w:r>
            <w:proofErr w:type="spellEnd"/>
            <w:r w:rsidR="00B05880" w:rsidRPr="00EB3D99">
              <w:rPr>
                <w:i/>
                <w:lang w:val="lv-LV"/>
              </w:rPr>
              <w:t>)</w:t>
            </w:r>
            <w:r w:rsidRPr="00EE1E8A">
              <w:rPr>
                <w:lang w:val="lv-LV"/>
              </w:rPr>
              <w:t xml:space="preserve"> programmas. Kopsummā samazinā</w:t>
            </w:r>
            <w:r w:rsidRPr="00562B3F">
              <w:rPr>
                <w:lang w:val="lv-LV"/>
              </w:rPr>
              <w:t>jumi veido 126,3</w:t>
            </w:r>
            <w:r w:rsidR="00C7517A">
              <w:rPr>
                <w:lang w:val="lv-LV"/>
              </w:rPr>
              <w:t xml:space="preserve"> </w:t>
            </w:r>
            <w:r w:rsidRPr="00562B3F">
              <w:rPr>
                <w:lang w:val="lv-LV"/>
              </w:rPr>
              <w:t>milj. EUR SA un 12,7 milj. EUR MA</w:t>
            </w:r>
            <w:r w:rsidR="00187FEA" w:rsidRPr="00562B3F">
              <w:rPr>
                <w:lang w:val="lv-LV"/>
              </w:rPr>
              <w:t xml:space="preserve">, salīdzinot ar </w:t>
            </w:r>
            <w:r w:rsidR="00C7517A">
              <w:rPr>
                <w:lang w:val="lv-LV"/>
              </w:rPr>
              <w:t>EK</w:t>
            </w:r>
            <w:r w:rsidR="00C7517A" w:rsidRPr="00562B3F">
              <w:rPr>
                <w:lang w:val="lv-LV"/>
              </w:rPr>
              <w:t xml:space="preserve"> </w:t>
            </w:r>
            <w:r w:rsidR="00187FEA" w:rsidRPr="00562B3F">
              <w:rPr>
                <w:lang w:val="lv-LV"/>
              </w:rPr>
              <w:t xml:space="preserve">priekšlikumu. </w:t>
            </w:r>
            <w:r w:rsidR="005D00E4" w:rsidRPr="00255C4F">
              <w:rPr>
                <w:lang w:val="lv-LV"/>
              </w:rPr>
              <w:t xml:space="preserve">Piemēram, </w:t>
            </w:r>
            <w:r w:rsidR="00187FEA" w:rsidRPr="00255C4F">
              <w:rPr>
                <w:lang w:val="lv-LV"/>
              </w:rPr>
              <w:t xml:space="preserve">Padome ir </w:t>
            </w:r>
            <w:r w:rsidR="00187FEA" w:rsidRPr="00154F55">
              <w:rPr>
                <w:lang w:val="lv-LV"/>
              </w:rPr>
              <w:t>pārvietojusi EUR 400 milj</w:t>
            </w:r>
            <w:r w:rsidR="005D00E4" w:rsidRPr="00154F55">
              <w:rPr>
                <w:lang w:val="lv-LV"/>
              </w:rPr>
              <w:t xml:space="preserve">. EUR no AMIF uz rezervi, </w:t>
            </w:r>
            <w:r w:rsidR="00187FEA" w:rsidRPr="003B0B35">
              <w:rPr>
                <w:lang w:val="lv-LV"/>
              </w:rPr>
              <w:t>lai palielinātu b</w:t>
            </w:r>
            <w:r w:rsidR="005D00E4" w:rsidRPr="00512731">
              <w:rPr>
                <w:lang w:val="lv-LV"/>
              </w:rPr>
              <w:t xml:space="preserve">udžeta </w:t>
            </w:r>
            <w:proofErr w:type="spellStart"/>
            <w:r w:rsidR="005D00E4" w:rsidRPr="00512731">
              <w:rPr>
                <w:lang w:val="lv-LV"/>
              </w:rPr>
              <w:t>pārredzamību</w:t>
            </w:r>
            <w:proofErr w:type="spellEnd"/>
            <w:r w:rsidR="005D00E4" w:rsidRPr="00512731">
              <w:rPr>
                <w:lang w:val="lv-LV"/>
              </w:rPr>
              <w:t>.</w:t>
            </w:r>
          </w:p>
          <w:p w14:paraId="6597715A" w14:textId="000851D0" w:rsidR="009734BB" w:rsidRPr="00EB3D99" w:rsidRDefault="009734BB" w:rsidP="007E49BD">
            <w:pPr>
              <w:spacing w:before="120" w:after="120"/>
              <w:jc w:val="both"/>
              <w:rPr>
                <w:b/>
                <w:u w:val="single"/>
                <w:lang w:val="lv-LV"/>
              </w:rPr>
            </w:pPr>
            <w:r w:rsidRPr="00EB3D99">
              <w:rPr>
                <w:b/>
                <w:u w:val="single"/>
                <w:lang w:val="lv-LV"/>
              </w:rPr>
              <w:t>EP pozīcija par BP 2020.gadam</w:t>
            </w:r>
          </w:p>
          <w:p w14:paraId="437CAEE0" w14:textId="681B3552" w:rsidR="009734BB" w:rsidRPr="00DF0EC8" w:rsidRDefault="009734BB" w:rsidP="00DF0EC8">
            <w:pPr>
              <w:jc w:val="both"/>
              <w:rPr>
                <w:rFonts w:eastAsia="Calibri"/>
                <w:lang w:val="lv-LV"/>
              </w:rPr>
            </w:pPr>
            <w:r w:rsidRPr="00EE1E8A">
              <w:rPr>
                <w:rFonts w:eastAsia="Calibri"/>
                <w:lang w:val="lv-LV"/>
              </w:rPr>
              <w:t>EP salīdzinājumā ar Padomi 3.izdevumu kategorijā palielina SA par 141,6 milj. EUR līdz 3 870,7</w:t>
            </w:r>
            <w:r w:rsidR="00DD06AA">
              <w:rPr>
                <w:rFonts w:eastAsia="Calibri"/>
                <w:lang w:val="lv-LV"/>
              </w:rPr>
              <w:t xml:space="preserve"> </w:t>
            </w:r>
            <w:r w:rsidRPr="00EE1E8A">
              <w:rPr>
                <w:rFonts w:eastAsia="Calibri"/>
                <w:lang w:val="lv-LV"/>
              </w:rPr>
              <w:t xml:space="preserve">milj. EUR, savukārt, MA par 120,7 milj. EUR līdz 3 822,8 milj. EUR, </w:t>
            </w:r>
            <w:r w:rsidR="00C10061">
              <w:rPr>
                <w:rFonts w:eastAsia="Calibri"/>
                <w:lang w:val="lv-LV"/>
              </w:rPr>
              <w:t xml:space="preserve">salīdzinot ar EK BP </w:t>
            </w:r>
            <w:r w:rsidRPr="00EE1E8A">
              <w:rPr>
                <w:rFonts w:eastAsia="Calibri"/>
                <w:lang w:val="lv-LV"/>
              </w:rPr>
              <w:t xml:space="preserve">nepalielinot AMIF un ISF apropriācijas. </w:t>
            </w:r>
          </w:p>
          <w:p w14:paraId="214D8F15" w14:textId="77777777" w:rsidR="009734BB" w:rsidRPr="00255C4F" w:rsidRDefault="009734BB" w:rsidP="007E49BD">
            <w:pPr>
              <w:jc w:val="center"/>
              <w:rPr>
                <w:b/>
                <w:lang w:val="lv-LV"/>
              </w:rPr>
            </w:pPr>
            <w:r w:rsidRPr="00255C4F">
              <w:rPr>
                <w:b/>
                <w:lang w:val="lv-LV"/>
              </w:rPr>
              <w:t>4.KATEGORIJA „GLOBĀLĀ EIROPA”</w:t>
            </w:r>
          </w:p>
          <w:p w14:paraId="3776EBF3" w14:textId="77777777" w:rsidR="009734BB" w:rsidRPr="00154F55" w:rsidRDefault="009734BB" w:rsidP="007E49BD">
            <w:pPr>
              <w:autoSpaceDE w:val="0"/>
              <w:autoSpaceDN w:val="0"/>
              <w:adjustRightInd w:val="0"/>
              <w:jc w:val="right"/>
              <w:rPr>
                <w:b/>
                <w:lang w:val="lv-LV"/>
              </w:rPr>
            </w:pPr>
            <w:r w:rsidRPr="00154F55">
              <w:rPr>
                <w:b/>
                <w:lang w:val="lv-LV"/>
              </w:rPr>
              <w:t>6.tabula. 4.kategorija “Globālā Eiropa”</w:t>
            </w:r>
          </w:p>
          <w:p w14:paraId="6846A284" w14:textId="77777777" w:rsidR="009734BB" w:rsidRPr="00512731" w:rsidRDefault="009734BB" w:rsidP="007E49BD">
            <w:pPr>
              <w:jc w:val="right"/>
              <w:rPr>
                <w:b/>
                <w:lang w:val="lv-LV"/>
              </w:rPr>
            </w:pPr>
            <w:r w:rsidRPr="00512731">
              <w:rPr>
                <w:bCs/>
                <w:i/>
                <w:sz w:val="20"/>
                <w:szCs w:val="20"/>
                <w:lang w:val="lv-LV"/>
              </w:rPr>
              <w:t>(milj. EUR)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8"/>
              <w:gridCol w:w="1134"/>
              <w:gridCol w:w="992"/>
              <w:gridCol w:w="993"/>
              <w:gridCol w:w="850"/>
              <w:gridCol w:w="851"/>
              <w:gridCol w:w="850"/>
              <w:gridCol w:w="805"/>
              <w:gridCol w:w="1212"/>
            </w:tblGrid>
            <w:tr w:rsidR="009734BB" w:rsidRPr="00EE1E8A" w14:paraId="107DA525" w14:textId="77777777" w:rsidTr="007E49BD">
              <w:tc>
                <w:tcPr>
                  <w:tcW w:w="1838" w:type="dxa"/>
                  <w:vMerge w:val="restart"/>
                  <w:shd w:val="clear" w:color="auto" w:fill="auto"/>
                  <w:vAlign w:val="center"/>
                </w:tcPr>
                <w:p w14:paraId="78D5889A" w14:textId="77777777" w:rsidR="009734BB" w:rsidRPr="00EB3D99" w:rsidRDefault="009734BB" w:rsidP="007E49BD">
                  <w:pPr>
                    <w:jc w:val="center"/>
                    <w:rPr>
                      <w:b/>
                      <w:sz w:val="18"/>
                      <w:szCs w:val="18"/>
                      <w:lang w:val="lv-LV"/>
                    </w:rPr>
                  </w:pPr>
                  <w:r w:rsidRPr="00EB3D99">
                    <w:rPr>
                      <w:b/>
                      <w:bCs/>
                      <w:sz w:val="18"/>
                      <w:szCs w:val="18"/>
                      <w:lang w:val="lv-LV"/>
                    </w:rPr>
                    <w:t>Kategorija</w:t>
                  </w:r>
                </w:p>
              </w:tc>
              <w:tc>
                <w:tcPr>
                  <w:tcW w:w="2126" w:type="dxa"/>
                  <w:gridSpan w:val="2"/>
                  <w:shd w:val="clear" w:color="auto" w:fill="auto"/>
                  <w:vAlign w:val="center"/>
                </w:tcPr>
                <w:p w14:paraId="32E6764E" w14:textId="77777777" w:rsidR="009734BB" w:rsidRPr="00EB3D99" w:rsidRDefault="009734BB" w:rsidP="007E49BD">
                  <w:pPr>
                    <w:autoSpaceDE w:val="0"/>
                    <w:autoSpaceDN w:val="0"/>
                    <w:spacing w:before="100" w:beforeAutospacing="1"/>
                    <w:jc w:val="center"/>
                    <w:rPr>
                      <w:rFonts w:eastAsia="Calibri"/>
                      <w:b/>
                      <w:bCs/>
                      <w:sz w:val="18"/>
                      <w:szCs w:val="18"/>
                      <w:lang w:val="lv-LV" w:eastAsia="lv-LV"/>
                    </w:rPr>
                  </w:pPr>
                  <w:r w:rsidRPr="00EB3D99">
                    <w:rPr>
                      <w:b/>
                      <w:bCs/>
                      <w:sz w:val="20"/>
                      <w:szCs w:val="20"/>
                      <w:lang w:val="lv-LV" w:eastAsia="lv-LV"/>
                    </w:rPr>
                    <w:t>EK BP 2020.gadam (</w:t>
                  </w:r>
                  <w:proofErr w:type="spellStart"/>
                  <w:r w:rsidRPr="00EB3D99">
                    <w:rPr>
                      <w:b/>
                      <w:bCs/>
                      <w:sz w:val="20"/>
                      <w:szCs w:val="20"/>
                      <w:lang w:val="lv-LV" w:eastAsia="lv-LV"/>
                    </w:rPr>
                    <w:t>iekļ</w:t>
                  </w:r>
                  <w:proofErr w:type="spellEnd"/>
                  <w:r w:rsidRPr="00EB3D99">
                    <w:rPr>
                      <w:b/>
                      <w:bCs/>
                      <w:sz w:val="20"/>
                      <w:szCs w:val="20"/>
                      <w:lang w:val="lv-LV" w:eastAsia="lv-LV"/>
                    </w:rPr>
                    <w:t>. AL 1/2020)</w:t>
                  </w:r>
                </w:p>
              </w:tc>
              <w:tc>
                <w:tcPr>
                  <w:tcW w:w="1843" w:type="dxa"/>
                  <w:gridSpan w:val="2"/>
                  <w:shd w:val="clear" w:color="auto" w:fill="auto"/>
                  <w:vAlign w:val="center"/>
                </w:tcPr>
                <w:p w14:paraId="4E5559A3" w14:textId="77777777" w:rsidR="009734BB" w:rsidRPr="00EB3D99" w:rsidRDefault="009734BB" w:rsidP="007E49BD">
                  <w:pPr>
                    <w:autoSpaceDE w:val="0"/>
                    <w:autoSpaceDN w:val="0"/>
                    <w:spacing w:before="100" w:beforeAutospacing="1"/>
                    <w:jc w:val="center"/>
                    <w:rPr>
                      <w:rFonts w:eastAsia="Calibri"/>
                      <w:b/>
                      <w:bCs/>
                      <w:sz w:val="18"/>
                      <w:szCs w:val="18"/>
                      <w:lang w:val="lv-LV" w:eastAsia="lv-LV"/>
                    </w:rPr>
                  </w:pPr>
                  <w:r w:rsidRPr="00EB3D99">
                    <w:rPr>
                      <w:b/>
                      <w:bCs/>
                      <w:sz w:val="20"/>
                      <w:szCs w:val="20"/>
                      <w:lang w:val="lv-LV" w:eastAsia="lv-LV"/>
                    </w:rPr>
                    <w:t>Padomes pozīcija par BP 2020.gadam</w:t>
                  </w:r>
                </w:p>
              </w:tc>
              <w:tc>
                <w:tcPr>
                  <w:tcW w:w="1701" w:type="dxa"/>
                  <w:gridSpan w:val="2"/>
                  <w:shd w:val="clear" w:color="auto" w:fill="auto"/>
                </w:tcPr>
                <w:p w14:paraId="3B5CB11C" w14:textId="77777777" w:rsidR="009734BB" w:rsidRPr="00EB3D99" w:rsidRDefault="009734BB" w:rsidP="007E49BD">
                  <w:pPr>
                    <w:jc w:val="center"/>
                    <w:rPr>
                      <w:b/>
                      <w:sz w:val="18"/>
                      <w:szCs w:val="18"/>
                      <w:lang w:val="lv-LV"/>
                    </w:rPr>
                  </w:pPr>
                  <w:r w:rsidRPr="00EB3D99">
                    <w:rPr>
                      <w:rFonts w:eastAsia="Calibri"/>
                      <w:b/>
                      <w:sz w:val="20"/>
                      <w:szCs w:val="20"/>
                      <w:lang w:val="lv-LV"/>
                    </w:rPr>
                    <w:t>EP pozīcija par BP 2020.gadam</w:t>
                  </w:r>
                </w:p>
              </w:tc>
              <w:tc>
                <w:tcPr>
                  <w:tcW w:w="2017" w:type="dxa"/>
                  <w:gridSpan w:val="2"/>
                  <w:shd w:val="clear" w:color="auto" w:fill="auto"/>
                </w:tcPr>
                <w:p w14:paraId="6E03526A" w14:textId="77777777" w:rsidR="009734BB" w:rsidRPr="00EB3D99" w:rsidRDefault="009734BB" w:rsidP="007E49BD">
                  <w:pPr>
                    <w:jc w:val="center"/>
                    <w:rPr>
                      <w:b/>
                      <w:sz w:val="18"/>
                      <w:szCs w:val="18"/>
                      <w:lang w:val="lv-LV"/>
                    </w:rPr>
                  </w:pPr>
                  <w:r w:rsidRPr="00EB3D99">
                    <w:rPr>
                      <w:rFonts w:eastAsia="Calibri"/>
                      <w:b/>
                      <w:sz w:val="20"/>
                      <w:szCs w:val="20"/>
                      <w:lang w:val="lv-LV"/>
                    </w:rPr>
                    <w:t>Atšķirība EP/Padome</w:t>
                  </w:r>
                </w:p>
              </w:tc>
            </w:tr>
            <w:tr w:rsidR="009734BB" w:rsidRPr="00EE1E8A" w14:paraId="1B2B1B7B" w14:textId="77777777" w:rsidTr="007E49BD">
              <w:tc>
                <w:tcPr>
                  <w:tcW w:w="1838" w:type="dxa"/>
                  <w:vMerge/>
                  <w:shd w:val="clear" w:color="auto" w:fill="auto"/>
                </w:tcPr>
                <w:p w14:paraId="3F354100" w14:textId="77777777" w:rsidR="009734BB" w:rsidRPr="00EB3D99" w:rsidRDefault="009734BB" w:rsidP="007E49BD">
                  <w:pPr>
                    <w:jc w:val="center"/>
                    <w:rPr>
                      <w:b/>
                      <w:sz w:val="18"/>
                      <w:szCs w:val="18"/>
                      <w:lang w:val="lv-LV"/>
                    </w:rPr>
                  </w:pPr>
                </w:p>
              </w:tc>
              <w:tc>
                <w:tcPr>
                  <w:tcW w:w="1134" w:type="dxa"/>
                  <w:shd w:val="clear" w:color="auto" w:fill="auto"/>
                </w:tcPr>
                <w:p w14:paraId="790B7E8E" w14:textId="77777777" w:rsidR="009734BB" w:rsidRPr="00EB3D99" w:rsidRDefault="009734BB" w:rsidP="007E49BD">
                  <w:pPr>
                    <w:jc w:val="center"/>
                    <w:rPr>
                      <w:b/>
                      <w:sz w:val="18"/>
                      <w:szCs w:val="18"/>
                      <w:lang w:val="lv-LV"/>
                    </w:rPr>
                  </w:pPr>
                  <w:r w:rsidRPr="00EB3D99">
                    <w:rPr>
                      <w:b/>
                      <w:bCs/>
                      <w:sz w:val="18"/>
                      <w:szCs w:val="18"/>
                      <w:lang w:val="lv-LV"/>
                    </w:rPr>
                    <w:t>SA</w:t>
                  </w:r>
                </w:p>
              </w:tc>
              <w:tc>
                <w:tcPr>
                  <w:tcW w:w="992" w:type="dxa"/>
                  <w:shd w:val="clear" w:color="auto" w:fill="auto"/>
                </w:tcPr>
                <w:p w14:paraId="4902FA75" w14:textId="77777777" w:rsidR="009734BB" w:rsidRPr="00EB3D99" w:rsidRDefault="009734BB" w:rsidP="007E49BD">
                  <w:pPr>
                    <w:jc w:val="center"/>
                    <w:rPr>
                      <w:b/>
                      <w:sz w:val="18"/>
                      <w:szCs w:val="18"/>
                      <w:lang w:val="lv-LV"/>
                    </w:rPr>
                  </w:pPr>
                  <w:r w:rsidRPr="00EB3D99">
                    <w:rPr>
                      <w:b/>
                      <w:bCs/>
                      <w:sz w:val="18"/>
                      <w:szCs w:val="18"/>
                      <w:lang w:val="lv-LV"/>
                    </w:rPr>
                    <w:t>MA</w:t>
                  </w:r>
                </w:p>
              </w:tc>
              <w:tc>
                <w:tcPr>
                  <w:tcW w:w="993" w:type="dxa"/>
                  <w:shd w:val="clear" w:color="auto" w:fill="auto"/>
                </w:tcPr>
                <w:p w14:paraId="124F3180" w14:textId="77777777" w:rsidR="009734BB" w:rsidRPr="00EB3D99" w:rsidRDefault="009734BB" w:rsidP="007E49BD">
                  <w:pPr>
                    <w:jc w:val="center"/>
                    <w:rPr>
                      <w:b/>
                      <w:sz w:val="18"/>
                      <w:szCs w:val="18"/>
                      <w:lang w:val="lv-LV"/>
                    </w:rPr>
                  </w:pPr>
                  <w:r w:rsidRPr="00EB3D99">
                    <w:rPr>
                      <w:b/>
                      <w:bCs/>
                      <w:sz w:val="18"/>
                      <w:szCs w:val="18"/>
                      <w:lang w:val="lv-LV"/>
                    </w:rPr>
                    <w:t>SA</w:t>
                  </w:r>
                </w:p>
              </w:tc>
              <w:tc>
                <w:tcPr>
                  <w:tcW w:w="850" w:type="dxa"/>
                  <w:shd w:val="clear" w:color="auto" w:fill="auto"/>
                </w:tcPr>
                <w:p w14:paraId="032AAA8F" w14:textId="77777777" w:rsidR="009734BB" w:rsidRPr="00EB3D99" w:rsidRDefault="009734BB" w:rsidP="007E49BD">
                  <w:pPr>
                    <w:jc w:val="center"/>
                    <w:rPr>
                      <w:b/>
                      <w:sz w:val="18"/>
                      <w:szCs w:val="18"/>
                      <w:lang w:val="lv-LV"/>
                    </w:rPr>
                  </w:pPr>
                  <w:r w:rsidRPr="00EB3D99">
                    <w:rPr>
                      <w:b/>
                      <w:bCs/>
                      <w:sz w:val="18"/>
                      <w:szCs w:val="18"/>
                      <w:lang w:val="lv-LV"/>
                    </w:rPr>
                    <w:t>MA</w:t>
                  </w:r>
                </w:p>
              </w:tc>
              <w:tc>
                <w:tcPr>
                  <w:tcW w:w="851" w:type="dxa"/>
                  <w:shd w:val="clear" w:color="auto" w:fill="auto"/>
                </w:tcPr>
                <w:p w14:paraId="16DDE620" w14:textId="77777777" w:rsidR="009734BB" w:rsidRPr="00EB3D99" w:rsidRDefault="009734BB" w:rsidP="007E49BD">
                  <w:pPr>
                    <w:jc w:val="center"/>
                    <w:rPr>
                      <w:b/>
                      <w:sz w:val="18"/>
                      <w:szCs w:val="18"/>
                      <w:lang w:val="lv-LV"/>
                    </w:rPr>
                  </w:pPr>
                  <w:r w:rsidRPr="00EB3D99">
                    <w:rPr>
                      <w:b/>
                      <w:bCs/>
                      <w:sz w:val="18"/>
                      <w:szCs w:val="18"/>
                      <w:lang w:val="lv-LV"/>
                    </w:rPr>
                    <w:t>SA</w:t>
                  </w:r>
                </w:p>
              </w:tc>
              <w:tc>
                <w:tcPr>
                  <w:tcW w:w="850" w:type="dxa"/>
                  <w:shd w:val="clear" w:color="auto" w:fill="auto"/>
                </w:tcPr>
                <w:p w14:paraId="59D2199D" w14:textId="77777777" w:rsidR="009734BB" w:rsidRPr="00EB3D99" w:rsidRDefault="009734BB" w:rsidP="007E49BD">
                  <w:pPr>
                    <w:jc w:val="center"/>
                    <w:rPr>
                      <w:b/>
                      <w:sz w:val="18"/>
                      <w:szCs w:val="18"/>
                      <w:lang w:val="lv-LV"/>
                    </w:rPr>
                  </w:pPr>
                  <w:r w:rsidRPr="00EB3D99">
                    <w:rPr>
                      <w:b/>
                      <w:bCs/>
                      <w:sz w:val="18"/>
                      <w:szCs w:val="18"/>
                      <w:lang w:val="lv-LV"/>
                    </w:rPr>
                    <w:t>MA</w:t>
                  </w:r>
                </w:p>
              </w:tc>
              <w:tc>
                <w:tcPr>
                  <w:tcW w:w="805" w:type="dxa"/>
                  <w:shd w:val="clear" w:color="auto" w:fill="auto"/>
                </w:tcPr>
                <w:p w14:paraId="6C2D9185" w14:textId="77777777" w:rsidR="009734BB" w:rsidRPr="00EB3D99" w:rsidRDefault="009734BB" w:rsidP="007E49BD">
                  <w:pPr>
                    <w:jc w:val="center"/>
                    <w:rPr>
                      <w:b/>
                      <w:sz w:val="18"/>
                      <w:szCs w:val="18"/>
                      <w:lang w:val="lv-LV"/>
                    </w:rPr>
                  </w:pPr>
                  <w:r w:rsidRPr="00EB3D99">
                    <w:rPr>
                      <w:b/>
                      <w:bCs/>
                      <w:sz w:val="18"/>
                      <w:szCs w:val="18"/>
                      <w:lang w:val="lv-LV"/>
                    </w:rPr>
                    <w:t>SA</w:t>
                  </w:r>
                </w:p>
              </w:tc>
              <w:tc>
                <w:tcPr>
                  <w:tcW w:w="1212" w:type="dxa"/>
                  <w:shd w:val="clear" w:color="auto" w:fill="auto"/>
                </w:tcPr>
                <w:p w14:paraId="2B349454" w14:textId="77777777" w:rsidR="009734BB" w:rsidRPr="00EB3D99" w:rsidRDefault="009734BB" w:rsidP="007E49BD">
                  <w:pPr>
                    <w:jc w:val="center"/>
                    <w:rPr>
                      <w:b/>
                      <w:sz w:val="18"/>
                      <w:szCs w:val="18"/>
                      <w:lang w:val="lv-LV"/>
                    </w:rPr>
                  </w:pPr>
                  <w:r w:rsidRPr="00EB3D99">
                    <w:rPr>
                      <w:b/>
                      <w:bCs/>
                      <w:sz w:val="18"/>
                      <w:szCs w:val="18"/>
                      <w:lang w:val="lv-LV"/>
                    </w:rPr>
                    <w:t>MA</w:t>
                  </w:r>
                </w:p>
              </w:tc>
            </w:tr>
            <w:tr w:rsidR="006A033C" w:rsidRPr="00EE1E8A" w14:paraId="507EB71F" w14:textId="77777777" w:rsidTr="007E49BD">
              <w:tc>
                <w:tcPr>
                  <w:tcW w:w="1838" w:type="dxa"/>
                  <w:shd w:val="clear" w:color="auto" w:fill="auto"/>
                  <w:vAlign w:val="center"/>
                </w:tcPr>
                <w:p w14:paraId="5FCA03AA" w14:textId="77777777" w:rsidR="009734BB" w:rsidRPr="00EB3D99" w:rsidRDefault="009734BB" w:rsidP="007E49BD">
                  <w:pPr>
                    <w:jc w:val="right"/>
                    <w:rPr>
                      <w:b/>
                      <w:sz w:val="18"/>
                      <w:szCs w:val="18"/>
                      <w:lang w:val="lv-LV"/>
                    </w:rPr>
                  </w:pPr>
                  <w:r w:rsidRPr="00EB3D99">
                    <w:rPr>
                      <w:b/>
                      <w:bCs/>
                      <w:sz w:val="18"/>
                      <w:szCs w:val="18"/>
                      <w:lang w:val="lv-LV"/>
                    </w:rPr>
                    <w:t>Globālā Eiropa</w:t>
                  </w:r>
                </w:p>
              </w:tc>
              <w:tc>
                <w:tcPr>
                  <w:tcW w:w="1134" w:type="dxa"/>
                  <w:shd w:val="clear" w:color="auto" w:fill="auto"/>
                  <w:vAlign w:val="center"/>
                </w:tcPr>
                <w:p w14:paraId="63FB839F" w14:textId="77777777" w:rsidR="009734BB" w:rsidRPr="00EB3D99" w:rsidRDefault="009734BB" w:rsidP="007E49BD">
                  <w:pPr>
                    <w:jc w:val="center"/>
                    <w:rPr>
                      <w:b/>
                      <w:sz w:val="18"/>
                      <w:szCs w:val="18"/>
                      <w:u w:val="single"/>
                      <w:lang w:val="lv-LV"/>
                    </w:rPr>
                  </w:pPr>
                  <w:r w:rsidRPr="00EB3D99">
                    <w:rPr>
                      <w:b/>
                      <w:sz w:val="18"/>
                      <w:szCs w:val="18"/>
                      <w:u w:val="single"/>
                      <w:lang w:val="lv-LV"/>
                    </w:rPr>
                    <w:t>10 307,6</w:t>
                  </w:r>
                </w:p>
              </w:tc>
              <w:tc>
                <w:tcPr>
                  <w:tcW w:w="992" w:type="dxa"/>
                  <w:shd w:val="clear" w:color="auto" w:fill="auto"/>
                  <w:vAlign w:val="center"/>
                </w:tcPr>
                <w:p w14:paraId="42F5560F" w14:textId="77777777" w:rsidR="009734BB" w:rsidRPr="00EB3D99" w:rsidRDefault="009734BB" w:rsidP="007E49BD">
                  <w:pPr>
                    <w:jc w:val="center"/>
                    <w:rPr>
                      <w:b/>
                      <w:sz w:val="18"/>
                      <w:szCs w:val="18"/>
                      <w:u w:val="single"/>
                      <w:lang w:val="lv-LV"/>
                    </w:rPr>
                  </w:pPr>
                  <w:r w:rsidRPr="00EB3D99">
                    <w:rPr>
                      <w:b/>
                      <w:sz w:val="18"/>
                      <w:szCs w:val="18"/>
                      <w:u w:val="single"/>
                      <w:lang w:val="lv-LV"/>
                    </w:rPr>
                    <w:t>8 986,1</w:t>
                  </w:r>
                </w:p>
              </w:tc>
              <w:tc>
                <w:tcPr>
                  <w:tcW w:w="993" w:type="dxa"/>
                  <w:shd w:val="clear" w:color="auto" w:fill="auto"/>
                  <w:vAlign w:val="center"/>
                </w:tcPr>
                <w:p w14:paraId="58F35B7C" w14:textId="77777777" w:rsidR="009734BB" w:rsidRPr="00EB3D99" w:rsidRDefault="009734BB" w:rsidP="007E49BD">
                  <w:pPr>
                    <w:jc w:val="center"/>
                    <w:rPr>
                      <w:b/>
                      <w:sz w:val="18"/>
                      <w:szCs w:val="18"/>
                      <w:u w:val="single"/>
                      <w:lang w:val="lv-LV"/>
                    </w:rPr>
                  </w:pPr>
                  <w:r w:rsidRPr="00EB3D99">
                    <w:rPr>
                      <w:b/>
                      <w:sz w:val="18"/>
                      <w:szCs w:val="18"/>
                      <w:u w:val="single"/>
                      <w:lang w:val="lv-LV"/>
                    </w:rPr>
                    <w:t>10 114,3</w:t>
                  </w:r>
                </w:p>
              </w:tc>
              <w:tc>
                <w:tcPr>
                  <w:tcW w:w="850" w:type="dxa"/>
                  <w:shd w:val="clear" w:color="auto" w:fill="auto"/>
                  <w:vAlign w:val="center"/>
                </w:tcPr>
                <w:p w14:paraId="0B097C51" w14:textId="77777777" w:rsidR="009734BB" w:rsidRPr="00EB3D99" w:rsidRDefault="009734BB" w:rsidP="007E49BD">
                  <w:pPr>
                    <w:jc w:val="center"/>
                    <w:rPr>
                      <w:b/>
                      <w:sz w:val="18"/>
                      <w:szCs w:val="18"/>
                      <w:u w:val="single"/>
                      <w:lang w:val="lv-LV"/>
                    </w:rPr>
                  </w:pPr>
                  <w:r w:rsidRPr="00EB3D99">
                    <w:rPr>
                      <w:b/>
                      <w:sz w:val="18"/>
                      <w:szCs w:val="18"/>
                      <w:u w:val="single"/>
                      <w:lang w:val="lv-LV"/>
                    </w:rPr>
                    <w:t>8 946,1</w:t>
                  </w:r>
                </w:p>
              </w:tc>
              <w:tc>
                <w:tcPr>
                  <w:tcW w:w="851" w:type="dxa"/>
                  <w:shd w:val="clear" w:color="auto" w:fill="auto"/>
                  <w:vAlign w:val="center"/>
                </w:tcPr>
                <w:p w14:paraId="05F2E1DB" w14:textId="77777777" w:rsidR="009734BB" w:rsidRPr="00EB3D99" w:rsidRDefault="009734BB" w:rsidP="007E49BD">
                  <w:pPr>
                    <w:jc w:val="center"/>
                    <w:rPr>
                      <w:b/>
                      <w:sz w:val="18"/>
                      <w:szCs w:val="18"/>
                      <w:u w:val="single"/>
                      <w:lang w:val="lv-LV"/>
                    </w:rPr>
                  </w:pPr>
                  <w:r w:rsidRPr="00EB3D99">
                    <w:rPr>
                      <w:b/>
                      <w:sz w:val="18"/>
                      <w:szCs w:val="18"/>
                      <w:u w:val="single"/>
                      <w:lang w:val="lv-LV"/>
                    </w:rPr>
                    <w:t>10 568,8</w:t>
                  </w:r>
                </w:p>
              </w:tc>
              <w:tc>
                <w:tcPr>
                  <w:tcW w:w="850" w:type="dxa"/>
                  <w:shd w:val="clear" w:color="auto" w:fill="auto"/>
                  <w:vAlign w:val="center"/>
                </w:tcPr>
                <w:p w14:paraId="51CF4B66" w14:textId="77777777" w:rsidR="009734BB" w:rsidRPr="00EB3D99" w:rsidRDefault="009734BB" w:rsidP="007E49BD">
                  <w:pPr>
                    <w:jc w:val="center"/>
                    <w:rPr>
                      <w:b/>
                      <w:sz w:val="18"/>
                      <w:szCs w:val="18"/>
                      <w:u w:val="single"/>
                      <w:lang w:val="lv-LV"/>
                    </w:rPr>
                  </w:pPr>
                  <w:r w:rsidRPr="00EB3D99">
                    <w:rPr>
                      <w:b/>
                      <w:sz w:val="18"/>
                      <w:szCs w:val="18"/>
                      <w:u w:val="single"/>
                      <w:lang w:val="lv-LV"/>
                    </w:rPr>
                    <w:t>9 134,7</w:t>
                  </w:r>
                </w:p>
              </w:tc>
              <w:tc>
                <w:tcPr>
                  <w:tcW w:w="805" w:type="dxa"/>
                  <w:shd w:val="clear" w:color="auto" w:fill="auto"/>
                  <w:vAlign w:val="center"/>
                </w:tcPr>
                <w:p w14:paraId="188C74C7" w14:textId="77777777" w:rsidR="009734BB" w:rsidRPr="00EB3D99" w:rsidRDefault="009734BB" w:rsidP="007E49BD">
                  <w:pPr>
                    <w:jc w:val="center"/>
                    <w:rPr>
                      <w:b/>
                      <w:sz w:val="18"/>
                      <w:szCs w:val="18"/>
                      <w:u w:val="single"/>
                      <w:lang w:val="lv-LV"/>
                    </w:rPr>
                  </w:pPr>
                  <w:r w:rsidRPr="00EB3D99">
                    <w:rPr>
                      <w:b/>
                      <w:sz w:val="18"/>
                      <w:szCs w:val="18"/>
                      <w:u w:val="single"/>
                      <w:lang w:val="lv-LV"/>
                    </w:rPr>
                    <w:t>454,5</w:t>
                  </w:r>
                </w:p>
              </w:tc>
              <w:tc>
                <w:tcPr>
                  <w:tcW w:w="1212" w:type="dxa"/>
                  <w:shd w:val="clear" w:color="auto" w:fill="auto"/>
                  <w:vAlign w:val="center"/>
                </w:tcPr>
                <w:p w14:paraId="5F68BF46" w14:textId="77777777" w:rsidR="009734BB" w:rsidRPr="00EB3D99" w:rsidRDefault="009734BB" w:rsidP="007E49BD">
                  <w:pPr>
                    <w:jc w:val="center"/>
                    <w:rPr>
                      <w:b/>
                      <w:sz w:val="18"/>
                      <w:szCs w:val="18"/>
                      <w:u w:val="single"/>
                      <w:lang w:val="lv-LV"/>
                    </w:rPr>
                  </w:pPr>
                  <w:r w:rsidRPr="00EB3D99">
                    <w:rPr>
                      <w:b/>
                      <w:sz w:val="18"/>
                      <w:szCs w:val="18"/>
                      <w:u w:val="single"/>
                      <w:lang w:val="lv-LV"/>
                    </w:rPr>
                    <w:t>188,6</w:t>
                  </w:r>
                </w:p>
              </w:tc>
            </w:tr>
            <w:tr w:rsidR="009734BB" w:rsidRPr="00EE1E8A" w14:paraId="28FB75C0" w14:textId="77777777" w:rsidTr="007E49BD">
              <w:tc>
                <w:tcPr>
                  <w:tcW w:w="1838" w:type="dxa"/>
                  <w:shd w:val="clear" w:color="auto" w:fill="auto"/>
                  <w:vAlign w:val="center"/>
                </w:tcPr>
                <w:p w14:paraId="2844002C" w14:textId="1C8EC03E" w:rsidR="009734BB" w:rsidRPr="00EB3D99" w:rsidRDefault="009734BB" w:rsidP="006A033C">
                  <w:pPr>
                    <w:jc w:val="right"/>
                    <w:rPr>
                      <w:b/>
                      <w:bCs/>
                      <w:sz w:val="18"/>
                      <w:szCs w:val="18"/>
                      <w:lang w:val="lv-LV"/>
                    </w:rPr>
                  </w:pPr>
                  <w:r w:rsidRPr="00EB3D99">
                    <w:rPr>
                      <w:bCs/>
                      <w:i/>
                      <w:sz w:val="18"/>
                      <w:szCs w:val="18"/>
                      <w:u w:val="single"/>
                      <w:lang w:val="lv-LV"/>
                    </w:rPr>
                    <w:t xml:space="preserve">tostarp </w:t>
                  </w:r>
                  <w:r w:rsidR="006A033C" w:rsidRPr="00EE1E8A">
                    <w:rPr>
                      <w:bCs/>
                      <w:i/>
                      <w:sz w:val="18"/>
                      <w:szCs w:val="18"/>
                      <w:u w:val="single"/>
                      <w:lang w:val="lv-LV"/>
                    </w:rPr>
                    <w:t xml:space="preserve"> Vispārējā rezerve saistībām</w:t>
                  </w:r>
                </w:p>
              </w:tc>
              <w:tc>
                <w:tcPr>
                  <w:tcW w:w="1134" w:type="dxa"/>
                  <w:shd w:val="clear" w:color="auto" w:fill="auto"/>
                  <w:vAlign w:val="center"/>
                </w:tcPr>
                <w:p w14:paraId="53C75EA4" w14:textId="77777777" w:rsidR="009734BB" w:rsidRPr="00EB3D99" w:rsidRDefault="009734BB" w:rsidP="007E49BD">
                  <w:pPr>
                    <w:jc w:val="center"/>
                    <w:rPr>
                      <w:b/>
                      <w:sz w:val="18"/>
                      <w:szCs w:val="18"/>
                      <w:u w:val="single"/>
                      <w:lang w:val="lv-LV"/>
                    </w:rPr>
                  </w:pPr>
                </w:p>
              </w:tc>
              <w:tc>
                <w:tcPr>
                  <w:tcW w:w="992" w:type="dxa"/>
                  <w:shd w:val="clear" w:color="auto" w:fill="auto"/>
                  <w:vAlign w:val="center"/>
                </w:tcPr>
                <w:p w14:paraId="22869E6F" w14:textId="77777777" w:rsidR="009734BB" w:rsidRPr="00EB3D99" w:rsidRDefault="009734BB" w:rsidP="007E49BD">
                  <w:pPr>
                    <w:jc w:val="center"/>
                    <w:rPr>
                      <w:b/>
                      <w:sz w:val="18"/>
                      <w:szCs w:val="18"/>
                      <w:u w:val="single"/>
                      <w:lang w:val="lv-LV"/>
                    </w:rPr>
                  </w:pPr>
                </w:p>
              </w:tc>
              <w:tc>
                <w:tcPr>
                  <w:tcW w:w="993" w:type="dxa"/>
                  <w:shd w:val="clear" w:color="auto" w:fill="auto"/>
                  <w:vAlign w:val="center"/>
                </w:tcPr>
                <w:p w14:paraId="2178CE89" w14:textId="77777777" w:rsidR="009734BB" w:rsidRPr="00EB3D99" w:rsidRDefault="009734BB" w:rsidP="007E49BD">
                  <w:pPr>
                    <w:jc w:val="center"/>
                    <w:rPr>
                      <w:b/>
                      <w:sz w:val="18"/>
                      <w:szCs w:val="18"/>
                      <w:u w:val="single"/>
                      <w:lang w:val="lv-LV"/>
                    </w:rPr>
                  </w:pPr>
                </w:p>
              </w:tc>
              <w:tc>
                <w:tcPr>
                  <w:tcW w:w="850" w:type="dxa"/>
                  <w:shd w:val="clear" w:color="auto" w:fill="auto"/>
                  <w:vAlign w:val="center"/>
                </w:tcPr>
                <w:p w14:paraId="329818D0" w14:textId="77777777" w:rsidR="009734BB" w:rsidRPr="00EB3D99" w:rsidRDefault="009734BB" w:rsidP="007E49BD">
                  <w:pPr>
                    <w:jc w:val="center"/>
                    <w:rPr>
                      <w:b/>
                      <w:sz w:val="18"/>
                      <w:szCs w:val="18"/>
                      <w:u w:val="single"/>
                      <w:lang w:val="lv-LV"/>
                    </w:rPr>
                  </w:pPr>
                </w:p>
              </w:tc>
              <w:tc>
                <w:tcPr>
                  <w:tcW w:w="851" w:type="dxa"/>
                  <w:shd w:val="clear" w:color="auto" w:fill="auto"/>
                  <w:vAlign w:val="center"/>
                </w:tcPr>
                <w:p w14:paraId="0FFCC280" w14:textId="1E5E2D3D" w:rsidR="009734BB" w:rsidRPr="00096609" w:rsidRDefault="009734BB" w:rsidP="007E49BD">
                  <w:pPr>
                    <w:jc w:val="center"/>
                    <w:rPr>
                      <w:sz w:val="18"/>
                      <w:szCs w:val="18"/>
                      <w:u w:val="single"/>
                      <w:lang w:val="lv-LV"/>
                    </w:rPr>
                  </w:pPr>
                </w:p>
              </w:tc>
              <w:tc>
                <w:tcPr>
                  <w:tcW w:w="850" w:type="dxa"/>
                  <w:shd w:val="clear" w:color="auto" w:fill="auto"/>
                  <w:vAlign w:val="center"/>
                </w:tcPr>
                <w:p w14:paraId="6EBE614B" w14:textId="77777777" w:rsidR="009734BB" w:rsidRPr="00EB3D99" w:rsidRDefault="009734BB" w:rsidP="007E49BD">
                  <w:pPr>
                    <w:jc w:val="center"/>
                    <w:rPr>
                      <w:b/>
                      <w:sz w:val="18"/>
                      <w:szCs w:val="18"/>
                      <w:u w:val="single"/>
                      <w:lang w:val="lv-LV"/>
                    </w:rPr>
                  </w:pPr>
                </w:p>
              </w:tc>
              <w:tc>
                <w:tcPr>
                  <w:tcW w:w="805" w:type="dxa"/>
                  <w:shd w:val="clear" w:color="auto" w:fill="auto"/>
                  <w:vAlign w:val="center"/>
                </w:tcPr>
                <w:p w14:paraId="18A76E50" w14:textId="00C45767" w:rsidR="009734BB" w:rsidRPr="00096609" w:rsidRDefault="009734BB" w:rsidP="007E49BD">
                  <w:pPr>
                    <w:jc w:val="center"/>
                    <w:rPr>
                      <w:sz w:val="18"/>
                      <w:szCs w:val="18"/>
                      <w:u w:val="single"/>
                      <w:lang w:val="lv-LV"/>
                    </w:rPr>
                  </w:pPr>
                </w:p>
              </w:tc>
              <w:tc>
                <w:tcPr>
                  <w:tcW w:w="1212" w:type="dxa"/>
                  <w:shd w:val="clear" w:color="auto" w:fill="auto"/>
                  <w:vAlign w:val="center"/>
                </w:tcPr>
                <w:p w14:paraId="6A3FB479" w14:textId="77777777" w:rsidR="009734BB" w:rsidRPr="00EB3D99" w:rsidRDefault="009734BB" w:rsidP="007E49BD">
                  <w:pPr>
                    <w:jc w:val="center"/>
                    <w:rPr>
                      <w:b/>
                      <w:sz w:val="18"/>
                      <w:szCs w:val="18"/>
                      <w:u w:val="single"/>
                      <w:lang w:val="lv-LV"/>
                    </w:rPr>
                  </w:pPr>
                </w:p>
              </w:tc>
            </w:tr>
            <w:tr w:rsidR="009734BB" w:rsidRPr="00EE1E8A" w14:paraId="5A91184E" w14:textId="77777777" w:rsidTr="007E49BD">
              <w:tc>
                <w:tcPr>
                  <w:tcW w:w="1838" w:type="dxa"/>
                  <w:shd w:val="clear" w:color="auto" w:fill="auto"/>
                  <w:vAlign w:val="center"/>
                </w:tcPr>
                <w:p w14:paraId="51E120E3" w14:textId="77777777" w:rsidR="009734BB" w:rsidRPr="00EB3D99" w:rsidRDefault="009734BB" w:rsidP="007E49BD">
                  <w:pPr>
                    <w:jc w:val="right"/>
                    <w:rPr>
                      <w:i/>
                      <w:sz w:val="18"/>
                      <w:szCs w:val="18"/>
                      <w:u w:val="single"/>
                      <w:lang w:val="lv-LV"/>
                    </w:rPr>
                  </w:pPr>
                  <w:r w:rsidRPr="00EB3D99">
                    <w:rPr>
                      <w:i/>
                      <w:sz w:val="18"/>
                      <w:szCs w:val="18"/>
                      <w:u w:val="single"/>
                      <w:lang w:val="lv-LV"/>
                    </w:rPr>
                    <w:t>rezerve</w:t>
                  </w:r>
                </w:p>
              </w:tc>
              <w:tc>
                <w:tcPr>
                  <w:tcW w:w="1134" w:type="dxa"/>
                  <w:shd w:val="clear" w:color="auto" w:fill="auto"/>
                  <w:vAlign w:val="center"/>
                </w:tcPr>
                <w:p w14:paraId="44B79203" w14:textId="77777777" w:rsidR="009734BB" w:rsidRPr="00EB3D99" w:rsidRDefault="009734BB" w:rsidP="007E49BD">
                  <w:pPr>
                    <w:jc w:val="center"/>
                    <w:rPr>
                      <w:i/>
                      <w:sz w:val="18"/>
                      <w:szCs w:val="18"/>
                      <w:u w:val="single"/>
                      <w:lang w:val="lv-LV"/>
                    </w:rPr>
                  </w:pPr>
                  <w:r w:rsidRPr="00EB3D99">
                    <w:rPr>
                      <w:i/>
                      <w:sz w:val="18"/>
                      <w:szCs w:val="18"/>
                      <w:u w:val="single"/>
                      <w:lang w:val="lv-LV"/>
                    </w:rPr>
                    <w:t>202,4</w:t>
                  </w:r>
                </w:p>
              </w:tc>
              <w:tc>
                <w:tcPr>
                  <w:tcW w:w="992" w:type="dxa"/>
                  <w:shd w:val="clear" w:color="auto" w:fill="auto"/>
                  <w:vAlign w:val="center"/>
                </w:tcPr>
                <w:p w14:paraId="516945FF" w14:textId="77777777" w:rsidR="009734BB" w:rsidRPr="00EB3D99" w:rsidRDefault="009734BB" w:rsidP="007E49BD">
                  <w:pPr>
                    <w:jc w:val="center"/>
                    <w:rPr>
                      <w:i/>
                      <w:sz w:val="18"/>
                      <w:szCs w:val="18"/>
                      <w:u w:val="single"/>
                      <w:lang w:val="lv-LV"/>
                    </w:rPr>
                  </w:pPr>
                </w:p>
              </w:tc>
              <w:tc>
                <w:tcPr>
                  <w:tcW w:w="993" w:type="dxa"/>
                  <w:shd w:val="clear" w:color="auto" w:fill="auto"/>
                  <w:vAlign w:val="center"/>
                </w:tcPr>
                <w:p w14:paraId="4EAF175C" w14:textId="77777777" w:rsidR="009734BB" w:rsidRPr="00EB3D99" w:rsidRDefault="009734BB" w:rsidP="007E49BD">
                  <w:pPr>
                    <w:jc w:val="center"/>
                    <w:rPr>
                      <w:i/>
                      <w:sz w:val="18"/>
                      <w:szCs w:val="18"/>
                      <w:u w:val="single"/>
                      <w:lang w:val="lv-LV"/>
                    </w:rPr>
                  </w:pPr>
                  <w:r w:rsidRPr="00EB3D99">
                    <w:rPr>
                      <w:i/>
                      <w:sz w:val="18"/>
                      <w:szCs w:val="18"/>
                      <w:u w:val="single"/>
                      <w:lang w:val="lv-LV"/>
                    </w:rPr>
                    <w:t>395,7</w:t>
                  </w:r>
                </w:p>
              </w:tc>
              <w:tc>
                <w:tcPr>
                  <w:tcW w:w="850" w:type="dxa"/>
                  <w:shd w:val="clear" w:color="auto" w:fill="auto"/>
                  <w:vAlign w:val="center"/>
                </w:tcPr>
                <w:p w14:paraId="2E200874" w14:textId="77777777" w:rsidR="009734BB" w:rsidRPr="00EB3D99" w:rsidRDefault="009734BB" w:rsidP="007E49BD">
                  <w:pPr>
                    <w:jc w:val="center"/>
                    <w:rPr>
                      <w:i/>
                      <w:sz w:val="18"/>
                      <w:szCs w:val="18"/>
                      <w:u w:val="single"/>
                      <w:lang w:val="lv-LV"/>
                    </w:rPr>
                  </w:pPr>
                </w:p>
              </w:tc>
              <w:tc>
                <w:tcPr>
                  <w:tcW w:w="851" w:type="dxa"/>
                  <w:shd w:val="clear" w:color="auto" w:fill="auto"/>
                  <w:vAlign w:val="center"/>
                </w:tcPr>
                <w:p w14:paraId="1DF1106D" w14:textId="77777777" w:rsidR="009734BB" w:rsidRPr="00EB3D99" w:rsidRDefault="009734BB" w:rsidP="007E49BD">
                  <w:pPr>
                    <w:jc w:val="center"/>
                    <w:rPr>
                      <w:i/>
                      <w:sz w:val="18"/>
                      <w:szCs w:val="18"/>
                      <w:u w:val="single"/>
                      <w:lang w:val="lv-LV"/>
                    </w:rPr>
                  </w:pPr>
                  <w:r w:rsidRPr="00EB3D99">
                    <w:rPr>
                      <w:i/>
                      <w:sz w:val="18"/>
                      <w:szCs w:val="18"/>
                      <w:u w:val="single"/>
                      <w:lang w:val="lv-LV"/>
                    </w:rPr>
                    <w:t>-</w:t>
                  </w:r>
                </w:p>
              </w:tc>
              <w:tc>
                <w:tcPr>
                  <w:tcW w:w="850" w:type="dxa"/>
                  <w:shd w:val="clear" w:color="auto" w:fill="auto"/>
                  <w:vAlign w:val="center"/>
                </w:tcPr>
                <w:p w14:paraId="440FE79C" w14:textId="77777777" w:rsidR="009734BB" w:rsidRPr="00EB3D99" w:rsidRDefault="009734BB" w:rsidP="007E49BD">
                  <w:pPr>
                    <w:jc w:val="center"/>
                    <w:rPr>
                      <w:i/>
                      <w:sz w:val="18"/>
                      <w:szCs w:val="18"/>
                      <w:u w:val="single"/>
                      <w:lang w:val="lv-LV"/>
                    </w:rPr>
                  </w:pPr>
                </w:p>
              </w:tc>
              <w:tc>
                <w:tcPr>
                  <w:tcW w:w="805" w:type="dxa"/>
                  <w:shd w:val="clear" w:color="auto" w:fill="auto"/>
                  <w:vAlign w:val="center"/>
                </w:tcPr>
                <w:p w14:paraId="3135267C" w14:textId="7C5FE299" w:rsidR="009734BB" w:rsidRPr="00EB3D99" w:rsidRDefault="006A033C" w:rsidP="007E49BD">
                  <w:pPr>
                    <w:jc w:val="center"/>
                    <w:rPr>
                      <w:i/>
                      <w:sz w:val="18"/>
                      <w:szCs w:val="18"/>
                      <w:u w:val="single"/>
                      <w:lang w:val="lv-LV"/>
                    </w:rPr>
                  </w:pPr>
                  <w:r w:rsidRPr="00EB3D99">
                    <w:rPr>
                      <w:i/>
                      <w:sz w:val="18"/>
                      <w:szCs w:val="18"/>
                      <w:u w:val="single"/>
                      <w:lang w:val="lv-LV"/>
                    </w:rPr>
                    <w:t>-395,7</w:t>
                  </w:r>
                </w:p>
              </w:tc>
              <w:tc>
                <w:tcPr>
                  <w:tcW w:w="1212" w:type="dxa"/>
                  <w:shd w:val="clear" w:color="auto" w:fill="auto"/>
                  <w:vAlign w:val="center"/>
                </w:tcPr>
                <w:p w14:paraId="5F124294" w14:textId="77777777" w:rsidR="009734BB" w:rsidRPr="00EB3D99" w:rsidRDefault="009734BB" w:rsidP="007E49BD">
                  <w:pPr>
                    <w:jc w:val="center"/>
                    <w:rPr>
                      <w:i/>
                      <w:sz w:val="18"/>
                      <w:szCs w:val="18"/>
                      <w:u w:val="single"/>
                      <w:lang w:val="lv-LV"/>
                    </w:rPr>
                  </w:pPr>
                </w:p>
              </w:tc>
            </w:tr>
          </w:tbl>
          <w:p w14:paraId="0B5E61CC" w14:textId="77777777"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b/>
                <w:u w:val="single"/>
                <w:lang w:val="lv-LV" w:eastAsia="lv-LV"/>
              </w:rPr>
              <w:t>EK priekšlikums BP 2020.gadam un AL 1/2020</w:t>
            </w:r>
          </w:p>
          <w:p w14:paraId="3EDA9372" w14:textId="0E36D4CC"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lang w:val="lv-LV"/>
              </w:rPr>
              <w:t>Ar EK iesniegto grozījumu vēstuli netiek mainīts sākotnējais BP 20</w:t>
            </w:r>
            <w:r w:rsidR="00F369D4">
              <w:rPr>
                <w:rFonts w:eastAsia="Calibri"/>
                <w:lang w:val="lv-LV"/>
              </w:rPr>
              <w:t>20</w:t>
            </w:r>
            <w:r w:rsidRPr="00EE1E8A">
              <w:rPr>
                <w:rFonts w:eastAsia="Calibri"/>
                <w:lang w:val="lv-LV"/>
              </w:rPr>
              <w:t>.gadam.</w:t>
            </w:r>
          </w:p>
          <w:p w14:paraId="62574910" w14:textId="1708D15E" w:rsidR="009734BB" w:rsidRPr="00255C4F" w:rsidRDefault="009734BB" w:rsidP="007E49BD">
            <w:pPr>
              <w:jc w:val="both"/>
              <w:rPr>
                <w:rFonts w:eastAsia="Calibri"/>
                <w:lang w:val="lv-LV"/>
              </w:rPr>
            </w:pPr>
            <w:r w:rsidRPr="00562B3F">
              <w:rPr>
                <w:rFonts w:eastAsia="Calibri"/>
                <w:lang w:val="lv-LV"/>
              </w:rPr>
              <w:t xml:space="preserve">Salīdzinājumā ar 2019.gada budžetu, EK BP 2020.gadam 4.izdevumu kategorija samazināta gan SA, gan MA attiecīgi par 8,9% un 4,0%. Pie noteiktā SA kopapjoma šajā kategorijā veidojas neliela budžeta rezerve 202,4 milj. EUR apmērā. Salīdzinot divus finanšu gadus, EK priekšlikumā lielākie samazinājumi </w:t>
            </w:r>
            <w:proofErr w:type="spellStart"/>
            <w:r w:rsidRPr="00562B3F">
              <w:rPr>
                <w:rFonts w:eastAsia="Calibri"/>
                <w:lang w:val="lv-LV"/>
              </w:rPr>
              <w:t>skāruši</w:t>
            </w:r>
            <w:proofErr w:type="spellEnd"/>
            <w:r w:rsidRPr="00562B3F">
              <w:rPr>
                <w:rFonts w:eastAsia="Calibri"/>
                <w:lang w:val="lv-LV"/>
              </w:rPr>
              <w:t xml:space="preserve">  IPA</w:t>
            </w:r>
            <w:r w:rsidR="00D7388A">
              <w:rPr>
                <w:rFonts w:eastAsia="Calibri"/>
                <w:lang w:val="lv-LV"/>
              </w:rPr>
              <w:t xml:space="preserve"> </w:t>
            </w:r>
            <w:r w:rsidR="00D7388A" w:rsidRPr="00D7388A">
              <w:rPr>
                <w:i/>
                <w:lang w:val="lv-LV"/>
              </w:rPr>
              <w:t>(</w:t>
            </w:r>
            <w:r w:rsidR="00D7388A" w:rsidRPr="00D7388A">
              <w:rPr>
                <w:bCs/>
                <w:i/>
                <w:sz w:val="21"/>
                <w:szCs w:val="21"/>
              </w:rPr>
              <w:t>Instrument</w:t>
            </w:r>
            <w:r w:rsidR="00D7388A" w:rsidRPr="00D7388A">
              <w:rPr>
                <w:i/>
                <w:sz w:val="21"/>
                <w:szCs w:val="21"/>
              </w:rPr>
              <w:t xml:space="preserve"> for Pre-accession Assistance)</w:t>
            </w:r>
            <w:r w:rsidRPr="00562B3F">
              <w:rPr>
                <w:rFonts w:eastAsia="Calibri"/>
                <w:lang w:val="lv-LV"/>
              </w:rPr>
              <w:t>, HUMA</w:t>
            </w:r>
            <w:r w:rsidR="00D7388A">
              <w:rPr>
                <w:rFonts w:eastAsia="Calibri"/>
                <w:lang w:val="lv-LV"/>
              </w:rPr>
              <w:t xml:space="preserve"> </w:t>
            </w:r>
            <w:r w:rsidR="00D7388A" w:rsidRPr="00D7388A">
              <w:rPr>
                <w:rFonts w:eastAsia="Calibri"/>
                <w:i/>
                <w:lang w:val="lv-LV"/>
              </w:rPr>
              <w:t>(</w:t>
            </w:r>
            <w:proofErr w:type="spellStart"/>
            <w:r w:rsidR="00D7388A" w:rsidRPr="00D7388A">
              <w:rPr>
                <w:rFonts w:eastAsia="Calibri"/>
                <w:i/>
                <w:lang w:val="lv-LV"/>
              </w:rPr>
              <w:t>Humanitarian</w:t>
            </w:r>
            <w:proofErr w:type="spellEnd"/>
            <w:r w:rsidR="00D7388A" w:rsidRPr="00D7388A">
              <w:rPr>
                <w:rFonts w:eastAsia="Calibri"/>
                <w:i/>
                <w:lang w:val="lv-LV"/>
              </w:rPr>
              <w:t xml:space="preserve"> aid)</w:t>
            </w:r>
            <w:r w:rsidRPr="00562B3F">
              <w:rPr>
                <w:rFonts w:eastAsia="Calibri"/>
                <w:lang w:val="lv-LV"/>
              </w:rPr>
              <w:t xml:space="preserve"> programmas un Civilās aizsardzības mehānismu</w:t>
            </w:r>
            <w:r w:rsidR="005D1796">
              <w:rPr>
                <w:rFonts w:eastAsia="Calibri"/>
                <w:lang w:val="lv-LV"/>
              </w:rPr>
              <w:t xml:space="preserve"> (</w:t>
            </w:r>
            <w:proofErr w:type="spellStart"/>
            <w:r w:rsidR="005D1796" w:rsidRPr="00D7388A">
              <w:rPr>
                <w:rFonts w:eastAsia="Calibri"/>
                <w:i/>
                <w:lang w:val="lv-LV"/>
              </w:rPr>
              <w:t>RescEU</w:t>
            </w:r>
            <w:proofErr w:type="spellEnd"/>
            <w:r w:rsidR="005D1796">
              <w:rPr>
                <w:rFonts w:eastAsia="Calibri"/>
                <w:lang w:val="lv-LV"/>
              </w:rPr>
              <w:t>)</w:t>
            </w:r>
            <w:r w:rsidRPr="00562B3F">
              <w:rPr>
                <w:rFonts w:eastAsia="Calibri"/>
                <w:lang w:val="lv-LV"/>
              </w:rPr>
              <w:t xml:space="preserve">.  </w:t>
            </w:r>
          </w:p>
          <w:p w14:paraId="499AE40C" w14:textId="77777777" w:rsidR="009734BB" w:rsidRPr="00EB3D99" w:rsidRDefault="009734BB" w:rsidP="007E49BD">
            <w:pPr>
              <w:spacing w:before="120" w:after="120"/>
              <w:jc w:val="both"/>
              <w:rPr>
                <w:b/>
                <w:u w:val="single"/>
                <w:lang w:val="lv-LV"/>
              </w:rPr>
            </w:pPr>
            <w:r w:rsidRPr="00EB3D99">
              <w:rPr>
                <w:b/>
                <w:u w:val="single"/>
                <w:lang w:val="lv-LV"/>
              </w:rPr>
              <w:t>Padomes pozīcija par BP 2020.gadam</w:t>
            </w:r>
          </w:p>
          <w:p w14:paraId="562B7627" w14:textId="0EDF85AD" w:rsidR="009734BB" w:rsidRPr="00255C4F" w:rsidRDefault="009734BB" w:rsidP="007E49BD">
            <w:pPr>
              <w:spacing w:before="120" w:after="120"/>
              <w:jc w:val="both"/>
              <w:rPr>
                <w:lang w:val="lv-LV"/>
              </w:rPr>
            </w:pPr>
            <w:r w:rsidRPr="00EE1E8A">
              <w:rPr>
                <w:b/>
                <w:lang w:val="lv-LV"/>
              </w:rPr>
              <w:t>Padomes nostāja paredz</w:t>
            </w:r>
            <w:r w:rsidRPr="00EE1E8A">
              <w:rPr>
                <w:lang w:val="lv-LV"/>
              </w:rPr>
              <w:t xml:space="preserve"> 4.izdevumu kategorijai samazināt SA kopapjomu par 193,2 milj. EUR un MA provizorisko apjomu par 40 milj. EUR. Balstoties uz līdzšinējo finansējuma apguvi, samazinājumi veikti </w:t>
            </w:r>
            <w:proofErr w:type="spellStart"/>
            <w:r w:rsidR="00866AED">
              <w:rPr>
                <w:lang w:val="lv-LV"/>
              </w:rPr>
              <w:t>Attiestības</w:t>
            </w:r>
            <w:proofErr w:type="spellEnd"/>
            <w:r w:rsidR="00866AED">
              <w:rPr>
                <w:lang w:val="lv-LV"/>
              </w:rPr>
              <w:t xml:space="preserve"> sadarbības un ekonomiskās sadarbības instrumenta (</w:t>
            </w:r>
            <w:r w:rsidRPr="00EE1E8A">
              <w:rPr>
                <w:lang w:val="lv-LV"/>
              </w:rPr>
              <w:t>DCI</w:t>
            </w:r>
            <w:r w:rsidR="00866AED">
              <w:rPr>
                <w:lang w:val="lv-LV"/>
              </w:rPr>
              <w:t xml:space="preserve">- </w:t>
            </w:r>
            <w:proofErr w:type="spellStart"/>
            <w:r w:rsidR="00866AED" w:rsidRPr="00866AED">
              <w:rPr>
                <w:i/>
                <w:lang w:val="lv-LV"/>
              </w:rPr>
              <w:t>Development</w:t>
            </w:r>
            <w:proofErr w:type="spellEnd"/>
            <w:r w:rsidR="00866AED" w:rsidRPr="00866AED">
              <w:rPr>
                <w:i/>
                <w:lang w:val="lv-LV"/>
              </w:rPr>
              <w:t xml:space="preserve"> </w:t>
            </w:r>
            <w:proofErr w:type="spellStart"/>
            <w:r w:rsidR="00866AED" w:rsidRPr="00866AED">
              <w:rPr>
                <w:i/>
                <w:lang w:val="lv-LV"/>
              </w:rPr>
              <w:t>Cooperation</w:t>
            </w:r>
            <w:proofErr w:type="spellEnd"/>
            <w:r w:rsidR="00866AED" w:rsidRPr="00866AED">
              <w:rPr>
                <w:i/>
                <w:lang w:val="lv-LV"/>
              </w:rPr>
              <w:t xml:space="preserve"> Instrument)</w:t>
            </w:r>
            <w:r w:rsidR="00866AED">
              <w:rPr>
                <w:lang w:val="lv-LV"/>
              </w:rPr>
              <w:t xml:space="preserve"> </w:t>
            </w:r>
            <w:r w:rsidRPr="00EE1E8A">
              <w:rPr>
                <w:lang w:val="lv-LV"/>
              </w:rPr>
              <w:t xml:space="preserve">līnijām, kuras nodrošina sadarbību ar Āziju un Tuvajiem </w:t>
            </w:r>
            <w:r w:rsidR="005D1796">
              <w:rPr>
                <w:lang w:val="lv-LV"/>
              </w:rPr>
              <w:t>A</w:t>
            </w:r>
            <w:r w:rsidRPr="00EE1E8A">
              <w:rPr>
                <w:lang w:val="lv-LV"/>
              </w:rPr>
              <w:t xml:space="preserve">ustrumiem, kā arī </w:t>
            </w:r>
            <w:proofErr w:type="spellStart"/>
            <w:r w:rsidR="00866AED" w:rsidRPr="00DF1171">
              <w:t>Eiropas</w:t>
            </w:r>
            <w:proofErr w:type="spellEnd"/>
            <w:r w:rsidR="00866AED" w:rsidRPr="00DF1171">
              <w:t xml:space="preserve"> </w:t>
            </w:r>
            <w:proofErr w:type="spellStart"/>
            <w:r w:rsidR="00866AED" w:rsidRPr="00DF1171">
              <w:t>kaimiņattiecību</w:t>
            </w:r>
            <w:proofErr w:type="spellEnd"/>
            <w:r w:rsidR="00866AED" w:rsidRPr="00DF1171">
              <w:t xml:space="preserve"> </w:t>
            </w:r>
            <w:proofErr w:type="spellStart"/>
            <w:r w:rsidR="00866AED" w:rsidRPr="00DF1171">
              <w:t>instrumentam</w:t>
            </w:r>
            <w:proofErr w:type="spellEnd"/>
            <w:r w:rsidR="00866AED">
              <w:t xml:space="preserve"> (</w:t>
            </w:r>
            <w:proofErr w:type="spellStart"/>
            <w:r w:rsidR="00866AED">
              <w:t>turpmāk</w:t>
            </w:r>
            <w:proofErr w:type="spellEnd"/>
            <w:r w:rsidR="00866AED">
              <w:t>-ENI</w:t>
            </w:r>
            <w:r w:rsidR="00D7388A">
              <w:t xml:space="preserve"> (</w:t>
            </w:r>
            <w:r w:rsidR="00D7388A" w:rsidRPr="00D7388A">
              <w:rPr>
                <w:i/>
              </w:rPr>
              <w:t>European Neighbourhood instrument</w:t>
            </w:r>
            <w:r w:rsidR="00D7388A">
              <w:t>)</w:t>
            </w:r>
            <w:r w:rsidR="00866AED">
              <w:t>)</w:t>
            </w:r>
            <w:r w:rsidR="001A50E1" w:rsidRPr="00EE1E8A">
              <w:rPr>
                <w:lang w:val="lv-LV"/>
              </w:rPr>
              <w:t>.</w:t>
            </w:r>
            <w:r w:rsidRPr="00562B3F">
              <w:rPr>
                <w:lang w:val="lv-LV"/>
              </w:rPr>
              <w:t xml:space="preserve"> Tāpat mazinātas IPA</w:t>
            </w:r>
            <w:r w:rsidR="00D7388A">
              <w:rPr>
                <w:lang w:val="lv-LV"/>
              </w:rPr>
              <w:t xml:space="preserve"> </w:t>
            </w:r>
            <w:r w:rsidRPr="00562B3F">
              <w:rPr>
                <w:lang w:val="lv-LV"/>
              </w:rPr>
              <w:t xml:space="preserve">budžeta līnijas, jo īpaši tās, kuras nodrošina finansiālo palīdzību Turcijai (dēļ </w:t>
            </w:r>
            <w:proofErr w:type="spellStart"/>
            <w:r w:rsidRPr="00562B3F">
              <w:rPr>
                <w:lang w:val="lv-LV"/>
              </w:rPr>
              <w:t>pirmspievienošanās</w:t>
            </w:r>
            <w:proofErr w:type="spellEnd"/>
            <w:r w:rsidRPr="00562B3F">
              <w:rPr>
                <w:lang w:val="lv-LV"/>
              </w:rPr>
              <w:t xml:space="preserve"> nosacījumu neievērošanas cilvēktiesību un vārda brīvības, kā arī citās jomās). </w:t>
            </w:r>
          </w:p>
          <w:p w14:paraId="5C608F2E" w14:textId="77777777" w:rsidR="009734BB" w:rsidRPr="00EB3D99" w:rsidRDefault="009734BB" w:rsidP="007E49BD">
            <w:pPr>
              <w:spacing w:before="120" w:after="120"/>
              <w:jc w:val="both"/>
              <w:rPr>
                <w:b/>
                <w:u w:val="single"/>
                <w:lang w:val="lv-LV"/>
              </w:rPr>
            </w:pPr>
            <w:r w:rsidRPr="00EB3D99">
              <w:rPr>
                <w:b/>
                <w:u w:val="single"/>
                <w:lang w:val="lv-LV"/>
              </w:rPr>
              <w:t>EP pozīcija par BP 2020.gadam</w:t>
            </w:r>
          </w:p>
          <w:p w14:paraId="164ACF9E" w14:textId="0C5DD9E4" w:rsidR="00DF0EC8" w:rsidRPr="00D7388A" w:rsidRDefault="009734BB" w:rsidP="00D7388A">
            <w:pPr>
              <w:jc w:val="both"/>
              <w:rPr>
                <w:lang w:val="lv-LV"/>
              </w:rPr>
            </w:pPr>
            <w:r w:rsidRPr="00EE1E8A">
              <w:rPr>
                <w:rFonts w:eastAsia="Calibri"/>
                <w:lang w:val="lv-LV"/>
              </w:rPr>
              <w:t xml:space="preserve">EP salīdzinājumā ar Padomi 4.izdevumu kategorijā palielina SA par 261,2 milj. EUR līdz 10 568,8 milj. EUR, savukārt, MA par 148,6 milj. EUR līdz 9 134,7 milj. EUR, galvenokārt palielinot ENI, DCI un CFSP programmu finansējumu. </w:t>
            </w:r>
            <w:r w:rsidR="00A4654E" w:rsidRPr="00EE1E8A">
              <w:rPr>
                <w:rFonts w:eastAsia="Calibri"/>
                <w:lang w:val="lv-LV"/>
              </w:rPr>
              <w:t>Vienlaikus EP paredz saglabā</w:t>
            </w:r>
            <w:r w:rsidR="005D1796">
              <w:rPr>
                <w:rFonts w:eastAsia="Calibri"/>
                <w:lang w:val="lv-LV"/>
              </w:rPr>
              <w:t>t</w:t>
            </w:r>
            <w:r w:rsidR="00A4654E" w:rsidRPr="00EE1E8A">
              <w:rPr>
                <w:rFonts w:eastAsia="Calibri"/>
                <w:lang w:val="lv-LV"/>
              </w:rPr>
              <w:t xml:space="preserve"> </w:t>
            </w:r>
            <w:r w:rsidR="005D1796">
              <w:rPr>
                <w:rFonts w:eastAsia="Calibri"/>
                <w:lang w:val="lv-LV"/>
              </w:rPr>
              <w:t xml:space="preserve">Padomes ierosināto </w:t>
            </w:r>
            <w:r w:rsidR="00A4654E" w:rsidRPr="00EE1E8A">
              <w:rPr>
                <w:rFonts w:eastAsia="Calibri"/>
                <w:lang w:val="lv-LV"/>
              </w:rPr>
              <w:t>samazinājumu IPA pret 2019.gadu.</w:t>
            </w:r>
          </w:p>
          <w:p w14:paraId="39F0298F" w14:textId="13393FA1" w:rsidR="009734BB" w:rsidRPr="00255C4F" w:rsidRDefault="009734BB" w:rsidP="00522C6B">
            <w:pPr>
              <w:spacing w:before="120" w:after="120"/>
              <w:jc w:val="center"/>
              <w:rPr>
                <w:b/>
                <w:lang w:val="lv-LV"/>
              </w:rPr>
            </w:pPr>
            <w:r w:rsidRPr="00255C4F">
              <w:rPr>
                <w:b/>
                <w:lang w:val="lv-LV"/>
              </w:rPr>
              <w:t>5.KATEGORIJA „ADMINISTRĀCIJA”</w:t>
            </w:r>
          </w:p>
          <w:p w14:paraId="4D772D03" w14:textId="77777777" w:rsidR="009734BB" w:rsidRPr="002946EA" w:rsidRDefault="009734BB" w:rsidP="007E49BD">
            <w:pPr>
              <w:autoSpaceDE w:val="0"/>
              <w:autoSpaceDN w:val="0"/>
              <w:adjustRightInd w:val="0"/>
              <w:spacing w:before="120" w:after="120"/>
              <w:ind w:left="326" w:hanging="326"/>
              <w:jc w:val="right"/>
              <w:rPr>
                <w:lang w:val="lv-LV"/>
              </w:rPr>
            </w:pPr>
            <w:r w:rsidRPr="00154F55">
              <w:rPr>
                <w:b/>
                <w:lang w:val="lv-LV"/>
              </w:rPr>
              <w:t>7.tabula. 5.kategorija “Administrācija”</w:t>
            </w:r>
          </w:p>
          <w:p w14:paraId="7006B2AA" w14:textId="77777777" w:rsidR="009734BB" w:rsidRPr="000652F6" w:rsidRDefault="009734BB" w:rsidP="00522C6B">
            <w:pPr>
              <w:jc w:val="right"/>
              <w:rPr>
                <w:i/>
                <w:sz w:val="20"/>
                <w:szCs w:val="20"/>
                <w:lang w:val="lv-LV"/>
              </w:rPr>
            </w:pPr>
            <w:r w:rsidRPr="00512731">
              <w:rPr>
                <w:bCs/>
                <w:i/>
                <w:sz w:val="20"/>
                <w:szCs w:val="20"/>
                <w:lang w:val="lv-LV"/>
              </w:rPr>
              <w:t>(milj. EUR</w:t>
            </w:r>
            <w:r w:rsidRPr="00512731">
              <w:rPr>
                <w:i/>
                <w:sz w:val="20"/>
                <w:szCs w:val="20"/>
                <w:lang w:val="lv-LV"/>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8"/>
              <w:gridCol w:w="1134"/>
              <w:gridCol w:w="992"/>
              <w:gridCol w:w="993"/>
              <w:gridCol w:w="850"/>
              <w:gridCol w:w="851"/>
              <w:gridCol w:w="850"/>
              <w:gridCol w:w="805"/>
              <w:gridCol w:w="1212"/>
            </w:tblGrid>
            <w:tr w:rsidR="009734BB" w:rsidRPr="00EE1E8A" w14:paraId="1BB836BF" w14:textId="77777777" w:rsidTr="007E49BD">
              <w:tc>
                <w:tcPr>
                  <w:tcW w:w="1838" w:type="dxa"/>
                  <w:vMerge w:val="restart"/>
                  <w:shd w:val="clear" w:color="auto" w:fill="auto"/>
                  <w:vAlign w:val="center"/>
                </w:tcPr>
                <w:p w14:paraId="4C011726" w14:textId="77777777" w:rsidR="009734BB" w:rsidRPr="00EB3D99" w:rsidRDefault="009734BB" w:rsidP="007E49BD">
                  <w:pPr>
                    <w:jc w:val="center"/>
                    <w:rPr>
                      <w:b/>
                      <w:sz w:val="18"/>
                      <w:szCs w:val="18"/>
                      <w:lang w:val="lv-LV"/>
                    </w:rPr>
                  </w:pPr>
                  <w:r w:rsidRPr="00EB3D99">
                    <w:rPr>
                      <w:b/>
                      <w:bCs/>
                      <w:sz w:val="18"/>
                      <w:szCs w:val="18"/>
                      <w:lang w:val="lv-LV"/>
                    </w:rPr>
                    <w:t>Kategorija</w:t>
                  </w:r>
                </w:p>
              </w:tc>
              <w:tc>
                <w:tcPr>
                  <w:tcW w:w="2126" w:type="dxa"/>
                  <w:gridSpan w:val="2"/>
                  <w:shd w:val="clear" w:color="auto" w:fill="auto"/>
                  <w:vAlign w:val="center"/>
                </w:tcPr>
                <w:p w14:paraId="60E1DC27" w14:textId="77777777" w:rsidR="009734BB" w:rsidRPr="00EB3D99" w:rsidRDefault="009734BB" w:rsidP="007E49BD">
                  <w:pPr>
                    <w:autoSpaceDE w:val="0"/>
                    <w:autoSpaceDN w:val="0"/>
                    <w:spacing w:before="100" w:beforeAutospacing="1"/>
                    <w:jc w:val="center"/>
                    <w:rPr>
                      <w:rFonts w:eastAsia="Calibri"/>
                      <w:b/>
                      <w:bCs/>
                      <w:sz w:val="18"/>
                      <w:szCs w:val="18"/>
                      <w:lang w:val="lv-LV" w:eastAsia="lv-LV"/>
                    </w:rPr>
                  </w:pPr>
                  <w:r w:rsidRPr="00EB3D99">
                    <w:rPr>
                      <w:b/>
                      <w:bCs/>
                      <w:sz w:val="20"/>
                      <w:szCs w:val="20"/>
                      <w:lang w:val="lv-LV" w:eastAsia="lv-LV"/>
                    </w:rPr>
                    <w:t>EK BP 2020.gadam (</w:t>
                  </w:r>
                  <w:proofErr w:type="spellStart"/>
                  <w:r w:rsidRPr="00EB3D99">
                    <w:rPr>
                      <w:b/>
                      <w:bCs/>
                      <w:sz w:val="20"/>
                      <w:szCs w:val="20"/>
                      <w:lang w:val="lv-LV" w:eastAsia="lv-LV"/>
                    </w:rPr>
                    <w:t>iekļ</w:t>
                  </w:r>
                  <w:proofErr w:type="spellEnd"/>
                  <w:r w:rsidRPr="00EB3D99">
                    <w:rPr>
                      <w:b/>
                      <w:bCs/>
                      <w:sz w:val="20"/>
                      <w:szCs w:val="20"/>
                      <w:lang w:val="lv-LV" w:eastAsia="lv-LV"/>
                    </w:rPr>
                    <w:t>. AL 1/2020)</w:t>
                  </w:r>
                </w:p>
              </w:tc>
              <w:tc>
                <w:tcPr>
                  <w:tcW w:w="1843" w:type="dxa"/>
                  <w:gridSpan w:val="2"/>
                  <w:shd w:val="clear" w:color="auto" w:fill="auto"/>
                  <w:vAlign w:val="center"/>
                </w:tcPr>
                <w:p w14:paraId="53C7ABB8" w14:textId="77777777" w:rsidR="009734BB" w:rsidRPr="00EB3D99" w:rsidRDefault="009734BB" w:rsidP="007E49BD">
                  <w:pPr>
                    <w:autoSpaceDE w:val="0"/>
                    <w:autoSpaceDN w:val="0"/>
                    <w:spacing w:before="100" w:beforeAutospacing="1"/>
                    <w:jc w:val="center"/>
                    <w:rPr>
                      <w:rFonts w:eastAsia="Calibri"/>
                      <w:b/>
                      <w:bCs/>
                      <w:sz w:val="18"/>
                      <w:szCs w:val="18"/>
                      <w:lang w:val="lv-LV" w:eastAsia="lv-LV"/>
                    </w:rPr>
                  </w:pPr>
                  <w:r w:rsidRPr="00EB3D99">
                    <w:rPr>
                      <w:b/>
                      <w:bCs/>
                      <w:sz w:val="20"/>
                      <w:szCs w:val="20"/>
                      <w:lang w:val="lv-LV" w:eastAsia="lv-LV"/>
                    </w:rPr>
                    <w:t>Padomes pozīcija par BP 2020.gadam</w:t>
                  </w:r>
                </w:p>
              </w:tc>
              <w:tc>
                <w:tcPr>
                  <w:tcW w:w="1701" w:type="dxa"/>
                  <w:gridSpan w:val="2"/>
                  <w:shd w:val="clear" w:color="auto" w:fill="auto"/>
                </w:tcPr>
                <w:p w14:paraId="2E138CBC" w14:textId="77777777" w:rsidR="009734BB" w:rsidRPr="00EB3D99" w:rsidRDefault="009734BB" w:rsidP="007E49BD">
                  <w:pPr>
                    <w:jc w:val="center"/>
                    <w:rPr>
                      <w:b/>
                      <w:sz w:val="18"/>
                      <w:szCs w:val="18"/>
                      <w:lang w:val="lv-LV"/>
                    </w:rPr>
                  </w:pPr>
                  <w:r w:rsidRPr="00EB3D99">
                    <w:rPr>
                      <w:rFonts w:eastAsia="Calibri"/>
                      <w:b/>
                      <w:sz w:val="20"/>
                      <w:szCs w:val="20"/>
                      <w:lang w:val="lv-LV"/>
                    </w:rPr>
                    <w:t>EP pozīcija par BP 2020.gadam</w:t>
                  </w:r>
                </w:p>
              </w:tc>
              <w:tc>
                <w:tcPr>
                  <w:tcW w:w="2017" w:type="dxa"/>
                  <w:gridSpan w:val="2"/>
                  <w:shd w:val="clear" w:color="auto" w:fill="auto"/>
                </w:tcPr>
                <w:p w14:paraId="3F0AC870" w14:textId="77777777" w:rsidR="009734BB" w:rsidRPr="00EB3D99" w:rsidRDefault="009734BB" w:rsidP="007E49BD">
                  <w:pPr>
                    <w:jc w:val="center"/>
                    <w:rPr>
                      <w:b/>
                      <w:sz w:val="18"/>
                      <w:szCs w:val="18"/>
                      <w:lang w:val="lv-LV"/>
                    </w:rPr>
                  </w:pPr>
                  <w:r w:rsidRPr="00EB3D99">
                    <w:rPr>
                      <w:rFonts w:eastAsia="Calibri"/>
                      <w:b/>
                      <w:sz w:val="20"/>
                      <w:szCs w:val="20"/>
                      <w:lang w:val="lv-LV"/>
                    </w:rPr>
                    <w:t>Atšķirība EP/Padome</w:t>
                  </w:r>
                </w:p>
              </w:tc>
            </w:tr>
            <w:tr w:rsidR="009734BB" w:rsidRPr="00EE1E8A" w14:paraId="7E2F1787" w14:textId="77777777" w:rsidTr="007E49BD">
              <w:tc>
                <w:tcPr>
                  <w:tcW w:w="1838" w:type="dxa"/>
                  <w:vMerge/>
                  <w:shd w:val="clear" w:color="auto" w:fill="auto"/>
                </w:tcPr>
                <w:p w14:paraId="051910DC" w14:textId="77777777" w:rsidR="009734BB" w:rsidRPr="00EB3D99" w:rsidRDefault="009734BB" w:rsidP="007E49BD">
                  <w:pPr>
                    <w:jc w:val="center"/>
                    <w:rPr>
                      <w:b/>
                      <w:sz w:val="18"/>
                      <w:szCs w:val="18"/>
                      <w:lang w:val="lv-LV"/>
                    </w:rPr>
                  </w:pPr>
                </w:p>
              </w:tc>
              <w:tc>
                <w:tcPr>
                  <w:tcW w:w="1134" w:type="dxa"/>
                  <w:shd w:val="clear" w:color="auto" w:fill="auto"/>
                </w:tcPr>
                <w:p w14:paraId="2DA888BC" w14:textId="77777777" w:rsidR="009734BB" w:rsidRPr="00EB3D99" w:rsidRDefault="009734BB" w:rsidP="007E49BD">
                  <w:pPr>
                    <w:jc w:val="center"/>
                    <w:rPr>
                      <w:b/>
                      <w:sz w:val="18"/>
                      <w:szCs w:val="18"/>
                      <w:lang w:val="lv-LV"/>
                    </w:rPr>
                  </w:pPr>
                  <w:r w:rsidRPr="00EB3D99">
                    <w:rPr>
                      <w:b/>
                      <w:bCs/>
                      <w:sz w:val="18"/>
                      <w:szCs w:val="18"/>
                      <w:lang w:val="lv-LV"/>
                    </w:rPr>
                    <w:t>SA</w:t>
                  </w:r>
                </w:p>
              </w:tc>
              <w:tc>
                <w:tcPr>
                  <w:tcW w:w="992" w:type="dxa"/>
                  <w:shd w:val="clear" w:color="auto" w:fill="auto"/>
                </w:tcPr>
                <w:p w14:paraId="359272B5" w14:textId="77777777" w:rsidR="009734BB" w:rsidRPr="00EB3D99" w:rsidRDefault="009734BB" w:rsidP="007E49BD">
                  <w:pPr>
                    <w:jc w:val="center"/>
                    <w:rPr>
                      <w:b/>
                      <w:sz w:val="18"/>
                      <w:szCs w:val="18"/>
                      <w:lang w:val="lv-LV"/>
                    </w:rPr>
                  </w:pPr>
                  <w:r w:rsidRPr="00EB3D99">
                    <w:rPr>
                      <w:b/>
                      <w:bCs/>
                      <w:sz w:val="18"/>
                      <w:szCs w:val="18"/>
                      <w:lang w:val="lv-LV"/>
                    </w:rPr>
                    <w:t>MA</w:t>
                  </w:r>
                </w:p>
              </w:tc>
              <w:tc>
                <w:tcPr>
                  <w:tcW w:w="993" w:type="dxa"/>
                  <w:shd w:val="clear" w:color="auto" w:fill="auto"/>
                </w:tcPr>
                <w:p w14:paraId="4E475E7F" w14:textId="77777777" w:rsidR="009734BB" w:rsidRPr="00EB3D99" w:rsidRDefault="009734BB" w:rsidP="007E49BD">
                  <w:pPr>
                    <w:jc w:val="center"/>
                    <w:rPr>
                      <w:b/>
                      <w:sz w:val="18"/>
                      <w:szCs w:val="18"/>
                      <w:lang w:val="lv-LV"/>
                    </w:rPr>
                  </w:pPr>
                  <w:r w:rsidRPr="00EB3D99">
                    <w:rPr>
                      <w:b/>
                      <w:bCs/>
                      <w:sz w:val="18"/>
                      <w:szCs w:val="18"/>
                      <w:lang w:val="lv-LV"/>
                    </w:rPr>
                    <w:t>SA</w:t>
                  </w:r>
                </w:p>
              </w:tc>
              <w:tc>
                <w:tcPr>
                  <w:tcW w:w="850" w:type="dxa"/>
                  <w:shd w:val="clear" w:color="auto" w:fill="auto"/>
                </w:tcPr>
                <w:p w14:paraId="230118B0" w14:textId="77777777" w:rsidR="009734BB" w:rsidRPr="00EB3D99" w:rsidRDefault="009734BB" w:rsidP="007E49BD">
                  <w:pPr>
                    <w:jc w:val="center"/>
                    <w:rPr>
                      <w:b/>
                      <w:sz w:val="18"/>
                      <w:szCs w:val="18"/>
                      <w:lang w:val="lv-LV"/>
                    </w:rPr>
                  </w:pPr>
                  <w:r w:rsidRPr="00EB3D99">
                    <w:rPr>
                      <w:b/>
                      <w:bCs/>
                      <w:sz w:val="18"/>
                      <w:szCs w:val="18"/>
                      <w:lang w:val="lv-LV"/>
                    </w:rPr>
                    <w:t>MA</w:t>
                  </w:r>
                </w:p>
              </w:tc>
              <w:tc>
                <w:tcPr>
                  <w:tcW w:w="851" w:type="dxa"/>
                  <w:shd w:val="clear" w:color="auto" w:fill="auto"/>
                </w:tcPr>
                <w:p w14:paraId="7C1CD6A6" w14:textId="77777777" w:rsidR="009734BB" w:rsidRPr="00EB3D99" w:rsidRDefault="009734BB" w:rsidP="007E49BD">
                  <w:pPr>
                    <w:jc w:val="center"/>
                    <w:rPr>
                      <w:b/>
                      <w:sz w:val="18"/>
                      <w:szCs w:val="18"/>
                      <w:lang w:val="lv-LV"/>
                    </w:rPr>
                  </w:pPr>
                  <w:r w:rsidRPr="00EB3D99">
                    <w:rPr>
                      <w:b/>
                      <w:bCs/>
                      <w:sz w:val="18"/>
                      <w:szCs w:val="18"/>
                      <w:lang w:val="lv-LV"/>
                    </w:rPr>
                    <w:t>SA</w:t>
                  </w:r>
                </w:p>
              </w:tc>
              <w:tc>
                <w:tcPr>
                  <w:tcW w:w="850" w:type="dxa"/>
                  <w:shd w:val="clear" w:color="auto" w:fill="auto"/>
                </w:tcPr>
                <w:p w14:paraId="79639FC7" w14:textId="77777777" w:rsidR="009734BB" w:rsidRPr="00EB3D99" w:rsidRDefault="009734BB" w:rsidP="007E49BD">
                  <w:pPr>
                    <w:jc w:val="center"/>
                    <w:rPr>
                      <w:b/>
                      <w:sz w:val="18"/>
                      <w:szCs w:val="18"/>
                      <w:lang w:val="lv-LV"/>
                    </w:rPr>
                  </w:pPr>
                  <w:r w:rsidRPr="00EB3D99">
                    <w:rPr>
                      <w:b/>
                      <w:bCs/>
                      <w:sz w:val="18"/>
                      <w:szCs w:val="18"/>
                      <w:lang w:val="lv-LV"/>
                    </w:rPr>
                    <w:t>MA</w:t>
                  </w:r>
                </w:p>
              </w:tc>
              <w:tc>
                <w:tcPr>
                  <w:tcW w:w="805" w:type="dxa"/>
                  <w:shd w:val="clear" w:color="auto" w:fill="auto"/>
                </w:tcPr>
                <w:p w14:paraId="7DF590B2" w14:textId="77777777" w:rsidR="009734BB" w:rsidRPr="00EB3D99" w:rsidRDefault="009734BB" w:rsidP="007E49BD">
                  <w:pPr>
                    <w:jc w:val="center"/>
                    <w:rPr>
                      <w:b/>
                      <w:sz w:val="18"/>
                      <w:szCs w:val="18"/>
                      <w:lang w:val="lv-LV"/>
                    </w:rPr>
                  </w:pPr>
                  <w:r w:rsidRPr="00EB3D99">
                    <w:rPr>
                      <w:b/>
                      <w:bCs/>
                      <w:sz w:val="18"/>
                      <w:szCs w:val="18"/>
                      <w:lang w:val="lv-LV"/>
                    </w:rPr>
                    <w:t>SA</w:t>
                  </w:r>
                </w:p>
              </w:tc>
              <w:tc>
                <w:tcPr>
                  <w:tcW w:w="1212" w:type="dxa"/>
                  <w:shd w:val="clear" w:color="auto" w:fill="auto"/>
                </w:tcPr>
                <w:p w14:paraId="50BD0329" w14:textId="77777777" w:rsidR="009734BB" w:rsidRPr="00EB3D99" w:rsidRDefault="009734BB" w:rsidP="007E49BD">
                  <w:pPr>
                    <w:jc w:val="center"/>
                    <w:rPr>
                      <w:b/>
                      <w:sz w:val="18"/>
                      <w:szCs w:val="18"/>
                      <w:lang w:val="lv-LV"/>
                    </w:rPr>
                  </w:pPr>
                  <w:r w:rsidRPr="00EB3D99">
                    <w:rPr>
                      <w:b/>
                      <w:bCs/>
                      <w:sz w:val="18"/>
                      <w:szCs w:val="18"/>
                      <w:lang w:val="lv-LV"/>
                    </w:rPr>
                    <w:t>MA</w:t>
                  </w:r>
                </w:p>
              </w:tc>
            </w:tr>
            <w:tr w:rsidR="009734BB" w:rsidRPr="00EE1E8A" w14:paraId="023F760D" w14:textId="77777777" w:rsidTr="007E49BD">
              <w:tc>
                <w:tcPr>
                  <w:tcW w:w="1838" w:type="dxa"/>
                  <w:shd w:val="clear" w:color="auto" w:fill="auto"/>
                  <w:vAlign w:val="center"/>
                </w:tcPr>
                <w:p w14:paraId="6FA69BDD" w14:textId="77777777" w:rsidR="009734BB" w:rsidRPr="00EB3D99" w:rsidRDefault="009734BB" w:rsidP="007E49BD">
                  <w:pPr>
                    <w:jc w:val="right"/>
                    <w:rPr>
                      <w:b/>
                      <w:sz w:val="18"/>
                      <w:szCs w:val="18"/>
                      <w:lang w:val="lv-LV"/>
                    </w:rPr>
                  </w:pPr>
                  <w:r w:rsidRPr="00EB3D99">
                    <w:rPr>
                      <w:rFonts w:eastAsia="Calibri"/>
                      <w:b/>
                      <w:bCs/>
                      <w:sz w:val="18"/>
                      <w:szCs w:val="18"/>
                      <w:lang w:val="lv-LV"/>
                    </w:rPr>
                    <w:lastRenderedPageBreak/>
                    <w:t>Administrācija</w:t>
                  </w:r>
                </w:p>
              </w:tc>
              <w:tc>
                <w:tcPr>
                  <w:tcW w:w="1134" w:type="dxa"/>
                  <w:shd w:val="clear" w:color="auto" w:fill="auto"/>
                  <w:vAlign w:val="center"/>
                </w:tcPr>
                <w:p w14:paraId="65B65702" w14:textId="77777777" w:rsidR="009734BB" w:rsidRPr="00EB3D99" w:rsidRDefault="009734BB" w:rsidP="007E49BD">
                  <w:pPr>
                    <w:jc w:val="center"/>
                    <w:rPr>
                      <w:b/>
                      <w:sz w:val="18"/>
                      <w:szCs w:val="18"/>
                      <w:u w:val="single"/>
                      <w:lang w:val="lv-LV"/>
                    </w:rPr>
                  </w:pPr>
                  <w:r w:rsidRPr="00EB3D99">
                    <w:rPr>
                      <w:rFonts w:eastAsia="Calibri"/>
                      <w:b/>
                      <w:bCs/>
                      <w:sz w:val="18"/>
                      <w:szCs w:val="18"/>
                      <w:u w:val="single"/>
                      <w:lang w:val="lv-LV"/>
                    </w:rPr>
                    <w:t>10 340,2</w:t>
                  </w:r>
                </w:p>
              </w:tc>
              <w:tc>
                <w:tcPr>
                  <w:tcW w:w="992" w:type="dxa"/>
                  <w:shd w:val="clear" w:color="auto" w:fill="auto"/>
                  <w:vAlign w:val="center"/>
                </w:tcPr>
                <w:p w14:paraId="1F34CCF5" w14:textId="77777777" w:rsidR="009734BB" w:rsidRPr="00EB3D99" w:rsidRDefault="009734BB" w:rsidP="007E49BD">
                  <w:pPr>
                    <w:jc w:val="center"/>
                    <w:rPr>
                      <w:b/>
                      <w:sz w:val="18"/>
                      <w:szCs w:val="18"/>
                      <w:u w:val="single"/>
                      <w:lang w:val="lv-LV"/>
                    </w:rPr>
                  </w:pPr>
                  <w:r w:rsidRPr="00EB3D99">
                    <w:rPr>
                      <w:b/>
                      <w:sz w:val="18"/>
                      <w:szCs w:val="18"/>
                      <w:u w:val="single"/>
                      <w:lang w:val="lv-LV"/>
                    </w:rPr>
                    <w:t>10 343,2</w:t>
                  </w:r>
                </w:p>
              </w:tc>
              <w:tc>
                <w:tcPr>
                  <w:tcW w:w="993" w:type="dxa"/>
                  <w:shd w:val="clear" w:color="auto" w:fill="auto"/>
                  <w:vAlign w:val="center"/>
                </w:tcPr>
                <w:p w14:paraId="47A795B1" w14:textId="77777777" w:rsidR="009734BB" w:rsidRPr="00EB3D99" w:rsidRDefault="009734BB" w:rsidP="007E49BD">
                  <w:pPr>
                    <w:jc w:val="center"/>
                    <w:rPr>
                      <w:b/>
                      <w:sz w:val="18"/>
                      <w:szCs w:val="18"/>
                      <w:u w:val="single"/>
                      <w:lang w:val="lv-LV"/>
                    </w:rPr>
                  </w:pPr>
                  <w:r w:rsidRPr="00EB3D99">
                    <w:rPr>
                      <w:rFonts w:eastAsia="Calibri"/>
                      <w:b/>
                      <w:bCs/>
                      <w:sz w:val="18"/>
                      <w:szCs w:val="18"/>
                      <w:u w:val="single"/>
                      <w:lang w:val="lv-LV"/>
                    </w:rPr>
                    <w:t>10 269,1</w:t>
                  </w:r>
                </w:p>
              </w:tc>
              <w:tc>
                <w:tcPr>
                  <w:tcW w:w="850" w:type="dxa"/>
                  <w:shd w:val="clear" w:color="auto" w:fill="auto"/>
                  <w:vAlign w:val="center"/>
                </w:tcPr>
                <w:p w14:paraId="0326741B" w14:textId="77777777" w:rsidR="009734BB" w:rsidRPr="00EB3D99" w:rsidRDefault="009734BB" w:rsidP="007E49BD">
                  <w:pPr>
                    <w:jc w:val="center"/>
                    <w:rPr>
                      <w:b/>
                      <w:sz w:val="18"/>
                      <w:szCs w:val="18"/>
                      <w:u w:val="single"/>
                      <w:lang w:val="lv-LV"/>
                    </w:rPr>
                  </w:pPr>
                  <w:r w:rsidRPr="00EB3D99">
                    <w:rPr>
                      <w:b/>
                      <w:sz w:val="18"/>
                      <w:szCs w:val="18"/>
                      <w:u w:val="single"/>
                      <w:lang w:val="lv-LV"/>
                    </w:rPr>
                    <w:t>10 272,1</w:t>
                  </w:r>
                </w:p>
              </w:tc>
              <w:tc>
                <w:tcPr>
                  <w:tcW w:w="851" w:type="dxa"/>
                  <w:shd w:val="clear" w:color="auto" w:fill="auto"/>
                  <w:vAlign w:val="center"/>
                </w:tcPr>
                <w:p w14:paraId="7540EA40" w14:textId="77777777" w:rsidR="009734BB" w:rsidRPr="00EB3D99" w:rsidRDefault="009734BB" w:rsidP="007E49BD">
                  <w:pPr>
                    <w:jc w:val="center"/>
                    <w:rPr>
                      <w:b/>
                      <w:sz w:val="18"/>
                      <w:szCs w:val="18"/>
                      <w:u w:val="single"/>
                      <w:lang w:val="lv-LV"/>
                    </w:rPr>
                  </w:pPr>
                  <w:r w:rsidRPr="00EB3D99">
                    <w:rPr>
                      <w:rFonts w:eastAsia="Calibri"/>
                      <w:b/>
                      <w:bCs/>
                      <w:sz w:val="18"/>
                      <w:szCs w:val="18"/>
                      <w:u w:val="single"/>
                      <w:lang w:val="lv-LV"/>
                    </w:rPr>
                    <w:t>10 360,5</w:t>
                  </w:r>
                </w:p>
              </w:tc>
              <w:tc>
                <w:tcPr>
                  <w:tcW w:w="850" w:type="dxa"/>
                  <w:shd w:val="clear" w:color="auto" w:fill="auto"/>
                  <w:vAlign w:val="center"/>
                </w:tcPr>
                <w:p w14:paraId="56678D2A" w14:textId="77777777" w:rsidR="009734BB" w:rsidRPr="00EB3D99" w:rsidRDefault="009734BB" w:rsidP="007E49BD">
                  <w:pPr>
                    <w:jc w:val="center"/>
                    <w:rPr>
                      <w:b/>
                      <w:sz w:val="18"/>
                      <w:szCs w:val="18"/>
                      <w:u w:val="single"/>
                      <w:lang w:val="lv-LV"/>
                    </w:rPr>
                  </w:pPr>
                  <w:r w:rsidRPr="00EB3D99">
                    <w:rPr>
                      <w:b/>
                      <w:sz w:val="18"/>
                      <w:szCs w:val="18"/>
                      <w:u w:val="single"/>
                      <w:lang w:val="lv-LV"/>
                    </w:rPr>
                    <w:t>10 363,5</w:t>
                  </w:r>
                </w:p>
              </w:tc>
              <w:tc>
                <w:tcPr>
                  <w:tcW w:w="805" w:type="dxa"/>
                  <w:shd w:val="clear" w:color="auto" w:fill="auto"/>
                  <w:vAlign w:val="center"/>
                </w:tcPr>
                <w:p w14:paraId="5D9F7506" w14:textId="77777777" w:rsidR="009734BB" w:rsidRPr="00EB3D99" w:rsidRDefault="009734BB" w:rsidP="007E49BD">
                  <w:pPr>
                    <w:jc w:val="center"/>
                    <w:rPr>
                      <w:b/>
                      <w:sz w:val="18"/>
                      <w:szCs w:val="18"/>
                      <w:u w:val="single"/>
                      <w:lang w:val="lv-LV"/>
                    </w:rPr>
                  </w:pPr>
                  <w:r w:rsidRPr="00EB3D99">
                    <w:rPr>
                      <w:b/>
                      <w:sz w:val="18"/>
                      <w:szCs w:val="18"/>
                      <w:u w:val="single"/>
                      <w:lang w:val="lv-LV"/>
                    </w:rPr>
                    <w:t>91,4</w:t>
                  </w:r>
                </w:p>
              </w:tc>
              <w:tc>
                <w:tcPr>
                  <w:tcW w:w="1212" w:type="dxa"/>
                  <w:shd w:val="clear" w:color="auto" w:fill="auto"/>
                  <w:vAlign w:val="center"/>
                </w:tcPr>
                <w:p w14:paraId="49594F2E" w14:textId="77777777" w:rsidR="009734BB" w:rsidRPr="00EB3D99" w:rsidRDefault="009734BB" w:rsidP="007E49BD">
                  <w:pPr>
                    <w:jc w:val="center"/>
                    <w:rPr>
                      <w:b/>
                      <w:sz w:val="18"/>
                      <w:szCs w:val="18"/>
                      <w:u w:val="single"/>
                      <w:lang w:val="lv-LV"/>
                    </w:rPr>
                  </w:pPr>
                  <w:r w:rsidRPr="00EB3D99">
                    <w:rPr>
                      <w:b/>
                      <w:sz w:val="18"/>
                      <w:szCs w:val="18"/>
                      <w:u w:val="single"/>
                      <w:lang w:val="lv-LV"/>
                    </w:rPr>
                    <w:t>91,4</w:t>
                  </w:r>
                </w:p>
              </w:tc>
            </w:tr>
            <w:tr w:rsidR="009734BB" w:rsidRPr="00EE1E8A" w14:paraId="7CCB7650" w14:textId="77777777" w:rsidTr="007E49BD">
              <w:tc>
                <w:tcPr>
                  <w:tcW w:w="1838" w:type="dxa"/>
                  <w:shd w:val="clear" w:color="auto" w:fill="auto"/>
                  <w:vAlign w:val="center"/>
                </w:tcPr>
                <w:p w14:paraId="57A07822" w14:textId="77777777" w:rsidR="009734BB" w:rsidRPr="00EB3D99" w:rsidRDefault="009734BB" w:rsidP="007E49BD">
                  <w:pPr>
                    <w:jc w:val="right"/>
                    <w:rPr>
                      <w:bCs/>
                      <w:i/>
                      <w:sz w:val="18"/>
                      <w:szCs w:val="18"/>
                      <w:u w:val="single"/>
                      <w:lang w:val="lv-LV"/>
                    </w:rPr>
                  </w:pPr>
                  <w:r w:rsidRPr="00EB3D99">
                    <w:rPr>
                      <w:rFonts w:eastAsia="Calibri"/>
                      <w:bCs/>
                      <w:i/>
                      <w:sz w:val="18"/>
                      <w:szCs w:val="18"/>
                      <w:u w:val="single"/>
                      <w:lang w:val="lv-LV"/>
                    </w:rPr>
                    <w:t>tostarp saskaņā ar Neparedzēto izdevumu rezerves kompensēšanu</w:t>
                  </w:r>
                </w:p>
              </w:tc>
              <w:tc>
                <w:tcPr>
                  <w:tcW w:w="1134" w:type="dxa"/>
                  <w:shd w:val="clear" w:color="auto" w:fill="auto"/>
                  <w:vAlign w:val="center"/>
                </w:tcPr>
                <w:p w14:paraId="422D9F06" w14:textId="77777777" w:rsidR="009734BB" w:rsidRPr="00EB3D99" w:rsidRDefault="009734BB" w:rsidP="007E49BD">
                  <w:pPr>
                    <w:jc w:val="center"/>
                    <w:rPr>
                      <w:i/>
                      <w:sz w:val="18"/>
                      <w:szCs w:val="18"/>
                      <w:u w:val="single"/>
                      <w:lang w:val="lv-LV"/>
                    </w:rPr>
                  </w:pPr>
                  <w:r w:rsidRPr="00EB3D99">
                    <w:rPr>
                      <w:i/>
                      <w:sz w:val="18"/>
                      <w:szCs w:val="18"/>
                      <w:u w:val="single"/>
                      <w:lang w:val="lv-LV"/>
                    </w:rPr>
                    <w:t>-252,0</w:t>
                  </w:r>
                </w:p>
              </w:tc>
              <w:tc>
                <w:tcPr>
                  <w:tcW w:w="992" w:type="dxa"/>
                  <w:shd w:val="clear" w:color="auto" w:fill="auto"/>
                  <w:vAlign w:val="center"/>
                </w:tcPr>
                <w:p w14:paraId="6B3A7E85" w14:textId="77777777" w:rsidR="009734BB" w:rsidRPr="00EB3D99" w:rsidRDefault="009734BB" w:rsidP="007E49BD">
                  <w:pPr>
                    <w:jc w:val="center"/>
                    <w:rPr>
                      <w:i/>
                      <w:sz w:val="18"/>
                      <w:szCs w:val="18"/>
                      <w:u w:val="single"/>
                      <w:lang w:val="lv-LV"/>
                    </w:rPr>
                  </w:pPr>
                </w:p>
              </w:tc>
              <w:tc>
                <w:tcPr>
                  <w:tcW w:w="993" w:type="dxa"/>
                  <w:shd w:val="clear" w:color="auto" w:fill="auto"/>
                  <w:vAlign w:val="center"/>
                </w:tcPr>
                <w:p w14:paraId="3E14B040" w14:textId="77777777" w:rsidR="009734BB" w:rsidRPr="00EB3D99" w:rsidRDefault="009734BB" w:rsidP="007E49BD">
                  <w:pPr>
                    <w:jc w:val="center"/>
                    <w:rPr>
                      <w:i/>
                      <w:sz w:val="18"/>
                      <w:szCs w:val="18"/>
                      <w:u w:val="single"/>
                      <w:lang w:val="lv-LV"/>
                    </w:rPr>
                  </w:pPr>
                  <w:r w:rsidRPr="00EB3D99">
                    <w:rPr>
                      <w:i/>
                      <w:sz w:val="18"/>
                      <w:szCs w:val="18"/>
                      <w:u w:val="single"/>
                      <w:lang w:val="lv-LV"/>
                    </w:rPr>
                    <w:t>-252,0</w:t>
                  </w:r>
                </w:p>
              </w:tc>
              <w:tc>
                <w:tcPr>
                  <w:tcW w:w="850" w:type="dxa"/>
                  <w:shd w:val="clear" w:color="auto" w:fill="auto"/>
                  <w:vAlign w:val="center"/>
                </w:tcPr>
                <w:p w14:paraId="3ABA4B83" w14:textId="77777777" w:rsidR="009734BB" w:rsidRPr="00EB3D99" w:rsidRDefault="009734BB" w:rsidP="007E49BD">
                  <w:pPr>
                    <w:jc w:val="center"/>
                    <w:rPr>
                      <w:i/>
                      <w:sz w:val="18"/>
                      <w:szCs w:val="18"/>
                      <w:u w:val="single"/>
                      <w:lang w:val="lv-LV"/>
                    </w:rPr>
                  </w:pPr>
                </w:p>
              </w:tc>
              <w:tc>
                <w:tcPr>
                  <w:tcW w:w="851" w:type="dxa"/>
                  <w:shd w:val="clear" w:color="auto" w:fill="auto"/>
                  <w:vAlign w:val="center"/>
                </w:tcPr>
                <w:p w14:paraId="17EFA647" w14:textId="547005D0" w:rsidR="009734BB" w:rsidRPr="00EB3D99" w:rsidRDefault="009734BB" w:rsidP="000B59A8">
                  <w:pPr>
                    <w:jc w:val="center"/>
                    <w:rPr>
                      <w:i/>
                      <w:sz w:val="18"/>
                      <w:szCs w:val="18"/>
                      <w:u w:val="single"/>
                      <w:lang w:val="lv-LV"/>
                    </w:rPr>
                  </w:pPr>
                  <w:r w:rsidRPr="00EB3D99">
                    <w:rPr>
                      <w:i/>
                      <w:sz w:val="18"/>
                      <w:szCs w:val="18"/>
                      <w:u w:val="single"/>
                      <w:lang w:val="lv-LV"/>
                    </w:rPr>
                    <w:t>-</w:t>
                  </w:r>
                  <w:r w:rsidR="000B59A8">
                    <w:rPr>
                      <w:i/>
                      <w:sz w:val="18"/>
                      <w:szCs w:val="18"/>
                      <w:u w:val="single"/>
                      <w:lang w:val="lv-LV"/>
                    </w:rPr>
                    <w:t>517</w:t>
                  </w:r>
                  <w:r w:rsidR="002C460C">
                    <w:rPr>
                      <w:i/>
                      <w:sz w:val="18"/>
                      <w:szCs w:val="18"/>
                      <w:u w:val="single"/>
                      <w:lang w:val="lv-LV"/>
                    </w:rPr>
                    <w:t>,</w:t>
                  </w:r>
                  <w:r w:rsidR="000B59A8">
                    <w:rPr>
                      <w:i/>
                      <w:sz w:val="18"/>
                      <w:szCs w:val="18"/>
                      <w:u w:val="single"/>
                      <w:lang w:val="lv-LV"/>
                    </w:rPr>
                    <w:t>8</w:t>
                  </w:r>
                </w:p>
              </w:tc>
              <w:tc>
                <w:tcPr>
                  <w:tcW w:w="850" w:type="dxa"/>
                  <w:shd w:val="clear" w:color="auto" w:fill="auto"/>
                  <w:vAlign w:val="center"/>
                </w:tcPr>
                <w:p w14:paraId="5FCAA26B" w14:textId="77777777" w:rsidR="009734BB" w:rsidRPr="00EB3D99" w:rsidRDefault="009734BB" w:rsidP="007E49BD">
                  <w:pPr>
                    <w:jc w:val="center"/>
                    <w:rPr>
                      <w:i/>
                      <w:sz w:val="18"/>
                      <w:szCs w:val="18"/>
                      <w:u w:val="single"/>
                      <w:lang w:val="lv-LV"/>
                    </w:rPr>
                  </w:pPr>
                </w:p>
              </w:tc>
              <w:tc>
                <w:tcPr>
                  <w:tcW w:w="805" w:type="dxa"/>
                  <w:shd w:val="clear" w:color="auto" w:fill="auto"/>
                  <w:vAlign w:val="center"/>
                </w:tcPr>
                <w:p w14:paraId="7BC5DEA6" w14:textId="03ED7066" w:rsidR="009734BB" w:rsidRPr="00EB3D99" w:rsidRDefault="009734BB" w:rsidP="000B59A8">
                  <w:pPr>
                    <w:jc w:val="center"/>
                    <w:rPr>
                      <w:i/>
                      <w:sz w:val="18"/>
                      <w:szCs w:val="18"/>
                      <w:u w:val="single"/>
                      <w:lang w:val="lv-LV"/>
                    </w:rPr>
                  </w:pPr>
                </w:p>
              </w:tc>
              <w:tc>
                <w:tcPr>
                  <w:tcW w:w="1212" w:type="dxa"/>
                  <w:shd w:val="clear" w:color="auto" w:fill="auto"/>
                  <w:vAlign w:val="center"/>
                </w:tcPr>
                <w:p w14:paraId="70FB8934" w14:textId="77777777" w:rsidR="009734BB" w:rsidRPr="00EB3D99" w:rsidRDefault="009734BB" w:rsidP="007E49BD">
                  <w:pPr>
                    <w:jc w:val="center"/>
                    <w:rPr>
                      <w:i/>
                      <w:sz w:val="18"/>
                      <w:szCs w:val="18"/>
                      <w:u w:val="single"/>
                      <w:lang w:val="lv-LV"/>
                    </w:rPr>
                  </w:pPr>
                </w:p>
              </w:tc>
            </w:tr>
            <w:tr w:rsidR="009734BB" w:rsidRPr="00EE1E8A" w14:paraId="0B6144D8" w14:textId="77777777" w:rsidTr="007E49BD">
              <w:tc>
                <w:tcPr>
                  <w:tcW w:w="1838" w:type="dxa"/>
                  <w:shd w:val="clear" w:color="auto" w:fill="auto"/>
                  <w:vAlign w:val="center"/>
                </w:tcPr>
                <w:p w14:paraId="2486E6F5" w14:textId="77777777" w:rsidR="009734BB" w:rsidRPr="00EB3D99" w:rsidRDefault="009734BB" w:rsidP="007E49BD">
                  <w:pPr>
                    <w:jc w:val="right"/>
                    <w:rPr>
                      <w:i/>
                      <w:sz w:val="18"/>
                      <w:szCs w:val="18"/>
                      <w:u w:val="single"/>
                      <w:lang w:val="lv-LV"/>
                    </w:rPr>
                  </w:pPr>
                  <w:r w:rsidRPr="00EB3D99">
                    <w:rPr>
                      <w:i/>
                      <w:sz w:val="18"/>
                      <w:szCs w:val="18"/>
                      <w:u w:val="single"/>
                      <w:lang w:val="lv-LV"/>
                    </w:rPr>
                    <w:t>rezerve</w:t>
                  </w:r>
                </w:p>
              </w:tc>
              <w:tc>
                <w:tcPr>
                  <w:tcW w:w="1134" w:type="dxa"/>
                  <w:shd w:val="clear" w:color="auto" w:fill="auto"/>
                  <w:vAlign w:val="center"/>
                </w:tcPr>
                <w:p w14:paraId="6656FD46" w14:textId="49F3E53C" w:rsidR="009734BB" w:rsidRPr="00EB3D99" w:rsidRDefault="006A033C" w:rsidP="007E49BD">
                  <w:pPr>
                    <w:jc w:val="center"/>
                    <w:rPr>
                      <w:i/>
                      <w:sz w:val="18"/>
                      <w:szCs w:val="18"/>
                      <w:u w:val="single"/>
                      <w:lang w:val="lv-LV"/>
                    </w:rPr>
                  </w:pPr>
                  <w:r w:rsidRPr="00EB3D99">
                    <w:rPr>
                      <w:rFonts w:eastAsia="Calibri"/>
                      <w:i/>
                      <w:iCs/>
                      <w:sz w:val="18"/>
                      <w:szCs w:val="18"/>
                      <w:u w:val="single"/>
                      <w:lang w:val="lv-LV"/>
                    </w:rPr>
                    <w:t>661,8</w:t>
                  </w:r>
                </w:p>
              </w:tc>
              <w:tc>
                <w:tcPr>
                  <w:tcW w:w="992" w:type="dxa"/>
                  <w:shd w:val="clear" w:color="auto" w:fill="auto"/>
                  <w:vAlign w:val="center"/>
                </w:tcPr>
                <w:p w14:paraId="323F5014" w14:textId="77777777" w:rsidR="009734BB" w:rsidRPr="00EB3D99" w:rsidRDefault="009734BB" w:rsidP="007E49BD">
                  <w:pPr>
                    <w:jc w:val="center"/>
                    <w:rPr>
                      <w:i/>
                      <w:sz w:val="18"/>
                      <w:szCs w:val="18"/>
                      <w:u w:val="single"/>
                      <w:lang w:val="lv-LV"/>
                    </w:rPr>
                  </w:pPr>
                </w:p>
              </w:tc>
              <w:tc>
                <w:tcPr>
                  <w:tcW w:w="993" w:type="dxa"/>
                  <w:shd w:val="clear" w:color="auto" w:fill="auto"/>
                  <w:vAlign w:val="center"/>
                </w:tcPr>
                <w:p w14:paraId="41EFED73" w14:textId="2CAE0C3C" w:rsidR="009734BB" w:rsidRPr="00EB3D99" w:rsidRDefault="006A033C" w:rsidP="007E49BD">
                  <w:pPr>
                    <w:jc w:val="center"/>
                    <w:rPr>
                      <w:i/>
                      <w:sz w:val="18"/>
                      <w:szCs w:val="18"/>
                      <w:u w:val="single"/>
                      <w:lang w:val="lv-LV"/>
                    </w:rPr>
                  </w:pPr>
                  <w:r w:rsidRPr="00EB3D99">
                    <w:rPr>
                      <w:rFonts w:eastAsia="Calibri"/>
                      <w:i/>
                      <w:iCs/>
                      <w:sz w:val="18"/>
                      <w:szCs w:val="18"/>
                      <w:u w:val="single"/>
                      <w:lang w:val="lv-LV"/>
                    </w:rPr>
                    <w:t>732,9</w:t>
                  </w:r>
                </w:p>
              </w:tc>
              <w:tc>
                <w:tcPr>
                  <w:tcW w:w="850" w:type="dxa"/>
                  <w:shd w:val="clear" w:color="auto" w:fill="auto"/>
                  <w:vAlign w:val="center"/>
                </w:tcPr>
                <w:p w14:paraId="2C753AFB" w14:textId="77777777" w:rsidR="009734BB" w:rsidRPr="00EB3D99" w:rsidRDefault="009734BB" w:rsidP="007E49BD">
                  <w:pPr>
                    <w:jc w:val="center"/>
                    <w:rPr>
                      <w:i/>
                      <w:sz w:val="18"/>
                      <w:szCs w:val="18"/>
                      <w:u w:val="single"/>
                      <w:lang w:val="lv-LV"/>
                    </w:rPr>
                  </w:pPr>
                </w:p>
              </w:tc>
              <w:tc>
                <w:tcPr>
                  <w:tcW w:w="851" w:type="dxa"/>
                  <w:shd w:val="clear" w:color="auto" w:fill="auto"/>
                  <w:vAlign w:val="center"/>
                </w:tcPr>
                <w:p w14:paraId="28647FBC" w14:textId="6086FDD1" w:rsidR="009734BB" w:rsidRPr="002C460C" w:rsidRDefault="000B59A8" w:rsidP="000B59A8">
                  <w:pPr>
                    <w:jc w:val="center"/>
                    <w:rPr>
                      <w:i/>
                      <w:sz w:val="18"/>
                      <w:szCs w:val="18"/>
                      <w:u w:val="single"/>
                      <w:lang w:val="lv-LV"/>
                    </w:rPr>
                  </w:pPr>
                  <w:r>
                    <w:rPr>
                      <w:rFonts w:eastAsia="Calibri"/>
                      <w:bCs/>
                      <w:i/>
                      <w:sz w:val="18"/>
                      <w:szCs w:val="18"/>
                      <w:u w:val="single"/>
                      <w:lang w:val="lv-LV"/>
                    </w:rPr>
                    <w:t>375</w:t>
                  </w:r>
                  <w:r w:rsidR="006A033C" w:rsidRPr="002C460C">
                    <w:rPr>
                      <w:rFonts w:eastAsia="Calibri"/>
                      <w:bCs/>
                      <w:i/>
                      <w:sz w:val="18"/>
                      <w:szCs w:val="18"/>
                      <w:u w:val="single"/>
                      <w:lang w:val="lv-LV"/>
                    </w:rPr>
                    <w:t>,</w:t>
                  </w:r>
                  <w:r>
                    <w:rPr>
                      <w:rFonts w:eastAsia="Calibri"/>
                      <w:bCs/>
                      <w:i/>
                      <w:sz w:val="18"/>
                      <w:szCs w:val="18"/>
                      <w:u w:val="single"/>
                      <w:lang w:val="lv-LV"/>
                    </w:rPr>
                    <w:t>7</w:t>
                  </w:r>
                </w:p>
              </w:tc>
              <w:tc>
                <w:tcPr>
                  <w:tcW w:w="850" w:type="dxa"/>
                  <w:shd w:val="clear" w:color="auto" w:fill="auto"/>
                  <w:vAlign w:val="center"/>
                </w:tcPr>
                <w:p w14:paraId="32850CE4" w14:textId="77777777" w:rsidR="009734BB" w:rsidRPr="00EB3D99" w:rsidRDefault="009734BB" w:rsidP="007E49BD">
                  <w:pPr>
                    <w:jc w:val="center"/>
                    <w:rPr>
                      <w:i/>
                      <w:sz w:val="18"/>
                      <w:szCs w:val="18"/>
                      <w:u w:val="single"/>
                      <w:lang w:val="lv-LV"/>
                    </w:rPr>
                  </w:pPr>
                </w:p>
              </w:tc>
              <w:tc>
                <w:tcPr>
                  <w:tcW w:w="805" w:type="dxa"/>
                  <w:shd w:val="clear" w:color="auto" w:fill="auto"/>
                  <w:vAlign w:val="center"/>
                </w:tcPr>
                <w:p w14:paraId="354C4625" w14:textId="575D92E3" w:rsidR="009734BB" w:rsidRPr="00EB3D99" w:rsidRDefault="009734BB" w:rsidP="000B59A8">
                  <w:pPr>
                    <w:jc w:val="center"/>
                    <w:rPr>
                      <w:i/>
                      <w:sz w:val="18"/>
                      <w:szCs w:val="18"/>
                      <w:u w:val="single"/>
                      <w:lang w:val="lv-LV"/>
                    </w:rPr>
                  </w:pPr>
                  <w:r w:rsidRPr="00EB3D99">
                    <w:rPr>
                      <w:i/>
                      <w:sz w:val="18"/>
                      <w:szCs w:val="18"/>
                      <w:u w:val="single"/>
                      <w:lang w:val="lv-LV"/>
                    </w:rPr>
                    <w:t>-</w:t>
                  </w:r>
                  <w:r w:rsidR="000B59A8">
                    <w:rPr>
                      <w:i/>
                      <w:sz w:val="18"/>
                      <w:szCs w:val="18"/>
                      <w:u w:val="single"/>
                      <w:lang w:val="lv-LV"/>
                    </w:rPr>
                    <w:t>357</w:t>
                  </w:r>
                  <w:r w:rsidRPr="00EB3D99">
                    <w:rPr>
                      <w:i/>
                      <w:sz w:val="18"/>
                      <w:szCs w:val="18"/>
                      <w:u w:val="single"/>
                      <w:lang w:val="lv-LV"/>
                    </w:rPr>
                    <w:t>,</w:t>
                  </w:r>
                  <w:r w:rsidR="000B59A8">
                    <w:rPr>
                      <w:i/>
                      <w:sz w:val="18"/>
                      <w:szCs w:val="18"/>
                      <w:u w:val="single"/>
                      <w:lang w:val="lv-LV"/>
                    </w:rPr>
                    <w:t>2</w:t>
                  </w:r>
                </w:p>
              </w:tc>
              <w:tc>
                <w:tcPr>
                  <w:tcW w:w="1212" w:type="dxa"/>
                  <w:shd w:val="clear" w:color="auto" w:fill="auto"/>
                  <w:vAlign w:val="center"/>
                </w:tcPr>
                <w:p w14:paraId="4A2BBF93" w14:textId="77777777" w:rsidR="009734BB" w:rsidRPr="00EB3D99" w:rsidRDefault="009734BB" w:rsidP="007E49BD">
                  <w:pPr>
                    <w:jc w:val="center"/>
                    <w:rPr>
                      <w:i/>
                      <w:sz w:val="18"/>
                      <w:szCs w:val="18"/>
                      <w:u w:val="single"/>
                      <w:lang w:val="lv-LV"/>
                    </w:rPr>
                  </w:pPr>
                </w:p>
              </w:tc>
            </w:tr>
          </w:tbl>
          <w:p w14:paraId="4DE0826F" w14:textId="73DF9368" w:rsidR="009734BB" w:rsidRPr="00EE1E8A" w:rsidRDefault="009734BB" w:rsidP="007E49BD">
            <w:pPr>
              <w:autoSpaceDE w:val="0"/>
              <w:autoSpaceDN w:val="0"/>
              <w:adjustRightInd w:val="0"/>
              <w:spacing w:before="120" w:after="120"/>
              <w:jc w:val="both"/>
              <w:rPr>
                <w:rFonts w:eastAsia="Calibri"/>
                <w:b/>
                <w:u w:val="single"/>
                <w:lang w:val="lv-LV" w:eastAsia="lv-LV"/>
              </w:rPr>
            </w:pPr>
            <w:r w:rsidRPr="00EE1E8A">
              <w:rPr>
                <w:rFonts w:eastAsia="Calibri"/>
                <w:b/>
                <w:u w:val="single"/>
                <w:lang w:val="lv-LV" w:eastAsia="lv-LV"/>
              </w:rPr>
              <w:t>EK priekšlikums BP 2020.gadam un AL 1/2020</w:t>
            </w:r>
          </w:p>
          <w:p w14:paraId="034CEA35" w14:textId="19C156D8" w:rsidR="00366E03" w:rsidRPr="00FF4FC0" w:rsidRDefault="00366E03" w:rsidP="001A631A">
            <w:pPr>
              <w:spacing w:after="120"/>
              <w:jc w:val="both"/>
              <w:rPr>
                <w:rFonts w:eastAsia="Calibri"/>
                <w:b/>
                <w:u w:val="single"/>
                <w:lang w:val="lv-LV" w:eastAsia="lv-LV"/>
              </w:rPr>
            </w:pPr>
            <w:r w:rsidRPr="00EE1E8A">
              <w:rPr>
                <w:lang w:val="lv-LV"/>
              </w:rPr>
              <w:t>Pie piedāvāt</w:t>
            </w:r>
            <w:r w:rsidR="000D5099">
              <w:rPr>
                <w:lang w:val="lv-LV"/>
              </w:rPr>
              <w:t>ā</w:t>
            </w:r>
            <w:r w:rsidRPr="00EE1E8A">
              <w:rPr>
                <w:lang w:val="lv-LV"/>
              </w:rPr>
              <w:t xml:space="preserve"> apropriāciju kopapjoma, kurš ir līdzvērtīgs gan SA, gan MA (jo šajā izdevumu kategorijā pamatā tiek iekļautas nediferencētās apropriācijas), saistību rezerve 5.kategorijā veido </w:t>
            </w:r>
            <w:r w:rsidRPr="00185D9A">
              <w:rPr>
                <w:lang w:val="lv-LV"/>
              </w:rPr>
              <w:t>6</w:t>
            </w:r>
            <w:r w:rsidR="000B59A8">
              <w:rPr>
                <w:lang w:val="lv-LV"/>
              </w:rPr>
              <w:t>61</w:t>
            </w:r>
            <w:r w:rsidRPr="00185D9A">
              <w:rPr>
                <w:lang w:val="lv-LV"/>
              </w:rPr>
              <w:t>,</w:t>
            </w:r>
            <w:r w:rsidR="000B59A8">
              <w:rPr>
                <w:lang w:val="lv-LV"/>
              </w:rPr>
              <w:t>8</w:t>
            </w:r>
            <w:r w:rsidRPr="00185D9A">
              <w:rPr>
                <w:lang w:val="lv-LV"/>
              </w:rPr>
              <w:t xml:space="preserve"> milj.</w:t>
            </w:r>
            <w:r w:rsidRPr="00EE1E8A">
              <w:rPr>
                <w:lang w:val="lv-LV"/>
              </w:rPr>
              <w:t xml:space="preserve"> EUR. </w:t>
            </w:r>
            <w:r w:rsidRPr="00562B3F">
              <w:rPr>
                <w:lang w:val="lv-LV"/>
              </w:rPr>
              <w:t>Lai kompensētu 2017.gadā 3.izdevumu kategorijas vajadzībām izmantoto neparedzēto izdevumu rezervi (</w:t>
            </w:r>
            <w:proofErr w:type="spellStart"/>
            <w:r w:rsidRPr="00255C4F">
              <w:rPr>
                <w:i/>
                <w:lang w:val="lv-LV"/>
              </w:rPr>
              <w:t>Contingency</w:t>
            </w:r>
            <w:proofErr w:type="spellEnd"/>
            <w:r w:rsidRPr="00255C4F">
              <w:rPr>
                <w:i/>
                <w:lang w:val="lv-LV"/>
              </w:rPr>
              <w:t xml:space="preserve"> </w:t>
            </w:r>
            <w:proofErr w:type="spellStart"/>
            <w:r w:rsidRPr="00255C4F">
              <w:rPr>
                <w:i/>
                <w:lang w:val="lv-LV"/>
              </w:rPr>
              <w:t>Margin</w:t>
            </w:r>
            <w:proofErr w:type="spellEnd"/>
            <w:r w:rsidRPr="00255C4F">
              <w:rPr>
                <w:lang w:val="lv-LV"/>
              </w:rPr>
              <w:t>), 20</w:t>
            </w:r>
            <w:r w:rsidRPr="00154F55">
              <w:rPr>
                <w:lang w:val="lv-LV"/>
              </w:rPr>
              <w:t>20.gadā ir veikts 5.izdevumu kategorijas rezerves samazinājums par 25</w:t>
            </w:r>
            <w:r w:rsidRPr="00512731">
              <w:rPr>
                <w:lang w:val="lv-LV"/>
              </w:rPr>
              <w:t>2</w:t>
            </w:r>
            <w:r w:rsidRPr="000652F6">
              <w:rPr>
                <w:lang w:val="lv-LV"/>
              </w:rPr>
              <w:t xml:space="preserve"> milj. EUR. Visām iestādēm novērojams finansējuma pieaugums salīdzinājumā ar tekošo gadu, kopsummā sasniedzot 3,8%. EK ir apstiprinājusi Eiropas Ārējās darbības dienesta (EĀDD</w:t>
            </w:r>
            <w:r w:rsidR="000D5099">
              <w:rPr>
                <w:lang w:val="lv-LV"/>
              </w:rPr>
              <w:t>/ EEAS</w:t>
            </w:r>
            <w:r w:rsidRPr="000652F6">
              <w:rPr>
                <w:lang w:val="lv-LV"/>
              </w:rPr>
              <w:t>) iesniegto izdevumu tāmi 20</w:t>
            </w:r>
            <w:r w:rsidRPr="003111DB">
              <w:rPr>
                <w:lang w:val="lv-LV"/>
              </w:rPr>
              <w:t xml:space="preserve">20.gadam bez izmaiņām, tajā skaitā nepieciešamos resursus Stratēģiskās komunikācijas jomai. </w:t>
            </w:r>
          </w:p>
          <w:p w14:paraId="38F8B245" w14:textId="08995B1B" w:rsidR="009734BB" w:rsidRPr="00EB3D99" w:rsidRDefault="00FB0CFC" w:rsidP="007E49BD">
            <w:pPr>
              <w:spacing w:after="120"/>
              <w:jc w:val="both"/>
              <w:rPr>
                <w:lang w:val="lv-LV"/>
              </w:rPr>
            </w:pPr>
            <w:r w:rsidRPr="00EB3D99">
              <w:rPr>
                <w:lang w:val="lv-LV"/>
              </w:rPr>
              <w:t>EK iesniegtajā grozījumu vēstulē</w:t>
            </w:r>
            <w:r w:rsidR="000B5007">
              <w:rPr>
                <w:lang w:val="lv-LV"/>
              </w:rPr>
              <w:t>/ AL</w:t>
            </w:r>
            <w:r w:rsidR="009734BB" w:rsidRPr="00EB3D99">
              <w:rPr>
                <w:lang w:val="lv-LV"/>
              </w:rPr>
              <w:t xml:space="preserve"> iekļauti pielāgojumi 5.kategorijai.</w:t>
            </w:r>
            <w:r w:rsidR="002C460C">
              <w:rPr>
                <w:lang w:val="lv-LV"/>
              </w:rPr>
              <w:t xml:space="preserve"> </w:t>
            </w:r>
            <w:r w:rsidR="009734BB" w:rsidRPr="00EB3D99">
              <w:rPr>
                <w:lang w:val="lv-LV"/>
              </w:rPr>
              <w:t xml:space="preserve">Viens no tiem ir EP administratīvā budžeta </w:t>
            </w:r>
            <w:r w:rsidR="00382D2B">
              <w:rPr>
                <w:lang w:val="lv-LV"/>
              </w:rPr>
              <w:t>ie</w:t>
            </w:r>
            <w:r w:rsidR="009734BB" w:rsidRPr="00EB3D99">
              <w:rPr>
                <w:lang w:val="lv-LV"/>
              </w:rPr>
              <w:t>daļa (</w:t>
            </w:r>
            <w:proofErr w:type="spellStart"/>
            <w:r w:rsidR="009734BB" w:rsidRPr="00EB3D99">
              <w:rPr>
                <w:i/>
                <w:iCs/>
                <w:lang w:val="lv-LV"/>
              </w:rPr>
              <w:t>Section</w:t>
            </w:r>
            <w:proofErr w:type="spellEnd"/>
            <w:r w:rsidR="009734BB" w:rsidRPr="00EB3D99">
              <w:rPr>
                <w:i/>
                <w:iCs/>
                <w:lang w:val="lv-LV"/>
              </w:rPr>
              <w:t xml:space="preserve"> I</w:t>
            </w:r>
            <w:r w:rsidR="009734BB" w:rsidRPr="00EB3D99">
              <w:rPr>
                <w:lang w:val="lv-LV"/>
              </w:rPr>
              <w:t>), kurā</w:t>
            </w:r>
            <w:r w:rsidR="00BC6EB8" w:rsidRPr="00EB3D99">
              <w:rPr>
                <w:lang w:val="lv-LV"/>
              </w:rPr>
              <w:t xml:space="preserve"> </w:t>
            </w:r>
            <w:r w:rsidR="009734BB" w:rsidRPr="00EB3D99">
              <w:rPr>
                <w:lang w:val="lv-LV"/>
              </w:rPr>
              <w:t xml:space="preserve">tiek palielināts štatu saraksts par 89 vienībām, kā arī līgumdarbinieku skaits par 155 vienībām un līgumdarbinieku atalgojumam papildus nepieciešamās apropriācijas 13,3 </w:t>
            </w:r>
            <w:r w:rsidR="00185D9A">
              <w:rPr>
                <w:lang w:val="lv-LV"/>
              </w:rPr>
              <w:t xml:space="preserve">milj. </w:t>
            </w:r>
            <w:r w:rsidR="009734BB" w:rsidRPr="00EB3D99">
              <w:rPr>
                <w:lang w:val="lv-LV"/>
              </w:rPr>
              <w:t>EUR apmērā.</w:t>
            </w:r>
            <w:r w:rsidR="00185D9A">
              <w:rPr>
                <w:lang w:val="lv-LV"/>
              </w:rPr>
              <w:t xml:space="preserve"> Kā arī grozījumu vēstulē saistību rezerve 5.kategorijā tiek samazināta par 16,1 milj. EUR (kopumā grozītā saistību rezerve 661,8 milj. EUR).</w:t>
            </w:r>
          </w:p>
          <w:p w14:paraId="37DBC1A8" w14:textId="285E4F54" w:rsidR="009734BB" w:rsidRPr="00EB3D99" w:rsidRDefault="009734BB" w:rsidP="007E49BD">
            <w:pPr>
              <w:spacing w:after="120"/>
              <w:jc w:val="both"/>
              <w:rPr>
                <w:lang w:val="lv-LV"/>
              </w:rPr>
            </w:pPr>
            <w:r w:rsidRPr="00EB3D99">
              <w:rPr>
                <w:lang w:val="lv-LV"/>
              </w:rPr>
              <w:t xml:space="preserve">Papildus </w:t>
            </w:r>
            <w:r w:rsidR="006F1941" w:rsidRPr="00EB3D99">
              <w:rPr>
                <w:lang w:val="lv-LV"/>
              </w:rPr>
              <w:t>EĀDD</w:t>
            </w:r>
            <w:r w:rsidR="000B5007">
              <w:rPr>
                <w:lang w:val="lv-LV"/>
              </w:rPr>
              <w:t>/EEAS</w:t>
            </w:r>
            <w:r w:rsidRPr="00EB3D99">
              <w:rPr>
                <w:lang w:val="lv-LV"/>
              </w:rPr>
              <w:t xml:space="preserve"> sadaļā (</w:t>
            </w:r>
            <w:proofErr w:type="spellStart"/>
            <w:r w:rsidRPr="00EB3D99">
              <w:rPr>
                <w:i/>
                <w:iCs/>
                <w:lang w:val="lv-LV"/>
              </w:rPr>
              <w:t>Section</w:t>
            </w:r>
            <w:proofErr w:type="spellEnd"/>
            <w:r w:rsidRPr="00EB3D99">
              <w:rPr>
                <w:i/>
                <w:iCs/>
                <w:lang w:val="lv-LV"/>
              </w:rPr>
              <w:t xml:space="preserve"> X</w:t>
            </w:r>
            <w:r w:rsidRPr="00EB3D99">
              <w:rPr>
                <w:lang w:val="lv-LV"/>
              </w:rPr>
              <w:t xml:space="preserve">) kopš </w:t>
            </w:r>
            <w:r w:rsidR="001A50E1" w:rsidRPr="00EB3D99">
              <w:rPr>
                <w:lang w:val="lv-LV"/>
              </w:rPr>
              <w:t xml:space="preserve">BP </w:t>
            </w:r>
            <w:r w:rsidRPr="00EB3D99">
              <w:rPr>
                <w:lang w:val="lv-LV"/>
              </w:rPr>
              <w:t xml:space="preserve">iesniegšanas ir jāveic izmaiņas divos budžeta punktos – ēku projekts (NEO </w:t>
            </w:r>
            <w:proofErr w:type="spellStart"/>
            <w:r w:rsidRPr="00EB3D99">
              <w:rPr>
                <w:i/>
                <w:iCs/>
                <w:lang w:val="lv-LV"/>
              </w:rPr>
              <w:t>building</w:t>
            </w:r>
            <w:proofErr w:type="spellEnd"/>
            <w:r w:rsidRPr="00EB3D99">
              <w:rPr>
                <w:lang w:val="lv-LV"/>
              </w:rPr>
              <w:t>) un ES biroja Kosovā personāla pielāgojums</w:t>
            </w:r>
            <w:r w:rsidR="001A50E1" w:rsidRPr="00EB3D99">
              <w:rPr>
                <w:lang w:val="lv-LV"/>
              </w:rPr>
              <w:t>.</w:t>
            </w:r>
          </w:p>
          <w:p w14:paraId="04A1138A" w14:textId="77777777" w:rsidR="009734BB" w:rsidRPr="00EB3D99" w:rsidRDefault="009734BB" w:rsidP="007E49BD">
            <w:pPr>
              <w:spacing w:before="120" w:after="120"/>
              <w:jc w:val="both"/>
              <w:rPr>
                <w:b/>
                <w:u w:val="single"/>
                <w:lang w:val="lv-LV"/>
              </w:rPr>
            </w:pPr>
            <w:r w:rsidRPr="00EB3D99">
              <w:rPr>
                <w:b/>
                <w:u w:val="single"/>
                <w:lang w:val="lv-LV"/>
              </w:rPr>
              <w:t>Padomes pozīcija par BP 2020.gadam</w:t>
            </w:r>
          </w:p>
          <w:p w14:paraId="053C655C" w14:textId="576D1CED" w:rsidR="006F1941" w:rsidRPr="000652F6" w:rsidRDefault="005808DF" w:rsidP="007E49BD">
            <w:pPr>
              <w:spacing w:after="120"/>
              <w:jc w:val="both"/>
              <w:rPr>
                <w:lang w:val="lv-LV"/>
              </w:rPr>
            </w:pPr>
            <w:r w:rsidRPr="00EE1E8A">
              <w:rPr>
                <w:b/>
                <w:lang w:val="lv-LV"/>
              </w:rPr>
              <w:t>Padome samazin</w:t>
            </w:r>
            <w:r w:rsidR="000B5007">
              <w:rPr>
                <w:b/>
                <w:lang w:val="lv-LV"/>
              </w:rPr>
              <w:t>a</w:t>
            </w:r>
            <w:r w:rsidR="006F1941" w:rsidRPr="00EE1E8A">
              <w:rPr>
                <w:lang w:val="lv-LV"/>
              </w:rPr>
              <w:t xml:space="preserve"> 5.izdevumu kategoriju par 55 milj</w:t>
            </w:r>
            <w:r w:rsidR="000B5007">
              <w:rPr>
                <w:lang w:val="lv-LV"/>
              </w:rPr>
              <w:t xml:space="preserve">. </w:t>
            </w:r>
            <w:r w:rsidR="000B5007" w:rsidRPr="00EE1E8A">
              <w:rPr>
                <w:lang w:val="lv-LV"/>
              </w:rPr>
              <w:t>EUR</w:t>
            </w:r>
            <w:r w:rsidR="000B5007" w:rsidRPr="00EE1E8A" w:rsidDel="000B5007">
              <w:rPr>
                <w:lang w:val="lv-LV"/>
              </w:rPr>
              <w:t xml:space="preserve"> </w:t>
            </w:r>
            <w:r w:rsidR="006F1941" w:rsidRPr="00EE1E8A">
              <w:rPr>
                <w:lang w:val="lv-LV"/>
              </w:rPr>
              <w:t>, no kuriem 51% (28 mil</w:t>
            </w:r>
            <w:r w:rsidR="000B5007">
              <w:rPr>
                <w:lang w:val="lv-LV"/>
              </w:rPr>
              <w:t>j</w:t>
            </w:r>
            <w:r w:rsidR="006F1941" w:rsidRPr="00EE1E8A">
              <w:rPr>
                <w:lang w:val="lv-LV"/>
              </w:rPr>
              <w:t xml:space="preserve">. EUR) </w:t>
            </w:r>
            <w:r w:rsidR="006F1941" w:rsidRPr="00562B3F">
              <w:rPr>
                <w:lang w:val="lv-LV"/>
              </w:rPr>
              <w:t>skar EK  budžetu, 36% (20 milj</w:t>
            </w:r>
            <w:r w:rsidR="006F1941" w:rsidRPr="00255C4F">
              <w:rPr>
                <w:lang w:val="lv-LV"/>
              </w:rPr>
              <w:t>. EUR)</w:t>
            </w:r>
            <w:r w:rsidR="006F1941" w:rsidRPr="00154F55">
              <w:rPr>
                <w:lang w:val="lv-LV"/>
              </w:rPr>
              <w:t xml:space="preserve"> attiecas uz  </w:t>
            </w:r>
            <w:r w:rsidR="006F1941" w:rsidRPr="002946EA">
              <w:rPr>
                <w:lang w:val="lv-LV"/>
              </w:rPr>
              <w:t>EĀDD</w:t>
            </w:r>
            <w:r w:rsidR="00F55374">
              <w:rPr>
                <w:lang w:val="lv-LV"/>
              </w:rPr>
              <w:t>/ EEAS</w:t>
            </w:r>
            <w:r w:rsidR="006F1941" w:rsidRPr="002946EA">
              <w:rPr>
                <w:lang w:val="lv-LV"/>
              </w:rPr>
              <w:t>, neskarot Stratēģisko komunikāciju</w:t>
            </w:r>
            <w:r w:rsidR="006F1941" w:rsidRPr="00512731">
              <w:rPr>
                <w:lang w:val="lv-LV"/>
              </w:rPr>
              <w:t>.</w:t>
            </w:r>
            <w:r w:rsidR="00C10061">
              <w:rPr>
                <w:lang w:val="lv-LV"/>
              </w:rPr>
              <w:t xml:space="preserve"> Jāatzīmē, ka Padome neveic samazinājumus EK BP ierosinātajam EP paredzētajam finansējumam</w:t>
            </w:r>
            <w:r w:rsidR="006F1941" w:rsidRPr="000652F6">
              <w:rPr>
                <w:lang w:val="lv-LV"/>
              </w:rPr>
              <w:t>.</w:t>
            </w:r>
          </w:p>
          <w:p w14:paraId="3E43D221" w14:textId="77777777" w:rsidR="001140F3" w:rsidRPr="00EB3D99" w:rsidRDefault="001140F3" w:rsidP="001140F3">
            <w:pPr>
              <w:spacing w:before="120" w:after="120"/>
              <w:jc w:val="both"/>
              <w:rPr>
                <w:b/>
                <w:u w:val="single"/>
                <w:lang w:val="lv-LV"/>
              </w:rPr>
            </w:pPr>
            <w:r w:rsidRPr="00EB3D99">
              <w:rPr>
                <w:b/>
                <w:u w:val="single"/>
                <w:lang w:val="lv-LV"/>
              </w:rPr>
              <w:t>EP pozīcija par BP 2020.gadam</w:t>
            </w:r>
          </w:p>
          <w:p w14:paraId="25A012DC" w14:textId="56B82982" w:rsidR="001A631A" w:rsidRPr="00EB3D99" w:rsidRDefault="00657C21" w:rsidP="007E49BD">
            <w:pPr>
              <w:spacing w:after="120"/>
              <w:jc w:val="both"/>
              <w:rPr>
                <w:lang w:val="lv-LV"/>
              </w:rPr>
            </w:pPr>
            <w:r w:rsidRPr="00EE1E8A">
              <w:rPr>
                <w:lang w:val="lv-LV"/>
              </w:rPr>
              <w:t>EP nostāja iepretim Padomes pozīcijai paredz apropriāciju palielinājumu līdz EK priekšlikuma</w:t>
            </w:r>
            <w:r w:rsidR="001C28A7">
              <w:rPr>
                <w:lang w:val="lv-LV"/>
              </w:rPr>
              <w:t>m</w:t>
            </w:r>
            <w:r w:rsidRPr="00EE1E8A">
              <w:rPr>
                <w:lang w:val="lv-LV"/>
              </w:rPr>
              <w:t xml:space="preserve"> vai mazliet virs tā.</w:t>
            </w:r>
            <w:r w:rsidR="005C01E9" w:rsidRPr="00EB3D99">
              <w:rPr>
                <w:rFonts w:ascii="Roboto" w:hAnsi="Roboto"/>
                <w:color w:val="777777"/>
                <w:lang w:val="lv-LV"/>
              </w:rPr>
              <w:t xml:space="preserve"> </w:t>
            </w:r>
            <w:r w:rsidR="005C01E9" w:rsidRPr="00EB3D99">
              <w:rPr>
                <w:lang w:val="lv-LV"/>
              </w:rPr>
              <w:t xml:space="preserve">EP ir balsojis par finansējuma palielinājumiem Eiropas Kopienu </w:t>
            </w:r>
            <w:r w:rsidR="001C28A7">
              <w:rPr>
                <w:lang w:val="lv-LV"/>
              </w:rPr>
              <w:t>t</w:t>
            </w:r>
            <w:r w:rsidR="005C01E9" w:rsidRPr="00EB3D99">
              <w:rPr>
                <w:lang w:val="lv-LV"/>
              </w:rPr>
              <w:t>iesai, Reģionu komitejai un Eiropas Ekonomikas un sociālo lietu komitejai. EP atjauno</w:t>
            </w:r>
            <w:r w:rsidR="008E2ECD" w:rsidRPr="00EB3D99">
              <w:rPr>
                <w:lang w:val="lv-LV"/>
              </w:rPr>
              <w:t xml:space="preserve"> savas</w:t>
            </w:r>
            <w:r w:rsidR="005C01E9" w:rsidRPr="00EB3D99">
              <w:rPr>
                <w:lang w:val="lv-LV"/>
              </w:rPr>
              <w:t xml:space="preserve"> instit</w:t>
            </w:r>
            <w:r w:rsidR="008E2ECD" w:rsidRPr="00EB3D99">
              <w:rPr>
                <w:lang w:val="lv-LV"/>
              </w:rPr>
              <w:t>ūcijas BP aplēses</w:t>
            </w:r>
            <w:r w:rsidR="005C01E9" w:rsidRPr="00EB3D99">
              <w:rPr>
                <w:lang w:val="lv-LV"/>
              </w:rPr>
              <w:t xml:space="preserve"> </w:t>
            </w:r>
            <w:r w:rsidR="00B12963">
              <w:rPr>
                <w:lang w:val="lv-LV"/>
              </w:rPr>
              <w:t>(</w:t>
            </w:r>
            <w:r w:rsidR="005C01E9" w:rsidRPr="00EB3D99">
              <w:rPr>
                <w:lang w:val="lv-LV"/>
              </w:rPr>
              <w:t xml:space="preserve">daļu no šī palielinājuma </w:t>
            </w:r>
            <w:r w:rsidR="00B12963">
              <w:rPr>
                <w:lang w:val="lv-LV"/>
              </w:rPr>
              <w:t>EK</w:t>
            </w:r>
            <w:r w:rsidR="00B12963" w:rsidRPr="00EB3D99">
              <w:rPr>
                <w:lang w:val="lv-LV"/>
              </w:rPr>
              <w:t xml:space="preserve"> </w:t>
            </w:r>
            <w:r w:rsidR="005C01E9" w:rsidRPr="00EB3D99">
              <w:rPr>
                <w:lang w:val="lv-LV"/>
              </w:rPr>
              <w:t>tagad ierosina EK grozījumu vēstulē</w:t>
            </w:r>
            <w:r w:rsidR="00BA61EB">
              <w:rPr>
                <w:lang w:val="lv-LV"/>
              </w:rPr>
              <w:t>/ AL</w:t>
            </w:r>
            <w:r w:rsidR="00382D2B">
              <w:rPr>
                <w:lang w:val="lv-LV"/>
              </w:rPr>
              <w:t>,</w:t>
            </w:r>
            <w:r w:rsidR="005C01E9" w:rsidRPr="00EB3D99">
              <w:rPr>
                <w:lang w:val="lv-LV"/>
              </w:rPr>
              <w:t xml:space="preserve">  kopumā palielinot I iedaļu </w:t>
            </w:r>
            <w:r w:rsidR="00382D2B" w:rsidRPr="00B766EC">
              <w:rPr>
                <w:lang w:val="lv-LV"/>
              </w:rPr>
              <w:t>(</w:t>
            </w:r>
            <w:proofErr w:type="spellStart"/>
            <w:r w:rsidR="00382D2B" w:rsidRPr="00B766EC">
              <w:rPr>
                <w:i/>
                <w:iCs/>
                <w:lang w:val="lv-LV"/>
              </w:rPr>
              <w:t>Section</w:t>
            </w:r>
            <w:proofErr w:type="spellEnd"/>
            <w:r w:rsidR="00382D2B" w:rsidRPr="00B766EC">
              <w:rPr>
                <w:i/>
                <w:iCs/>
                <w:lang w:val="lv-LV"/>
              </w:rPr>
              <w:t xml:space="preserve"> I</w:t>
            </w:r>
            <w:r w:rsidR="00382D2B" w:rsidRPr="00B766EC">
              <w:rPr>
                <w:lang w:val="lv-LV"/>
              </w:rPr>
              <w:t>)</w:t>
            </w:r>
            <w:r w:rsidR="00382D2B">
              <w:rPr>
                <w:lang w:val="lv-LV"/>
              </w:rPr>
              <w:t xml:space="preserve"> </w:t>
            </w:r>
            <w:r w:rsidR="005C01E9" w:rsidRPr="00EB3D99">
              <w:rPr>
                <w:lang w:val="lv-LV"/>
              </w:rPr>
              <w:t>par 31 milj. EUR</w:t>
            </w:r>
            <w:r w:rsidR="005D78A5" w:rsidRPr="00EB3D99">
              <w:rPr>
                <w:lang w:val="lv-LV"/>
              </w:rPr>
              <w:t>.</w:t>
            </w:r>
          </w:p>
          <w:p w14:paraId="49393C72" w14:textId="028C0502" w:rsidR="005D78A5" w:rsidRPr="00562B3F" w:rsidRDefault="00EC0D35" w:rsidP="00EB3D99">
            <w:pPr>
              <w:autoSpaceDE w:val="0"/>
              <w:autoSpaceDN w:val="0"/>
              <w:adjustRightInd w:val="0"/>
              <w:spacing w:before="120" w:after="120"/>
              <w:rPr>
                <w:rFonts w:eastAsia="Calibri"/>
                <w:b/>
                <w:u w:val="single"/>
                <w:lang w:val="lv-LV" w:eastAsia="lv-LV"/>
              </w:rPr>
            </w:pPr>
            <w:r w:rsidRPr="00EE1E8A">
              <w:rPr>
                <w:rFonts w:eastAsiaTheme="minorHAnsi"/>
                <w:b/>
                <w:bCs/>
                <w:color w:val="000000"/>
                <w:u w:val="single"/>
                <w:lang w:val="lv-LV"/>
              </w:rPr>
              <w:t>Eiropas Savienības Solidaritātes fonds</w:t>
            </w:r>
            <w:r w:rsidR="001A631A" w:rsidRPr="00EE1E8A">
              <w:rPr>
                <w:rFonts w:eastAsiaTheme="minorHAnsi"/>
                <w:b/>
                <w:bCs/>
                <w:color w:val="000000"/>
                <w:u w:val="single"/>
                <w:lang w:val="lv-LV"/>
              </w:rPr>
              <w:t xml:space="preserve">, </w:t>
            </w:r>
            <w:r w:rsidR="001A631A" w:rsidRPr="00EE1E8A">
              <w:rPr>
                <w:rFonts w:eastAsia="Calibri"/>
                <w:b/>
                <w:u w:val="single"/>
                <w:lang w:val="lv-LV" w:eastAsia="lv-LV"/>
              </w:rPr>
              <w:t>EK priekšlikums BP 2020.gadam un AL 1/2020</w:t>
            </w:r>
          </w:p>
          <w:p w14:paraId="772A60A4" w14:textId="11B51751" w:rsidR="00EC0D35" w:rsidRPr="00154F55" w:rsidRDefault="00EC0D35" w:rsidP="002C460C">
            <w:pPr>
              <w:autoSpaceDE w:val="0"/>
              <w:autoSpaceDN w:val="0"/>
              <w:adjustRightInd w:val="0"/>
              <w:jc w:val="both"/>
              <w:rPr>
                <w:rFonts w:eastAsiaTheme="minorHAnsi"/>
                <w:color w:val="000000"/>
                <w:lang w:val="lv-LV"/>
              </w:rPr>
            </w:pPr>
            <w:r w:rsidRPr="00255C4F">
              <w:rPr>
                <w:rFonts w:eastAsiaTheme="minorHAnsi"/>
                <w:color w:val="000000"/>
                <w:lang w:val="lv-LV"/>
              </w:rPr>
              <w:t xml:space="preserve">Saskaņā ar Padomes Regulas (EK) Nr. 2012/2002 4.a panta 4.punktu 2020.gada BP 13 06 01. budžeta </w:t>
            </w:r>
            <w:r w:rsidR="00C10061">
              <w:rPr>
                <w:rFonts w:eastAsiaTheme="minorHAnsi"/>
                <w:color w:val="000000"/>
                <w:lang w:val="lv-LV"/>
              </w:rPr>
              <w:t>līnijā</w:t>
            </w:r>
            <w:r w:rsidR="002C460C">
              <w:rPr>
                <w:rFonts w:eastAsiaTheme="minorHAnsi"/>
                <w:color w:val="000000"/>
                <w:lang w:val="lv-LV"/>
              </w:rPr>
              <w:t xml:space="preserve"> </w:t>
            </w:r>
            <w:r w:rsidRPr="00255C4F">
              <w:rPr>
                <w:rFonts w:eastAsiaTheme="minorHAnsi"/>
                <w:color w:val="000000"/>
                <w:lang w:val="lv-LV"/>
              </w:rPr>
              <w:t>ir ietverta summa 50 milj</w:t>
            </w:r>
            <w:r w:rsidR="001A631A" w:rsidRPr="00255C4F">
              <w:rPr>
                <w:rFonts w:eastAsiaTheme="minorHAnsi"/>
                <w:color w:val="000000"/>
                <w:lang w:val="lv-LV"/>
              </w:rPr>
              <w:t>.</w:t>
            </w:r>
            <w:r w:rsidRPr="00154F55">
              <w:rPr>
                <w:rFonts w:eastAsiaTheme="minorHAnsi"/>
                <w:color w:val="000000"/>
                <w:lang w:val="lv-LV"/>
              </w:rPr>
              <w:t xml:space="preserve"> EUR apmērā, lai nodrošinātu budžeta līdzekļu savlaicīgu pieejamību gadījumos, kad, iesniedzot pieteikumu fonda finansiālā ieguldījuma saņemšanai, dalībvalsts pieprasa avansa maksājumu. </w:t>
            </w:r>
          </w:p>
          <w:p w14:paraId="32774FE1" w14:textId="481D2420" w:rsidR="00EC0D35" w:rsidRPr="00FF4FC0" w:rsidRDefault="00EC0D35" w:rsidP="00D07593">
            <w:pPr>
              <w:spacing w:after="120"/>
              <w:jc w:val="both"/>
              <w:rPr>
                <w:lang w:val="lv-LV"/>
              </w:rPr>
            </w:pPr>
            <w:r w:rsidRPr="00512731">
              <w:rPr>
                <w:rFonts w:eastAsiaTheme="minorHAnsi"/>
                <w:color w:val="000000"/>
                <w:lang w:val="lv-LV"/>
              </w:rPr>
              <w:t xml:space="preserve">Komisijas priekšlikumā Eiropas Parlamenta un Padomes regulai, ar ko Padomes Regulu (EK) Nr. 2012/2002 groza, lai dalībvalstīm sniegtu finansiālu palīdzību, kas atvieglotu nopietnu finansiālo slogu, kuru tām rada </w:t>
            </w:r>
            <w:r w:rsidR="009E23CA">
              <w:rPr>
                <w:rFonts w:eastAsiaTheme="minorHAnsi"/>
                <w:color w:val="000000"/>
                <w:lang w:val="lv-LV"/>
              </w:rPr>
              <w:t>AK</w:t>
            </w:r>
            <w:r w:rsidRPr="00512731">
              <w:rPr>
                <w:rFonts w:eastAsiaTheme="minorHAnsi"/>
                <w:color w:val="000000"/>
                <w:lang w:val="lv-LV"/>
              </w:rPr>
              <w:t xml:space="preserve"> </w:t>
            </w:r>
            <w:proofErr w:type="spellStart"/>
            <w:r w:rsidRPr="00512731">
              <w:rPr>
                <w:rFonts w:eastAsiaTheme="minorHAnsi"/>
                <w:color w:val="000000"/>
                <w:lang w:val="lv-LV"/>
              </w:rPr>
              <w:t>bezlīguma</w:t>
            </w:r>
            <w:proofErr w:type="spellEnd"/>
            <w:r w:rsidRPr="00512731">
              <w:rPr>
                <w:rFonts w:eastAsiaTheme="minorHAnsi"/>
                <w:color w:val="000000"/>
                <w:lang w:val="lv-LV"/>
              </w:rPr>
              <w:t xml:space="preserve"> izstāšanās no Savienības, ieviests jauns 4.b pants, kurā avansa maksājumu maksimā</w:t>
            </w:r>
            <w:r w:rsidRPr="000652F6">
              <w:rPr>
                <w:rFonts w:eastAsiaTheme="minorHAnsi"/>
                <w:color w:val="000000"/>
                <w:lang w:val="lv-LV"/>
              </w:rPr>
              <w:t>lā summa ir noteikta 100 milj</w:t>
            </w:r>
            <w:r w:rsidR="009E23CA">
              <w:rPr>
                <w:rFonts w:eastAsiaTheme="minorHAnsi"/>
                <w:color w:val="000000"/>
                <w:lang w:val="lv-LV"/>
              </w:rPr>
              <w:t>.</w:t>
            </w:r>
            <w:r w:rsidRPr="000652F6">
              <w:rPr>
                <w:rFonts w:eastAsiaTheme="minorHAnsi"/>
                <w:color w:val="000000"/>
                <w:lang w:val="lv-LV"/>
              </w:rPr>
              <w:t xml:space="preserve"> EUR apmērā. Tāpēc </w:t>
            </w:r>
            <w:r w:rsidR="009E23CA">
              <w:rPr>
                <w:rFonts w:eastAsiaTheme="minorHAnsi"/>
                <w:color w:val="000000"/>
                <w:lang w:val="lv-LV"/>
              </w:rPr>
              <w:t>EK</w:t>
            </w:r>
            <w:r w:rsidR="009E23CA" w:rsidRPr="000652F6">
              <w:rPr>
                <w:rFonts w:eastAsiaTheme="minorHAnsi"/>
                <w:color w:val="000000"/>
                <w:lang w:val="lv-LV"/>
              </w:rPr>
              <w:t xml:space="preserve"> </w:t>
            </w:r>
            <w:r w:rsidRPr="000652F6">
              <w:rPr>
                <w:rFonts w:eastAsiaTheme="minorHAnsi"/>
                <w:color w:val="000000"/>
                <w:lang w:val="lv-LV"/>
              </w:rPr>
              <w:t>ierosina avansa maksājumu līmeni Eiropas Savienības Solidaritātes fonda ietvaros palielināt par 50 milj</w:t>
            </w:r>
            <w:r w:rsidR="009E23CA">
              <w:rPr>
                <w:rFonts w:eastAsiaTheme="minorHAnsi"/>
                <w:color w:val="000000"/>
                <w:lang w:val="lv-LV"/>
              </w:rPr>
              <w:t>.</w:t>
            </w:r>
            <w:r w:rsidRPr="000652F6">
              <w:rPr>
                <w:rFonts w:eastAsiaTheme="minorHAnsi"/>
                <w:color w:val="000000"/>
                <w:lang w:val="lv-LV"/>
              </w:rPr>
              <w:t xml:space="preserve"> EUR un šo papildu summu iekļaut rezervē līdz brīdim, kad</w:t>
            </w:r>
            <w:r w:rsidR="002C460C">
              <w:rPr>
                <w:rFonts w:eastAsiaTheme="minorHAnsi"/>
                <w:color w:val="000000"/>
                <w:lang w:val="lv-LV"/>
              </w:rPr>
              <w:t xml:space="preserve"> </w:t>
            </w:r>
            <w:r w:rsidR="009E23CA">
              <w:rPr>
                <w:rFonts w:eastAsiaTheme="minorHAnsi"/>
                <w:color w:val="000000"/>
                <w:lang w:val="lv-LV"/>
              </w:rPr>
              <w:t xml:space="preserve">EP </w:t>
            </w:r>
            <w:r w:rsidRPr="000652F6">
              <w:rPr>
                <w:rFonts w:eastAsiaTheme="minorHAnsi"/>
                <w:color w:val="000000"/>
                <w:lang w:val="lv-LV"/>
              </w:rPr>
              <w:t xml:space="preserve"> un Padome pieņems </w:t>
            </w:r>
            <w:r w:rsidR="00D07593">
              <w:rPr>
                <w:rFonts w:eastAsiaTheme="minorHAnsi"/>
                <w:color w:val="000000"/>
                <w:lang w:val="lv-LV"/>
              </w:rPr>
              <w:t>lēmumu par</w:t>
            </w:r>
            <w:r w:rsidRPr="000652F6">
              <w:rPr>
                <w:rFonts w:eastAsiaTheme="minorHAnsi"/>
                <w:color w:val="000000"/>
                <w:lang w:val="lv-LV"/>
              </w:rPr>
              <w:t xml:space="preserve"> </w:t>
            </w:r>
            <w:r w:rsidR="008E0937" w:rsidRPr="003111DB">
              <w:rPr>
                <w:rFonts w:eastAsiaTheme="minorHAnsi"/>
                <w:color w:val="000000"/>
                <w:lang w:val="lv-LV"/>
              </w:rPr>
              <w:t xml:space="preserve">regulas </w:t>
            </w:r>
            <w:r w:rsidRPr="003111DB">
              <w:rPr>
                <w:rFonts w:eastAsiaTheme="minorHAnsi"/>
                <w:color w:val="000000"/>
                <w:lang w:val="lv-LV"/>
              </w:rPr>
              <w:t>grozījum</w:t>
            </w:r>
            <w:r w:rsidR="00D07593">
              <w:rPr>
                <w:rFonts w:eastAsiaTheme="minorHAnsi"/>
                <w:color w:val="000000"/>
                <w:lang w:val="lv-LV"/>
              </w:rPr>
              <w:t>iem</w:t>
            </w:r>
            <w:r w:rsidRPr="003111DB">
              <w:rPr>
                <w:rFonts w:eastAsiaTheme="minorHAnsi"/>
                <w:color w:val="000000"/>
                <w:lang w:val="lv-LV"/>
              </w:rPr>
              <w:t>.</w:t>
            </w:r>
          </w:p>
        </w:tc>
      </w:tr>
      <w:tr w:rsidR="009734BB" w:rsidRPr="00EE1E8A" w14:paraId="6BB9EA50"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9924" w:type="dxa"/>
            <w:gridSpan w:val="5"/>
          </w:tcPr>
          <w:p w14:paraId="0729DAC2" w14:textId="77777777" w:rsidR="009734BB" w:rsidRPr="00EE1E8A" w:rsidRDefault="009734BB" w:rsidP="007E49BD">
            <w:pPr>
              <w:pStyle w:val="Header"/>
              <w:tabs>
                <w:tab w:val="clear" w:pos="4153"/>
                <w:tab w:val="clear" w:pos="8306"/>
              </w:tabs>
              <w:spacing w:before="120" w:after="120"/>
              <w:rPr>
                <w:lang w:val="lv-LV"/>
              </w:rPr>
            </w:pPr>
            <w:r w:rsidRPr="00EE1E8A">
              <w:rPr>
                <w:lang w:val="lv-LV"/>
              </w:rPr>
              <w:lastRenderedPageBreak/>
              <w:t xml:space="preserve">Balsošanas kārtība. ES tiesību akta izdošanas/jautājuma izskatīšanas juridiskais pamatojums </w:t>
            </w:r>
          </w:p>
        </w:tc>
      </w:tr>
      <w:tr w:rsidR="009734BB" w:rsidRPr="00EE1E8A" w14:paraId="13E4175B"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9924" w:type="dxa"/>
            <w:gridSpan w:val="5"/>
          </w:tcPr>
          <w:p w14:paraId="565EF4D9" w14:textId="77777777" w:rsidR="009734BB" w:rsidRPr="00EE1E8A" w:rsidRDefault="009734BB" w:rsidP="007E49BD">
            <w:pPr>
              <w:spacing w:before="120" w:after="120"/>
              <w:jc w:val="both"/>
              <w:rPr>
                <w:lang w:val="lv-LV"/>
              </w:rPr>
            </w:pPr>
            <w:r w:rsidRPr="00EE1E8A">
              <w:rPr>
                <w:lang w:val="lv-LV"/>
              </w:rPr>
              <w:t>Līgums par Eiropas Savienības darbību 314.pants/ kvalificēts balsu vairākums.</w:t>
            </w:r>
          </w:p>
        </w:tc>
      </w:tr>
      <w:tr w:rsidR="009734BB" w:rsidRPr="00EE1E8A" w14:paraId="0811CBBF"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3060AE77" w14:textId="77777777" w:rsidR="009734BB" w:rsidRPr="00EE1E8A" w:rsidRDefault="009734BB" w:rsidP="007E49BD">
            <w:pPr>
              <w:spacing w:before="120" w:after="120"/>
              <w:jc w:val="center"/>
              <w:rPr>
                <w:b/>
                <w:highlight w:val="lightGray"/>
                <w:lang w:val="lv-LV"/>
              </w:rPr>
            </w:pPr>
            <w:r w:rsidRPr="00EE1E8A">
              <w:rPr>
                <w:b/>
                <w:lang w:val="lv-LV"/>
              </w:rPr>
              <w:lastRenderedPageBreak/>
              <w:t xml:space="preserve">2. Situācija Latvijā </w:t>
            </w:r>
          </w:p>
        </w:tc>
      </w:tr>
      <w:tr w:rsidR="00336F91" w:rsidRPr="00EE1E8A" w14:paraId="0B75E2F7"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924" w:type="dxa"/>
            <w:gridSpan w:val="5"/>
          </w:tcPr>
          <w:p w14:paraId="67ECC56B" w14:textId="076942CE" w:rsidR="00336F91" w:rsidRPr="005A5F93" w:rsidRDefault="00336F91" w:rsidP="00336F91">
            <w:pPr>
              <w:spacing w:before="120" w:after="120"/>
              <w:jc w:val="both"/>
              <w:rPr>
                <w:lang w:val="lv-LV"/>
              </w:rPr>
            </w:pPr>
            <w:r w:rsidRPr="00EE1E8A">
              <w:rPr>
                <w:lang w:val="lv-LV"/>
              </w:rPr>
              <w:t>2020.gadā Latvija turpinās dalību da</w:t>
            </w:r>
            <w:r w:rsidR="00073E28">
              <w:rPr>
                <w:lang w:val="lv-LV"/>
              </w:rPr>
              <w:t>udz</w:t>
            </w:r>
            <w:r w:rsidRPr="00EE1E8A">
              <w:rPr>
                <w:lang w:val="lv-LV"/>
              </w:rPr>
              <w:t>ās ES programmās.</w:t>
            </w:r>
          </w:p>
          <w:p w14:paraId="015E8C37" w14:textId="77777777" w:rsidR="00336F91" w:rsidRPr="00154F55" w:rsidRDefault="00336F91" w:rsidP="00336F91">
            <w:pPr>
              <w:spacing w:before="120" w:after="120"/>
              <w:jc w:val="both"/>
              <w:rPr>
                <w:lang w:val="lv-LV"/>
              </w:rPr>
            </w:pPr>
            <w:r w:rsidRPr="00562B3F">
              <w:rPr>
                <w:lang w:val="lv-LV"/>
              </w:rPr>
              <w:t xml:space="preserve">Lielāko daļu no ES finansējuma Latvija turpinās saņemt Kohēzijas politikas (1b </w:t>
            </w:r>
            <w:proofErr w:type="spellStart"/>
            <w:r w:rsidRPr="00562B3F">
              <w:rPr>
                <w:lang w:val="lv-LV"/>
              </w:rPr>
              <w:t>apakškategorija</w:t>
            </w:r>
            <w:proofErr w:type="spellEnd"/>
            <w:r w:rsidRPr="00562B3F">
              <w:rPr>
                <w:lang w:val="lv-LV"/>
              </w:rPr>
              <w:t xml:space="preserve"> „</w:t>
            </w:r>
            <w:r w:rsidRPr="00255C4F">
              <w:rPr>
                <w:szCs w:val="28"/>
                <w:lang w:val="lv-LV"/>
              </w:rPr>
              <w:t>Kohēzija</w:t>
            </w:r>
            <w:r w:rsidRPr="00255C4F">
              <w:rPr>
                <w:lang w:val="lv-LV"/>
              </w:rPr>
              <w:t xml:space="preserve"> izaugsmei un nodarbinātībai”) un Kopējās lauksaimniecības politikas (turpmāk – KLP) (2.apakškategorija „</w:t>
            </w:r>
            <w:r w:rsidRPr="00154F55">
              <w:rPr>
                <w:lang w:val="lv-LV"/>
              </w:rPr>
              <w:t>Ilgtspējīga izaugsme: dabas resursi”) ietvaros.</w:t>
            </w:r>
          </w:p>
          <w:p w14:paraId="2335D480" w14:textId="77777777" w:rsidR="00336F91" w:rsidRPr="002946EA" w:rsidRDefault="00336F91" w:rsidP="00336F91">
            <w:pPr>
              <w:spacing w:before="120" w:after="120"/>
              <w:jc w:val="both"/>
              <w:rPr>
                <w:u w:val="single"/>
                <w:lang w:val="lv-LV"/>
              </w:rPr>
            </w:pPr>
            <w:r w:rsidRPr="004062DB">
              <w:rPr>
                <w:b/>
                <w:lang w:val="lv-LV"/>
              </w:rPr>
              <w:t xml:space="preserve">1.a </w:t>
            </w:r>
            <w:proofErr w:type="spellStart"/>
            <w:r w:rsidRPr="004062DB">
              <w:rPr>
                <w:b/>
                <w:lang w:val="lv-LV"/>
              </w:rPr>
              <w:t>apakškategorija</w:t>
            </w:r>
            <w:proofErr w:type="spellEnd"/>
            <w:r w:rsidRPr="004062DB">
              <w:rPr>
                <w:b/>
                <w:lang w:val="lv-LV"/>
              </w:rPr>
              <w:t xml:space="preserve"> „Konkurētspēja izaugsmei un nodarbinātībai”</w:t>
            </w:r>
          </w:p>
          <w:p w14:paraId="63260705" w14:textId="77777777" w:rsidR="00336F91" w:rsidRPr="000652F6" w:rsidRDefault="00336F91" w:rsidP="00336F91">
            <w:pPr>
              <w:spacing w:before="120" w:after="120"/>
              <w:jc w:val="both"/>
              <w:rPr>
                <w:lang w:val="lv-LV"/>
              </w:rPr>
            </w:pPr>
            <w:r w:rsidRPr="002946EA">
              <w:rPr>
                <w:u w:val="single"/>
                <w:lang w:val="lv-LV"/>
              </w:rPr>
              <w:t xml:space="preserve">Eiropas infrastruktūras savienošanas instrumenta </w:t>
            </w:r>
            <w:r w:rsidRPr="00512731">
              <w:rPr>
                <w:bCs/>
                <w:u w:val="single"/>
                <w:lang w:val="lv-LV"/>
              </w:rPr>
              <w:t>(CEF)</w:t>
            </w:r>
            <w:r w:rsidRPr="00512731">
              <w:rPr>
                <w:bCs/>
                <w:lang w:val="lv-LV"/>
              </w:rPr>
              <w:t xml:space="preserve"> ietvaros </w:t>
            </w:r>
            <w:r w:rsidRPr="000652F6">
              <w:rPr>
                <w:bCs/>
                <w:i/>
                <w:lang w:val="lv-LV"/>
              </w:rPr>
              <w:t>Transporta sektoram</w:t>
            </w:r>
            <w:r w:rsidRPr="000652F6">
              <w:rPr>
                <w:bCs/>
                <w:lang w:val="lv-LV"/>
              </w:rPr>
              <w:t xml:space="preserve"> paredzētais budžets  </w:t>
            </w:r>
            <w:r w:rsidRPr="000652F6">
              <w:rPr>
                <w:lang w:val="lv-LV"/>
              </w:rPr>
              <w:t xml:space="preserve">2014.-2020.gada plānošanas periodam ir  24,05 mljrd. EUR apmērā. </w:t>
            </w:r>
          </w:p>
          <w:p w14:paraId="44E82BF6" w14:textId="77777777" w:rsidR="00336F91" w:rsidRPr="00FF4FC0" w:rsidRDefault="00336F91" w:rsidP="00336F91">
            <w:pPr>
              <w:spacing w:before="120" w:after="120"/>
              <w:jc w:val="both"/>
              <w:rPr>
                <w:lang w:val="lv-LV"/>
              </w:rPr>
            </w:pPr>
            <w:r w:rsidRPr="003111DB">
              <w:rPr>
                <w:lang w:val="lv-LV"/>
              </w:rPr>
              <w:t xml:space="preserve">2014.gadā izsludinātajā CEF Transporta projektu konkursā finansējums tika piešķirts 4 Latvijas sadarbības projektiem – Rail </w:t>
            </w:r>
            <w:proofErr w:type="spellStart"/>
            <w:r w:rsidRPr="003111DB">
              <w:rPr>
                <w:lang w:val="lv-LV"/>
              </w:rPr>
              <w:t>Baltica</w:t>
            </w:r>
            <w:proofErr w:type="spellEnd"/>
            <w:r w:rsidRPr="003111DB">
              <w:rPr>
                <w:lang w:val="lv-LV"/>
              </w:rPr>
              <w:t xml:space="preserve"> projekts, H2Node projekts (ūdeņraža </w:t>
            </w:r>
            <w:proofErr w:type="spellStart"/>
            <w:r w:rsidRPr="003111DB">
              <w:rPr>
                <w:lang w:val="lv-LV"/>
              </w:rPr>
              <w:t>uzpildes</w:t>
            </w:r>
            <w:proofErr w:type="spellEnd"/>
            <w:r w:rsidRPr="003111DB">
              <w:rPr>
                <w:lang w:val="lv-LV"/>
              </w:rPr>
              <w:t xml:space="preserve"> staciju tīklu attīstība), BOREALIS (Brīvo maršrutu gaisa telpas projekts) un FAMOS </w:t>
            </w:r>
            <w:proofErr w:type="spellStart"/>
            <w:r w:rsidRPr="003111DB">
              <w:rPr>
                <w:lang w:val="lv-LV"/>
              </w:rPr>
              <w:t>Freja</w:t>
            </w:r>
            <w:proofErr w:type="spellEnd"/>
            <w:r w:rsidRPr="003111DB">
              <w:rPr>
                <w:lang w:val="lv-LV"/>
              </w:rPr>
              <w:t xml:space="preserve"> (hidrogrāfiskās izpētes projekts par Baltijas jūras maģistrālēm).</w:t>
            </w:r>
          </w:p>
          <w:p w14:paraId="19EB5622" w14:textId="77777777" w:rsidR="00336F91" w:rsidRPr="006971D7" w:rsidRDefault="00336F91" w:rsidP="00336F91">
            <w:pPr>
              <w:spacing w:before="120" w:after="120"/>
              <w:jc w:val="both"/>
              <w:rPr>
                <w:lang w:val="lv-LV"/>
              </w:rPr>
            </w:pPr>
            <w:r w:rsidRPr="00222336">
              <w:rPr>
                <w:lang w:val="lv-LV"/>
              </w:rPr>
              <w:t xml:space="preserve">2015.gada izsludinātajā CEF Transporta projektu konkursā finansējums tika piešķirts 4 Latvijas sadarbības projektiem - Rail </w:t>
            </w:r>
            <w:proofErr w:type="spellStart"/>
            <w:r w:rsidRPr="00222336">
              <w:rPr>
                <w:lang w:val="lv-LV"/>
              </w:rPr>
              <w:t>Baltica</w:t>
            </w:r>
            <w:proofErr w:type="spellEnd"/>
            <w:r w:rsidRPr="00222336">
              <w:rPr>
                <w:lang w:val="lv-LV"/>
              </w:rPr>
              <w:t xml:space="preserve"> (2.kārta), hidrogrāfiskās izpētes projekts FAMOS </w:t>
            </w:r>
            <w:proofErr w:type="spellStart"/>
            <w:r w:rsidRPr="00222336">
              <w:rPr>
                <w:lang w:val="lv-LV"/>
              </w:rPr>
              <w:t>Odin</w:t>
            </w:r>
            <w:proofErr w:type="spellEnd"/>
            <w:r w:rsidRPr="00222336">
              <w:rPr>
                <w:lang w:val="lv-LV"/>
              </w:rPr>
              <w:t xml:space="preserve"> (2.kārta), Brīvo maršrutu gaisa telpas projekts BOREALIS (2.kārta) un gaisa satiksmes vadības informācijas sistēmas platformas izveides projekts A-CDM </w:t>
            </w:r>
            <w:proofErr w:type="spellStart"/>
            <w:r w:rsidRPr="00222336">
              <w:rPr>
                <w:lang w:val="lv-LV"/>
              </w:rPr>
              <w:t>Riga</w:t>
            </w:r>
            <w:proofErr w:type="spellEnd"/>
            <w:r w:rsidRPr="00222336">
              <w:rPr>
                <w:lang w:val="lv-LV"/>
              </w:rPr>
              <w:t>.</w:t>
            </w:r>
          </w:p>
          <w:p w14:paraId="7454210D" w14:textId="77777777" w:rsidR="00336F91" w:rsidRPr="00997106" w:rsidRDefault="00336F91" w:rsidP="00336F91">
            <w:pPr>
              <w:spacing w:before="120" w:after="120"/>
              <w:jc w:val="both"/>
              <w:rPr>
                <w:lang w:val="lv-LV"/>
              </w:rPr>
            </w:pPr>
            <w:r w:rsidRPr="00725927">
              <w:rPr>
                <w:lang w:val="lv-LV"/>
              </w:rPr>
              <w:t xml:space="preserve">2017.gada 6.jūlija EK CEF Transporta koordinācijas komitejas sēdē tika apstiprināti 2016.gadā izsludinātā CEF Transporta projektu konkursa uzsaukuma rezultāti. Uzsaukuma ietvaros tika apstiprināti 2 projektu pieteikumi, kas paredz darbības Latvijas teritorijā: Rail </w:t>
            </w:r>
            <w:proofErr w:type="spellStart"/>
            <w:r w:rsidRPr="00725927">
              <w:rPr>
                <w:lang w:val="lv-LV"/>
              </w:rPr>
              <w:t>Baltica</w:t>
            </w:r>
            <w:proofErr w:type="spellEnd"/>
            <w:r w:rsidRPr="00725927">
              <w:rPr>
                <w:lang w:val="lv-LV"/>
              </w:rPr>
              <w:t xml:space="preserve"> projekta 3.kārta un Brīvo maršrutu gaisa telpas </w:t>
            </w:r>
            <w:r w:rsidRPr="00997106">
              <w:rPr>
                <w:lang w:val="lv-LV"/>
              </w:rPr>
              <w:t xml:space="preserve">projekts (- SESAR </w:t>
            </w:r>
            <w:proofErr w:type="spellStart"/>
            <w:r w:rsidRPr="00997106">
              <w:rPr>
                <w:lang w:val="lv-LV"/>
              </w:rPr>
              <w:t>Deployment</w:t>
            </w:r>
            <w:proofErr w:type="spellEnd"/>
            <w:r w:rsidRPr="00997106">
              <w:rPr>
                <w:lang w:val="lv-LV"/>
              </w:rPr>
              <w:t xml:space="preserve"> </w:t>
            </w:r>
            <w:proofErr w:type="spellStart"/>
            <w:r w:rsidRPr="00997106">
              <w:rPr>
                <w:lang w:val="lv-LV"/>
              </w:rPr>
              <w:t>Programme</w:t>
            </w:r>
            <w:proofErr w:type="spellEnd"/>
            <w:r w:rsidRPr="00997106">
              <w:rPr>
                <w:lang w:val="lv-LV"/>
              </w:rPr>
              <w:t xml:space="preserve"> </w:t>
            </w:r>
            <w:proofErr w:type="spellStart"/>
            <w:r w:rsidRPr="00997106">
              <w:rPr>
                <w:lang w:val="lv-LV"/>
              </w:rPr>
              <w:t>Implementation</w:t>
            </w:r>
            <w:proofErr w:type="spellEnd"/>
            <w:r w:rsidRPr="00997106">
              <w:rPr>
                <w:lang w:val="lv-LV"/>
              </w:rPr>
              <w:t xml:space="preserve"> 2016 - </w:t>
            </w:r>
            <w:proofErr w:type="spellStart"/>
            <w:r w:rsidRPr="00997106">
              <w:rPr>
                <w:lang w:val="lv-LV"/>
              </w:rPr>
              <w:t>Cluster</w:t>
            </w:r>
            <w:proofErr w:type="spellEnd"/>
            <w:r w:rsidRPr="00997106">
              <w:rPr>
                <w:lang w:val="lv-LV"/>
              </w:rPr>
              <w:t xml:space="preserve"> 1: </w:t>
            </w:r>
            <w:proofErr w:type="spellStart"/>
            <w:r w:rsidRPr="00997106">
              <w:rPr>
                <w:lang w:val="lv-LV"/>
              </w:rPr>
              <w:t>General</w:t>
            </w:r>
            <w:proofErr w:type="spellEnd"/>
            <w:r w:rsidRPr="00997106">
              <w:rPr>
                <w:lang w:val="lv-LV"/>
              </w:rPr>
              <w:t>).</w:t>
            </w:r>
          </w:p>
          <w:p w14:paraId="5A84F398" w14:textId="77777777" w:rsidR="00336F91" w:rsidRPr="00D67FB0" w:rsidRDefault="00336F91" w:rsidP="00336F91">
            <w:pPr>
              <w:spacing w:before="120" w:after="120"/>
              <w:jc w:val="both"/>
              <w:rPr>
                <w:lang w:val="lv-LV"/>
              </w:rPr>
            </w:pPr>
            <w:r w:rsidRPr="00A77487">
              <w:rPr>
                <w:color w:val="000000"/>
                <w:lang w:val="lv-LV"/>
              </w:rPr>
              <w:t xml:space="preserve">2017.gada 12.decembrī </w:t>
            </w:r>
            <w:r w:rsidRPr="00A77487">
              <w:rPr>
                <w:lang w:val="lv-LV"/>
              </w:rPr>
              <w:t>EK CEF Transporta koordinācijas komitejas sēdē tika apstiprināti 2017.gada 8.februārī izsludinātā projektu iesniegumu uzsaukuma “</w:t>
            </w:r>
            <w:r w:rsidRPr="00DD06AA">
              <w:rPr>
                <w:i/>
                <w:lang w:val="lv-LV"/>
              </w:rPr>
              <w:t xml:space="preserve">2017 CEF </w:t>
            </w:r>
            <w:proofErr w:type="spellStart"/>
            <w:r w:rsidRPr="00DD06AA">
              <w:rPr>
                <w:i/>
                <w:lang w:val="lv-LV"/>
              </w:rPr>
              <w:t>Blending</w:t>
            </w:r>
            <w:proofErr w:type="spellEnd"/>
            <w:r w:rsidRPr="00DD06AA">
              <w:rPr>
                <w:i/>
                <w:lang w:val="lv-LV"/>
              </w:rPr>
              <w:t xml:space="preserve"> </w:t>
            </w:r>
            <w:proofErr w:type="spellStart"/>
            <w:r w:rsidRPr="00DD06AA">
              <w:rPr>
                <w:i/>
                <w:lang w:val="lv-LV"/>
              </w:rPr>
              <w:t>Call</w:t>
            </w:r>
            <w:proofErr w:type="spellEnd"/>
            <w:r w:rsidRPr="00DD06AA">
              <w:rPr>
                <w:lang w:val="lv-LV"/>
              </w:rPr>
              <w:t>” rezultāti. Kopā uzsaukuma ietvaros tika apstiprināti 39 projektu iesniegumi, tostarp projekta iesniegums "</w:t>
            </w:r>
            <w:r w:rsidRPr="00DD06AA">
              <w:rPr>
                <w:i/>
                <w:lang w:val="lv-LV"/>
              </w:rPr>
              <w:t xml:space="preserve">MEGA-E: </w:t>
            </w:r>
            <w:proofErr w:type="spellStart"/>
            <w:r w:rsidRPr="00DD06AA">
              <w:rPr>
                <w:i/>
                <w:lang w:val="lv-LV"/>
              </w:rPr>
              <w:t>Metropolitan</w:t>
            </w:r>
            <w:proofErr w:type="spellEnd"/>
            <w:r w:rsidRPr="00DD06AA">
              <w:rPr>
                <w:i/>
                <w:lang w:val="lv-LV"/>
              </w:rPr>
              <w:t xml:space="preserve"> </w:t>
            </w:r>
            <w:proofErr w:type="spellStart"/>
            <w:r w:rsidRPr="00DD06AA">
              <w:rPr>
                <w:i/>
                <w:lang w:val="lv-LV"/>
              </w:rPr>
              <w:t>Greater</w:t>
            </w:r>
            <w:proofErr w:type="spellEnd"/>
            <w:r w:rsidRPr="00DD06AA">
              <w:rPr>
                <w:i/>
                <w:lang w:val="lv-LV"/>
              </w:rPr>
              <w:t xml:space="preserve"> </w:t>
            </w:r>
            <w:proofErr w:type="spellStart"/>
            <w:r w:rsidRPr="00DD06AA">
              <w:rPr>
                <w:i/>
                <w:lang w:val="lv-LV"/>
              </w:rPr>
              <w:t>Areas</w:t>
            </w:r>
            <w:proofErr w:type="spellEnd"/>
            <w:r w:rsidRPr="00DD06AA">
              <w:rPr>
                <w:i/>
                <w:lang w:val="lv-LV"/>
              </w:rPr>
              <w:t xml:space="preserve"> - Electric</w:t>
            </w:r>
            <w:r w:rsidRPr="00DD06AA">
              <w:rPr>
                <w:lang w:val="lv-LV"/>
              </w:rPr>
              <w:t>", kura ietvaros paredzēts uzstādīt lieljaudas uzlādes stacijas TEN-T tīkla valstīs, tai skaitā arī Latv</w:t>
            </w:r>
            <w:r w:rsidRPr="00F55374">
              <w:rPr>
                <w:lang w:val="lv-LV"/>
              </w:rPr>
              <w:t xml:space="preserve">ijā. Projekta koordinatora funkcijas pilda Nīderlandes uzņēmums </w:t>
            </w:r>
            <w:proofErr w:type="spellStart"/>
            <w:r w:rsidRPr="00F55374">
              <w:rPr>
                <w:lang w:val="lv-LV"/>
              </w:rPr>
              <w:t>Allego</w:t>
            </w:r>
            <w:proofErr w:type="spellEnd"/>
            <w:r w:rsidRPr="00F55374">
              <w:rPr>
                <w:lang w:val="lv-LV"/>
              </w:rPr>
              <w:t>.</w:t>
            </w:r>
          </w:p>
          <w:p w14:paraId="3982026F" w14:textId="77777777" w:rsidR="00336F91" w:rsidRPr="00EE1E8A" w:rsidRDefault="00336F91" w:rsidP="00336F91">
            <w:pPr>
              <w:spacing w:before="120" w:after="120"/>
              <w:jc w:val="both"/>
              <w:rPr>
                <w:lang w:val="lv-LV"/>
              </w:rPr>
            </w:pPr>
            <w:r w:rsidRPr="005A2B67">
              <w:rPr>
                <w:color w:val="000000"/>
                <w:lang w:val="lv-LV"/>
              </w:rPr>
              <w:t xml:space="preserve">2018.gada 12.aprīlī noslēdzās projektu pieteikumu iesniegšanas termiņš </w:t>
            </w:r>
            <w:r w:rsidRPr="005A2B67">
              <w:rPr>
                <w:lang w:val="lv-LV"/>
              </w:rPr>
              <w:t>2017.gada 8.oktobrī izsludinātajā projektu iesniegumu uzsaukumā “</w:t>
            </w:r>
            <w:r w:rsidRPr="00EE1E8A">
              <w:rPr>
                <w:i/>
                <w:lang w:val="lv-LV"/>
              </w:rPr>
              <w:t xml:space="preserve">2017 CEF </w:t>
            </w:r>
            <w:proofErr w:type="spellStart"/>
            <w:r w:rsidRPr="00EE1E8A">
              <w:rPr>
                <w:i/>
                <w:lang w:val="lv-LV"/>
              </w:rPr>
              <w:t>Blending</w:t>
            </w:r>
            <w:proofErr w:type="spellEnd"/>
            <w:r w:rsidRPr="00EE1E8A">
              <w:rPr>
                <w:i/>
                <w:lang w:val="lv-LV"/>
              </w:rPr>
              <w:t xml:space="preserve"> </w:t>
            </w:r>
            <w:proofErr w:type="spellStart"/>
            <w:r w:rsidRPr="00EE1E8A">
              <w:rPr>
                <w:i/>
                <w:lang w:val="lv-LV"/>
              </w:rPr>
              <w:t>Call</w:t>
            </w:r>
            <w:proofErr w:type="spellEnd"/>
            <w:r w:rsidRPr="00EE1E8A">
              <w:rPr>
                <w:lang w:val="lv-LV"/>
              </w:rPr>
              <w:t xml:space="preserve">”. Projektu pieteikumu uzsaukumā tika apstiprināts 1 projekta iesniegums, kas paredz darbību īstenošanu Latvijas teritorijā - “H2Bus </w:t>
            </w:r>
            <w:proofErr w:type="spellStart"/>
            <w:r w:rsidRPr="00EE1E8A">
              <w:rPr>
                <w:lang w:val="lv-LV"/>
              </w:rPr>
              <w:t>Europe</w:t>
            </w:r>
            <w:proofErr w:type="spellEnd"/>
            <w:r w:rsidRPr="00EE1E8A">
              <w:rPr>
                <w:lang w:val="lv-LV"/>
              </w:rPr>
              <w:t xml:space="preserve">”, kura ietvaros Latvijas teritorijā līdz  31.12.2023. tiks izveidots viens ūdeņraža loģistikas centrs, kas ietvers ūdeņraža ražošanu un tā uzglabāšanas aprīkojumu, kā arī izbūvētas trīs ūdeņraža </w:t>
            </w:r>
            <w:proofErr w:type="spellStart"/>
            <w:r w:rsidRPr="00EE1E8A">
              <w:rPr>
                <w:lang w:val="lv-LV"/>
              </w:rPr>
              <w:t>uzpildes</w:t>
            </w:r>
            <w:proofErr w:type="spellEnd"/>
            <w:r w:rsidRPr="00EE1E8A">
              <w:rPr>
                <w:lang w:val="lv-LV"/>
              </w:rPr>
              <w:t xml:space="preserve"> stacijas. Projekta ietvaros tā koordinators “</w:t>
            </w:r>
            <w:proofErr w:type="spellStart"/>
            <w:r w:rsidRPr="00EE1E8A">
              <w:rPr>
                <w:lang w:val="lv-LV"/>
              </w:rPr>
              <w:t>Everfuel</w:t>
            </w:r>
            <w:proofErr w:type="spellEnd"/>
            <w:r w:rsidRPr="00EE1E8A">
              <w:rPr>
                <w:lang w:val="lv-LV"/>
              </w:rPr>
              <w:t xml:space="preserve"> A/S” iegādāsies 200 ar ūdeņradi darbināmus autobusus, kas tiks nodoti līzingā “Rīgas satiksme”.</w:t>
            </w:r>
          </w:p>
          <w:p w14:paraId="4BA42B99" w14:textId="14347F44" w:rsidR="00336F91" w:rsidRPr="00EE1E8A" w:rsidRDefault="00336F91" w:rsidP="00336F91">
            <w:pPr>
              <w:spacing w:before="120" w:after="120"/>
              <w:jc w:val="both"/>
              <w:rPr>
                <w:lang w:val="lv-LV"/>
              </w:rPr>
            </w:pPr>
            <w:r w:rsidRPr="00EE1E8A">
              <w:rPr>
                <w:lang w:val="lv-LV"/>
              </w:rPr>
              <w:t>2018.gada 17.maijā tika izsludināts Transporta projektu uzsaukums, kura rezultāti tika apstiprināti 2019.gada 25.marta CEF Transporta komitejas sēdē. Apstiprināto projektu vidū ir VAS “Latvijas dzelzceļš” projekts “</w:t>
            </w:r>
            <w:proofErr w:type="spellStart"/>
            <w:r w:rsidRPr="00EE1E8A">
              <w:rPr>
                <w:lang w:val="lv-LV"/>
              </w:rPr>
              <w:t>Sadarbspējīgas</w:t>
            </w:r>
            <w:proofErr w:type="spellEnd"/>
            <w:r w:rsidRPr="00EE1E8A">
              <w:rPr>
                <w:lang w:val="lv-LV"/>
              </w:rPr>
              <w:t xml:space="preserve"> dzelzceļa sistēmas izveide Baltijas valstīs”, kas tiks īstenots sadarbībā ar Igaunijas uzņēmumu “AS </w:t>
            </w:r>
            <w:proofErr w:type="spellStart"/>
            <w:r w:rsidRPr="00EE1E8A">
              <w:rPr>
                <w:lang w:val="lv-LV"/>
              </w:rPr>
              <w:t>Eesti</w:t>
            </w:r>
            <w:proofErr w:type="spellEnd"/>
            <w:r w:rsidRPr="00EE1E8A">
              <w:rPr>
                <w:lang w:val="lv-LV"/>
              </w:rPr>
              <w:t xml:space="preserve"> </w:t>
            </w:r>
            <w:proofErr w:type="spellStart"/>
            <w:r w:rsidRPr="00EE1E8A">
              <w:rPr>
                <w:lang w:val="lv-LV"/>
              </w:rPr>
              <w:t>Raudtee</w:t>
            </w:r>
            <w:proofErr w:type="spellEnd"/>
            <w:r w:rsidRPr="00EE1E8A">
              <w:rPr>
                <w:lang w:val="lv-LV"/>
              </w:rPr>
              <w:t>”.</w:t>
            </w:r>
          </w:p>
          <w:p w14:paraId="74296D29" w14:textId="0BA564F1" w:rsidR="00336F91" w:rsidRPr="00EE1E8A" w:rsidRDefault="00336F91" w:rsidP="00336F91">
            <w:pPr>
              <w:spacing w:before="120" w:after="120"/>
              <w:jc w:val="both"/>
              <w:rPr>
                <w:color w:val="000000"/>
                <w:lang w:val="lv-LV"/>
              </w:rPr>
            </w:pPr>
            <w:r w:rsidRPr="00EE1E8A">
              <w:rPr>
                <w:lang w:val="lv-LV"/>
              </w:rPr>
              <w:t xml:space="preserve">Plānotā apguve 2020.gadā  ir </w:t>
            </w:r>
            <w:r w:rsidR="00D7651B">
              <w:rPr>
                <w:lang w:val="lv-LV"/>
              </w:rPr>
              <w:t>69,0</w:t>
            </w:r>
            <w:r w:rsidRPr="00EE1E8A">
              <w:rPr>
                <w:lang w:val="lv-LV"/>
              </w:rPr>
              <w:t xml:space="preserve"> milj. EUR, kas ir Rail </w:t>
            </w:r>
            <w:proofErr w:type="spellStart"/>
            <w:r w:rsidRPr="00EE1E8A">
              <w:rPr>
                <w:lang w:val="lv-LV"/>
              </w:rPr>
              <w:t>Baltica</w:t>
            </w:r>
            <w:proofErr w:type="spellEnd"/>
            <w:r w:rsidRPr="00EE1E8A">
              <w:rPr>
                <w:lang w:val="lv-LV"/>
              </w:rPr>
              <w:t xml:space="preserve"> projekta īstenošanai paredzētais finansējums.</w:t>
            </w:r>
          </w:p>
          <w:p w14:paraId="744DC344" w14:textId="77777777" w:rsidR="00336F91" w:rsidRPr="00EE1E8A" w:rsidRDefault="00336F91" w:rsidP="00336F91">
            <w:pPr>
              <w:autoSpaceDE w:val="0"/>
              <w:autoSpaceDN w:val="0"/>
              <w:spacing w:before="120" w:after="120"/>
              <w:jc w:val="both"/>
              <w:rPr>
                <w:lang w:val="lv-LV" w:eastAsia="lv-LV"/>
              </w:rPr>
            </w:pPr>
            <w:r w:rsidRPr="00EE1E8A">
              <w:rPr>
                <w:i/>
                <w:lang w:val="lv-LV"/>
              </w:rPr>
              <w:t>Enerģētikas sektoram</w:t>
            </w:r>
            <w:r w:rsidRPr="00EE1E8A">
              <w:rPr>
                <w:lang w:val="lv-LV"/>
              </w:rPr>
              <w:t xml:space="preserve"> paredzētais budžets laika posmam no 2014.gada līdz 2020.gadam CEF ietvaros veido 5,35 mljrd. EUR.</w:t>
            </w:r>
            <w:r w:rsidRPr="00EE1E8A">
              <w:rPr>
                <w:lang w:val="lv-LV" w:eastAsia="lv-LV"/>
              </w:rPr>
              <w:t xml:space="preserve"> </w:t>
            </w:r>
          </w:p>
          <w:p w14:paraId="6648EDD4" w14:textId="77777777" w:rsidR="00336F91" w:rsidRPr="00997106" w:rsidRDefault="00336F91" w:rsidP="00336F91">
            <w:pPr>
              <w:autoSpaceDE w:val="0"/>
              <w:autoSpaceDN w:val="0"/>
              <w:spacing w:before="120" w:after="120"/>
              <w:jc w:val="both"/>
              <w:rPr>
                <w:lang w:val="lv-LV"/>
              </w:rPr>
            </w:pPr>
            <w:r w:rsidRPr="00562B3F">
              <w:rPr>
                <w:lang w:val="lv-LV" w:eastAsia="lv-LV"/>
              </w:rPr>
              <w:t xml:space="preserve">Šobrīd </w:t>
            </w:r>
            <w:r w:rsidRPr="00562B3F">
              <w:rPr>
                <w:lang w:val="lv-LV"/>
              </w:rPr>
              <w:t xml:space="preserve">Latvijai </w:t>
            </w:r>
            <w:r w:rsidRPr="00255C4F">
              <w:rPr>
                <w:lang w:val="lv-LV"/>
              </w:rPr>
              <w:t>elektroenerģijas un gāzes sektoros būt</w:t>
            </w:r>
            <w:r w:rsidRPr="00154F55">
              <w:rPr>
                <w:lang w:val="lv-LV"/>
              </w:rPr>
              <w:t>iska ir šādu projektu īstenošana, kuriem EK apstiprinājusi CEF līdzfinansējumu jau iepriekšējos gados</w:t>
            </w:r>
            <w:r w:rsidRPr="004062DB">
              <w:rPr>
                <w:lang w:val="lv-LV"/>
              </w:rPr>
              <w:t xml:space="preserve">: (1) </w:t>
            </w:r>
            <w:r w:rsidRPr="002946EA">
              <w:rPr>
                <w:lang w:val="lv-LV" w:eastAsia="lv-LV"/>
              </w:rPr>
              <w:t>Igaunijas-Latvijas 3.starpsavienojums</w:t>
            </w:r>
            <w:r w:rsidRPr="002946EA">
              <w:rPr>
                <w:lang w:val="lv-LV"/>
              </w:rPr>
              <w:t>, kuram piešķirtais līdzfinansējums ir 112,3 milj. EUR</w:t>
            </w:r>
            <w:r w:rsidRPr="00512731">
              <w:rPr>
                <w:i/>
                <w:lang w:val="lv-LV"/>
              </w:rPr>
              <w:t xml:space="preserve"> </w:t>
            </w:r>
            <w:r w:rsidRPr="00512731">
              <w:rPr>
                <w:lang w:val="lv-LV"/>
              </w:rPr>
              <w:t>(izbūvei)</w:t>
            </w:r>
            <w:r w:rsidRPr="000652F6">
              <w:rPr>
                <w:i/>
                <w:lang w:val="lv-LV"/>
              </w:rPr>
              <w:t>,</w:t>
            </w:r>
            <w:r w:rsidRPr="000652F6">
              <w:rPr>
                <w:lang w:val="lv-LV"/>
              </w:rPr>
              <w:t xml:space="preserve"> (2)</w:t>
            </w:r>
            <w:r w:rsidRPr="000652F6">
              <w:rPr>
                <w:lang w:val="lv-LV" w:eastAsia="lv-LV"/>
              </w:rPr>
              <w:t xml:space="preserve"> </w:t>
            </w:r>
            <w:r w:rsidRPr="000652F6">
              <w:rPr>
                <w:lang w:val="lv-LV"/>
              </w:rPr>
              <w:t>Iekšējā elektrolīnija starp Ventspili, Tum</w:t>
            </w:r>
            <w:r w:rsidRPr="003111DB">
              <w:rPr>
                <w:lang w:val="lv-LV"/>
              </w:rPr>
              <w:t>i un Imantu (Kurzemes loks), kuram piešķirtais līdzfinansējums ir 55,08 milj. EUR</w:t>
            </w:r>
            <w:r w:rsidRPr="003111DB">
              <w:rPr>
                <w:i/>
                <w:lang w:val="lv-LV"/>
              </w:rPr>
              <w:t xml:space="preserve"> </w:t>
            </w:r>
            <w:r w:rsidRPr="00FF4FC0">
              <w:rPr>
                <w:lang w:val="lv-LV"/>
              </w:rPr>
              <w:lastRenderedPageBreak/>
              <w:t>(izbūvei)</w:t>
            </w:r>
            <w:r w:rsidRPr="00FF4FC0">
              <w:rPr>
                <w:i/>
                <w:lang w:val="lv-LV"/>
              </w:rPr>
              <w:t>,</w:t>
            </w:r>
            <w:r w:rsidRPr="00222336">
              <w:rPr>
                <w:lang w:val="lv-LV"/>
              </w:rPr>
              <w:t xml:space="preserve"> (3) Iekšējā pārvades līnija Rīgas TEC 2- Rīgas HES, kuram piešķirtais līdzfinansējums ir 9,9 milj. EUR, (4) Polijas – Lietuvas gāzes </w:t>
            </w:r>
            <w:proofErr w:type="spellStart"/>
            <w:r w:rsidRPr="00222336">
              <w:rPr>
                <w:lang w:val="lv-LV"/>
              </w:rPr>
              <w:t>starpsavienojums</w:t>
            </w:r>
            <w:proofErr w:type="spellEnd"/>
            <w:r w:rsidRPr="00222336">
              <w:rPr>
                <w:lang w:val="lv-LV"/>
              </w:rPr>
              <w:t xml:space="preserve"> (GIPL), kuram piešķirtais līdzfinansējums 10,59 milj. EUR (izpētei) un 295,38 milj. EUR (izbūvei), (5) Gāzes </w:t>
            </w:r>
            <w:proofErr w:type="spellStart"/>
            <w:r w:rsidRPr="00222336">
              <w:rPr>
                <w:lang w:val="lv-LV"/>
              </w:rPr>
              <w:t>starpsavienojums</w:t>
            </w:r>
            <w:proofErr w:type="spellEnd"/>
            <w:r w:rsidRPr="00222336">
              <w:rPr>
                <w:lang w:val="lv-LV"/>
              </w:rPr>
              <w:t xml:space="preserve"> starp Igauniju un Somiju (</w:t>
            </w:r>
            <w:proofErr w:type="spellStart"/>
            <w:r w:rsidRPr="006971D7">
              <w:rPr>
                <w:i/>
                <w:lang w:val="lv-LV"/>
              </w:rPr>
              <w:t>Balticconnector</w:t>
            </w:r>
            <w:proofErr w:type="spellEnd"/>
            <w:r w:rsidRPr="006971D7">
              <w:rPr>
                <w:i/>
                <w:lang w:val="lv-LV"/>
              </w:rPr>
              <w:t>)</w:t>
            </w:r>
            <w:r w:rsidRPr="006971D7">
              <w:rPr>
                <w:lang w:val="lv-LV"/>
              </w:rPr>
              <w:t>, kuram piešķirtais līdzfinansējums ir 187,5 milj. EUR</w:t>
            </w:r>
            <w:r w:rsidRPr="00725927">
              <w:rPr>
                <w:i/>
                <w:lang w:val="lv-LV"/>
              </w:rPr>
              <w:t xml:space="preserve"> </w:t>
            </w:r>
            <w:r w:rsidRPr="00997106">
              <w:rPr>
                <w:lang w:val="lv-LV"/>
              </w:rPr>
              <w:t xml:space="preserve">(izbūvei). </w:t>
            </w:r>
          </w:p>
          <w:p w14:paraId="16D8CE09" w14:textId="77777777" w:rsidR="00336F91" w:rsidRPr="00D76FB5" w:rsidRDefault="00336F91" w:rsidP="00336F91">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120"/>
              <w:jc w:val="both"/>
              <w:rPr>
                <w:rFonts w:ascii="Tms Rmn" w:hAnsi="Tms Rmn" w:cs="Tms Rmn"/>
                <w:color w:val="000000"/>
                <w:lang w:val="lv-LV"/>
              </w:rPr>
            </w:pPr>
            <w:r w:rsidRPr="00A77487">
              <w:rPr>
                <w:rFonts w:ascii="Tms Rmn" w:hAnsi="Tms Rmn" w:cs="Tms Rmn"/>
                <w:color w:val="000000"/>
                <w:lang w:val="lv-LV"/>
              </w:rPr>
              <w:t>Vienlaikus, īpaši nozīmīgs elektroenerģijas sektorā ir Baltijas valstu elektrotīklu sinhronizācijas ar Eiropas tīkli</w:t>
            </w:r>
            <w:r w:rsidRPr="00DD06AA">
              <w:rPr>
                <w:rFonts w:ascii="Tms Rmn" w:hAnsi="Tms Rmn" w:cs="Tms Rmn"/>
                <w:color w:val="000000"/>
                <w:lang w:val="lv-LV"/>
              </w:rPr>
              <w:t>em projekts, kuram 2019. gada 23. janvārī Eiropas Komisijas nolēma piešķirt CEF līdzfinansējumu 75 % apmērā 1.fāzes īstenošanai</w:t>
            </w:r>
            <w:r w:rsidRPr="00DD06AA">
              <w:rPr>
                <w:color w:val="000000"/>
                <w:lang w:val="lv-LV"/>
              </w:rPr>
              <w:t>. Kopējās 1.fāzes izmaksas plānotas 430,4 milj. EUR apmērā un piešķirtā CEF līdzfinansējuma apjoms sastāda</w:t>
            </w:r>
            <w:r w:rsidRPr="00DD06AA">
              <w:rPr>
                <w:rFonts w:ascii="Tms Rmn" w:hAnsi="Tms Rmn" w:cs="Tms Rmn"/>
                <w:color w:val="000000"/>
                <w:lang w:val="lv-LV"/>
              </w:rPr>
              <w:t xml:space="preserve"> </w:t>
            </w:r>
            <w:r w:rsidRPr="00DD06AA">
              <w:rPr>
                <w:rFonts w:ascii="Tms Rmn" w:hAnsi="Tms Rmn" w:cs="Tms Rmn"/>
                <w:b/>
                <w:bCs/>
                <w:color w:val="000000"/>
                <w:lang w:val="lv-LV"/>
              </w:rPr>
              <w:t>322,8 milj.</w:t>
            </w:r>
            <w:r w:rsidRPr="00F55374">
              <w:rPr>
                <w:rFonts w:ascii="Tms Rmn" w:hAnsi="Tms Rmn" w:cs="Tms Rmn"/>
                <w:color w:val="000000"/>
                <w:lang w:val="lv-LV"/>
              </w:rPr>
              <w:t xml:space="preserve"> EUR. </w:t>
            </w:r>
            <w:r w:rsidRPr="00F55374">
              <w:rPr>
                <w:lang w:val="lv-LV"/>
              </w:rPr>
              <w:t>Sinhronizācijas projekta 1.fāzes ietvaros</w:t>
            </w:r>
            <w:r w:rsidRPr="00D67FB0">
              <w:rPr>
                <w:rFonts w:ascii="Tms Rmn" w:hAnsi="Tms Rmn" w:cs="Tms Rmn"/>
                <w:color w:val="000000"/>
                <w:lang w:val="lv-LV"/>
              </w:rPr>
              <w:t xml:space="preserve"> Latvijā kopējās projekta izmaksas plānotas 77 milj. EUR apmērā, no kurām CEF līdzfinansējuma daļa ir 57,</w:t>
            </w:r>
            <w:r w:rsidRPr="00073E28">
              <w:rPr>
                <w:rFonts w:ascii="Tms Rmn" w:hAnsi="Tms Rmn" w:cs="Tms Rmn"/>
                <w:color w:val="000000"/>
                <w:lang w:val="lv-LV"/>
              </w:rPr>
              <w:t>75 milj. EUR. Izmaksas tiek progn</w:t>
            </w:r>
            <w:r w:rsidRPr="00D76FB5">
              <w:rPr>
                <w:rFonts w:ascii="Tms Rmn" w:hAnsi="Tms Rmn" w:cs="Tms Rmn"/>
                <w:color w:val="000000"/>
                <w:lang w:val="lv-LV"/>
              </w:rPr>
              <w:t>ozētas šādām aktivitātēm:</w:t>
            </w:r>
          </w:p>
          <w:p w14:paraId="1664F7F4" w14:textId="77777777" w:rsidR="00336F91" w:rsidRPr="005A2B67" w:rsidRDefault="00336F91" w:rsidP="00336F91">
            <w:pPr>
              <w:pStyle w:val="ListParagraph"/>
              <w:numPr>
                <w:ilvl w:val="0"/>
                <w:numId w:val="32"/>
              </w:numPr>
              <w:tabs>
                <w:tab w:val="left" w:pos="-720"/>
                <w:tab w:val="left" w:pos="0"/>
                <w:tab w:val="left" w:pos="426"/>
                <w:tab w:val="left" w:pos="1440"/>
                <w:tab w:val="left" w:pos="2160"/>
                <w:tab w:val="left" w:pos="2880"/>
                <w:tab w:val="left" w:pos="3600"/>
                <w:tab w:val="left" w:pos="4320"/>
              </w:tabs>
              <w:autoSpaceDE w:val="0"/>
              <w:autoSpaceDN w:val="0"/>
              <w:adjustRightInd w:val="0"/>
              <w:spacing w:before="120" w:after="120"/>
              <w:ind w:left="993"/>
              <w:jc w:val="both"/>
              <w:rPr>
                <w:color w:val="000000"/>
                <w:lang w:val="lv-LV"/>
              </w:rPr>
            </w:pPr>
            <w:r w:rsidRPr="005A2B67">
              <w:rPr>
                <w:color w:val="000000"/>
                <w:lang w:val="lv-LV"/>
              </w:rPr>
              <w:t xml:space="preserve">Baltijas elektropārvades tīkla divu esošo </w:t>
            </w:r>
            <w:proofErr w:type="spellStart"/>
            <w:r w:rsidRPr="005A2B67">
              <w:rPr>
                <w:color w:val="000000"/>
                <w:lang w:val="lv-LV"/>
              </w:rPr>
              <w:t>starpsavienojumu</w:t>
            </w:r>
            <w:proofErr w:type="spellEnd"/>
            <w:r w:rsidRPr="005A2B67">
              <w:rPr>
                <w:color w:val="000000"/>
                <w:lang w:val="lv-LV"/>
              </w:rPr>
              <w:t xml:space="preserve"> Valmiera-Tartu un Valmiera-</w:t>
            </w:r>
            <w:proofErr w:type="spellStart"/>
            <w:r w:rsidRPr="005A2B67">
              <w:rPr>
                <w:color w:val="000000"/>
                <w:lang w:val="lv-LV"/>
              </w:rPr>
              <w:t>Tsirguliina</w:t>
            </w:r>
            <w:proofErr w:type="spellEnd"/>
            <w:r w:rsidRPr="005A2B67">
              <w:rPr>
                <w:color w:val="000000"/>
                <w:lang w:val="lv-LV"/>
              </w:rPr>
              <w:t xml:space="preserve"> pārbūve Latvijas teritorijā. Plānotās kopējās izmaksas - 45 milj. EUR, līniju pārbūve ir paredzēta no 2020. līdz 2024. gadam;</w:t>
            </w:r>
          </w:p>
          <w:p w14:paraId="3A890676" w14:textId="77777777" w:rsidR="00336F91" w:rsidRPr="00EE1E8A" w:rsidRDefault="00336F91" w:rsidP="00336F91">
            <w:pPr>
              <w:pStyle w:val="ListParagraph"/>
              <w:numPr>
                <w:ilvl w:val="0"/>
                <w:numId w:val="32"/>
              </w:numPr>
              <w:tabs>
                <w:tab w:val="left" w:pos="-720"/>
                <w:tab w:val="left" w:pos="0"/>
                <w:tab w:val="left" w:pos="426"/>
                <w:tab w:val="left" w:pos="1440"/>
                <w:tab w:val="left" w:pos="2160"/>
                <w:tab w:val="left" w:pos="2880"/>
                <w:tab w:val="left" w:pos="3600"/>
                <w:tab w:val="left" w:pos="4320"/>
              </w:tabs>
              <w:autoSpaceDE w:val="0"/>
              <w:autoSpaceDN w:val="0"/>
              <w:adjustRightInd w:val="0"/>
              <w:spacing w:before="120" w:after="120"/>
              <w:ind w:left="993"/>
              <w:jc w:val="both"/>
              <w:rPr>
                <w:color w:val="000000"/>
                <w:lang w:val="lv-LV"/>
              </w:rPr>
            </w:pPr>
            <w:r w:rsidRPr="00EE1E8A">
              <w:rPr>
                <w:color w:val="000000"/>
                <w:lang w:val="lv-LV"/>
              </w:rPr>
              <w:t xml:space="preserve">viena sinhronā </w:t>
            </w:r>
            <w:proofErr w:type="spellStart"/>
            <w:r w:rsidRPr="00EE1E8A">
              <w:rPr>
                <w:color w:val="000000"/>
                <w:lang w:val="lv-LV"/>
              </w:rPr>
              <w:t>kompensatora</w:t>
            </w:r>
            <w:proofErr w:type="spellEnd"/>
            <w:r w:rsidRPr="00EE1E8A">
              <w:rPr>
                <w:color w:val="000000"/>
                <w:lang w:val="lv-LV"/>
              </w:rPr>
              <w:t xml:space="preserve"> (turpmāk – SK) uzstādīšana Latvijas elektropārvades tīklā inerces nodrošināšanai sinhronizācijas režīmā. Viena SK aptuvenās izmaksas plānotas 25 milj. EUR apmērā, tā piegāde un uzstādīšana paredzēta no 2020. līdz 2025. gadam;</w:t>
            </w:r>
          </w:p>
          <w:p w14:paraId="35C9A6E6" w14:textId="77777777" w:rsidR="00336F91" w:rsidRPr="00EE1E8A" w:rsidRDefault="00336F91" w:rsidP="00336F91">
            <w:pPr>
              <w:pStyle w:val="ListParagraph"/>
              <w:numPr>
                <w:ilvl w:val="0"/>
                <w:numId w:val="32"/>
              </w:numPr>
              <w:tabs>
                <w:tab w:val="left" w:pos="-720"/>
                <w:tab w:val="left" w:pos="0"/>
                <w:tab w:val="left" w:pos="426"/>
                <w:tab w:val="left" w:pos="1440"/>
                <w:tab w:val="left" w:pos="2160"/>
                <w:tab w:val="left" w:pos="2880"/>
                <w:tab w:val="left" w:pos="3600"/>
                <w:tab w:val="left" w:pos="4320"/>
              </w:tabs>
              <w:autoSpaceDE w:val="0"/>
              <w:autoSpaceDN w:val="0"/>
              <w:adjustRightInd w:val="0"/>
              <w:spacing w:before="120" w:after="120"/>
              <w:ind w:left="993"/>
              <w:jc w:val="both"/>
              <w:rPr>
                <w:color w:val="000000"/>
                <w:lang w:val="lv-LV"/>
              </w:rPr>
            </w:pPr>
            <w:r w:rsidRPr="00EE1E8A">
              <w:rPr>
                <w:color w:val="000000"/>
                <w:lang w:val="lv-LV"/>
              </w:rPr>
              <w:t>vienas 10MW enerģijas uzkrājošās baterijas primārās frekvences regulēšanai Baltijas valstu sinhronizācijas režīmā. Vienas 10MW baterijas izmaksas plānotas 5,5 milj. EUR apmērā, piegāde un uzstādīšana paredzēta no 2020. līdz 2025. gadam;</w:t>
            </w:r>
          </w:p>
          <w:p w14:paraId="14148AB7" w14:textId="77777777" w:rsidR="00336F91" w:rsidRPr="00EE1E8A" w:rsidRDefault="00336F91" w:rsidP="00336F91">
            <w:pPr>
              <w:pStyle w:val="ListParagraph"/>
              <w:numPr>
                <w:ilvl w:val="0"/>
                <w:numId w:val="32"/>
              </w:numPr>
              <w:tabs>
                <w:tab w:val="left" w:pos="-720"/>
                <w:tab w:val="left" w:pos="0"/>
                <w:tab w:val="left" w:pos="426"/>
                <w:tab w:val="left" w:pos="1440"/>
                <w:tab w:val="left" w:pos="2160"/>
                <w:tab w:val="left" w:pos="2880"/>
                <w:tab w:val="left" w:pos="3600"/>
                <w:tab w:val="left" w:pos="4320"/>
              </w:tabs>
              <w:autoSpaceDE w:val="0"/>
              <w:autoSpaceDN w:val="0"/>
              <w:adjustRightInd w:val="0"/>
              <w:spacing w:before="120" w:after="120"/>
              <w:ind w:left="993"/>
              <w:jc w:val="both"/>
              <w:rPr>
                <w:color w:val="000000"/>
                <w:lang w:val="lv-LV"/>
              </w:rPr>
            </w:pPr>
            <w:r w:rsidRPr="00EE1E8A">
              <w:rPr>
                <w:color w:val="000000"/>
                <w:lang w:val="lv-LV"/>
              </w:rPr>
              <w:t>izmaksām, kas saistītas ar elektroenerģijas sistēmas vadības un kontroles sistēmas uzstādīšanu gan elektropārvades sistēmā, gan Latvijas elektrostacijās pēc modeļu pārbaudes pasākumiem 2019. gadā; Šobrīd zināmās izmaksas ir aptuveni 300 tūkst. EUR. Sinhronizācijas projekta 1.fāzes kopējo izmaksu ietvaros paredzētas izmaksas šādām aktivitātēm var būt līdz 2 milj. EUR, minētās iekārtas uzstādīšana ir paredzēta no 2020. līdz 2025. gadam.</w:t>
            </w:r>
          </w:p>
          <w:p w14:paraId="731A5B0E" w14:textId="77777777" w:rsidR="00336F91" w:rsidRPr="00EE1E8A" w:rsidRDefault="00336F91" w:rsidP="00336F91">
            <w:pPr>
              <w:pStyle w:val="ListParagraph"/>
              <w:tabs>
                <w:tab w:val="left" w:pos="-720"/>
                <w:tab w:val="left" w:pos="0"/>
                <w:tab w:val="left" w:pos="426"/>
                <w:tab w:val="left" w:pos="1440"/>
                <w:tab w:val="left" w:pos="2160"/>
                <w:tab w:val="left" w:pos="2880"/>
                <w:tab w:val="left" w:pos="3600"/>
                <w:tab w:val="left" w:pos="4320"/>
              </w:tabs>
              <w:autoSpaceDE w:val="0"/>
              <w:autoSpaceDN w:val="0"/>
              <w:adjustRightInd w:val="0"/>
              <w:spacing w:before="120" w:after="120"/>
              <w:ind w:left="31"/>
              <w:jc w:val="both"/>
              <w:rPr>
                <w:lang w:val="lv-LV"/>
              </w:rPr>
            </w:pPr>
            <w:r w:rsidRPr="00EE1E8A">
              <w:rPr>
                <w:lang w:val="lv-LV"/>
              </w:rPr>
              <w:t>Baltijas valstu sinhronizācijas projekta 2.fāzes īstenošanai Baltijas valstis plāno iesniegt kopīgu CEF līdzfinansējuma pieteikumu 2020.gadā. Latvijas gadījumā sinhronizācijas 2.fāzes aktivitātes plānotas izmaksas 85-90 milj. EUR, kas ietvertu divus papildus SK, kā arī dažādas izpētes un automātiku modernizāciju. Papildus izmaksas varētu rasties, ja tiktu pieņemts lēmums iegādāties arī uzkrājošās baterijas, kas prasītu vēl 20-30 milj. EUR.</w:t>
            </w:r>
          </w:p>
          <w:p w14:paraId="55241A5A" w14:textId="77777777" w:rsidR="00336F91" w:rsidRPr="00EE1E8A" w:rsidRDefault="00336F91" w:rsidP="00336F91">
            <w:pPr>
              <w:spacing w:before="120" w:after="120"/>
              <w:jc w:val="both"/>
              <w:rPr>
                <w:lang w:val="lv-LV"/>
              </w:rPr>
            </w:pPr>
            <w:r w:rsidRPr="00EE1E8A">
              <w:rPr>
                <w:color w:val="000000"/>
                <w:lang w:val="lv-LV"/>
              </w:rPr>
              <w:t xml:space="preserve">Savukārt gāzes sektorā, </w:t>
            </w:r>
            <w:r w:rsidRPr="00EE1E8A">
              <w:rPr>
                <w:lang w:val="lv-LV"/>
              </w:rPr>
              <w:t>2019.gada janvārī Eiropas Komisija pieņēma lēmumu par atbalsta piešķiršanu AS “</w:t>
            </w:r>
            <w:proofErr w:type="spellStart"/>
            <w:r w:rsidRPr="00EE1E8A">
              <w:rPr>
                <w:lang w:val="lv-LV"/>
              </w:rPr>
              <w:t>Conexus</w:t>
            </w:r>
            <w:proofErr w:type="spellEnd"/>
            <w:r w:rsidRPr="00EE1E8A">
              <w:rPr>
                <w:lang w:val="lv-LV"/>
              </w:rPr>
              <w:t xml:space="preserve"> </w:t>
            </w:r>
            <w:proofErr w:type="spellStart"/>
            <w:r w:rsidRPr="00EE1E8A">
              <w:rPr>
                <w:lang w:val="lv-LV"/>
              </w:rPr>
              <w:t>Baltic</w:t>
            </w:r>
            <w:proofErr w:type="spellEnd"/>
            <w:r w:rsidRPr="00EE1E8A">
              <w:rPr>
                <w:lang w:val="lv-LV"/>
              </w:rPr>
              <w:t xml:space="preserve"> Grid” pieteiktajam Inčukalna krātuves modernizācijas projektam, sniedzot </w:t>
            </w:r>
            <w:r w:rsidRPr="00EE1E8A">
              <w:rPr>
                <w:iCs/>
                <w:lang w:val="lv-LV"/>
              </w:rPr>
              <w:t>CEF</w:t>
            </w:r>
            <w:r w:rsidRPr="00EE1E8A">
              <w:rPr>
                <w:lang w:val="lv-LV"/>
              </w:rPr>
              <w:t xml:space="preserve"> līdzfinansējumu </w:t>
            </w:r>
            <w:r w:rsidRPr="00EE1E8A">
              <w:rPr>
                <w:b/>
                <w:bCs/>
                <w:lang w:val="lv-LV"/>
              </w:rPr>
              <w:t>44 milj. EUR</w:t>
            </w:r>
            <w:r w:rsidRPr="00EE1E8A">
              <w:rPr>
                <w:lang w:val="lv-LV"/>
              </w:rPr>
              <w:t xml:space="preserve"> apmērā, kas ir puse no projekta kopējām plānotajām izmaksām. Modernizāciju plānots veikt gan virszemes infrastruktūrai, gan gāzes urbumu remontiem. Šo projektu kopumā plānots pabeigt līdz 2025.gadam. Gāzes sektorā nav plānoti CEF līdzfinansējuma pieteikumi 2020.gadā.    </w:t>
            </w:r>
          </w:p>
          <w:p w14:paraId="6513C8AF" w14:textId="77777777" w:rsidR="00336F91" w:rsidRPr="00EE1E8A" w:rsidRDefault="00336F91" w:rsidP="00336F91">
            <w:pPr>
              <w:spacing w:before="120" w:after="120"/>
              <w:jc w:val="both"/>
              <w:rPr>
                <w:lang w:val="lv-LV"/>
              </w:rPr>
            </w:pPr>
            <w:r w:rsidRPr="00EE1E8A">
              <w:rPr>
                <w:lang w:val="lv-LV"/>
              </w:rPr>
              <w:t>EK, izmantojot deleģēto aktu procedūru, 2017.gada rudenī pieņēma trešo ES kopīgu interešu projektu sarakstu, kurā ietverti 173 projekti –  elektroenerģijas un gāzes pārvades, uzglabāšanas un sašķidrinātās dabasgāzes (turpmāk – SDG) projekti, kā arī projekti viedo tīklu, naftas un pārrobežu CO</w:t>
            </w:r>
            <w:r w:rsidRPr="00EE1E8A">
              <w:rPr>
                <w:vertAlign w:val="subscript"/>
                <w:lang w:val="lv-LV"/>
              </w:rPr>
              <w:t>2</w:t>
            </w:r>
            <w:r w:rsidRPr="00EE1E8A">
              <w:rPr>
                <w:lang w:val="lv-LV"/>
              </w:rPr>
              <w:t xml:space="preserve"> tīklu jomā. Galvenās Latvijas prioritātes ir stiprināt elektroenerģijas savienojumus ar ES energosistēmām, kā arī veicināt konkurētspējīgus dabasgāzes alternatīvos avotus. Vienlaikus, jau 2019.gada rudenī tiks apstiprināts jau ceturtais kopīgo interešu projektu saraksts, par kura saturu šobrīd rīt diskusijas EK darba grupā. </w:t>
            </w:r>
          </w:p>
          <w:p w14:paraId="4306C12F" w14:textId="77777777" w:rsidR="00336F91" w:rsidRPr="00562B3F" w:rsidRDefault="00336F91" w:rsidP="00336F91">
            <w:pPr>
              <w:autoSpaceDE w:val="0"/>
              <w:autoSpaceDN w:val="0"/>
              <w:spacing w:before="120" w:after="120"/>
              <w:jc w:val="both"/>
              <w:rPr>
                <w:lang w:val="lv-LV" w:eastAsia="lv-LV"/>
              </w:rPr>
            </w:pPr>
            <w:r w:rsidRPr="00EE1E8A">
              <w:rPr>
                <w:i/>
                <w:lang w:val="lv-LV"/>
              </w:rPr>
              <w:t>Telekomunikācijas nozarei</w:t>
            </w:r>
            <w:r w:rsidRPr="00EE1E8A">
              <w:rPr>
                <w:lang w:val="lv-LV"/>
              </w:rPr>
              <w:t xml:space="preserve"> paredzētais budžets laika posmam no 2014. gada līdz 2020. gadam CEF ietvaros veido 1,14 mljrd. EUR. </w:t>
            </w:r>
          </w:p>
          <w:p w14:paraId="752DF938" w14:textId="61FCA0BD" w:rsidR="00336F91" w:rsidRPr="000652F6" w:rsidRDefault="00336F91" w:rsidP="00336F91">
            <w:pPr>
              <w:autoSpaceDE w:val="0"/>
              <w:autoSpaceDN w:val="0"/>
              <w:spacing w:before="120" w:after="120"/>
              <w:jc w:val="both"/>
              <w:rPr>
                <w:color w:val="000000"/>
                <w:lang w:val="lv-LV"/>
              </w:rPr>
            </w:pPr>
            <w:r w:rsidRPr="00255C4F">
              <w:rPr>
                <w:lang w:val="lv-LV" w:eastAsia="lv-LV"/>
              </w:rPr>
              <w:t xml:space="preserve">2017. gadā izsludinātajā CEF Telekomunikāciju </w:t>
            </w:r>
            <w:r w:rsidRPr="00255C4F">
              <w:rPr>
                <w:lang w:val="lv-LV"/>
              </w:rPr>
              <w:t>projektu konkursā finansējums 2,63 milj. EUR apmērā (t.sk. ES budžets 1,97 milj. EUR un valsts b</w:t>
            </w:r>
            <w:r w:rsidRPr="00154F55">
              <w:rPr>
                <w:lang w:val="lv-LV"/>
              </w:rPr>
              <w:t xml:space="preserve">udžets 0,66 milj. EUR) piešķirts Valsts sociālās </w:t>
            </w:r>
            <w:r w:rsidRPr="00154F55">
              <w:rPr>
                <w:lang w:val="lv-LV"/>
              </w:rPr>
              <w:lastRenderedPageBreak/>
              <w:t>apdrošināšanas aģentūras projektam “</w:t>
            </w:r>
            <w:proofErr w:type="spellStart"/>
            <w:r w:rsidRPr="00154F55">
              <w:rPr>
                <w:i/>
                <w:lang w:val="lv-LV"/>
              </w:rPr>
              <w:t>LatEESSI</w:t>
            </w:r>
            <w:proofErr w:type="spellEnd"/>
            <w:r w:rsidRPr="004062DB">
              <w:rPr>
                <w:lang w:val="lv-LV"/>
              </w:rPr>
              <w:t xml:space="preserve">”. </w:t>
            </w:r>
            <w:r w:rsidRPr="002946EA">
              <w:rPr>
                <w:color w:val="000000"/>
                <w:lang w:val="lv-LV"/>
              </w:rPr>
              <w:t>2020.gadam plānotais finansējums projekta īstenošanai ir 1,3</w:t>
            </w:r>
            <w:r w:rsidRPr="00512731">
              <w:rPr>
                <w:color w:val="000000"/>
                <w:lang w:val="lv-LV"/>
              </w:rPr>
              <w:t>2 milj. EUR (</w:t>
            </w:r>
            <w:r w:rsidR="005C460E" w:rsidRPr="00D46624">
              <w:rPr>
                <w:color w:val="000000"/>
                <w:lang w:val="lv-LV"/>
              </w:rPr>
              <w:t>EK avansa finansējums un gala maksājums</w:t>
            </w:r>
            <w:r w:rsidRPr="000652F6">
              <w:rPr>
                <w:color w:val="000000"/>
                <w:lang w:val="lv-LV"/>
              </w:rPr>
              <w:t xml:space="preserve">). </w:t>
            </w:r>
          </w:p>
          <w:p w14:paraId="7FBECEAE" w14:textId="6BCB9955" w:rsidR="00336F91" w:rsidRDefault="00336F91" w:rsidP="00336F91">
            <w:pPr>
              <w:autoSpaceDE w:val="0"/>
              <w:autoSpaceDN w:val="0"/>
              <w:spacing w:before="120" w:after="120"/>
              <w:jc w:val="both"/>
              <w:rPr>
                <w:lang w:val="lv-LV"/>
              </w:rPr>
            </w:pPr>
            <w:r w:rsidRPr="003111DB">
              <w:rPr>
                <w:lang w:val="lv-LV" w:eastAsia="lv-LV"/>
              </w:rPr>
              <w:t xml:space="preserve">Līdz 2018. gada </w:t>
            </w:r>
            <w:r w:rsidRPr="00FF4FC0">
              <w:rPr>
                <w:lang w:val="lv-LV" w:eastAsia="lv-LV"/>
              </w:rPr>
              <w:t>decembrim kopumā Latvijā izsludinātaj</w:t>
            </w:r>
            <w:r w:rsidRPr="00222336">
              <w:rPr>
                <w:lang w:val="lv-LV" w:eastAsia="lv-LV"/>
              </w:rPr>
              <w:t xml:space="preserve">os CEF Telekomunikāciju </w:t>
            </w:r>
            <w:r w:rsidRPr="00C358B6">
              <w:rPr>
                <w:lang w:val="lv-LV"/>
              </w:rPr>
              <w:t xml:space="preserve">projektos dažādās jomā ir ieguldīti 5,6 milj. </w:t>
            </w:r>
            <w:r w:rsidRPr="006971D7">
              <w:rPr>
                <w:lang w:val="lv-LV"/>
              </w:rPr>
              <w:t xml:space="preserve">EUR.  </w:t>
            </w:r>
            <w:r w:rsidRPr="00725927">
              <w:rPr>
                <w:lang w:val="lv-LV"/>
              </w:rPr>
              <w:t xml:space="preserve">Ieguldījums ir sniegts tādās tēmās kā bērniem drošāks internets, e-rēķini, automātiskās tulkošanas aktivitātes, </w:t>
            </w:r>
            <w:proofErr w:type="spellStart"/>
            <w:r w:rsidRPr="00725927">
              <w:rPr>
                <w:lang w:val="lv-LV"/>
              </w:rPr>
              <w:t>kiberdrošība</w:t>
            </w:r>
            <w:proofErr w:type="spellEnd"/>
            <w:r w:rsidRPr="00725927">
              <w:rPr>
                <w:lang w:val="lv-LV"/>
              </w:rPr>
              <w:t>, tiesu sistēmas attīstība, biznesa reģistru attīstība un citās.</w:t>
            </w:r>
            <w:r w:rsidRPr="00997106">
              <w:rPr>
                <w:lang w:val="lv-LV"/>
              </w:rPr>
              <w:t xml:space="preserve"> </w:t>
            </w:r>
          </w:p>
          <w:p w14:paraId="7CC6444B" w14:textId="00AB2D54" w:rsidR="000D5EC4" w:rsidRPr="00997106" w:rsidRDefault="000D5EC4" w:rsidP="00336F91">
            <w:pPr>
              <w:autoSpaceDE w:val="0"/>
              <w:autoSpaceDN w:val="0"/>
              <w:spacing w:before="120" w:after="120"/>
              <w:jc w:val="both"/>
              <w:rPr>
                <w:lang w:val="lv-LV"/>
              </w:rPr>
            </w:pPr>
            <w:r w:rsidRPr="00B433B7">
              <w:rPr>
                <w:lang w:val="lv-LV"/>
              </w:rPr>
              <w:t>Projektu konkursā Latvijas Interneta asociācija sadarbībā ar Valsts bērnu tiesību aizsardzības inspekciju un Latvijas Pašvaldību mācību centru 2018.gada CEF Telekomunikāciju projektu konkursā iesniedza projekta “Latvijas Drošāka interneta centrs” pieteikumu ar kopējo finansējumu 24 mēnešu periodam no 2019.-2020.gadam 0,82 milj. EUR (t.sk. ES budžets 0,41 milj. EUR un valsts budžets 0,41 milj. EUR). 2020. gadam plānotais ES finansējums projekta īstenošanai ir 0,4 milj. EUR</w:t>
            </w:r>
            <w:r>
              <w:rPr>
                <w:lang w:val="lv-LV"/>
              </w:rPr>
              <w:t>.</w:t>
            </w:r>
          </w:p>
          <w:p w14:paraId="1EE17D78" w14:textId="77777777" w:rsidR="00336F91" w:rsidRPr="004062DB" w:rsidRDefault="00336F91" w:rsidP="00336F91">
            <w:pPr>
              <w:spacing w:before="120" w:after="120"/>
              <w:jc w:val="both"/>
              <w:rPr>
                <w:lang w:val="lv-LV"/>
              </w:rPr>
            </w:pPr>
            <w:r w:rsidRPr="00EE1E8A">
              <w:rPr>
                <w:lang w:val="lv-LV"/>
              </w:rPr>
              <w:t xml:space="preserve">Latvija piedalījās </w:t>
            </w:r>
            <w:r w:rsidRPr="00EE1E8A">
              <w:rPr>
                <w:u w:val="single"/>
                <w:lang w:val="lv-LV"/>
              </w:rPr>
              <w:t>COSME programmas</w:t>
            </w:r>
            <w:r w:rsidRPr="00EE1E8A">
              <w:rPr>
                <w:lang w:val="lv-LV"/>
              </w:rPr>
              <w:t xml:space="preserve"> ietvaros rīkotajā uzsaukumā “</w:t>
            </w:r>
            <w:r w:rsidRPr="005A5F93">
              <w:rPr>
                <w:i/>
                <w:lang w:val="lv-LV"/>
              </w:rPr>
              <w:t>COSME Enterpris</w:t>
            </w:r>
            <w:r w:rsidRPr="00562B3F">
              <w:rPr>
                <w:i/>
                <w:lang w:val="lv-LV"/>
              </w:rPr>
              <w:t xml:space="preserve">e </w:t>
            </w:r>
            <w:proofErr w:type="spellStart"/>
            <w:r w:rsidRPr="00562B3F">
              <w:rPr>
                <w:i/>
                <w:lang w:val="lv-LV"/>
              </w:rPr>
              <w:t>Europe</w:t>
            </w:r>
            <w:proofErr w:type="spellEnd"/>
            <w:r w:rsidRPr="00562B3F">
              <w:rPr>
                <w:i/>
                <w:lang w:val="lv-LV"/>
              </w:rPr>
              <w:t xml:space="preserve"> </w:t>
            </w:r>
            <w:proofErr w:type="spellStart"/>
            <w:r w:rsidRPr="00562B3F">
              <w:rPr>
                <w:i/>
                <w:lang w:val="lv-LV"/>
              </w:rPr>
              <w:t>Network</w:t>
            </w:r>
            <w:proofErr w:type="spellEnd"/>
            <w:r w:rsidRPr="00562B3F">
              <w:rPr>
                <w:i/>
                <w:lang w:val="lv-LV"/>
              </w:rPr>
              <w:t xml:space="preserve"> 2015/2020</w:t>
            </w:r>
            <w:r w:rsidRPr="00562B3F">
              <w:rPr>
                <w:lang w:val="lv-LV"/>
              </w:rPr>
              <w:t>” ar nolūku piesaistīt finansējumu Eiropas Biznesa atbalsta tīkla Latvijā (EEN Latvia) darbības nodrošināšanai. Rezultātā tika noslēgts ietvara līgums “</w:t>
            </w:r>
            <w:proofErr w:type="spellStart"/>
            <w:r w:rsidRPr="00255C4F">
              <w:rPr>
                <w:i/>
                <w:lang w:val="lv-LV"/>
              </w:rPr>
              <w:t>Framework</w:t>
            </w:r>
            <w:proofErr w:type="spellEnd"/>
            <w:r w:rsidRPr="00255C4F">
              <w:rPr>
                <w:i/>
                <w:lang w:val="lv-LV"/>
              </w:rPr>
              <w:t xml:space="preserve"> </w:t>
            </w:r>
            <w:proofErr w:type="spellStart"/>
            <w:r w:rsidRPr="00255C4F">
              <w:rPr>
                <w:i/>
                <w:lang w:val="lv-LV"/>
              </w:rPr>
              <w:t>Partnership</w:t>
            </w:r>
            <w:proofErr w:type="spellEnd"/>
            <w:r w:rsidRPr="00255C4F">
              <w:rPr>
                <w:i/>
                <w:lang w:val="lv-LV"/>
              </w:rPr>
              <w:t xml:space="preserve"> </w:t>
            </w:r>
            <w:proofErr w:type="spellStart"/>
            <w:r w:rsidRPr="00255C4F">
              <w:rPr>
                <w:i/>
                <w:lang w:val="lv-LV"/>
              </w:rPr>
              <w:t>Agreement</w:t>
            </w:r>
            <w:proofErr w:type="spellEnd"/>
            <w:r w:rsidRPr="00255C4F">
              <w:rPr>
                <w:i/>
                <w:lang w:val="lv-LV"/>
              </w:rPr>
              <w:t xml:space="preserve">: </w:t>
            </w:r>
            <w:proofErr w:type="spellStart"/>
            <w:r w:rsidRPr="00255C4F">
              <w:rPr>
                <w:i/>
                <w:lang w:val="lv-LV"/>
              </w:rPr>
              <w:t>Integrated</w:t>
            </w:r>
            <w:proofErr w:type="spellEnd"/>
            <w:r w:rsidRPr="00255C4F">
              <w:rPr>
                <w:i/>
                <w:lang w:val="lv-LV"/>
              </w:rPr>
              <w:t xml:space="preserve"> Services </w:t>
            </w:r>
            <w:proofErr w:type="spellStart"/>
            <w:r w:rsidRPr="00255C4F">
              <w:rPr>
                <w:i/>
                <w:lang w:val="lv-LV"/>
              </w:rPr>
              <w:t>in</w:t>
            </w:r>
            <w:proofErr w:type="spellEnd"/>
            <w:r w:rsidRPr="00255C4F">
              <w:rPr>
                <w:i/>
                <w:lang w:val="lv-LV"/>
              </w:rPr>
              <w:t xml:space="preserve"> </w:t>
            </w:r>
            <w:proofErr w:type="spellStart"/>
            <w:r w:rsidRPr="00255C4F">
              <w:rPr>
                <w:i/>
                <w:lang w:val="lv-LV"/>
              </w:rPr>
              <w:t>Support</w:t>
            </w:r>
            <w:proofErr w:type="spellEnd"/>
            <w:r w:rsidRPr="00255C4F">
              <w:rPr>
                <w:i/>
                <w:lang w:val="lv-LV"/>
              </w:rPr>
              <w:t xml:space="preserve"> </w:t>
            </w:r>
            <w:proofErr w:type="spellStart"/>
            <w:r w:rsidRPr="00255C4F">
              <w:rPr>
                <w:i/>
                <w:lang w:val="lv-LV"/>
              </w:rPr>
              <w:t>of</w:t>
            </w:r>
            <w:proofErr w:type="spellEnd"/>
            <w:r w:rsidRPr="00255C4F">
              <w:rPr>
                <w:i/>
                <w:lang w:val="lv-LV"/>
              </w:rPr>
              <w:t xml:space="preserve"> </w:t>
            </w:r>
            <w:proofErr w:type="spellStart"/>
            <w:r w:rsidRPr="00255C4F">
              <w:rPr>
                <w:i/>
                <w:lang w:val="lv-LV"/>
              </w:rPr>
              <w:t>Business</w:t>
            </w:r>
            <w:proofErr w:type="spellEnd"/>
            <w:r w:rsidRPr="00255C4F">
              <w:rPr>
                <w:i/>
                <w:lang w:val="lv-LV"/>
              </w:rPr>
              <w:t xml:space="preserve"> </w:t>
            </w:r>
            <w:proofErr w:type="spellStart"/>
            <w:r w:rsidRPr="00255C4F">
              <w:rPr>
                <w:i/>
                <w:lang w:val="lv-LV"/>
              </w:rPr>
              <w:t>and</w:t>
            </w:r>
            <w:proofErr w:type="spellEnd"/>
            <w:r w:rsidRPr="00255C4F">
              <w:rPr>
                <w:i/>
                <w:lang w:val="lv-LV"/>
              </w:rPr>
              <w:t xml:space="preserve"> </w:t>
            </w:r>
            <w:proofErr w:type="spellStart"/>
            <w:r w:rsidRPr="00255C4F">
              <w:rPr>
                <w:i/>
                <w:lang w:val="lv-LV"/>
              </w:rPr>
              <w:t>Innovation</w:t>
            </w:r>
            <w:proofErr w:type="spellEnd"/>
            <w:r w:rsidRPr="00255C4F">
              <w:rPr>
                <w:i/>
                <w:lang w:val="lv-LV"/>
              </w:rPr>
              <w:t xml:space="preserve"> </w:t>
            </w:r>
            <w:proofErr w:type="spellStart"/>
            <w:r w:rsidRPr="00255C4F">
              <w:rPr>
                <w:i/>
                <w:lang w:val="lv-LV"/>
              </w:rPr>
              <w:t>in</w:t>
            </w:r>
            <w:proofErr w:type="spellEnd"/>
            <w:r w:rsidRPr="00255C4F">
              <w:rPr>
                <w:i/>
                <w:lang w:val="lv-LV"/>
              </w:rPr>
              <w:t xml:space="preserve"> Latvia </w:t>
            </w:r>
            <w:proofErr w:type="spellStart"/>
            <w:r w:rsidRPr="00255C4F">
              <w:rPr>
                <w:i/>
                <w:lang w:val="lv-LV"/>
              </w:rPr>
              <w:t>provided</w:t>
            </w:r>
            <w:proofErr w:type="spellEnd"/>
            <w:r w:rsidRPr="00255C4F">
              <w:rPr>
                <w:i/>
                <w:lang w:val="lv-LV"/>
              </w:rPr>
              <w:t xml:space="preserve"> </w:t>
            </w:r>
            <w:proofErr w:type="spellStart"/>
            <w:r w:rsidRPr="00255C4F">
              <w:rPr>
                <w:i/>
                <w:lang w:val="lv-LV"/>
              </w:rPr>
              <w:t>by</w:t>
            </w:r>
            <w:proofErr w:type="spellEnd"/>
            <w:r w:rsidRPr="00255C4F">
              <w:rPr>
                <w:i/>
                <w:lang w:val="lv-LV"/>
              </w:rPr>
              <w:t xml:space="preserve"> EEN-LV </w:t>
            </w:r>
            <w:proofErr w:type="spellStart"/>
            <w:r w:rsidRPr="00255C4F">
              <w:rPr>
                <w:i/>
                <w:lang w:val="lv-LV"/>
              </w:rPr>
              <w:t>Consortium</w:t>
            </w:r>
            <w:proofErr w:type="spellEnd"/>
            <w:r w:rsidRPr="00154F55">
              <w:rPr>
                <w:lang w:val="lv-LV"/>
              </w:rPr>
              <w:t>”, kas paredz projekta aktivitātes Latvijā no 2015.-2020.gadam. Ietvara līguma ietvaros 2017.gada sākumā tika noslēgti līgumi “</w:t>
            </w:r>
            <w:proofErr w:type="spellStart"/>
            <w:r w:rsidRPr="00154F55">
              <w:rPr>
                <w:lang w:val="lv-LV"/>
              </w:rPr>
              <w:t>Specific</w:t>
            </w:r>
            <w:proofErr w:type="spellEnd"/>
            <w:r w:rsidRPr="00154F55">
              <w:rPr>
                <w:lang w:val="lv-LV"/>
              </w:rPr>
              <w:t xml:space="preserve"> </w:t>
            </w:r>
            <w:proofErr w:type="spellStart"/>
            <w:r w:rsidRPr="00154F55">
              <w:rPr>
                <w:lang w:val="lv-LV"/>
              </w:rPr>
              <w:t>Agreement</w:t>
            </w:r>
            <w:proofErr w:type="spellEnd"/>
            <w:r w:rsidRPr="00154F55">
              <w:rPr>
                <w:lang w:val="lv-LV"/>
              </w:rPr>
              <w:t xml:space="preserve"> – 739690 – InnoSME-LV-2017-2018” un “</w:t>
            </w:r>
            <w:proofErr w:type="spellStart"/>
            <w:r w:rsidRPr="00154F55">
              <w:rPr>
                <w:lang w:val="lv-LV"/>
              </w:rPr>
              <w:t>Specific</w:t>
            </w:r>
            <w:proofErr w:type="spellEnd"/>
            <w:r w:rsidRPr="00154F55">
              <w:rPr>
                <w:lang w:val="lv-LV"/>
              </w:rPr>
              <w:t xml:space="preserve"> Grant </w:t>
            </w:r>
            <w:proofErr w:type="spellStart"/>
            <w:r w:rsidRPr="00154F55">
              <w:rPr>
                <w:lang w:val="lv-LV"/>
              </w:rPr>
              <w:t>Agreement</w:t>
            </w:r>
            <w:proofErr w:type="spellEnd"/>
            <w:r w:rsidRPr="00154F55">
              <w:rPr>
                <w:lang w:val="lv-LV"/>
              </w:rPr>
              <w:t xml:space="preserve"> 737683 – EEN-LV-2” par EEN aktivitāšu īstenošanu 2017.-2018.gadā. </w:t>
            </w:r>
          </w:p>
          <w:p w14:paraId="4B972196" w14:textId="77777777" w:rsidR="00336F91" w:rsidRPr="000652F6" w:rsidRDefault="00336F91" w:rsidP="00336F91">
            <w:pPr>
              <w:spacing w:before="120" w:after="120"/>
              <w:jc w:val="both"/>
              <w:rPr>
                <w:szCs w:val="28"/>
                <w:lang w:val="lv-LV"/>
              </w:rPr>
            </w:pPr>
            <w:r w:rsidRPr="00512731">
              <w:rPr>
                <w:szCs w:val="28"/>
                <w:lang w:val="lv-LV"/>
              </w:rPr>
              <w:t xml:space="preserve">Šajā finanšu plānošanas periodā (2014.-2020.) paredzēts noslēgt vēl divus </w:t>
            </w:r>
            <w:proofErr w:type="spellStart"/>
            <w:r w:rsidRPr="00512731">
              <w:rPr>
                <w:szCs w:val="28"/>
                <w:lang w:val="lv-LV"/>
              </w:rPr>
              <w:t>granta</w:t>
            </w:r>
            <w:proofErr w:type="spellEnd"/>
            <w:r w:rsidRPr="00512731">
              <w:rPr>
                <w:szCs w:val="28"/>
                <w:lang w:val="lv-LV"/>
              </w:rPr>
              <w:t xml:space="preserve"> līgumus COSME programmas ietvaros EEN projekta īstenošanai 2019.gadā un 2020.-2021.gados, kā arī aktīvi darboties jaunā perioda EEN projekta pieteikuma izstrādē un realizācijā.</w:t>
            </w:r>
          </w:p>
          <w:p w14:paraId="7FF04BC8" w14:textId="77777777" w:rsidR="00336F91" w:rsidRPr="000652F6" w:rsidRDefault="00336F91" w:rsidP="00336F91">
            <w:pPr>
              <w:spacing w:before="120" w:after="120"/>
              <w:jc w:val="both"/>
              <w:rPr>
                <w:szCs w:val="28"/>
                <w:lang w:val="lv-LV"/>
              </w:rPr>
            </w:pPr>
            <w:r w:rsidRPr="000652F6">
              <w:rPr>
                <w:szCs w:val="28"/>
                <w:lang w:val="lv-LV"/>
              </w:rPr>
              <w:t>EEN funkciju īstenošanai 2019.gadā LIAA kā projekta koordinators gatavo projekta pieteikumus, kas COSME programmas uzsaukumā iesniedzams līdz 2018.gada 5.jūnijam. Konkursa rezultāti provizoriski būs pieejami 2018.gada septembra beigās, tostarp sekmīga projekta rezultātā līguma slēgšana ar EK paredzama 2018.gada nogalē.</w:t>
            </w:r>
          </w:p>
          <w:p w14:paraId="4098451F" w14:textId="77777777" w:rsidR="00336F91" w:rsidRPr="00FF4FC0" w:rsidRDefault="00336F91" w:rsidP="00336F91">
            <w:pPr>
              <w:spacing w:before="120" w:after="120"/>
              <w:jc w:val="both"/>
              <w:rPr>
                <w:lang w:val="lv-LV"/>
              </w:rPr>
            </w:pPr>
            <w:r w:rsidRPr="003111DB">
              <w:rPr>
                <w:szCs w:val="28"/>
                <w:lang w:val="lv-LV"/>
              </w:rPr>
              <w:t>Plānotais budžets kopā 2019.gadā – 531, 6 tūkst. EUR (tai skaitā 264,9 tūkst. EUR ES budžeta un 284,6 tūkst. EUR valsts budžeta līdzfinansējums).</w:t>
            </w:r>
          </w:p>
          <w:p w14:paraId="2CA08DB4" w14:textId="77777777" w:rsidR="00336F91" w:rsidRPr="00EE1E8A" w:rsidRDefault="00336F91" w:rsidP="00336F91">
            <w:pPr>
              <w:spacing w:before="120" w:after="120"/>
              <w:jc w:val="both"/>
              <w:rPr>
                <w:sz w:val="22"/>
                <w:szCs w:val="22"/>
                <w:lang w:val="lv-LV"/>
              </w:rPr>
            </w:pPr>
            <w:r w:rsidRPr="00222336">
              <w:rPr>
                <w:lang w:val="lv-LV" w:eastAsia="de-DE"/>
              </w:rPr>
              <w:t>COSME programmas ietvaros 2017.gada septembrī ALTUM parakstīja sadarbības līgumu ar Eiropas Investīciju Fondu, kas COSME programmas ietvaros uzņēmējiem piedāvās garantijas 15 miljonu eiro apmērā, ļaujot uzņēmumiem saņemt ALTUM aizdevumus bez nodrošinājuma jeb ķīlas, kas papildus jau esošajiem finanšu instrumentiem, kas tiek finansēti no ERAF vai publiskā atmaksātā finansējuma</w:t>
            </w:r>
            <w:r w:rsidRPr="006971D7">
              <w:rPr>
                <w:lang w:val="lv-LV" w:eastAsia="de-DE"/>
              </w:rPr>
              <w:t>, ir svarīgs MVU konkurētspēju veicinošs faktor</w:t>
            </w:r>
            <w:r w:rsidRPr="00725927">
              <w:rPr>
                <w:lang w:val="lv-LV" w:eastAsia="de-DE"/>
              </w:rPr>
              <w:t xml:space="preserve">s. Tāpat aktīvi tiek izmantoti citi instrumenti, piemēram, </w:t>
            </w:r>
            <w:r w:rsidRPr="00997106">
              <w:rPr>
                <w:lang w:val="lv-LV"/>
              </w:rPr>
              <w:t xml:space="preserve">Eiropas Investīciju fonda </w:t>
            </w:r>
            <w:proofErr w:type="spellStart"/>
            <w:r w:rsidRPr="00997106">
              <w:rPr>
                <w:lang w:val="lv-LV"/>
              </w:rPr>
              <w:t>EaSI</w:t>
            </w:r>
            <w:proofErr w:type="spellEnd"/>
            <w:r w:rsidRPr="00997106">
              <w:rPr>
                <w:lang w:val="lv-LV"/>
              </w:rPr>
              <w:t xml:space="preserve"> garantiju</w:t>
            </w:r>
            <w:r w:rsidRPr="00997106">
              <w:rPr>
                <w:i/>
                <w:iCs/>
                <w:lang w:val="lv-LV"/>
              </w:rPr>
              <w:t xml:space="preserve"> </w:t>
            </w:r>
            <w:r w:rsidRPr="00A77487">
              <w:rPr>
                <w:lang w:val="lv-LV"/>
              </w:rPr>
              <w:t>veidā</w:t>
            </w:r>
            <w:r w:rsidRPr="00A77487">
              <w:rPr>
                <w:i/>
                <w:iCs/>
                <w:lang w:val="lv-LV"/>
              </w:rPr>
              <w:t xml:space="preserve">. </w:t>
            </w:r>
            <w:r w:rsidRPr="00DD06AA">
              <w:rPr>
                <w:lang w:val="lv-LV"/>
              </w:rPr>
              <w:t>Programmu</w:t>
            </w:r>
            <w:r w:rsidRPr="00DD06AA">
              <w:rPr>
                <w:i/>
                <w:iCs/>
                <w:lang w:val="lv-LV"/>
              </w:rPr>
              <w:t xml:space="preserve"> </w:t>
            </w:r>
            <w:r w:rsidRPr="00DD06AA">
              <w:rPr>
                <w:lang w:val="lv-LV"/>
              </w:rPr>
              <w:t xml:space="preserve">ieviešanu </w:t>
            </w:r>
            <w:proofErr w:type="spellStart"/>
            <w:r w:rsidRPr="00DD06AA">
              <w:rPr>
                <w:lang w:val="lv-LV"/>
              </w:rPr>
              <w:t>Altum</w:t>
            </w:r>
            <w:proofErr w:type="spellEnd"/>
            <w:r w:rsidRPr="00DD06AA">
              <w:rPr>
                <w:lang w:val="lv-LV"/>
              </w:rPr>
              <w:t xml:space="preserve"> sāka 2018.gada septembrī, bet COSME garantiju 2017.gada jūlijā. Līdz 2019.gada 30.jūnijam ar </w:t>
            </w:r>
            <w:proofErr w:type="spellStart"/>
            <w:r w:rsidRPr="00DD06AA">
              <w:rPr>
                <w:lang w:val="lv-LV"/>
              </w:rPr>
              <w:t>EaSI</w:t>
            </w:r>
            <w:proofErr w:type="spellEnd"/>
            <w:r w:rsidRPr="00DD06AA">
              <w:rPr>
                <w:lang w:val="lv-LV"/>
              </w:rPr>
              <w:t xml:space="preserve"> garantiju piešķirti 100 aizdevumi 0.966m EUR apmērā, bet ar COSME garantiju piešķirti 48 aizdevumi 0.946m EUR apmērā.</w:t>
            </w:r>
          </w:p>
          <w:p w14:paraId="26690B42" w14:textId="77777777" w:rsidR="00336F91" w:rsidRPr="000652F6" w:rsidRDefault="00336F91" w:rsidP="00336F91">
            <w:pPr>
              <w:spacing w:before="120" w:after="120"/>
              <w:jc w:val="both"/>
              <w:rPr>
                <w:lang w:val="lv-LV"/>
              </w:rPr>
            </w:pPr>
            <w:r w:rsidRPr="00EE1E8A">
              <w:rPr>
                <w:u w:val="single"/>
                <w:lang w:val="lv-LV"/>
              </w:rPr>
              <w:t>Izglītības, mācību, jaunatnes un sporta jomā</w:t>
            </w:r>
            <w:r w:rsidRPr="00EE1E8A">
              <w:rPr>
                <w:lang w:val="lv-LV"/>
              </w:rPr>
              <w:t xml:space="preserve"> 2020.gadā noslēgsies </w:t>
            </w:r>
            <w:proofErr w:type="spellStart"/>
            <w:r w:rsidRPr="005A5F93">
              <w:rPr>
                <w:i/>
                <w:iCs/>
                <w:lang w:val="lv-LV" w:eastAsia="lv-LV"/>
              </w:rPr>
              <w:t>Erasmus</w:t>
            </w:r>
            <w:proofErr w:type="spellEnd"/>
            <w:r w:rsidRPr="005A5F93">
              <w:rPr>
                <w:i/>
                <w:iCs/>
                <w:lang w:val="lv-LV" w:eastAsia="lv-LV"/>
              </w:rPr>
              <w:t>+</w:t>
            </w:r>
            <w:r w:rsidRPr="00562B3F">
              <w:rPr>
                <w:lang w:val="lv-LV" w:eastAsia="lv-LV"/>
              </w:rPr>
              <w:t xml:space="preserve"> </w:t>
            </w:r>
            <w:r w:rsidRPr="00562B3F">
              <w:rPr>
                <w:lang w:val="lv-LV"/>
              </w:rPr>
              <w:t>programmas septiņu gadu periods. Latvijai paredzētais ES budžeta piešķīrums projektiem jaunatnes jomā ir 2,8 milj. EUR, bet izglītības u</w:t>
            </w:r>
            <w:r w:rsidRPr="00255C4F">
              <w:rPr>
                <w:lang w:val="lv-LV"/>
              </w:rPr>
              <w:t xml:space="preserve">n mācību jomā 22,9 milj. EUR. </w:t>
            </w:r>
            <w:proofErr w:type="spellStart"/>
            <w:r w:rsidRPr="00255C4F">
              <w:rPr>
                <w:i/>
                <w:iCs/>
                <w:lang w:val="lv-LV" w:eastAsia="lv-LV"/>
              </w:rPr>
              <w:t>Erasmus</w:t>
            </w:r>
            <w:proofErr w:type="spellEnd"/>
            <w:r w:rsidRPr="00255C4F">
              <w:rPr>
                <w:i/>
                <w:iCs/>
                <w:lang w:val="lv-LV" w:eastAsia="lv-LV"/>
              </w:rPr>
              <w:t>+</w:t>
            </w:r>
            <w:r w:rsidRPr="00154F55">
              <w:rPr>
                <w:lang w:val="lv-LV" w:eastAsia="lv-LV"/>
              </w:rPr>
              <w:t xml:space="preserve"> </w:t>
            </w:r>
            <w:r w:rsidRPr="00154F55">
              <w:rPr>
                <w:lang w:val="lv-LV"/>
              </w:rPr>
              <w:t xml:space="preserve">programmas ieviešanā tiks saglabāta nepārtrauktība un </w:t>
            </w:r>
            <w:proofErr w:type="spellStart"/>
            <w:r w:rsidRPr="00512731">
              <w:rPr>
                <w:i/>
                <w:iCs/>
                <w:lang w:val="lv-LV"/>
              </w:rPr>
              <w:t>Erasmus</w:t>
            </w:r>
            <w:proofErr w:type="spellEnd"/>
            <w:r w:rsidRPr="00512731">
              <w:rPr>
                <w:i/>
                <w:iCs/>
                <w:lang w:val="lv-LV"/>
              </w:rPr>
              <w:t>+</w:t>
            </w:r>
            <w:r w:rsidRPr="00512731">
              <w:rPr>
                <w:lang w:val="lv-LV"/>
              </w:rPr>
              <w:t xml:space="preserve"> kā efektīva aktivitāšu īstenošanas instrumenta loma ES politiskajā ietvarā. Horizontālās un </w:t>
            </w:r>
            <w:proofErr w:type="spellStart"/>
            <w:r w:rsidRPr="00512731">
              <w:rPr>
                <w:lang w:val="lv-LV"/>
              </w:rPr>
              <w:t>sektorālās</w:t>
            </w:r>
            <w:proofErr w:type="spellEnd"/>
            <w:r w:rsidRPr="00512731">
              <w:rPr>
                <w:lang w:val="lv-LV"/>
              </w:rPr>
              <w:t xml:space="preserve"> prioritātes vērtējamas kā atbilstošas un provizoris</w:t>
            </w:r>
            <w:r w:rsidRPr="000652F6">
              <w:rPr>
                <w:lang w:val="lv-LV"/>
              </w:rPr>
              <w:t xml:space="preserve">kais finansējuma pieaugums proporcionāls. Atzinīgi novērtējam </w:t>
            </w:r>
            <w:proofErr w:type="spellStart"/>
            <w:r w:rsidRPr="000652F6">
              <w:rPr>
                <w:lang w:val="lv-LV"/>
              </w:rPr>
              <w:t>starpsektoru</w:t>
            </w:r>
            <w:proofErr w:type="spellEnd"/>
            <w:r w:rsidRPr="000652F6">
              <w:rPr>
                <w:lang w:val="lv-LV"/>
              </w:rPr>
              <w:t xml:space="preserve"> sadarbības veicināšanu. Jaunatnes sektorā  priekšplānā tiek izvirzīta jauniešu ar ierobežotām iespējām mērķa grupa un darba ar jaunatni kvalitātes celšana.</w:t>
            </w:r>
          </w:p>
          <w:p w14:paraId="26E1A6CA" w14:textId="77777777" w:rsidR="00336F91" w:rsidRPr="00EE1E8A" w:rsidRDefault="00336F91" w:rsidP="00336F91">
            <w:pPr>
              <w:spacing w:before="120" w:after="120"/>
              <w:jc w:val="both"/>
              <w:rPr>
                <w:lang w:val="lv-LV"/>
              </w:rPr>
            </w:pPr>
            <w:r w:rsidRPr="000652F6">
              <w:rPr>
                <w:lang w:val="lv-LV"/>
              </w:rPr>
              <w:t xml:space="preserve">Tāpat Latvija 2020.gadā turpinās piedalīties </w:t>
            </w:r>
            <w:r w:rsidRPr="000652F6">
              <w:rPr>
                <w:u w:val="single"/>
                <w:lang w:val="lv-LV"/>
              </w:rPr>
              <w:t>pētniecības un inovāciju programmā “Apvārsnis 2020”</w:t>
            </w:r>
            <w:r w:rsidRPr="003111DB">
              <w:rPr>
                <w:lang w:val="lv-LV"/>
              </w:rPr>
              <w:t xml:space="preserve">. Kopumā ar Latvijas pārstāvju līdzdalību no 2014. gada līdz 2019. gada 1.jūnijam programmā “Apvārsnis 2020” ir iesniegti 2195 projektu pieteikumi, no kuriem virs kvalitātes sliekšņa novērtēti 818 projekti, bet finansējums piešķirts 301 projektam par kopējo summu 78,8 milj. EUR. Tie ir 0,17% no kopējā programmas “Apvārsnis 2020” finansējuma apjoma. Latvija visvairāk finansējuma </w:t>
            </w:r>
            <w:r w:rsidRPr="003111DB">
              <w:rPr>
                <w:lang w:val="lv-LV"/>
              </w:rPr>
              <w:lastRenderedPageBreak/>
              <w:t xml:space="preserve">piesaistījusi programmas “Apvārsnis 2020” sadaļā “Izcilības </w:t>
            </w:r>
            <w:r w:rsidRPr="00FF4FC0">
              <w:rPr>
                <w:lang w:val="lv-LV"/>
              </w:rPr>
              <w:t>izplatīšana un dalības paplašināšana (</w:t>
            </w:r>
            <w:proofErr w:type="spellStart"/>
            <w:r w:rsidRPr="00222336">
              <w:rPr>
                <w:i/>
                <w:lang w:val="lv-LV"/>
              </w:rPr>
              <w:t>Widening</w:t>
            </w:r>
            <w:proofErr w:type="spellEnd"/>
            <w:r w:rsidRPr="00222336">
              <w:rPr>
                <w:lang w:val="lv-LV"/>
              </w:rPr>
              <w:t>)” tēmā “Izcilu Eiropas zinātnisko institūciju sadarbība un apvienošana ar kolēģiem, kuru sniegums ir vājāks, lai izveidotu vai attīstītu izcilības centrus dalībvalstīs, kurās pētniecības sniegums atpaliek no l</w:t>
            </w:r>
            <w:r w:rsidRPr="006971D7">
              <w:rPr>
                <w:lang w:val="lv-LV"/>
              </w:rPr>
              <w:t>abākā Eiropas Savienībā (</w:t>
            </w:r>
            <w:proofErr w:type="spellStart"/>
            <w:r w:rsidRPr="006971D7">
              <w:rPr>
                <w:i/>
                <w:lang w:val="lv-LV"/>
              </w:rPr>
              <w:t>Teaming</w:t>
            </w:r>
            <w:proofErr w:type="spellEnd"/>
            <w:r w:rsidRPr="00725927">
              <w:rPr>
                <w:lang w:val="lv-LV"/>
              </w:rPr>
              <w:t xml:space="preserve">)” – 24,4 milj. EUR, taču tajā ir ierobežota konkurence, jo projektu pieteikumus iesniedz tikai “jaunās” Eiropas Savienības dalībvalstis (ES-14). Latvija programmas “Apvārsnis 2020” finansējumu veiksmīgi piesaistījusi šādās jomās – “Droša, tīra un efektīva enerģija” – 9,12 milj. EUR, “Pārtikas nodrošinājums, ilgtspējīga lauksaimniecība un mežsaimniecība, jūras, jūrlietu un iekšzemes ūdeņu izpēte un </w:t>
            </w:r>
            <w:proofErr w:type="spellStart"/>
            <w:r w:rsidRPr="00725927">
              <w:rPr>
                <w:lang w:val="lv-LV"/>
              </w:rPr>
              <w:t>bioekonomika</w:t>
            </w:r>
            <w:proofErr w:type="spellEnd"/>
            <w:r w:rsidRPr="00725927">
              <w:rPr>
                <w:lang w:val="lv-LV"/>
              </w:rPr>
              <w:t>”- 7,92 milj. EUR, “Informācijas un komunikācijas tehnoloģijas”- 7</w:t>
            </w:r>
            <w:r w:rsidRPr="00997106">
              <w:rPr>
                <w:lang w:val="lv-LV"/>
              </w:rPr>
              <w:t xml:space="preserve">,44 milj. EUR. Latvijas sekmība programmā “Apvārsnis 2020”, ja ņemam vērā visus iesniegtos projektus, ir 13,90%, ja ņemam vērā tikai </w:t>
            </w:r>
            <w:proofErr w:type="spellStart"/>
            <w:r w:rsidRPr="00997106">
              <w:rPr>
                <w:lang w:val="lv-LV"/>
              </w:rPr>
              <w:t>virssliekšņa</w:t>
            </w:r>
            <w:proofErr w:type="spellEnd"/>
            <w:r w:rsidRPr="00997106">
              <w:rPr>
                <w:lang w:val="lv-LV"/>
              </w:rPr>
              <w:t xml:space="preserve"> projektus, tad sekmība ir 36,80 %. Tātad finansējumu saņem aptuveni katrs trešais kvalitatīvi uzrakstītais pieteikums. Igaunijas sekmība ir 13,71 %, b</w:t>
            </w:r>
            <w:r w:rsidRPr="00A77487">
              <w:rPr>
                <w:lang w:val="lv-LV"/>
              </w:rPr>
              <w:t xml:space="preserve">et Lietuvas sekmība ir 12,95 %. </w:t>
            </w:r>
            <w:r w:rsidRPr="00DD06AA">
              <w:rPr>
                <w:lang w:val="lv-LV"/>
              </w:rPr>
              <w:t xml:space="preserve">Latvija atbalsta plānoto budžeta palielinājumu programmā “Apvārsnis 2020”. Tas dos lielāku iespēju paaugstināt Latvijas sekmības līmeni dalībā šajā programmā. </w:t>
            </w:r>
          </w:p>
          <w:p w14:paraId="39C8559F" w14:textId="77777777" w:rsidR="00336F91" w:rsidRPr="005A5F93" w:rsidRDefault="00336F91" w:rsidP="00336F91">
            <w:pPr>
              <w:spacing w:before="120" w:after="120"/>
              <w:jc w:val="both"/>
              <w:rPr>
                <w:i/>
                <w:lang w:val="lv-LV"/>
              </w:rPr>
            </w:pPr>
            <w:r w:rsidRPr="00EE1E8A">
              <w:rPr>
                <w:b/>
                <w:lang w:val="lv-LV"/>
              </w:rPr>
              <w:t xml:space="preserve">1.b </w:t>
            </w:r>
            <w:proofErr w:type="spellStart"/>
            <w:r w:rsidRPr="00EE1E8A">
              <w:rPr>
                <w:b/>
                <w:lang w:val="lv-LV"/>
              </w:rPr>
              <w:t>apakškategorija</w:t>
            </w:r>
            <w:proofErr w:type="spellEnd"/>
            <w:r w:rsidRPr="00EE1E8A">
              <w:rPr>
                <w:b/>
                <w:lang w:val="lv-LV"/>
              </w:rPr>
              <w:t xml:space="preserve"> „</w:t>
            </w:r>
            <w:r w:rsidRPr="00EE1E8A">
              <w:rPr>
                <w:b/>
                <w:szCs w:val="28"/>
                <w:lang w:val="lv-LV"/>
              </w:rPr>
              <w:t>Kohēzija</w:t>
            </w:r>
            <w:r w:rsidRPr="00EE1E8A">
              <w:rPr>
                <w:b/>
                <w:lang w:val="lv-LV"/>
              </w:rPr>
              <w:t xml:space="preserve"> izaugsmei un nodarbinātībai”</w:t>
            </w:r>
          </w:p>
          <w:p w14:paraId="2F625C69" w14:textId="5AC57749" w:rsidR="00506C7A" w:rsidRPr="003111DB" w:rsidRDefault="00506C7A" w:rsidP="00336F91">
            <w:pPr>
              <w:spacing w:before="120" w:after="120"/>
              <w:jc w:val="both"/>
              <w:rPr>
                <w:lang w:val="lv-LV"/>
              </w:rPr>
            </w:pPr>
            <w:r w:rsidRPr="00562B3F">
              <w:rPr>
                <w:lang w:val="lv-LV"/>
              </w:rPr>
              <w:t>2014. - 2020. gada plānošanas periodā, sekojot ES fondu</w:t>
            </w:r>
            <w:r w:rsidRPr="00EE1E8A">
              <w:rPr>
                <w:rStyle w:val="FootnoteReference"/>
                <w:lang w:val="lv-LV"/>
              </w:rPr>
              <w:footnoteReference w:id="9"/>
            </w:r>
            <w:r w:rsidRPr="00EE1E8A">
              <w:rPr>
                <w:lang w:val="lv-LV"/>
              </w:rPr>
              <w:t xml:space="preserve"> ieviešanas optimāla līmeņa sasniegšanai 2018.gadā un ievērojot iepriekšējā plānošanas periodā uzrādīto tautsaimniecības ES fondu izmantošanas kapacitāti, ES fondu investīciju temps 2020. gadā prognozēts līdzīgs, kā 2018. un 2019. gadā – valsts budžeta izdevumi 720,1 milj. EUR</w:t>
            </w:r>
            <w:r w:rsidRPr="00EE1E8A">
              <w:rPr>
                <w:i/>
                <w:lang w:val="lv-LV"/>
              </w:rPr>
              <w:t xml:space="preserve"> </w:t>
            </w:r>
            <w:r w:rsidRPr="005A5F93">
              <w:rPr>
                <w:lang w:val="lv-LV"/>
              </w:rPr>
              <w:t xml:space="preserve">(ESF un JNI –  </w:t>
            </w:r>
            <w:r w:rsidRPr="00562B3F">
              <w:rPr>
                <w:lang w:val="lv-LV"/>
              </w:rPr>
              <w:t>12</w:t>
            </w:r>
            <w:r>
              <w:rPr>
                <w:lang w:val="lv-LV"/>
              </w:rPr>
              <w:t>9,7</w:t>
            </w:r>
            <w:r w:rsidRPr="00562B3F">
              <w:rPr>
                <w:lang w:val="lv-LV"/>
              </w:rPr>
              <w:t xml:space="preserve"> milj. EUR, ERAF –  </w:t>
            </w:r>
            <w:r>
              <w:rPr>
                <w:lang w:val="lv-LV"/>
              </w:rPr>
              <w:t>388,0</w:t>
            </w:r>
            <w:r w:rsidRPr="00255C4F">
              <w:rPr>
                <w:lang w:val="lv-LV"/>
              </w:rPr>
              <w:t xml:space="preserve"> milj. EUR, KF –  </w:t>
            </w:r>
            <w:r>
              <w:rPr>
                <w:lang w:val="lv-LV"/>
              </w:rPr>
              <w:t>202,4</w:t>
            </w:r>
            <w:r w:rsidRPr="00154F55">
              <w:rPr>
                <w:lang w:val="lv-LV"/>
              </w:rPr>
              <w:t xml:space="preserve"> milj. EUR)</w:t>
            </w:r>
            <w:r w:rsidRPr="004062DB">
              <w:rPr>
                <w:lang w:val="lv-LV"/>
              </w:rPr>
              <w:t>, bet ieņēmumi 6</w:t>
            </w:r>
            <w:r>
              <w:rPr>
                <w:lang w:val="lv-LV"/>
              </w:rPr>
              <w:t>08,9</w:t>
            </w:r>
            <w:r w:rsidRPr="004062DB">
              <w:rPr>
                <w:lang w:val="lv-LV"/>
              </w:rPr>
              <w:t xml:space="preserve"> milj. EUR. </w:t>
            </w:r>
            <w:r w:rsidRPr="002946EA">
              <w:rPr>
                <w:lang w:val="lv-LV"/>
              </w:rPr>
              <w:t xml:space="preserve">(ESF un JNI –  </w:t>
            </w:r>
            <w:r>
              <w:rPr>
                <w:lang w:val="lv-LV"/>
              </w:rPr>
              <w:t>118,7</w:t>
            </w:r>
            <w:r w:rsidRPr="00512731">
              <w:rPr>
                <w:lang w:val="lv-LV"/>
              </w:rPr>
              <w:t xml:space="preserve"> milj. EUR, ERAF –  </w:t>
            </w:r>
            <w:r w:rsidRPr="000652F6">
              <w:rPr>
                <w:lang w:val="lv-LV"/>
              </w:rPr>
              <w:t>3</w:t>
            </w:r>
            <w:r>
              <w:rPr>
                <w:lang w:val="lv-LV"/>
              </w:rPr>
              <w:t>64,2</w:t>
            </w:r>
            <w:r w:rsidRPr="000652F6">
              <w:rPr>
                <w:lang w:val="lv-LV"/>
              </w:rPr>
              <w:t xml:space="preserve"> milj. EUR, KF –  1</w:t>
            </w:r>
            <w:r>
              <w:rPr>
                <w:lang w:val="lv-LV"/>
              </w:rPr>
              <w:t>26,0</w:t>
            </w:r>
            <w:r w:rsidRPr="000652F6">
              <w:rPr>
                <w:lang w:val="lv-LV"/>
              </w:rPr>
              <w:t xml:space="preserve"> milj. EUR). </w:t>
            </w:r>
          </w:p>
          <w:p w14:paraId="16B81812" w14:textId="77777777" w:rsidR="00336F91" w:rsidRPr="00EE1E8A" w:rsidRDefault="00336F91" w:rsidP="00336F91">
            <w:pPr>
              <w:spacing w:before="120" w:after="120"/>
              <w:jc w:val="both"/>
              <w:rPr>
                <w:lang w:val="lv-LV"/>
              </w:rPr>
            </w:pPr>
            <w:r w:rsidRPr="00FF4FC0">
              <w:rPr>
                <w:bCs/>
                <w:lang w:val="lv-LV"/>
              </w:rPr>
              <w:t>Savukārt  2007. - 2013. gada plānošanas period</w:t>
            </w:r>
            <w:r w:rsidRPr="00222336">
              <w:rPr>
                <w:bCs/>
                <w:lang w:val="lv-LV"/>
              </w:rPr>
              <w:t xml:space="preserve">a ietvaros papildu izdevumi un ieņēmumi nav plānoti, jo </w:t>
            </w:r>
            <w:r w:rsidRPr="006971D7">
              <w:rPr>
                <w:bCs/>
                <w:lang w:val="lv-LV"/>
              </w:rPr>
              <w:t xml:space="preserve">2018. gadā Latvija no EK ir saņēmusi atlikušos noslēguma maksājumus 197,4 milj. </w:t>
            </w:r>
            <w:r w:rsidRPr="00725927">
              <w:rPr>
                <w:bCs/>
                <w:lang w:val="lv-LV"/>
              </w:rPr>
              <w:t xml:space="preserve">EUR apmērā par </w:t>
            </w:r>
            <w:r w:rsidRPr="00997106">
              <w:rPr>
                <w:bCs/>
                <w:lang w:val="lv-LV"/>
              </w:rPr>
              <w:t>veiktām ES fondu investīcijām Latvijā,</w:t>
            </w:r>
            <w:r w:rsidRPr="00997106">
              <w:rPr>
                <w:b/>
                <w:bCs/>
                <w:lang w:val="lv-LV"/>
              </w:rPr>
              <w:t xml:space="preserve"> </w:t>
            </w:r>
            <w:r w:rsidRPr="00A77487">
              <w:rPr>
                <w:bCs/>
                <w:lang w:val="lv-LV"/>
              </w:rPr>
              <w:t>kas apliecina sekmīgu programmu mērķu sasniegšanu un pamatotu ES finansējuma pilnā 4,5 miljardu eiro apmērā izmantošanu.</w:t>
            </w:r>
          </w:p>
          <w:p w14:paraId="2F8035D8" w14:textId="77777777" w:rsidR="00336F91" w:rsidRPr="00EE1E8A" w:rsidRDefault="00336F91" w:rsidP="00336F91">
            <w:pPr>
              <w:spacing w:before="120" w:after="120"/>
              <w:jc w:val="both"/>
              <w:rPr>
                <w:lang w:val="lv-LV"/>
              </w:rPr>
            </w:pPr>
            <w:r w:rsidRPr="00EE1E8A">
              <w:rPr>
                <w:b/>
                <w:lang w:val="lv-LV"/>
              </w:rPr>
              <w:t>2.kategorijas „Ilgtspējīga izaugsme: dabas resursi”</w:t>
            </w:r>
            <w:r w:rsidRPr="00EE1E8A">
              <w:rPr>
                <w:lang w:val="lv-LV"/>
              </w:rPr>
              <w:t xml:space="preserve"> </w:t>
            </w:r>
          </w:p>
          <w:p w14:paraId="649E67FF" w14:textId="2C1DE5E0" w:rsidR="00336F91" w:rsidRPr="00154F55" w:rsidRDefault="00336F91" w:rsidP="00336F91">
            <w:pPr>
              <w:spacing w:before="120" w:after="120"/>
              <w:jc w:val="both"/>
              <w:rPr>
                <w:lang w:val="lv-LV"/>
              </w:rPr>
            </w:pPr>
            <w:r w:rsidRPr="00562B3F">
              <w:rPr>
                <w:lang w:val="lv-LV"/>
              </w:rPr>
              <w:t xml:space="preserve">- </w:t>
            </w:r>
            <w:r w:rsidRPr="00562B3F">
              <w:rPr>
                <w:i/>
                <w:lang w:val="lv-LV"/>
              </w:rPr>
              <w:t>Eiropas Lauksaimniecības garantiju fon</w:t>
            </w:r>
            <w:r w:rsidRPr="00255C4F">
              <w:rPr>
                <w:i/>
                <w:lang w:val="lv-LV"/>
              </w:rPr>
              <w:t xml:space="preserve">da </w:t>
            </w:r>
            <w:r w:rsidRPr="00255C4F">
              <w:rPr>
                <w:lang w:val="lv-LV"/>
              </w:rPr>
              <w:t xml:space="preserve">(ELGF) ietvaros finansējums valsts budžetā tiešajiem maksājumiem un lauksaimniecības tirgus pasākumiem 2020.gadam šobrīd tiek plānots aptuveni 314 milj. EUR apmērā, tai </w:t>
            </w:r>
            <w:r w:rsidR="00F035B5">
              <w:rPr>
                <w:lang w:val="lv-LV"/>
              </w:rPr>
              <w:t>skaitā tiešajiem maksājumiem 303</w:t>
            </w:r>
            <w:r w:rsidRPr="00255C4F">
              <w:rPr>
                <w:lang w:val="lv-LV"/>
              </w:rPr>
              <w:t xml:space="preserve"> milj. EUR. Savukārt ieņēmumi no ES plānoti aptuveni</w:t>
            </w:r>
            <w:r w:rsidRPr="00154F55">
              <w:rPr>
                <w:lang w:val="lv-LV"/>
              </w:rPr>
              <w:t xml:space="preserve"> 311 milj. EUR apmērā.</w:t>
            </w:r>
          </w:p>
          <w:p w14:paraId="2C089B3F" w14:textId="3A8668E6" w:rsidR="00336F91" w:rsidRPr="000652F6" w:rsidRDefault="00336F91" w:rsidP="00336F91">
            <w:pPr>
              <w:spacing w:before="120" w:after="120"/>
              <w:jc w:val="both"/>
              <w:rPr>
                <w:lang w:val="lv-LV"/>
              </w:rPr>
            </w:pPr>
            <w:r w:rsidRPr="00512731">
              <w:rPr>
                <w:lang w:val="lv-LV"/>
              </w:rPr>
              <w:t xml:space="preserve">- </w:t>
            </w:r>
            <w:r w:rsidRPr="00512731">
              <w:rPr>
                <w:i/>
                <w:lang w:val="lv-LV"/>
              </w:rPr>
              <w:t>Eiropas Lauksaimniecības fonda lauku attīstībai</w:t>
            </w:r>
            <w:r w:rsidRPr="000652F6">
              <w:rPr>
                <w:lang w:val="lv-LV"/>
              </w:rPr>
              <w:t xml:space="preserve"> (ELFLA) ietvaros finansējums valsts budžetā 2020.gadam </w:t>
            </w:r>
            <w:r w:rsidR="00F035B5">
              <w:rPr>
                <w:lang w:val="lv-LV"/>
              </w:rPr>
              <w:t>šobrīd tiek plānots aptuveni 208</w:t>
            </w:r>
            <w:r w:rsidRPr="000652F6">
              <w:rPr>
                <w:lang w:val="lv-LV"/>
              </w:rPr>
              <w:t xml:space="preserve"> milj. EUR apmērā. Savukārt ieņēmumi no ES plānoti aptuveni 141 milj. EUR</w:t>
            </w:r>
            <w:r w:rsidRPr="000652F6">
              <w:rPr>
                <w:i/>
                <w:lang w:val="lv-LV"/>
              </w:rPr>
              <w:t xml:space="preserve"> </w:t>
            </w:r>
            <w:r w:rsidRPr="000652F6">
              <w:rPr>
                <w:lang w:val="lv-LV"/>
              </w:rPr>
              <w:t>apmērā.</w:t>
            </w:r>
          </w:p>
          <w:p w14:paraId="61389228" w14:textId="19A8B8AA" w:rsidR="00336F91" w:rsidRPr="00222336" w:rsidRDefault="00336F91" w:rsidP="00336F91">
            <w:pPr>
              <w:spacing w:before="120" w:after="120"/>
              <w:jc w:val="both"/>
              <w:rPr>
                <w:lang w:val="lv-LV"/>
              </w:rPr>
            </w:pPr>
            <w:r w:rsidRPr="003111DB">
              <w:rPr>
                <w:lang w:val="lv-LV"/>
              </w:rPr>
              <w:t xml:space="preserve">- </w:t>
            </w:r>
            <w:r w:rsidRPr="003111DB">
              <w:rPr>
                <w:i/>
                <w:lang w:val="lv-LV"/>
              </w:rPr>
              <w:t>Eiropas Jūrl</w:t>
            </w:r>
            <w:r w:rsidRPr="00FF4FC0">
              <w:rPr>
                <w:i/>
                <w:lang w:val="lv-LV"/>
              </w:rPr>
              <w:t>ietu un Zivsaimniecības fonda</w:t>
            </w:r>
            <w:r w:rsidRPr="00FF4FC0">
              <w:rPr>
                <w:lang w:val="lv-LV"/>
              </w:rPr>
              <w:t xml:space="preserve"> (EJZF) ietvaros finansējums valsts budžetā 2020.gadam šobrīd tiek plānots aptuveni 3</w:t>
            </w:r>
            <w:r w:rsidR="00F035B5">
              <w:rPr>
                <w:lang w:val="lv-LV"/>
              </w:rPr>
              <w:t>7,0</w:t>
            </w:r>
            <w:r w:rsidRPr="00FF4FC0">
              <w:rPr>
                <w:lang w:val="lv-LV"/>
              </w:rPr>
              <w:t xml:space="preserve"> milj. EUR apmērā. Savukārt ieņēmumi no ES plānoti aptuveni 27 milj. EUR apmērā.</w:t>
            </w:r>
          </w:p>
          <w:p w14:paraId="524BF34E" w14:textId="77777777" w:rsidR="00336F91" w:rsidRPr="00EE1E8A" w:rsidRDefault="00336F91" w:rsidP="00336F91">
            <w:pPr>
              <w:spacing w:before="120" w:after="120"/>
              <w:jc w:val="both"/>
              <w:rPr>
                <w:lang w:val="lv-LV"/>
              </w:rPr>
            </w:pPr>
            <w:r w:rsidRPr="006971D7">
              <w:rPr>
                <w:lang w:val="lv-LV"/>
              </w:rPr>
              <w:t>Gan izdevumi ES fondu atbalsta maksājumiem, gan arī ieņēmumi no ES var mainīties atkarībā no pieteikumiem ES fondu atbalsta maksājumiem, uzņemtajām saistībām un projektu izpildes gaitas.</w:t>
            </w:r>
          </w:p>
          <w:p w14:paraId="46C1CAF5" w14:textId="77777777" w:rsidR="00336F91" w:rsidRPr="00EE1E8A" w:rsidRDefault="00336F91" w:rsidP="00336F91">
            <w:pPr>
              <w:spacing w:before="120" w:after="120"/>
              <w:jc w:val="both"/>
              <w:rPr>
                <w:b/>
                <w:lang w:val="lv-LV"/>
              </w:rPr>
            </w:pPr>
            <w:r w:rsidRPr="00EE1E8A">
              <w:rPr>
                <w:b/>
                <w:lang w:val="lv-LV"/>
              </w:rPr>
              <w:t>3. kategorija „Drošība un pilsonība”</w:t>
            </w:r>
          </w:p>
          <w:p w14:paraId="08AF79EC" w14:textId="77777777" w:rsidR="00D4127B" w:rsidRPr="00EE1E8A" w:rsidRDefault="00D4127B" w:rsidP="00D4127B">
            <w:pPr>
              <w:spacing w:before="120" w:after="120"/>
              <w:jc w:val="both"/>
              <w:rPr>
                <w:lang w:val="lv-LV"/>
              </w:rPr>
            </w:pPr>
            <w:r w:rsidRPr="00EE1E8A">
              <w:rPr>
                <w:lang w:val="lv-LV"/>
              </w:rPr>
              <w:t>Plānots, ka Tieslietu ministrijas padotības iestādes turpinās piedalīt</w:t>
            </w:r>
            <w:r w:rsidRPr="005A5F93">
              <w:rPr>
                <w:lang w:val="lv-LV"/>
              </w:rPr>
              <w:t>ies E</w:t>
            </w:r>
            <w:r w:rsidRPr="00562B3F">
              <w:rPr>
                <w:lang w:val="lv-LV"/>
              </w:rPr>
              <w:t xml:space="preserve">K programmā </w:t>
            </w:r>
            <w:r w:rsidRPr="00255C4F">
              <w:rPr>
                <w:lang w:val="lv-LV"/>
              </w:rPr>
              <w:t>„</w:t>
            </w:r>
            <w:r w:rsidRPr="00255C4F">
              <w:rPr>
                <w:i/>
                <w:lang w:val="lv-LV"/>
              </w:rPr>
              <w:t>Tiesiskums</w:t>
            </w:r>
            <w:r w:rsidRPr="00154F55">
              <w:rPr>
                <w:lang w:val="lv-LV"/>
              </w:rPr>
              <w:t xml:space="preserve">”, </w:t>
            </w:r>
            <w:r>
              <w:rPr>
                <w:lang w:val="lv-LV"/>
              </w:rPr>
              <w:t>kā arī programmā "</w:t>
            </w:r>
            <w:r w:rsidRPr="00E16699">
              <w:rPr>
                <w:lang w:val="lv-LV"/>
              </w:rPr>
              <w:t>Eiropas infrastruktūras savienošanas instrument</w:t>
            </w:r>
            <w:r>
              <w:rPr>
                <w:lang w:val="lv-LV"/>
              </w:rPr>
              <w:t xml:space="preserve">s" </w:t>
            </w:r>
            <w:r w:rsidRPr="00154F55">
              <w:rPr>
                <w:lang w:val="lv-LV"/>
              </w:rPr>
              <w:t xml:space="preserve">piesakot projektus programmas ietvaros izsludinātajos projektu konkursos. 2019. gadā ir uzsācies projekts </w:t>
            </w:r>
            <w:r w:rsidRPr="00512731">
              <w:rPr>
                <w:lang w:val="lv-LV"/>
              </w:rPr>
              <w:t>“Tiesiskās sadarbības attīstība krimināllietās</w:t>
            </w:r>
            <w:r w:rsidRPr="000652F6">
              <w:rPr>
                <w:lang w:val="lv-LV"/>
              </w:rPr>
              <w:t>”, kura kopējais budžets ir 97,1</w:t>
            </w:r>
            <w:r w:rsidRPr="003111DB">
              <w:rPr>
                <w:lang w:val="lv-LV"/>
              </w:rPr>
              <w:t> tūkst. EUR</w:t>
            </w:r>
            <w:r w:rsidRPr="00FF4FC0">
              <w:rPr>
                <w:lang w:val="lv-LV"/>
              </w:rPr>
              <w:t>, no tā E</w:t>
            </w:r>
            <w:r w:rsidRPr="00222336">
              <w:rPr>
                <w:lang w:val="lv-LV"/>
              </w:rPr>
              <w:t>K finansējums veido 77</w:t>
            </w:r>
            <w:r w:rsidRPr="00C358B6">
              <w:rPr>
                <w:lang w:val="lv-LV"/>
              </w:rPr>
              <w:t>,7 tūkst.</w:t>
            </w:r>
            <w:r w:rsidRPr="006971D7">
              <w:rPr>
                <w:lang w:val="lv-LV"/>
              </w:rPr>
              <w:t xml:space="preserve"> Tiesu administrācijas kā vadošā partnera daļa </w:t>
            </w:r>
            <w:r w:rsidRPr="00725927">
              <w:rPr>
                <w:lang w:val="lv-LV"/>
              </w:rPr>
              <w:t xml:space="preserve">projekta </w:t>
            </w:r>
            <w:r w:rsidRPr="00997106">
              <w:rPr>
                <w:lang w:val="lv-LV"/>
              </w:rPr>
              <w:t>“Tiesiskās sadarbības attīstība krimināllietās</w:t>
            </w:r>
            <w:r w:rsidRPr="00A77487">
              <w:rPr>
                <w:lang w:val="lv-LV"/>
              </w:rPr>
              <w:t xml:space="preserve">” </w:t>
            </w:r>
            <w:r w:rsidRPr="00DD06AA">
              <w:rPr>
                <w:lang w:val="lv-LV"/>
              </w:rPr>
              <w:t>budžetā ir 84,9 tūkst. EUR, no tā 67,9 tūkst. EUR veido EK</w:t>
            </w:r>
            <w:r w:rsidRPr="00F55374">
              <w:rPr>
                <w:lang w:val="lv-LV"/>
              </w:rPr>
              <w:t xml:space="preserve"> finansējums</w:t>
            </w:r>
            <w:r w:rsidRPr="00D67FB0">
              <w:rPr>
                <w:lang w:val="lv-LV"/>
              </w:rPr>
              <w:t xml:space="preserve">. </w:t>
            </w:r>
            <w:r>
              <w:rPr>
                <w:lang w:val="lv-LV"/>
              </w:rPr>
              <w:t xml:space="preserve">Saskaņā ar apstiprināto Ministru kabineta informatīvo ziņojumu </w:t>
            </w:r>
            <w:r w:rsidRPr="00D67FB0">
              <w:rPr>
                <w:lang w:val="lv-LV"/>
              </w:rPr>
              <w:t xml:space="preserve">2020. gadā Tiesu administrācijai projektā </w:t>
            </w:r>
            <w:r w:rsidRPr="00D67FB0">
              <w:rPr>
                <w:lang w:val="lv-LV"/>
              </w:rPr>
              <w:lastRenderedPageBreak/>
              <w:t>“</w:t>
            </w:r>
            <w:r w:rsidRPr="00D76FB5">
              <w:rPr>
                <w:lang w:val="lv-LV"/>
              </w:rPr>
              <w:t>Tiesiskās sadarbības attīstība krimināllietās” plānots EK finansējums 23,2 tūkst EUR apmērā.</w:t>
            </w:r>
            <w:r w:rsidRPr="005A2B67">
              <w:rPr>
                <w:lang w:val="lv-LV"/>
              </w:rPr>
              <w:t xml:space="preserve"> </w:t>
            </w:r>
            <w:r>
              <w:rPr>
                <w:lang w:val="lv-LV"/>
              </w:rPr>
              <w:t xml:space="preserve">Kā arī </w:t>
            </w:r>
            <w:r w:rsidRPr="005A2B67">
              <w:rPr>
                <w:lang w:val="lv-LV"/>
              </w:rPr>
              <w:t>2019. gad</w:t>
            </w:r>
            <w:r>
              <w:rPr>
                <w:lang w:val="lv-LV"/>
              </w:rPr>
              <w:t>a 1. oktobrī</w:t>
            </w:r>
            <w:r w:rsidRPr="005A2B67">
              <w:rPr>
                <w:lang w:val="lv-LV"/>
              </w:rPr>
              <w:t xml:space="preserve"> tik</w:t>
            </w:r>
            <w:r>
              <w:rPr>
                <w:lang w:val="lv-LV"/>
              </w:rPr>
              <w:t>a</w:t>
            </w:r>
            <w:r w:rsidRPr="005A2B67">
              <w:rPr>
                <w:lang w:val="lv-LV"/>
              </w:rPr>
              <w:t xml:space="preserve"> uzsākts Tiesu administrācijas projekts “E-tiesiskuma inovācijas”, kur</w:t>
            </w:r>
            <w:r>
              <w:rPr>
                <w:lang w:val="lv-LV"/>
              </w:rPr>
              <w:t>š tiks īstenots līdz 2021. gada 30. septembrim, un kur</w:t>
            </w:r>
            <w:r w:rsidRPr="005A2B67">
              <w:rPr>
                <w:lang w:val="lv-LV"/>
              </w:rPr>
              <w:t xml:space="preserve">a kopējais finansējums veido 241,9 tūkst. EUR, kur no EK tiks saņemts līdzfinansējums 193,5 tūkst. EUR apmērā, bet </w:t>
            </w:r>
            <w:r>
              <w:rPr>
                <w:lang w:val="lv-LV"/>
              </w:rPr>
              <w:t xml:space="preserve">saskaņā ar apstiprināto Ministru kabineta informatīvo ziņojumu </w:t>
            </w:r>
            <w:r w:rsidRPr="005A2B67">
              <w:rPr>
                <w:lang w:val="lv-LV"/>
              </w:rPr>
              <w:t>2020. gadā plānots</w:t>
            </w:r>
            <w:r w:rsidRPr="00EE1E8A">
              <w:rPr>
                <w:lang w:val="lv-LV"/>
              </w:rPr>
              <w:t xml:space="preserve"> EK finansējums 79,6 tūkst. EUR apmērā. 2019. gad</w:t>
            </w:r>
            <w:r>
              <w:rPr>
                <w:lang w:val="lv-LV"/>
              </w:rPr>
              <w:t>a 1. septembrī (tiks īstenos līdz 2020. gada 31. augustam) ir</w:t>
            </w:r>
            <w:r w:rsidRPr="00EE1E8A">
              <w:rPr>
                <w:lang w:val="lv-LV"/>
              </w:rPr>
              <w:t xml:space="preserve"> uzsākt</w:t>
            </w:r>
            <w:r>
              <w:rPr>
                <w:lang w:val="lv-LV"/>
              </w:rPr>
              <w:t>a</w:t>
            </w:r>
            <w:r w:rsidRPr="00EE1E8A">
              <w:rPr>
                <w:lang w:val="lv-LV"/>
              </w:rPr>
              <w:t xml:space="preserve"> projekt</w:t>
            </w:r>
            <w:r>
              <w:rPr>
                <w:lang w:val="lv-LV"/>
              </w:rPr>
              <w:t>a</w:t>
            </w:r>
            <w:r w:rsidRPr="00EE1E8A">
              <w:rPr>
                <w:lang w:val="lv-LV"/>
              </w:rPr>
              <w:t xml:space="preserve"> “</w:t>
            </w:r>
            <w:bookmarkStart w:id="2" w:name="OLE_LINK1"/>
            <w:r w:rsidRPr="00EE1E8A">
              <w:rPr>
                <w:lang w:val="lv-LV"/>
              </w:rPr>
              <w:t>E-pierādījumu platformas izstrāde</w:t>
            </w:r>
            <w:bookmarkEnd w:id="2"/>
            <w:r w:rsidRPr="00EE1E8A">
              <w:rPr>
                <w:lang w:val="lv-LV"/>
              </w:rPr>
              <w:t>”</w:t>
            </w:r>
            <w:r>
              <w:rPr>
                <w:lang w:val="lv-LV"/>
              </w:rPr>
              <w:t xml:space="preserve"> īstenošana</w:t>
            </w:r>
            <w:r w:rsidRPr="00EE1E8A">
              <w:rPr>
                <w:lang w:val="lv-LV"/>
              </w:rPr>
              <w:t xml:space="preserve">, kura kopējais finansējums plānots 221,3 tūkst. EUR, no tā EK finansējums 166 tūkst. EUR, bet </w:t>
            </w:r>
            <w:r>
              <w:rPr>
                <w:lang w:val="lv-LV"/>
              </w:rPr>
              <w:t xml:space="preserve">saskaņā ar apstiprināto Ministru kabineta informatīvo ziņojumu </w:t>
            </w:r>
            <w:r w:rsidRPr="00EE1E8A">
              <w:rPr>
                <w:lang w:val="lv-LV"/>
              </w:rPr>
              <w:t>2020. gadā plānotais EK finansējums plānots 63,6 tūkst. EUR apmērā. Papildus jau minētajam informējam, ka Tieslietu ministrijas padotības iestāde – Tiesu administrācija – ir pieteikus</w:t>
            </w:r>
            <w:r>
              <w:rPr>
                <w:lang w:val="lv-LV"/>
              </w:rPr>
              <w:t>ies</w:t>
            </w:r>
            <w:r w:rsidRPr="00EE1E8A">
              <w:rPr>
                <w:lang w:val="lv-LV"/>
              </w:rPr>
              <w:t xml:space="preserve"> programmas </w:t>
            </w:r>
            <w:r w:rsidRPr="00EE1E8A">
              <w:rPr>
                <w:i/>
                <w:iCs/>
                <w:lang w:val="lv-LV"/>
              </w:rPr>
              <w:t>“Tiesiskums”</w:t>
            </w:r>
            <w:r w:rsidRPr="00EE1E8A">
              <w:rPr>
                <w:lang w:val="lv-LV"/>
              </w:rPr>
              <w:t xml:space="preserve"> ietvaros. </w:t>
            </w:r>
          </w:p>
          <w:p w14:paraId="585A5C4F" w14:textId="77777777" w:rsidR="00D4127B" w:rsidRPr="00EE1E8A" w:rsidRDefault="00D4127B" w:rsidP="00336F91">
            <w:pPr>
              <w:spacing w:before="120" w:after="120"/>
              <w:jc w:val="both"/>
              <w:rPr>
                <w:lang w:val="lv-LV"/>
              </w:rPr>
            </w:pPr>
          </w:p>
          <w:p w14:paraId="2C2EAD48" w14:textId="77777777" w:rsidR="00336F91" w:rsidRPr="00EE1E8A" w:rsidRDefault="00336F91" w:rsidP="00336F91">
            <w:pPr>
              <w:keepNext/>
              <w:spacing w:before="120" w:after="120"/>
              <w:jc w:val="both"/>
              <w:outlineLvl w:val="1"/>
              <w:rPr>
                <w:lang w:val="lv-LV"/>
              </w:rPr>
            </w:pPr>
            <w:r w:rsidRPr="00EE1E8A">
              <w:rPr>
                <w:lang w:val="lv-LV"/>
              </w:rPr>
              <w:t>ES programmas „</w:t>
            </w:r>
            <w:r w:rsidRPr="00EE1E8A">
              <w:rPr>
                <w:i/>
                <w:lang w:val="lv-LV"/>
              </w:rPr>
              <w:t>Eiropa pilsoņiem</w:t>
            </w:r>
            <w:r w:rsidRPr="00EE1E8A">
              <w:rPr>
                <w:lang w:val="lv-LV"/>
              </w:rPr>
              <w:t xml:space="preserve">” (2014-2020) pamatmērķis ir veidot aktīvu pilsonisko līdzdalību sabiedriskajos procesos. </w:t>
            </w:r>
            <w:r w:rsidRPr="00562B3F">
              <w:rPr>
                <w:lang w:val="lv-LV"/>
              </w:rPr>
              <w:t>Šobrīd 201</w:t>
            </w:r>
            <w:r w:rsidRPr="00255C4F">
              <w:rPr>
                <w:lang w:val="lv-LV"/>
              </w:rPr>
              <w:t xml:space="preserve">9.gada pirmajā uzsaukumā </w:t>
            </w:r>
            <w:r w:rsidRPr="00154F55">
              <w:rPr>
                <w:lang w:val="lv-LV"/>
              </w:rPr>
              <w:t xml:space="preserve">Pilsētu sadraudzība (1.februāris) </w:t>
            </w:r>
            <w:r w:rsidRPr="00512731">
              <w:rPr>
                <w:lang w:val="lv-LV"/>
              </w:rPr>
              <w:t>zināms, ka atbalstīti 2 projekt</w:t>
            </w:r>
            <w:r w:rsidRPr="000652F6">
              <w:rPr>
                <w:lang w:val="lv-LV"/>
              </w:rPr>
              <w:t>i no Latvijas. Citos 1.februāra uzsaukumos un 1.marta uzsaukumos rezultāti vēl tiek gaidīti</w:t>
            </w:r>
            <w:r w:rsidRPr="003111DB">
              <w:rPr>
                <w:lang w:val="lv-LV"/>
              </w:rPr>
              <w:t>. Pared</w:t>
            </w:r>
            <w:r w:rsidRPr="00FF4FC0">
              <w:rPr>
                <w:lang w:val="lv-LV"/>
              </w:rPr>
              <w:t xml:space="preserve">zams, ka tie varētu būt vēl divi atbalstīti </w:t>
            </w:r>
            <w:r w:rsidRPr="00222336">
              <w:rPr>
                <w:lang w:val="lv-LV"/>
              </w:rPr>
              <w:t>projekti,</w:t>
            </w:r>
            <w:r w:rsidRPr="00C358B6">
              <w:rPr>
                <w:lang w:val="lv-LV"/>
              </w:rPr>
              <w:t xml:space="preserve"> k</w:t>
            </w:r>
            <w:r w:rsidRPr="006971D7">
              <w:rPr>
                <w:lang w:val="lv-LV"/>
              </w:rPr>
              <w:t>urus kā vadošā iestāde iesniegusi Latvijas organizācija</w:t>
            </w:r>
            <w:r w:rsidRPr="00725927">
              <w:rPr>
                <w:lang w:val="lv-LV"/>
              </w:rPr>
              <w:t xml:space="preserve">. Savukārt kā sadarbības partneri sagaidāms, ka kopumā varētu tikt atbalstīti vairāk nekā 20 Latvijas pārstāvēto organizāciju projekti. </w:t>
            </w:r>
            <w:r w:rsidRPr="00997106">
              <w:rPr>
                <w:lang w:val="lv-LV"/>
              </w:rPr>
              <w:t xml:space="preserve">Papildus septembrī būs otrā uzsaukuma kārta dažiem programmas </w:t>
            </w:r>
            <w:proofErr w:type="spellStart"/>
            <w:r w:rsidRPr="00997106">
              <w:rPr>
                <w:lang w:val="lv-LV"/>
              </w:rPr>
              <w:t>apakšpasākumiem</w:t>
            </w:r>
            <w:proofErr w:type="spellEnd"/>
            <w:r w:rsidRPr="00997106">
              <w:rPr>
                <w:lang w:val="lv-LV"/>
              </w:rPr>
              <w:t>. 2019</w:t>
            </w:r>
            <w:r w:rsidRPr="00A77487">
              <w:rPr>
                <w:lang w:val="lv-LV"/>
              </w:rPr>
              <w:t>.gadā no Latvijas, kā vadošie partneri varētu tikt atbalstīti kopā</w:t>
            </w:r>
            <w:r w:rsidRPr="00DD06AA">
              <w:rPr>
                <w:lang w:val="lv-LV"/>
              </w:rPr>
              <w:t xml:space="preserve"> 6 projekti ar kopējo atbalsta summu ap 300 tūkst. EUR. 20</w:t>
            </w:r>
            <w:r w:rsidRPr="00F55374">
              <w:rPr>
                <w:lang w:val="lv-LV"/>
              </w:rPr>
              <w:t xml:space="preserve">20.gadā plānots, ka no Latvijas, kā vadošie partneri, varētu tikt atbalstīti </w:t>
            </w:r>
            <w:r w:rsidRPr="00D67FB0">
              <w:rPr>
                <w:lang w:val="lv-LV"/>
              </w:rPr>
              <w:t xml:space="preserve">5 projekti ar kopējo atbalsta summu – 200 tūkst. EUR. </w:t>
            </w:r>
          </w:p>
          <w:p w14:paraId="15BA78A7" w14:textId="77777777" w:rsidR="00336F91" w:rsidRPr="00EE1E8A" w:rsidRDefault="00336F91" w:rsidP="00336F91">
            <w:pPr>
              <w:keepNext/>
              <w:spacing w:before="120" w:after="120"/>
              <w:jc w:val="both"/>
              <w:outlineLvl w:val="1"/>
              <w:rPr>
                <w:b/>
                <w:bCs/>
                <w:i/>
                <w:iCs/>
                <w:sz w:val="28"/>
                <w:szCs w:val="28"/>
                <w:lang w:val="lv-LV"/>
              </w:rPr>
            </w:pPr>
            <w:r w:rsidRPr="00EE1E8A">
              <w:rPr>
                <w:lang w:val="lv-LV"/>
              </w:rPr>
              <w:t>ES programma „</w:t>
            </w:r>
            <w:r w:rsidRPr="00EE1E8A">
              <w:rPr>
                <w:i/>
                <w:lang w:val="lv-LV"/>
              </w:rPr>
              <w:t>Radošā Eiropa</w:t>
            </w:r>
            <w:r w:rsidRPr="00EE1E8A">
              <w:rPr>
                <w:lang w:val="lv-LV"/>
              </w:rPr>
              <w:t xml:space="preserve">” (2014 – 2020) paredz atbalstu kultūras, radošo jomu un </w:t>
            </w:r>
            <w:r w:rsidRPr="005A5F93">
              <w:rPr>
                <w:lang w:val="lv-LV"/>
              </w:rPr>
              <w:t>audiovizuālā sektora organizāciju un institūciju projektu īstenošanai. Programma iedalās divās apakšprogrammās – „</w:t>
            </w:r>
            <w:r w:rsidRPr="00562B3F">
              <w:rPr>
                <w:i/>
                <w:lang w:val="lv-LV"/>
              </w:rPr>
              <w:t>Kultūra</w:t>
            </w:r>
            <w:r w:rsidRPr="00562B3F">
              <w:rPr>
                <w:lang w:val="lv-LV"/>
              </w:rPr>
              <w:t>” un „</w:t>
            </w:r>
            <w:proofErr w:type="spellStart"/>
            <w:r w:rsidRPr="00255C4F">
              <w:rPr>
                <w:i/>
                <w:lang w:val="lv-LV"/>
              </w:rPr>
              <w:t>Media</w:t>
            </w:r>
            <w:proofErr w:type="spellEnd"/>
            <w:r w:rsidRPr="00255C4F">
              <w:rPr>
                <w:lang w:val="lv-LV"/>
              </w:rPr>
              <w:t>”. Ņemot vērā līdzšinējos konkursu rezultātus, 201</w:t>
            </w:r>
            <w:r w:rsidRPr="00154F55">
              <w:rPr>
                <w:lang w:val="lv-LV"/>
              </w:rPr>
              <w:t>9.gadā apakšprogrammas „</w:t>
            </w:r>
            <w:r w:rsidRPr="00512731">
              <w:rPr>
                <w:i/>
                <w:lang w:val="lv-LV"/>
              </w:rPr>
              <w:t>Kultūra</w:t>
            </w:r>
            <w:r w:rsidRPr="00512731">
              <w:rPr>
                <w:lang w:val="lv-LV"/>
              </w:rPr>
              <w:t>” ietvaros jau ir atbalstīt</w:t>
            </w:r>
            <w:r w:rsidRPr="000652F6">
              <w:rPr>
                <w:lang w:val="lv-LV"/>
              </w:rPr>
              <w:t>i astoņi projekt</w:t>
            </w:r>
            <w:r w:rsidRPr="003111DB">
              <w:rPr>
                <w:lang w:val="lv-LV"/>
              </w:rPr>
              <w:t>i ar Latvijas organizācijas līdzdalību</w:t>
            </w:r>
            <w:r w:rsidRPr="00FF4FC0">
              <w:rPr>
                <w:lang w:val="lv-LV"/>
              </w:rPr>
              <w:t xml:space="preserve"> (no kuriem divi – vadošie partneri). Plānots, ka šogad vēl  </w:t>
            </w:r>
            <w:r w:rsidRPr="00222336">
              <w:rPr>
                <w:lang w:val="lv-LV"/>
              </w:rPr>
              <w:t>viena organizācija no Latvijas varētu būt dalībniece projekt</w:t>
            </w:r>
            <w:r w:rsidRPr="00C358B6">
              <w:rPr>
                <w:lang w:val="lv-LV"/>
              </w:rPr>
              <w:t>ā (Literatūras tulkojumi)</w:t>
            </w:r>
            <w:r w:rsidRPr="006971D7">
              <w:rPr>
                <w:lang w:val="lv-LV"/>
              </w:rPr>
              <w:t xml:space="preserve">, ko atbalstījusi Eiropas Komisija. Apakšprogrammas </w:t>
            </w:r>
            <w:r w:rsidRPr="006971D7">
              <w:rPr>
                <w:i/>
                <w:lang w:val="lv-LV"/>
              </w:rPr>
              <w:t>„Kultūra”</w:t>
            </w:r>
            <w:r w:rsidRPr="00725927">
              <w:rPr>
                <w:lang w:val="lv-LV"/>
              </w:rPr>
              <w:t xml:space="preserve"> atbalstītajos </w:t>
            </w:r>
            <w:r w:rsidRPr="00997106">
              <w:rPr>
                <w:color w:val="000000"/>
                <w:lang w:val="lv-LV"/>
              </w:rPr>
              <w:t xml:space="preserve">projektos piedalās vairāku valstu organizācijas, tādēļ nav iespējams atsevišķi izdalīt Latvijas organizāciju saņemto finansējumu. Kopējais plānotais finansējuma apjoms projektiem, kuros kopā ar citu valstu organizācijām piedalās Latvijas kultūras organizācijas, varētu sasniegt </w:t>
            </w:r>
            <w:r w:rsidRPr="00A77487">
              <w:rPr>
                <w:color w:val="000000"/>
                <w:lang w:val="lv-LV"/>
              </w:rPr>
              <w:t>6 milj. EUR. 20</w:t>
            </w:r>
            <w:r w:rsidRPr="00DD06AA">
              <w:rPr>
                <w:color w:val="000000"/>
                <w:lang w:val="lv-LV"/>
              </w:rPr>
              <w:t xml:space="preserve">20.gadā apakšprogrammas “Kultūra” ietvaros varētu tikt atbalstīti 7 projekti ar Latvijas organizāciju līdzdalību par aptuveni 5 milj. EUR. </w:t>
            </w:r>
            <w:r w:rsidRPr="00DD06AA">
              <w:rPr>
                <w:lang w:val="lv-LV"/>
              </w:rPr>
              <w:t>Apakšprogrammas „</w:t>
            </w:r>
            <w:proofErr w:type="spellStart"/>
            <w:r w:rsidRPr="00DD06AA">
              <w:rPr>
                <w:i/>
                <w:lang w:val="lv-LV"/>
              </w:rPr>
              <w:t>Media</w:t>
            </w:r>
            <w:proofErr w:type="spellEnd"/>
            <w:r w:rsidRPr="00F55374">
              <w:rPr>
                <w:lang w:val="lv-LV"/>
              </w:rPr>
              <w:t>” ietvaros 2019</w:t>
            </w:r>
            <w:r w:rsidRPr="00D67FB0">
              <w:rPr>
                <w:lang w:val="lv-LV"/>
              </w:rPr>
              <w:t>.gadā jau ir atbalstīti 3</w:t>
            </w:r>
            <w:r w:rsidRPr="00D76FB5">
              <w:rPr>
                <w:lang w:val="lv-LV"/>
              </w:rPr>
              <w:t xml:space="preserve"> Latvijas proj</w:t>
            </w:r>
            <w:r w:rsidRPr="005A2B67">
              <w:rPr>
                <w:lang w:val="lv-LV"/>
              </w:rPr>
              <w:t xml:space="preserve">ekti, piesaistot finansējumu  70,4 tūkst. EUR apmērā. 2019. gadā varētu tikt atbalstīti 10 – 12 projekti ar kopējo piesaistīto finansējumu 350 tūkst. EUR apmērā.  Apakšprogrammas </w:t>
            </w:r>
            <w:r w:rsidRPr="00EE1E8A">
              <w:rPr>
                <w:i/>
                <w:lang w:val="lv-LV"/>
              </w:rPr>
              <w:t>“</w:t>
            </w:r>
            <w:proofErr w:type="spellStart"/>
            <w:r w:rsidRPr="00EE1E8A">
              <w:rPr>
                <w:i/>
                <w:lang w:val="lv-LV"/>
              </w:rPr>
              <w:t>Media</w:t>
            </w:r>
            <w:proofErr w:type="spellEnd"/>
            <w:r w:rsidRPr="00EE1E8A">
              <w:rPr>
                <w:i/>
                <w:lang w:val="lv-LV"/>
              </w:rPr>
              <w:t>”</w:t>
            </w:r>
            <w:r w:rsidRPr="00EE1E8A">
              <w:rPr>
                <w:lang w:val="lv-LV"/>
              </w:rPr>
              <w:t xml:space="preserve"> statistikā tiek rēķināts Latvijas kā vadošo partneru piesaistītais finansējums. Un līdz 2019. gada beigām atbalstu varētu saņemt vēl 6 – 7 Latvijas audiovizuāli projekti. 2020. gadā varētu tikt atbalstīti 8 – 10 projekti ar kopējo piesaistīto finansējumu 300 tūkst. </w:t>
            </w:r>
          </w:p>
          <w:p w14:paraId="0692DACF" w14:textId="77777777" w:rsidR="000B27A1" w:rsidRPr="00D761BD" w:rsidRDefault="000B27A1" w:rsidP="000B27A1">
            <w:pPr>
              <w:spacing w:before="120" w:after="120"/>
              <w:contextualSpacing/>
              <w:jc w:val="both"/>
              <w:rPr>
                <w:lang w:val="lv-LV" w:eastAsia="lv-LV"/>
              </w:rPr>
            </w:pPr>
            <w:r w:rsidRPr="00D761BD">
              <w:rPr>
                <w:szCs w:val="28"/>
                <w:lang w:val="lv-LV" w:eastAsia="lv-LV"/>
              </w:rPr>
              <w:t xml:space="preserve">No 2014.gada līdz 2020.gadam </w:t>
            </w:r>
            <w:proofErr w:type="spellStart"/>
            <w:r w:rsidRPr="00D761BD">
              <w:rPr>
                <w:i/>
                <w:szCs w:val="28"/>
                <w:lang w:val="lv-LV" w:eastAsia="lv-LV"/>
              </w:rPr>
              <w:t>iekšlietu</w:t>
            </w:r>
            <w:proofErr w:type="spellEnd"/>
            <w:r w:rsidRPr="00D761BD">
              <w:rPr>
                <w:i/>
                <w:szCs w:val="28"/>
                <w:lang w:val="lv-LV" w:eastAsia="lv-LV"/>
              </w:rPr>
              <w:t xml:space="preserve"> jomā ir spēkā ES fondi – Iekšējās drošības fonds (IDF) un Patvēruma, migrācijas un integrācijas fonds (PMIF)</w:t>
            </w:r>
            <w:r w:rsidRPr="00D761BD">
              <w:rPr>
                <w:szCs w:val="28"/>
                <w:lang w:val="lv-LV" w:eastAsia="lv-LV"/>
              </w:rPr>
              <w:t xml:space="preserve">. Iekšējās drošības fonds ir sadalīts 2 finanšu rīkos – Iekšējās drošības fonds – robežas/vīza un Iekšējās drošības fonds – policijas sadarbība. </w:t>
            </w:r>
          </w:p>
          <w:p w14:paraId="4AE0E61B" w14:textId="77777777" w:rsidR="000B27A1" w:rsidRPr="00D761BD" w:rsidRDefault="000B27A1" w:rsidP="000B27A1">
            <w:pPr>
              <w:spacing w:before="120" w:after="120"/>
              <w:contextualSpacing/>
              <w:jc w:val="both"/>
              <w:rPr>
                <w:lang w:val="lv-LV" w:eastAsia="lv-LV"/>
              </w:rPr>
            </w:pPr>
            <w:r w:rsidRPr="00D761BD">
              <w:rPr>
                <w:szCs w:val="28"/>
                <w:lang w:val="lv-LV" w:eastAsia="lv-LV"/>
              </w:rPr>
              <w:t xml:space="preserve">2019.gadā fondu ietvaros EK piešķirtais finansējums Latvijai ir 12,55 milj. EUR, no tā IDF-robežas/vīza ietvaros 7,9 milj. EUR, IDF-policijas sadarbība ietvaros 2,4 milj. EUR un PMIF ietvaros 2,25 milj. EUR. Savukārt šobrīd, 2020.gadā, fondu ietvaros EK plānotais finansējums Latvijai ir 10,05 milj. EUR, no tā IDF-robežas/vīza ietvaros 5,4 milj. EUR, IDF-policijas sadarbība ietvaros 2,4 milj. EUR un PMIF ietvaros 2,25 EUR. </w:t>
            </w:r>
          </w:p>
          <w:p w14:paraId="30E86869" w14:textId="77777777" w:rsidR="000B27A1" w:rsidRPr="00D761BD" w:rsidRDefault="000B27A1" w:rsidP="000B27A1">
            <w:pPr>
              <w:spacing w:before="120" w:after="120"/>
              <w:contextualSpacing/>
              <w:jc w:val="both"/>
              <w:rPr>
                <w:lang w:val="lv-LV" w:eastAsia="lv-LV"/>
              </w:rPr>
            </w:pPr>
            <w:r w:rsidRPr="00D761BD">
              <w:rPr>
                <w:szCs w:val="28"/>
                <w:lang w:val="lv-LV" w:eastAsia="lv-LV"/>
              </w:rPr>
              <w:t xml:space="preserve">2019.gada beigās Latvijas pieprasītais maksājums par 2019.finanšu gadu ir 5,74 milj. EUR, no tā IDF-robežas/vīza ietvaros 1,9 milj. EUR, IDF-policijas sadarbība ietvaros 2,9 milj. EUR, PMIF ietvaros 0,94 milj. EUR. </w:t>
            </w:r>
          </w:p>
          <w:p w14:paraId="5EFA4C60" w14:textId="77777777" w:rsidR="000B27A1" w:rsidRPr="00D761BD" w:rsidRDefault="000B27A1" w:rsidP="000B27A1">
            <w:pPr>
              <w:spacing w:before="120" w:after="120"/>
              <w:contextualSpacing/>
              <w:jc w:val="both"/>
              <w:rPr>
                <w:lang w:val="lv-LV" w:eastAsia="lv-LV"/>
              </w:rPr>
            </w:pPr>
            <w:r w:rsidRPr="00D761BD">
              <w:rPr>
                <w:szCs w:val="28"/>
                <w:lang w:val="lv-LV" w:eastAsia="lv-LV"/>
              </w:rPr>
              <w:t xml:space="preserve">No īstenošanas uzsākšanas līdz 2019.gada 31.augustam Latvija IDF un PMIF regulāro projektu ietvaros ir apguvusi ~ 28,6 milj. EUR, no tā ES finansējums veido ~ 21,7 milj. EUR. </w:t>
            </w:r>
          </w:p>
          <w:p w14:paraId="4350DC9C" w14:textId="77777777" w:rsidR="000B27A1" w:rsidRPr="00EE1E8A" w:rsidRDefault="000B27A1" w:rsidP="000B27A1">
            <w:pPr>
              <w:spacing w:before="120" w:after="120"/>
              <w:contextualSpacing/>
              <w:jc w:val="both"/>
              <w:rPr>
                <w:lang w:val="lv-LV"/>
              </w:rPr>
            </w:pPr>
            <w:r w:rsidRPr="00D761BD">
              <w:rPr>
                <w:szCs w:val="28"/>
                <w:lang w:val="lv-LV" w:eastAsia="lv-LV"/>
              </w:rPr>
              <w:lastRenderedPageBreak/>
              <w:t>2020.gada beigās Latvijas plānotais pieprasāmais maksājums par 2020.finanšu gadu būs 8,8 milj. EUR apmērā, no tā IDF-robežas/vīza ietvaros aptuveni 5,5 milj. EUR, IDF-policijas sadarbība ietvaros aptuveni 1,8 milj. EUR un PMIF ietvaros aptuveni 1,5 milj. EUR.</w:t>
            </w:r>
            <w:r w:rsidRPr="00EE1E8A">
              <w:rPr>
                <w:szCs w:val="28"/>
                <w:lang w:val="lv-LV"/>
              </w:rPr>
              <w:t xml:space="preserve"> </w:t>
            </w:r>
          </w:p>
          <w:p w14:paraId="20AAEB25" w14:textId="77777777" w:rsidR="000B27A1" w:rsidRPr="00EE1E8A" w:rsidRDefault="000B27A1" w:rsidP="00336F91">
            <w:pPr>
              <w:spacing w:before="120" w:after="120"/>
              <w:contextualSpacing/>
              <w:jc w:val="both"/>
              <w:rPr>
                <w:lang w:val="lv-LV"/>
              </w:rPr>
            </w:pPr>
          </w:p>
          <w:p w14:paraId="03C1F1CA" w14:textId="77777777" w:rsidR="00336F91" w:rsidRPr="00EE1E8A" w:rsidRDefault="00336F91" w:rsidP="00336F91">
            <w:pPr>
              <w:spacing w:before="120" w:after="120"/>
              <w:jc w:val="both"/>
              <w:rPr>
                <w:b/>
                <w:color w:val="FF0000"/>
                <w:lang w:val="lv-LV"/>
              </w:rPr>
            </w:pPr>
            <w:r w:rsidRPr="00EE1E8A">
              <w:rPr>
                <w:b/>
                <w:lang w:val="lv-LV"/>
              </w:rPr>
              <w:t>4.kategorija „Globālā Eiropa”</w:t>
            </w:r>
          </w:p>
          <w:p w14:paraId="2DC220ED" w14:textId="42657886" w:rsidR="00336F91" w:rsidRPr="006971D7" w:rsidRDefault="00336F91" w:rsidP="00336F91">
            <w:pPr>
              <w:spacing w:before="120" w:after="120"/>
              <w:jc w:val="both"/>
              <w:rPr>
                <w:lang w:val="lv-LV"/>
              </w:rPr>
            </w:pPr>
            <w:r w:rsidRPr="00562B3F">
              <w:rPr>
                <w:lang w:val="lv-LV"/>
              </w:rPr>
              <w:t>Latvija tieši nepiedalās konkrētās 4.kategorijas programmās, bet pamatā Latvijas valsts institūcijas un ministriju padotības iestādes ik gadus aktīvi izmanto iespējas, ko piedāvā sadarbības instrumenti ar ES partnervalstīm. Visaktīvāk Latvijas eksperti ies</w:t>
            </w:r>
            <w:r w:rsidRPr="00255C4F">
              <w:rPr>
                <w:lang w:val="lv-LV"/>
              </w:rPr>
              <w:t xml:space="preserve">aistās programmās, kuras finansē </w:t>
            </w:r>
            <w:r w:rsidRPr="00255C4F">
              <w:rPr>
                <w:i/>
                <w:iCs/>
                <w:lang w:val="lv-LV"/>
              </w:rPr>
              <w:t>ENI</w:t>
            </w:r>
            <w:r w:rsidRPr="00154F55">
              <w:rPr>
                <w:lang w:val="lv-LV"/>
              </w:rPr>
              <w:t xml:space="preserve"> un </w:t>
            </w:r>
            <w:r w:rsidRPr="00154F55">
              <w:rPr>
                <w:i/>
                <w:iCs/>
                <w:lang w:val="lv-LV"/>
              </w:rPr>
              <w:t xml:space="preserve">IPA, </w:t>
            </w:r>
            <w:r w:rsidRPr="00512731">
              <w:rPr>
                <w:lang w:val="lv-LV"/>
              </w:rPr>
              <w:t xml:space="preserve">iesaistoties </w:t>
            </w:r>
            <w:proofErr w:type="spellStart"/>
            <w:r w:rsidRPr="00512731">
              <w:rPr>
                <w:i/>
                <w:iCs/>
                <w:lang w:val="lv-LV"/>
              </w:rPr>
              <w:t>Twinning</w:t>
            </w:r>
            <w:proofErr w:type="spellEnd"/>
            <w:r w:rsidRPr="000652F6">
              <w:rPr>
                <w:lang w:val="lv-LV"/>
              </w:rPr>
              <w:t xml:space="preserve"> un </w:t>
            </w:r>
            <w:r w:rsidRPr="000652F6">
              <w:rPr>
                <w:i/>
                <w:iCs/>
                <w:lang w:val="lv-LV"/>
              </w:rPr>
              <w:t xml:space="preserve">TAIEX </w:t>
            </w:r>
            <w:r w:rsidRPr="000652F6">
              <w:rPr>
                <w:lang w:val="lv-LV"/>
              </w:rPr>
              <w:t>programmās (</w:t>
            </w:r>
            <w:proofErr w:type="spellStart"/>
            <w:r w:rsidRPr="000652F6">
              <w:rPr>
                <w:i/>
                <w:iCs/>
                <w:lang w:val="lv-LV"/>
              </w:rPr>
              <w:t>Twinning</w:t>
            </w:r>
            <w:proofErr w:type="spellEnd"/>
            <w:r w:rsidRPr="000652F6">
              <w:rPr>
                <w:i/>
                <w:iCs/>
                <w:lang w:val="lv-LV"/>
              </w:rPr>
              <w:t xml:space="preserve"> </w:t>
            </w:r>
            <w:r w:rsidRPr="003111DB">
              <w:rPr>
                <w:iCs/>
                <w:lang w:val="lv-LV"/>
              </w:rPr>
              <w:t xml:space="preserve">programmas </w:t>
            </w:r>
            <w:r w:rsidRPr="003111DB">
              <w:rPr>
                <w:lang w:val="lv-LV"/>
              </w:rPr>
              <w:t xml:space="preserve">pamatideja ir stiprināt pārvaldes institūciju sadarbību ES dalībvalstu, </w:t>
            </w:r>
            <w:r w:rsidRPr="00FF4FC0">
              <w:rPr>
                <w:bCs/>
                <w:lang w:val="lv-LV"/>
              </w:rPr>
              <w:t>kandidātvalstu un kaimiņvalstu starpā</w:t>
            </w:r>
            <w:r w:rsidRPr="00FF4FC0">
              <w:rPr>
                <w:lang w:val="lv-LV"/>
              </w:rPr>
              <w:t xml:space="preserve">; </w:t>
            </w:r>
            <w:r w:rsidRPr="00222336">
              <w:rPr>
                <w:i/>
                <w:lang w:val="lv-LV"/>
              </w:rPr>
              <w:t>TAIEX</w:t>
            </w:r>
            <w:r w:rsidRPr="00222336">
              <w:rPr>
                <w:lang w:val="lv-LV"/>
              </w:rPr>
              <w:t xml:space="preserve"> darbības mērķis ir palīdzēt val</w:t>
            </w:r>
            <w:r w:rsidRPr="006971D7">
              <w:rPr>
                <w:lang w:val="lv-LV"/>
              </w:rPr>
              <w:t>stīm likumdošanas saskaņošanas, piemērošanas un ieviešanas jautājumos).</w:t>
            </w:r>
          </w:p>
        </w:tc>
      </w:tr>
      <w:tr w:rsidR="00336F91" w:rsidRPr="00EE1E8A" w14:paraId="04FE35AD"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9924" w:type="dxa"/>
            <w:gridSpan w:val="5"/>
          </w:tcPr>
          <w:p w14:paraId="4490E06B" w14:textId="0B290A61" w:rsidR="00336F91" w:rsidRPr="00EE1E8A" w:rsidRDefault="00336F91" w:rsidP="00336F91">
            <w:pPr>
              <w:spacing w:before="120" w:after="120"/>
              <w:rPr>
                <w:sz w:val="20"/>
                <w:highlight w:val="lightGray"/>
                <w:lang w:val="lv-LV"/>
              </w:rPr>
            </w:pPr>
            <w:r w:rsidRPr="00EE1E8A">
              <w:rPr>
                <w:sz w:val="20"/>
                <w:lang w:val="lv-LV"/>
              </w:rPr>
              <w:lastRenderedPageBreak/>
              <w:t>Ietekme uz budžetu</w:t>
            </w:r>
          </w:p>
        </w:tc>
      </w:tr>
      <w:tr w:rsidR="00336F91" w:rsidRPr="00EE1E8A" w14:paraId="58A552CC"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9924" w:type="dxa"/>
            <w:gridSpan w:val="5"/>
          </w:tcPr>
          <w:p w14:paraId="03A703C7" w14:textId="77777777" w:rsidR="00336F91" w:rsidRPr="00512731" w:rsidRDefault="00336F91" w:rsidP="00336F91">
            <w:pPr>
              <w:spacing w:before="120" w:after="120"/>
              <w:jc w:val="both"/>
              <w:rPr>
                <w:lang w:val="lv-LV"/>
              </w:rPr>
            </w:pPr>
            <w:r w:rsidRPr="00EE1E8A">
              <w:rPr>
                <w:lang w:val="lv-LV"/>
              </w:rPr>
              <w:t xml:space="preserve">ES ikgadējam budžetam ir tieša ietekme uz Latvijas nacionālo budžetu, jo, balstoties uz ES budžeta MA apjomu, tiek noteikts Latvijas pašu resursu iemaksu apjoms ES </w:t>
            </w:r>
            <w:r w:rsidRPr="00562B3F">
              <w:rPr>
                <w:lang w:val="lv-LV"/>
              </w:rPr>
              <w:t>vispārējā budžetā. Tā kā ES BP 20</w:t>
            </w:r>
            <w:r w:rsidRPr="00255C4F">
              <w:rPr>
                <w:lang w:val="lv-LV"/>
              </w:rPr>
              <w:t>20.gadam pagaidām ir tikai projekts, k</w:t>
            </w:r>
            <w:r w:rsidRPr="00154F55">
              <w:rPr>
                <w:lang w:val="lv-LV"/>
              </w:rPr>
              <w:t>urš budžeta procedūras gaitā vēl mainīsies, tad ietekmi uz Latvijas budžetu pagaidām var noteikt vien indikatīvi.</w:t>
            </w:r>
          </w:p>
          <w:p w14:paraId="6531661B" w14:textId="3D5A3BCD" w:rsidR="006725E9" w:rsidRPr="00521847" w:rsidRDefault="006725E9" w:rsidP="006725E9">
            <w:pPr>
              <w:spacing w:before="120" w:after="120"/>
              <w:jc w:val="both"/>
              <w:rPr>
                <w:lang w:val="lv-LV"/>
              </w:rPr>
            </w:pPr>
            <w:r w:rsidRPr="00521847">
              <w:rPr>
                <w:lang w:val="lv-LV"/>
              </w:rPr>
              <w:t xml:space="preserve">Atbilstoši ES BP 2020.gadam ierosinātajam kopējam izdevumu apjomam </w:t>
            </w:r>
            <w:r w:rsidRPr="00521847">
              <w:rPr>
                <w:b/>
                <w:lang w:val="lv-LV"/>
              </w:rPr>
              <w:t>Latvijas iemaksas ES budžetā indikatīvi</w:t>
            </w:r>
            <w:r w:rsidRPr="00521847">
              <w:rPr>
                <w:lang w:val="lv-LV"/>
              </w:rPr>
              <w:t xml:space="preserve"> varētu veidot aptuveni:</w:t>
            </w:r>
          </w:p>
          <w:tbl>
            <w:tblPr>
              <w:tblStyle w:val="TableGrid"/>
              <w:tblW w:w="0" w:type="auto"/>
              <w:tblLayout w:type="fixed"/>
              <w:tblLook w:val="04A0" w:firstRow="1" w:lastRow="0" w:firstColumn="1" w:lastColumn="0" w:noHBand="0" w:noVBand="1"/>
            </w:tblPr>
            <w:tblGrid>
              <w:gridCol w:w="3232"/>
              <w:gridCol w:w="3233"/>
              <w:gridCol w:w="3233"/>
            </w:tblGrid>
            <w:tr w:rsidR="006725E9" w14:paraId="6F151A46" w14:textId="77777777" w:rsidTr="00521847">
              <w:tc>
                <w:tcPr>
                  <w:tcW w:w="3232" w:type="dxa"/>
                  <w:shd w:val="clear" w:color="auto" w:fill="D0CECE" w:themeFill="background2" w:themeFillShade="E6"/>
                </w:tcPr>
                <w:p w14:paraId="07173E83" w14:textId="77777777" w:rsidR="006725E9" w:rsidRDefault="006725E9" w:rsidP="006725E9">
                  <w:pPr>
                    <w:spacing w:before="120" w:after="120"/>
                    <w:jc w:val="both"/>
                  </w:pPr>
                </w:p>
              </w:tc>
              <w:tc>
                <w:tcPr>
                  <w:tcW w:w="3233" w:type="dxa"/>
                </w:tcPr>
                <w:p w14:paraId="21C5CA95" w14:textId="53FA95D7" w:rsidR="006725E9" w:rsidRPr="00521847" w:rsidRDefault="006725E9" w:rsidP="00521847">
                  <w:pPr>
                    <w:spacing w:before="120" w:after="120"/>
                    <w:jc w:val="center"/>
                    <w:rPr>
                      <w:b/>
                      <w:lang w:val="lv-LV"/>
                    </w:rPr>
                  </w:pPr>
                  <w:r w:rsidRPr="00521847">
                    <w:rPr>
                      <w:b/>
                      <w:lang w:val="lv-LV"/>
                    </w:rPr>
                    <w:t xml:space="preserve">MA </w:t>
                  </w:r>
                  <w:r w:rsidR="00453DB8" w:rsidRPr="00521847">
                    <w:rPr>
                      <w:b/>
                      <w:lang w:val="lv-LV"/>
                    </w:rPr>
                    <w:t>kop</w:t>
                  </w:r>
                  <w:r w:rsidRPr="00521847">
                    <w:rPr>
                      <w:b/>
                      <w:lang w:val="lv-LV"/>
                    </w:rPr>
                    <w:t>apjoms, milj. EUR</w:t>
                  </w:r>
                </w:p>
              </w:tc>
              <w:tc>
                <w:tcPr>
                  <w:tcW w:w="3233" w:type="dxa"/>
                </w:tcPr>
                <w:p w14:paraId="3BF9894D" w14:textId="28F9AD6B" w:rsidR="006725E9" w:rsidRPr="00521847" w:rsidRDefault="006725E9" w:rsidP="00521847">
                  <w:pPr>
                    <w:spacing w:before="120" w:after="120"/>
                    <w:jc w:val="center"/>
                    <w:rPr>
                      <w:b/>
                      <w:lang w:val="lv-LV"/>
                    </w:rPr>
                  </w:pPr>
                  <w:r w:rsidRPr="00521847">
                    <w:rPr>
                      <w:b/>
                      <w:lang w:val="lv-LV"/>
                    </w:rPr>
                    <w:t>L</w:t>
                  </w:r>
                  <w:r w:rsidR="00453DB8" w:rsidRPr="00521847">
                    <w:rPr>
                      <w:b/>
                      <w:lang w:val="lv-LV"/>
                    </w:rPr>
                    <w:t>atvijas iemaksas</w:t>
                  </w:r>
                  <w:r w:rsidRPr="00521847">
                    <w:rPr>
                      <w:b/>
                      <w:lang w:val="lv-LV"/>
                    </w:rPr>
                    <w:t>, milj. EUR</w:t>
                  </w:r>
                </w:p>
              </w:tc>
            </w:tr>
            <w:tr w:rsidR="006725E9" w14:paraId="50231AED" w14:textId="77777777" w:rsidTr="006725E9">
              <w:tc>
                <w:tcPr>
                  <w:tcW w:w="3232" w:type="dxa"/>
                </w:tcPr>
                <w:p w14:paraId="179DDE54" w14:textId="5E81023C" w:rsidR="006725E9" w:rsidRPr="00521847" w:rsidRDefault="006725E9" w:rsidP="006725E9">
                  <w:pPr>
                    <w:spacing w:before="120" w:after="120"/>
                    <w:jc w:val="both"/>
                    <w:rPr>
                      <w:b/>
                      <w:i/>
                    </w:rPr>
                  </w:pPr>
                  <w:r w:rsidRPr="00521847">
                    <w:rPr>
                      <w:b/>
                      <w:i/>
                    </w:rPr>
                    <w:t xml:space="preserve">EK </w:t>
                  </w:r>
                  <w:proofErr w:type="spellStart"/>
                  <w:r w:rsidRPr="00521847">
                    <w:rPr>
                      <w:b/>
                      <w:i/>
                    </w:rPr>
                    <w:t>priekšlikums</w:t>
                  </w:r>
                  <w:proofErr w:type="spellEnd"/>
                </w:p>
              </w:tc>
              <w:tc>
                <w:tcPr>
                  <w:tcW w:w="3233" w:type="dxa"/>
                </w:tcPr>
                <w:p w14:paraId="1E66E966" w14:textId="0B50EF60" w:rsidR="006725E9" w:rsidRDefault="006725E9" w:rsidP="00521847">
                  <w:pPr>
                    <w:spacing w:before="120" w:after="120"/>
                    <w:jc w:val="center"/>
                  </w:pPr>
                  <w:r>
                    <w:t>153 615,3</w:t>
                  </w:r>
                </w:p>
              </w:tc>
              <w:tc>
                <w:tcPr>
                  <w:tcW w:w="3233" w:type="dxa"/>
                </w:tcPr>
                <w:p w14:paraId="6D14C053" w14:textId="5992578C" w:rsidR="006725E9" w:rsidRDefault="007E14AC" w:rsidP="00521847">
                  <w:pPr>
                    <w:spacing w:before="120" w:after="120"/>
                    <w:jc w:val="center"/>
                  </w:pPr>
                  <w:r>
                    <w:t>319,0</w:t>
                  </w:r>
                </w:p>
              </w:tc>
            </w:tr>
            <w:tr w:rsidR="006725E9" w14:paraId="11FF1AAA" w14:textId="77777777" w:rsidTr="006725E9">
              <w:tc>
                <w:tcPr>
                  <w:tcW w:w="3232" w:type="dxa"/>
                </w:tcPr>
                <w:p w14:paraId="6DCCC9CA" w14:textId="0169B4FD" w:rsidR="006725E9" w:rsidRPr="00521847" w:rsidRDefault="006725E9" w:rsidP="006725E9">
                  <w:pPr>
                    <w:spacing w:before="120" w:after="120"/>
                    <w:jc w:val="both"/>
                    <w:rPr>
                      <w:b/>
                      <w:i/>
                    </w:rPr>
                  </w:pPr>
                  <w:proofErr w:type="spellStart"/>
                  <w:r w:rsidRPr="00521847">
                    <w:rPr>
                      <w:b/>
                      <w:i/>
                    </w:rPr>
                    <w:t>Padomes</w:t>
                  </w:r>
                  <w:proofErr w:type="spellEnd"/>
                  <w:r w:rsidRPr="00521847">
                    <w:rPr>
                      <w:b/>
                      <w:i/>
                    </w:rPr>
                    <w:t xml:space="preserve"> </w:t>
                  </w:r>
                  <w:proofErr w:type="spellStart"/>
                  <w:r w:rsidRPr="00521847">
                    <w:rPr>
                      <w:b/>
                      <w:i/>
                    </w:rPr>
                    <w:t>priekšlikums</w:t>
                  </w:r>
                  <w:proofErr w:type="spellEnd"/>
                </w:p>
              </w:tc>
              <w:tc>
                <w:tcPr>
                  <w:tcW w:w="3233" w:type="dxa"/>
                </w:tcPr>
                <w:p w14:paraId="64664676" w14:textId="1D8AE100" w:rsidR="006725E9" w:rsidRDefault="006725E9" w:rsidP="00521847">
                  <w:pPr>
                    <w:spacing w:before="120" w:after="120"/>
                    <w:jc w:val="center"/>
                  </w:pPr>
                  <w:r>
                    <w:t>153 111,9</w:t>
                  </w:r>
                </w:p>
              </w:tc>
              <w:tc>
                <w:tcPr>
                  <w:tcW w:w="3233" w:type="dxa"/>
                </w:tcPr>
                <w:p w14:paraId="42AA1547" w14:textId="197491C4" w:rsidR="006725E9" w:rsidRDefault="007E14AC" w:rsidP="00521847">
                  <w:pPr>
                    <w:spacing w:before="120" w:after="120"/>
                    <w:jc w:val="center"/>
                  </w:pPr>
                  <w:r>
                    <w:t>318,0</w:t>
                  </w:r>
                </w:p>
              </w:tc>
            </w:tr>
            <w:tr w:rsidR="006725E9" w14:paraId="6CE2FF65" w14:textId="77777777" w:rsidTr="006725E9">
              <w:tc>
                <w:tcPr>
                  <w:tcW w:w="3232" w:type="dxa"/>
                </w:tcPr>
                <w:p w14:paraId="02AEA562" w14:textId="4F216C57" w:rsidR="006725E9" w:rsidRPr="00521847" w:rsidRDefault="006725E9" w:rsidP="006725E9">
                  <w:pPr>
                    <w:spacing w:before="120" w:after="120"/>
                    <w:jc w:val="both"/>
                    <w:rPr>
                      <w:b/>
                      <w:i/>
                    </w:rPr>
                  </w:pPr>
                  <w:r w:rsidRPr="00521847">
                    <w:rPr>
                      <w:b/>
                      <w:i/>
                    </w:rPr>
                    <w:t xml:space="preserve">EP </w:t>
                  </w:r>
                  <w:proofErr w:type="spellStart"/>
                  <w:r w:rsidRPr="00521847">
                    <w:rPr>
                      <w:b/>
                      <w:i/>
                    </w:rPr>
                    <w:t>priekšlikums</w:t>
                  </w:r>
                  <w:proofErr w:type="spellEnd"/>
                </w:p>
              </w:tc>
              <w:tc>
                <w:tcPr>
                  <w:tcW w:w="3233" w:type="dxa"/>
                </w:tcPr>
                <w:p w14:paraId="010B47DE" w14:textId="77A47E6C" w:rsidR="006725E9" w:rsidRDefault="00453DB8" w:rsidP="00521847">
                  <w:pPr>
                    <w:spacing w:before="120" w:after="120"/>
                    <w:jc w:val="center"/>
                  </w:pPr>
                  <w:r>
                    <w:t>159 146,2</w:t>
                  </w:r>
                </w:p>
              </w:tc>
              <w:tc>
                <w:tcPr>
                  <w:tcW w:w="3233" w:type="dxa"/>
                </w:tcPr>
                <w:p w14:paraId="28D0CA06" w14:textId="06EFDA7B" w:rsidR="006725E9" w:rsidRDefault="007E14AC" w:rsidP="00521847">
                  <w:pPr>
                    <w:spacing w:before="120" w:after="120"/>
                    <w:jc w:val="center"/>
                  </w:pPr>
                  <w:r>
                    <w:t>329,7</w:t>
                  </w:r>
                </w:p>
              </w:tc>
            </w:tr>
          </w:tbl>
          <w:p w14:paraId="1BAC763F" w14:textId="5DE4A95A" w:rsidR="00336F91" w:rsidRPr="005A2B67" w:rsidRDefault="00336F91" w:rsidP="00336F91">
            <w:pPr>
              <w:spacing w:before="120" w:after="120"/>
              <w:jc w:val="both"/>
              <w:rPr>
                <w:b/>
                <w:lang w:val="lv-LV"/>
              </w:rPr>
            </w:pPr>
            <w:r w:rsidRPr="005A2B67">
              <w:rPr>
                <w:b/>
                <w:lang w:val="lv-LV"/>
              </w:rPr>
              <w:t xml:space="preserve">ES 2020.gada BP </w:t>
            </w:r>
            <w:r w:rsidRPr="005A2B67">
              <w:rPr>
                <w:b/>
                <w:u w:val="single"/>
                <w:lang w:val="lv-LV"/>
              </w:rPr>
              <w:t>MA mainoties par 1 mljrd. EUR, Latvijas iemaksas</w:t>
            </w:r>
            <w:r w:rsidRPr="005A2B67">
              <w:rPr>
                <w:b/>
                <w:lang w:val="lv-LV"/>
              </w:rPr>
              <w:t xml:space="preserve"> attiecīgi palielināsies vai samazināsies par aptuveni 1,9 milj. EUR.</w:t>
            </w:r>
          </w:p>
          <w:p w14:paraId="275DE84B" w14:textId="58258EB8" w:rsidR="00336F91" w:rsidRPr="00D76FB5" w:rsidRDefault="00336F91" w:rsidP="00D76FB5">
            <w:pPr>
              <w:pStyle w:val="NormalWeb"/>
              <w:spacing w:before="120" w:beforeAutospacing="0" w:after="120" w:afterAutospacing="0"/>
              <w:jc w:val="both"/>
              <w:rPr>
                <w:bCs/>
              </w:rPr>
            </w:pPr>
            <w:r w:rsidRPr="00EE1E8A">
              <w:t xml:space="preserve">Latvijas saņemtais </w:t>
            </w:r>
            <w:r w:rsidRPr="00EE1E8A">
              <w:rPr>
                <w:bCs/>
              </w:rPr>
              <w:t>līdzekļu apjoms no ES 20</w:t>
            </w:r>
            <w:r w:rsidR="00D76FB5">
              <w:rPr>
                <w:bCs/>
              </w:rPr>
              <w:t>20</w:t>
            </w:r>
            <w:r w:rsidRPr="00D76FB5">
              <w:rPr>
                <w:bCs/>
              </w:rPr>
              <w:t>.gada budžeta ir atkarīgs no  fondu un programmu apgūšanas sekmīguma un ātruma. Tādēļ ir jādara viss iespējamais, lai sagatavotu kvalitatīvus projektus un kvalificētos programmām.</w:t>
            </w:r>
          </w:p>
        </w:tc>
      </w:tr>
      <w:tr w:rsidR="00336F91" w:rsidRPr="00EE1E8A" w14:paraId="412D9D14"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596635DF" w14:textId="77777777" w:rsidR="00336F91" w:rsidRPr="00EE1E8A" w:rsidRDefault="00336F91" w:rsidP="00336F91">
            <w:pPr>
              <w:spacing w:before="120" w:after="120"/>
              <w:jc w:val="center"/>
              <w:rPr>
                <w:b/>
                <w:lang w:val="lv-LV"/>
              </w:rPr>
            </w:pPr>
            <w:r w:rsidRPr="00EE1E8A">
              <w:rPr>
                <w:b/>
                <w:lang w:val="lv-LV"/>
              </w:rPr>
              <w:t>3. Latvijas Republikas pozīcija</w:t>
            </w:r>
          </w:p>
        </w:tc>
      </w:tr>
      <w:tr w:rsidR="00336F91" w:rsidRPr="00EE1E8A" w14:paraId="1547F301"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0DEFE5C8" w14:textId="33E0FD84" w:rsidR="00336F91" w:rsidRPr="000652F6" w:rsidRDefault="00336F91" w:rsidP="00336F91">
            <w:pPr>
              <w:pStyle w:val="NormalWeb"/>
              <w:spacing w:before="120" w:beforeAutospacing="0" w:after="120" w:afterAutospacing="0"/>
              <w:jc w:val="both"/>
              <w:rPr>
                <w:rStyle w:val="Strong"/>
                <w:b w:val="0"/>
              </w:rPr>
            </w:pPr>
            <w:r w:rsidRPr="00EE1E8A">
              <w:rPr>
                <w:rStyle w:val="Strong"/>
              </w:rPr>
              <w:t>Latvijai ir būtiski</w:t>
            </w:r>
            <w:r w:rsidRPr="00EE1E8A">
              <w:rPr>
                <w:rStyle w:val="Strong"/>
                <w:b w:val="0"/>
              </w:rPr>
              <w:t xml:space="preserve">, lai pēdējais šī plānošanas perioda </w:t>
            </w:r>
            <w:r w:rsidRPr="00EE1E8A">
              <w:rPr>
                <w:rStyle w:val="Strong"/>
              </w:rPr>
              <w:t>ikgadējais budžets</w:t>
            </w:r>
            <w:r w:rsidRPr="00EE1E8A">
              <w:rPr>
                <w:rStyle w:val="Strong"/>
                <w:b w:val="0"/>
              </w:rPr>
              <w:t xml:space="preserve"> tiek apstiprināts </w:t>
            </w:r>
            <w:r w:rsidRPr="00562B3F">
              <w:rPr>
                <w:rStyle w:val="Strong"/>
              </w:rPr>
              <w:t>pietiekamā gan saistību, gan maksājumu apropriāciju apjomā</w:t>
            </w:r>
            <w:r w:rsidRPr="00562B3F">
              <w:rPr>
                <w:rStyle w:val="Strong"/>
                <w:b w:val="0"/>
              </w:rPr>
              <w:t xml:space="preserve">. Jo īpaši svarīgi tas ir kontekstā ar </w:t>
            </w:r>
            <w:r w:rsidRPr="00255C4F">
              <w:rPr>
                <w:rStyle w:val="Strong"/>
              </w:rPr>
              <w:t>pāreju starp plānošanas periodiem</w:t>
            </w:r>
            <w:r w:rsidRPr="00154F55">
              <w:rPr>
                <w:rStyle w:val="Strong"/>
                <w:b w:val="0"/>
              </w:rPr>
              <w:t xml:space="preserve">, kurai ir nepieciešama </w:t>
            </w:r>
            <w:r w:rsidRPr="00154F55">
              <w:rPr>
                <w:rStyle w:val="Strong"/>
              </w:rPr>
              <w:t>vienmērīga investīciju plūsma</w:t>
            </w:r>
            <w:r w:rsidRPr="002946EA">
              <w:rPr>
                <w:rStyle w:val="Strong"/>
                <w:b w:val="0"/>
              </w:rPr>
              <w:t xml:space="preserve">, </w:t>
            </w:r>
            <w:r w:rsidRPr="00512731">
              <w:rPr>
                <w:rStyle w:val="Strong"/>
              </w:rPr>
              <w:t>izvairoties no</w:t>
            </w:r>
            <w:r w:rsidRPr="00512731">
              <w:rPr>
                <w:rStyle w:val="Strong"/>
                <w:b w:val="0"/>
              </w:rPr>
              <w:t xml:space="preserve"> finansējuma </w:t>
            </w:r>
            <w:r w:rsidRPr="000652F6">
              <w:rPr>
                <w:rStyle w:val="Strong"/>
              </w:rPr>
              <w:t>pārrāvumiem</w:t>
            </w:r>
            <w:r w:rsidRPr="000652F6">
              <w:rPr>
                <w:rStyle w:val="Strong"/>
                <w:b w:val="0"/>
              </w:rPr>
              <w:t xml:space="preserve">. </w:t>
            </w:r>
          </w:p>
          <w:p w14:paraId="474ED125" w14:textId="0DD50F83" w:rsidR="00336F91" w:rsidRPr="00725927" w:rsidRDefault="00336F91" w:rsidP="00336F91">
            <w:pPr>
              <w:pStyle w:val="NormalWeb"/>
              <w:spacing w:before="120" w:beforeAutospacing="0" w:after="120" w:afterAutospacing="0"/>
              <w:jc w:val="both"/>
              <w:rPr>
                <w:rStyle w:val="Strong"/>
                <w:b w:val="0"/>
              </w:rPr>
            </w:pPr>
            <w:r w:rsidRPr="003111DB">
              <w:rPr>
                <w:rStyle w:val="Strong"/>
                <w:b w:val="0"/>
              </w:rPr>
              <w:t xml:space="preserve">Attiecībā uz </w:t>
            </w:r>
            <w:r w:rsidRPr="003111DB">
              <w:rPr>
                <w:rStyle w:val="Strong"/>
              </w:rPr>
              <w:t>AK izstāšanās ietekmi</w:t>
            </w:r>
            <w:r w:rsidRPr="00FF4FC0">
              <w:rPr>
                <w:rStyle w:val="Strong"/>
                <w:b w:val="0"/>
              </w:rPr>
              <w:t xml:space="preserve">,  kas izriet no AK un ES kopīgās vienošanās projekta, </w:t>
            </w:r>
            <w:r w:rsidRPr="00FF4FC0">
              <w:rPr>
                <w:rStyle w:val="Strong"/>
              </w:rPr>
              <w:t xml:space="preserve">izprotam AK dalību 2020.gada ES vispārējā budžeta finansēšanā </w:t>
            </w:r>
            <w:r w:rsidRPr="00222336">
              <w:rPr>
                <w:rStyle w:val="Strong"/>
              </w:rPr>
              <w:t>un attiecīga finansējuma saņemšanu no tā</w:t>
            </w:r>
            <w:r w:rsidRPr="006971D7">
              <w:rPr>
                <w:rStyle w:val="Strong"/>
                <w:b w:val="0"/>
              </w:rPr>
              <w:t xml:space="preserve">. Atbalstām pieeju, ka pie jebkura no ES un AK attiecību attīstības scenārijiem ikgadējais ES budžets nevar noteikt šo scenāriju iznākumu, līdz ar to šajā stadijā uzskatām par atbilstošu AK ņemšanu vērā budžeta tāmju aprēķinos gan ieņēmumu, gan izdevumu sadaļā. </w:t>
            </w:r>
          </w:p>
          <w:p w14:paraId="41C0C4C5" w14:textId="596A6E2B" w:rsidR="00336F91" w:rsidRPr="00D67FB0" w:rsidRDefault="00336F91" w:rsidP="00336F91">
            <w:pPr>
              <w:pStyle w:val="NormalWeb"/>
              <w:spacing w:before="120" w:beforeAutospacing="0" w:after="120" w:afterAutospacing="0"/>
              <w:jc w:val="both"/>
              <w:rPr>
                <w:rStyle w:val="Strong"/>
                <w:b w:val="0"/>
              </w:rPr>
            </w:pPr>
            <w:r w:rsidRPr="00997106">
              <w:rPr>
                <w:rStyle w:val="Strong"/>
                <w:b w:val="0"/>
              </w:rPr>
              <w:t xml:space="preserve">Lemjot par nākamā gada ES vispārējā budžeta projektu, vēlamies vienoties par apjomiem, kuri būtu </w:t>
            </w:r>
            <w:r w:rsidRPr="00A77487">
              <w:rPr>
                <w:rStyle w:val="Strong"/>
              </w:rPr>
              <w:t>tuvāki Padomes apstiprinātajai pozīcijai</w:t>
            </w:r>
            <w:r w:rsidRPr="00A77487">
              <w:rPr>
                <w:rStyle w:val="Strong"/>
                <w:b w:val="0"/>
              </w:rPr>
              <w:t xml:space="preserve">. Grozījumu vēstule, kā ierasts jāskata kontekstā ar apstiprināmo budžetu, kā neatņemama </w:t>
            </w:r>
            <w:r w:rsidR="00D76FB5">
              <w:rPr>
                <w:rStyle w:val="Strong"/>
                <w:b w:val="0"/>
              </w:rPr>
              <w:t xml:space="preserve">tā </w:t>
            </w:r>
            <w:r w:rsidRPr="00A77487">
              <w:rPr>
                <w:rStyle w:val="Strong"/>
                <w:b w:val="0"/>
              </w:rPr>
              <w:t xml:space="preserve">sastāvdaļa. </w:t>
            </w:r>
            <w:r w:rsidRPr="00DD06AA">
              <w:rPr>
                <w:rStyle w:val="Strong"/>
              </w:rPr>
              <w:t>Uzskatām, ka EP piedāvājums nenodrošina pareizu budžeta veidošanu</w:t>
            </w:r>
            <w:r w:rsidRPr="00DD06AA">
              <w:rPr>
                <w:rStyle w:val="Strong"/>
                <w:b w:val="0"/>
              </w:rPr>
              <w:t xml:space="preserve">, tā kā </w:t>
            </w:r>
            <w:r w:rsidRPr="00DD06AA">
              <w:rPr>
                <w:rStyle w:val="Strong"/>
              </w:rPr>
              <w:t xml:space="preserve">tiek apiets tiesiskais regulējums un netiek ievēroti DFS regulā </w:t>
            </w:r>
            <w:r w:rsidRPr="00DD06AA">
              <w:rPr>
                <w:rStyle w:val="Strong"/>
              </w:rPr>
              <w:lastRenderedPageBreak/>
              <w:t>noteiktie principi</w:t>
            </w:r>
            <w:r w:rsidRPr="00DD06AA">
              <w:rPr>
                <w:rStyle w:val="Strong"/>
                <w:b w:val="0"/>
              </w:rPr>
              <w:t xml:space="preserve"> par ikgadējā saistību finansējuma maksimālo apjomu. 20</w:t>
            </w:r>
            <w:r w:rsidR="00255DC9">
              <w:rPr>
                <w:rStyle w:val="Strong"/>
                <w:b w:val="0"/>
              </w:rPr>
              <w:t>20</w:t>
            </w:r>
            <w:r w:rsidRPr="00DD06AA">
              <w:rPr>
                <w:rStyle w:val="Strong"/>
                <w:b w:val="0"/>
              </w:rPr>
              <w:t>.gada budžets nav izņēmums un DFS atrunātās normas ir jārespektē līdz tekošā plānošanas perioda beigām</w:t>
            </w:r>
            <w:r w:rsidR="00C10061">
              <w:rPr>
                <w:rStyle w:val="Strong"/>
                <w:b w:val="0"/>
              </w:rPr>
              <w:t>.</w:t>
            </w:r>
          </w:p>
          <w:p w14:paraId="7B3235DD" w14:textId="3B457CF5" w:rsidR="00336F91" w:rsidRPr="00DF1171" w:rsidRDefault="00336F91" w:rsidP="00336F91">
            <w:pPr>
              <w:pStyle w:val="NormalWeb"/>
              <w:spacing w:before="120" w:beforeAutospacing="0" w:after="120" w:afterAutospacing="0"/>
              <w:jc w:val="both"/>
              <w:rPr>
                <w:rStyle w:val="Strong"/>
                <w:b w:val="0"/>
              </w:rPr>
            </w:pPr>
            <w:r w:rsidRPr="00255DC9">
              <w:rPr>
                <w:rStyle w:val="Strong"/>
                <w:b w:val="0"/>
              </w:rPr>
              <w:t>Vienojoties un apstiprinot</w:t>
            </w:r>
            <w:r w:rsidRPr="00255DC9">
              <w:rPr>
                <w:rStyle w:val="Strong"/>
              </w:rPr>
              <w:t xml:space="preserve"> 2020.gada ES budžetu, Latvija atbalsta</w:t>
            </w:r>
            <w:r w:rsidRPr="00255DC9">
              <w:rPr>
                <w:rStyle w:val="Strong"/>
                <w:b w:val="0"/>
              </w:rPr>
              <w:t xml:space="preserve"> </w:t>
            </w:r>
            <w:r w:rsidRPr="00255DC9">
              <w:rPr>
                <w:rStyle w:val="Strong"/>
              </w:rPr>
              <w:t>racionālu rezervju apjoma noteikšanu</w:t>
            </w:r>
            <w:r w:rsidRPr="0081360E">
              <w:rPr>
                <w:rStyle w:val="Strong"/>
                <w:b w:val="0"/>
              </w:rPr>
              <w:t xml:space="preserve"> nākamā finanšu gada budžetā, kuru izmantot ārkārtas situācijās. Līdz ar to </w:t>
            </w:r>
            <w:r w:rsidRPr="0081360E">
              <w:rPr>
                <w:rStyle w:val="Strong"/>
              </w:rPr>
              <w:t>neatbalstām pārmērīgus darbības apropriāciju samazinājumus ar mērķi “mākslīgi” p</w:t>
            </w:r>
            <w:r w:rsidRPr="00DF1171">
              <w:rPr>
                <w:rStyle w:val="Strong"/>
              </w:rPr>
              <w:t>alielināt rezervju apjomu</w:t>
            </w:r>
            <w:r w:rsidRPr="005A2B67">
              <w:rPr>
                <w:rStyle w:val="Strong"/>
                <w:b w:val="0"/>
              </w:rPr>
              <w:t xml:space="preserve">, jo finansējumam ir jāatbilst reālajām vajadzībām un programmu ieviešanas tempam. </w:t>
            </w:r>
            <w:r w:rsidR="00133CA4" w:rsidRPr="00E41DAC">
              <w:rPr>
                <w:rStyle w:val="Strong"/>
                <w:b w:val="0"/>
              </w:rPr>
              <w:t xml:space="preserve">Vienlaikus </w:t>
            </w:r>
            <w:r w:rsidRPr="004574DC">
              <w:rPr>
                <w:rStyle w:val="Strong"/>
                <w:b w:val="0"/>
              </w:rPr>
              <w:t xml:space="preserve">atbalstām piesardzīgu pieeju īpašo instrumentu vajadzību noteikšanā </w:t>
            </w:r>
            <w:r w:rsidRPr="004574DC">
              <w:t>DFS pēdējā gadā, kad varētu palielināties nepieciešamība ātrāk reaģēt uz neparedzamiem apstākļiem.</w:t>
            </w:r>
          </w:p>
          <w:p w14:paraId="5368EA6A" w14:textId="7464DD35" w:rsidR="00336F91" w:rsidRPr="005A2B67" w:rsidRDefault="00336F91" w:rsidP="00336F91">
            <w:pPr>
              <w:pStyle w:val="NormalWeb"/>
              <w:spacing w:before="120" w:beforeAutospacing="0" w:after="120" w:afterAutospacing="0"/>
              <w:jc w:val="both"/>
              <w:rPr>
                <w:rStyle w:val="Strong"/>
                <w:b w:val="0"/>
              </w:rPr>
            </w:pPr>
            <w:r w:rsidRPr="005A2B67">
              <w:rPr>
                <w:rStyle w:val="Strong"/>
                <w:b w:val="0"/>
                <w:u w:val="single"/>
              </w:rPr>
              <w:t>Saturiski Latvijas prioritātes arī 2020.gada ES BP</w:t>
            </w:r>
            <w:r w:rsidR="00133CA4" w:rsidRPr="005A2B67">
              <w:rPr>
                <w:rStyle w:val="Strong"/>
                <w:b w:val="0"/>
                <w:u w:val="single"/>
              </w:rPr>
              <w:t>:</w:t>
            </w:r>
            <w:r w:rsidRPr="005A2B67">
              <w:rPr>
                <w:rStyle w:val="Strong"/>
                <w:b w:val="0"/>
              </w:rPr>
              <w:t xml:space="preserve"> </w:t>
            </w:r>
          </w:p>
          <w:p w14:paraId="7AF5D473" w14:textId="3A7CBFD4" w:rsidR="00336F91" w:rsidRPr="00146F3B" w:rsidRDefault="00336F91" w:rsidP="00077755">
            <w:pPr>
              <w:pStyle w:val="NormalWeb"/>
              <w:numPr>
                <w:ilvl w:val="0"/>
                <w:numId w:val="26"/>
              </w:numPr>
              <w:spacing w:before="120" w:beforeAutospacing="0" w:after="120" w:afterAutospacing="0"/>
              <w:jc w:val="both"/>
              <w:rPr>
                <w:rStyle w:val="Strong"/>
                <w:b w:val="0"/>
                <w:bCs w:val="0"/>
              </w:rPr>
            </w:pPr>
            <w:r w:rsidRPr="00EE1E8A">
              <w:rPr>
                <w:rStyle w:val="Strong"/>
                <w:b w:val="0"/>
                <w:bCs w:val="0"/>
              </w:rPr>
              <w:t xml:space="preserve">Ņemot vērā ESI fondu ieviešanas daudzgadu raksturu, </w:t>
            </w:r>
            <w:r w:rsidRPr="00EE1E8A">
              <w:rPr>
                <w:rStyle w:val="Strong"/>
                <w:bCs w:val="0"/>
              </w:rPr>
              <w:t>Kohēzijas politikas</w:t>
            </w:r>
            <w:r w:rsidRPr="00EE1E8A">
              <w:rPr>
                <w:rStyle w:val="Strong"/>
                <w:b w:val="0"/>
                <w:bCs w:val="0"/>
              </w:rPr>
              <w:t xml:space="preserve"> programmu ieviešanas temps 2020.gadā viennozīmīgi palielināsies, līdz ar to operacionālais finansējums 1b. izdevumu </w:t>
            </w:r>
            <w:proofErr w:type="spellStart"/>
            <w:r w:rsidR="00146F3B">
              <w:rPr>
                <w:rStyle w:val="Strong"/>
                <w:b w:val="0"/>
                <w:bCs w:val="0"/>
              </w:rPr>
              <w:t>apakš</w:t>
            </w:r>
            <w:r w:rsidRPr="00146F3B">
              <w:rPr>
                <w:rStyle w:val="Strong"/>
                <w:b w:val="0"/>
                <w:bCs w:val="0"/>
              </w:rPr>
              <w:t>kategorijā</w:t>
            </w:r>
            <w:proofErr w:type="spellEnd"/>
            <w:r w:rsidRPr="00146F3B">
              <w:rPr>
                <w:rStyle w:val="Strong"/>
                <w:b w:val="0"/>
                <w:bCs w:val="0"/>
              </w:rPr>
              <w:t xml:space="preserve"> jāsaglabā EK sākotnēji piedāvātajā apjomā. </w:t>
            </w:r>
          </w:p>
          <w:p w14:paraId="7F4252F1" w14:textId="502EFF72" w:rsidR="00077755" w:rsidRPr="00077755" w:rsidRDefault="00077755" w:rsidP="00077755">
            <w:pPr>
              <w:pStyle w:val="NormalWeb"/>
              <w:numPr>
                <w:ilvl w:val="0"/>
                <w:numId w:val="26"/>
              </w:numPr>
              <w:spacing w:before="120" w:beforeAutospacing="0" w:after="120" w:afterAutospacing="0"/>
              <w:jc w:val="both"/>
              <w:rPr>
                <w:rStyle w:val="Strong"/>
                <w:b w:val="0"/>
              </w:rPr>
            </w:pPr>
            <w:r w:rsidRPr="00E77E3C">
              <w:rPr>
                <w:rStyle w:val="Strong"/>
                <w:b w:val="0"/>
              </w:rPr>
              <w:t>Pietiekams finansējums</w:t>
            </w:r>
            <w:r>
              <w:rPr>
                <w:rStyle w:val="Strong"/>
              </w:rPr>
              <w:t xml:space="preserve"> Kopējo lauksaimniecības politiku</w:t>
            </w:r>
            <w:r>
              <w:rPr>
                <w:rStyle w:val="Strong"/>
                <w:i/>
              </w:rPr>
              <w:t xml:space="preserve"> </w:t>
            </w:r>
            <w:r>
              <w:rPr>
                <w:rStyle w:val="Strong"/>
                <w:b w:val="0"/>
              </w:rPr>
              <w:t xml:space="preserve">finansējošiem instrumentiem, ņemot vērā nozares vajadzības un paaugstināto uzņēmību pret regulārām krīzēm nozarē un tirgus nepilnībām. </w:t>
            </w:r>
          </w:p>
          <w:p w14:paraId="1A6FBA53" w14:textId="4756C738" w:rsidR="00336F91" w:rsidRPr="00146F3B" w:rsidRDefault="00133CA4" w:rsidP="00077755">
            <w:pPr>
              <w:pStyle w:val="NormalWeb"/>
              <w:numPr>
                <w:ilvl w:val="0"/>
                <w:numId w:val="26"/>
              </w:numPr>
              <w:spacing w:before="120" w:beforeAutospacing="0" w:after="120" w:afterAutospacing="0"/>
              <w:jc w:val="both"/>
            </w:pPr>
            <w:r w:rsidRPr="005A2B67">
              <w:rPr>
                <w:rStyle w:val="Strong"/>
                <w:b w:val="0"/>
              </w:rPr>
              <w:t>Latvija atbalsta turpmāku CEF transporta un enerģētikas atzaru stiprināšanu, jo Latvijas interesēs ir Latvijas un Baltijas valstu turp</w:t>
            </w:r>
            <w:r w:rsidRPr="00EE1E8A">
              <w:rPr>
                <w:rStyle w:val="Strong"/>
                <w:b w:val="0"/>
              </w:rPr>
              <w:t xml:space="preserve">māka integrēšana Eiropas enerģētikas un transporta infrastruktūras tīklos; tādu Latvija nozīmīgu pārrobežu projektu kā Rail </w:t>
            </w:r>
            <w:proofErr w:type="spellStart"/>
            <w:r w:rsidRPr="00EE1E8A">
              <w:rPr>
                <w:rStyle w:val="Strong"/>
                <w:b w:val="0"/>
              </w:rPr>
              <w:t>Baltica</w:t>
            </w:r>
            <w:proofErr w:type="spellEnd"/>
            <w:r w:rsidRPr="00EE1E8A">
              <w:rPr>
                <w:rStyle w:val="Strong"/>
                <w:b w:val="0"/>
              </w:rPr>
              <w:t xml:space="preserve"> un Baltijas valstu </w:t>
            </w:r>
            <w:proofErr w:type="spellStart"/>
            <w:r w:rsidRPr="00EE1E8A">
              <w:rPr>
                <w:rStyle w:val="Strong"/>
                <w:b w:val="0"/>
              </w:rPr>
              <w:t>energotīklu</w:t>
            </w:r>
            <w:proofErr w:type="spellEnd"/>
            <w:r w:rsidRPr="00EE1E8A">
              <w:rPr>
                <w:rStyle w:val="Strong"/>
                <w:b w:val="0"/>
              </w:rPr>
              <w:t xml:space="preserve"> sinhronizācijas ar Eiropas tīkliem īstenošana.</w:t>
            </w:r>
          </w:p>
          <w:p w14:paraId="22D9BB93" w14:textId="0A87171E" w:rsidR="00336F91" w:rsidRPr="00815C30" w:rsidRDefault="00336F91" w:rsidP="00077755">
            <w:pPr>
              <w:pStyle w:val="NormalWeb"/>
              <w:numPr>
                <w:ilvl w:val="0"/>
                <w:numId w:val="26"/>
              </w:numPr>
              <w:spacing w:before="120" w:beforeAutospacing="0" w:after="120" w:afterAutospacing="0"/>
              <w:jc w:val="both"/>
              <w:rPr>
                <w:b/>
              </w:rPr>
            </w:pPr>
            <w:r w:rsidRPr="00DF1171">
              <w:rPr>
                <w:b/>
              </w:rPr>
              <w:t>Ārējās darbības un drošības jomā</w:t>
            </w:r>
            <w:r w:rsidRPr="00DF1171">
              <w:t xml:space="preserve"> Latvijai ir svarīgi turpināt attiecīgu līdzekļu ieplānošanu Eiropas kaimiņattiecību instrumentam </w:t>
            </w:r>
            <w:r w:rsidRPr="00815C30">
              <w:t>un jo īpaši Austrumu partnerības valstīm, kā arī ārējo robežu aizsardzības un pārvaldības pasākumiem</w:t>
            </w:r>
            <w:r w:rsidRPr="005A2B67">
              <w:rPr>
                <w:bCs/>
              </w:rPr>
              <w:t xml:space="preserve">. </w:t>
            </w:r>
          </w:p>
          <w:p w14:paraId="0B86F3D2" w14:textId="35E04908" w:rsidR="00B0083B" w:rsidRPr="00D31F24" w:rsidRDefault="00D31F24" w:rsidP="00D31F24">
            <w:pPr>
              <w:pStyle w:val="NormalWeb"/>
              <w:spacing w:before="120" w:beforeAutospacing="0" w:after="120" w:afterAutospacing="0"/>
              <w:jc w:val="both"/>
            </w:pPr>
            <w:r w:rsidRPr="00AE7958">
              <w:t xml:space="preserve">Uzskatām, ka visām ES institūcijām un struktūrām </w:t>
            </w:r>
            <w:r w:rsidRPr="00D71EE3">
              <w:rPr>
                <w:b/>
              </w:rPr>
              <w:t>administratīvo izdevumu</w:t>
            </w:r>
            <w:r w:rsidRPr="00AE7958">
              <w:t xml:space="preserve"> plānošanā arī turpmāk būtu </w:t>
            </w:r>
            <w:r>
              <w:t xml:space="preserve">jāņem vērā </w:t>
            </w:r>
            <w:r w:rsidRPr="00D71EE3">
              <w:rPr>
                <w:b/>
              </w:rPr>
              <w:t>resursu optimizēšanas iespējas</w:t>
            </w:r>
            <w:r w:rsidRPr="00AE7958">
              <w:t xml:space="preserve">. Savukārt, attiecībā uz atalgojumu jāpiemēro optimāls risinājums pilnvērtīgai funkciju nodrošināšanai. </w:t>
            </w:r>
            <w:r w:rsidR="00B0083B" w:rsidRPr="00723366">
              <w:t>Nebūtu atbalstāmi tālāki Padomes b</w:t>
            </w:r>
            <w:r w:rsidR="00B0083B">
              <w:t xml:space="preserve">udžeta samazinājumi, piemēram, </w:t>
            </w:r>
            <w:r w:rsidR="00B0083B" w:rsidRPr="00723366">
              <w:t>delegātu ceļa un tulkošanas izdevumiem.</w:t>
            </w:r>
          </w:p>
          <w:p w14:paraId="43C91C1A" w14:textId="18804294" w:rsidR="0064141B" w:rsidRPr="009B4998" w:rsidRDefault="0064141B" w:rsidP="0064141B">
            <w:pPr>
              <w:jc w:val="both"/>
              <w:rPr>
                <w:iCs/>
                <w:color w:val="1F497D"/>
                <w:szCs w:val="22"/>
                <w:lang w:val="lv-LV"/>
              </w:rPr>
            </w:pPr>
            <w:r w:rsidRPr="009B4998">
              <w:rPr>
                <w:iCs/>
                <w:lang w:val="lv-LV"/>
              </w:rPr>
              <w:t xml:space="preserve">Vienlaikus attiecībā uz Eiropas Elektronisko sakaru regulatoru iestādes biroju (BEREC) varam pieļaut zināmu elastību resursu piešķiršanā nākamajam finanšu gadam Latvijā bāzētajai BEREC aģentūrai, ņemot vērā 2018.gadā grozīto regulējumu (pieņemts Eiropas Elektronisko Sakaru Kodekss un grozīta BEREC regula), no kura izriet papildus funkciju uzticēšana un pienākumu veikšana konkrētajai struktūrai.  </w:t>
            </w:r>
          </w:p>
        </w:tc>
      </w:tr>
      <w:tr w:rsidR="00336F91" w:rsidRPr="00EE1E8A" w14:paraId="7ACCC8ED"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044233E0" w14:textId="77777777" w:rsidR="00336F91" w:rsidRPr="00EE1E8A" w:rsidRDefault="00336F91" w:rsidP="00336F91">
            <w:pPr>
              <w:pStyle w:val="CommentText"/>
              <w:spacing w:before="120" w:after="120"/>
              <w:rPr>
                <w:szCs w:val="24"/>
                <w:lang w:val="lv-LV"/>
              </w:rPr>
            </w:pPr>
            <w:r w:rsidRPr="00EE1E8A">
              <w:rPr>
                <w:szCs w:val="24"/>
                <w:lang w:val="lv-LV"/>
              </w:rPr>
              <w:t>Īpašas Latvijas Republikas intereses</w:t>
            </w:r>
          </w:p>
        </w:tc>
      </w:tr>
      <w:tr w:rsidR="00336F91" w:rsidRPr="00EE1E8A" w14:paraId="000C6B62"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9924" w:type="dxa"/>
            <w:gridSpan w:val="5"/>
          </w:tcPr>
          <w:p w14:paraId="1D4520EA" w14:textId="77777777" w:rsidR="00336F91" w:rsidRPr="00EE1E8A" w:rsidRDefault="00336F91" w:rsidP="00336F91">
            <w:pPr>
              <w:spacing w:before="120" w:after="120"/>
              <w:rPr>
                <w:sz w:val="20"/>
                <w:lang w:val="lv-LV"/>
              </w:rPr>
            </w:pPr>
            <w:r w:rsidRPr="00EE1E8A">
              <w:rPr>
                <w:sz w:val="20"/>
                <w:lang w:val="lv-LV"/>
              </w:rPr>
              <w:t>-</w:t>
            </w:r>
          </w:p>
        </w:tc>
      </w:tr>
      <w:tr w:rsidR="00336F91" w:rsidRPr="00EE1E8A" w14:paraId="0B910C2E"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77802ED1" w14:textId="77777777" w:rsidR="00336F91" w:rsidRPr="00EE1E8A" w:rsidRDefault="00336F91" w:rsidP="00336F91">
            <w:pPr>
              <w:spacing w:before="120" w:after="120"/>
              <w:jc w:val="center"/>
              <w:rPr>
                <w:b/>
                <w:lang w:val="lv-LV"/>
              </w:rPr>
            </w:pPr>
            <w:r w:rsidRPr="00EE1E8A">
              <w:rPr>
                <w:b/>
                <w:lang w:val="lv-LV"/>
              </w:rPr>
              <w:t>4. Citu ES dalībvalstu viedokļi</w:t>
            </w:r>
          </w:p>
        </w:tc>
      </w:tr>
      <w:tr w:rsidR="00336F91" w:rsidRPr="00EE1E8A" w14:paraId="199D2EAC"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9924" w:type="dxa"/>
            <w:gridSpan w:val="5"/>
          </w:tcPr>
          <w:p w14:paraId="6D5FF842" w14:textId="5923E9F3" w:rsidR="00336F91" w:rsidRPr="00EB3D99" w:rsidRDefault="00336F91" w:rsidP="00336F91">
            <w:pPr>
              <w:spacing w:before="120" w:after="120"/>
              <w:jc w:val="both"/>
              <w:rPr>
                <w:lang w:val="lv-LV"/>
              </w:rPr>
            </w:pPr>
            <w:r w:rsidRPr="00EB3D99">
              <w:rPr>
                <w:lang w:val="lv-LV"/>
              </w:rPr>
              <w:t xml:space="preserve">Ņemot vērā to, ka abas budžeta lēmējinstitūcijas ir apstiprinājušas savas nostājas par ES BP 2020.gadam un tās ievērojami atšķiras, notikuši vairāki </w:t>
            </w:r>
            <w:proofErr w:type="spellStart"/>
            <w:r w:rsidRPr="00EB3D99">
              <w:rPr>
                <w:lang w:val="lv-LV"/>
              </w:rPr>
              <w:t>trialogi</w:t>
            </w:r>
            <w:proofErr w:type="spellEnd"/>
            <w:r w:rsidRPr="00EB3D99">
              <w:rPr>
                <w:lang w:val="lv-LV"/>
              </w:rPr>
              <w:t>, lai satuvinātu institūciju pozīcijas un gaidāmajās Samierināšanas sanāksm</w:t>
            </w:r>
            <w:r w:rsidR="00BC1113">
              <w:rPr>
                <w:lang w:val="lv-LV"/>
              </w:rPr>
              <w:t>ē</w:t>
            </w:r>
            <w:r w:rsidRPr="00EB3D99">
              <w:rPr>
                <w:lang w:val="lv-LV"/>
              </w:rPr>
              <w:t>s – 4.novembrī un 15.novembrī</w:t>
            </w:r>
            <w:r w:rsidR="00BC1113">
              <w:rPr>
                <w:lang w:val="lv-LV"/>
              </w:rPr>
              <w:t>,</w:t>
            </w:r>
            <w:r w:rsidRPr="00EB3D99">
              <w:rPr>
                <w:lang w:val="lv-LV"/>
              </w:rPr>
              <w:t xml:space="preserve"> vienotos par kopīgu tekstu attiecībā uz BP 2020. </w:t>
            </w:r>
            <w:proofErr w:type="spellStart"/>
            <w:r w:rsidRPr="00EB3D99">
              <w:rPr>
                <w:lang w:val="lv-LV"/>
              </w:rPr>
              <w:t>Trialogos</w:t>
            </w:r>
            <w:proofErr w:type="spellEnd"/>
            <w:r w:rsidRPr="00EB3D99">
              <w:rPr>
                <w:lang w:val="lv-LV"/>
              </w:rPr>
              <w:t xml:space="preserve"> Padomi pārstāv Somijas prezidentūra (FI PRES).</w:t>
            </w:r>
          </w:p>
          <w:p w14:paraId="47BDD89D" w14:textId="4529FAB9" w:rsidR="00336F91" w:rsidRPr="00EB3D99" w:rsidRDefault="00336F91" w:rsidP="00336F91">
            <w:pPr>
              <w:spacing w:before="120" w:after="120"/>
              <w:jc w:val="both"/>
              <w:rPr>
                <w:lang w:val="lv-LV"/>
              </w:rPr>
            </w:pPr>
            <w:r w:rsidRPr="00EB3D99">
              <w:rPr>
                <w:lang w:val="lv-LV"/>
              </w:rPr>
              <w:t xml:space="preserve">EP nostāja un izdarītie labojumi iepretim Padomes pozīcijai tika skatīti Padomes </w:t>
            </w:r>
            <w:r w:rsidR="00FA6978">
              <w:rPr>
                <w:lang w:val="lv-LV"/>
              </w:rPr>
              <w:t>B</w:t>
            </w:r>
            <w:r w:rsidRPr="00EB3D99">
              <w:rPr>
                <w:lang w:val="lv-LV"/>
              </w:rPr>
              <w:t>udžeta komitejas sanāksmē</w:t>
            </w:r>
            <w:r w:rsidR="00FA6978">
              <w:rPr>
                <w:lang w:val="lv-LV"/>
              </w:rPr>
              <w:t>.</w:t>
            </w:r>
            <w:r w:rsidRPr="00EB3D99">
              <w:rPr>
                <w:lang w:val="lv-LV"/>
              </w:rPr>
              <w:t xml:space="preserve"> Padome  9.oktobra CRPII apstiprināja negatīvas atbildes </w:t>
            </w:r>
            <w:r w:rsidR="00FA6978" w:rsidRPr="00EB3D99">
              <w:rPr>
                <w:iCs/>
                <w:lang w:val="lv-LV"/>
              </w:rPr>
              <w:t>vēstul</w:t>
            </w:r>
            <w:r w:rsidR="00D5309A">
              <w:rPr>
                <w:iCs/>
                <w:lang w:val="lv-LV"/>
              </w:rPr>
              <w:t>es projektu</w:t>
            </w:r>
            <w:r w:rsidR="00FA6978" w:rsidRPr="00EB3D99">
              <w:rPr>
                <w:iCs/>
                <w:lang w:val="lv-LV"/>
              </w:rPr>
              <w:t xml:space="preserve"> </w:t>
            </w:r>
            <w:r w:rsidRPr="00EB3D99">
              <w:rPr>
                <w:lang w:val="lv-LV"/>
              </w:rPr>
              <w:t xml:space="preserve"> EP, kurā i</w:t>
            </w:r>
            <w:r w:rsidR="00D5309A">
              <w:rPr>
                <w:lang w:val="lv-LV"/>
              </w:rPr>
              <w:t>nformēja</w:t>
            </w:r>
            <w:r w:rsidRPr="00EB3D99">
              <w:rPr>
                <w:lang w:val="lv-LV"/>
              </w:rPr>
              <w:t xml:space="preserve">, ka neatbalsta EP veiktos grozījumus. 15.oktobra VLP to apstiprināja A daļā un izsūtīja EP. </w:t>
            </w:r>
            <w:r w:rsidRPr="00EB3D99">
              <w:rPr>
                <w:b/>
                <w:lang w:val="lv-LV"/>
              </w:rPr>
              <w:t>DV tradicionāli vienbalsīgi atbalstīja to, ka visiem EP labojumiem nevar piekrist</w:t>
            </w:r>
            <w:r w:rsidRPr="00EB3D99">
              <w:rPr>
                <w:lang w:val="lv-LV"/>
              </w:rPr>
              <w:t>, jo sevišķi</w:t>
            </w:r>
            <w:r w:rsidR="002237FC">
              <w:rPr>
                <w:lang w:val="lv-LV"/>
              </w:rPr>
              <w:t>,</w:t>
            </w:r>
            <w:r w:rsidRPr="00EB3D99">
              <w:rPr>
                <w:lang w:val="lv-LV"/>
              </w:rPr>
              <w:t xml:space="preserve"> ņemot vērā to, ka EP neievēro DFS regulā noteiktos saistību apropriāciju maksimālos apjomus. FI PRES ir dots mandāts </w:t>
            </w:r>
            <w:proofErr w:type="spellStart"/>
            <w:r w:rsidRPr="00EB3D99">
              <w:rPr>
                <w:lang w:val="lv-LV"/>
              </w:rPr>
              <w:t>trialogos</w:t>
            </w:r>
            <w:proofErr w:type="spellEnd"/>
            <w:r w:rsidRPr="00EB3D99">
              <w:rPr>
                <w:lang w:val="lv-LV"/>
              </w:rPr>
              <w:t xml:space="preserve"> stingri pieturēties pie Padomes apstiprinātās pozīcijas.</w:t>
            </w:r>
          </w:p>
          <w:p w14:paraId="15C3F510" w14:textId="77F6C21D" w:rsidR="00317219" w:rsidRPr="00EB3D99" w:rsidRDefault="00336F91" w:rsidP="00C353B4">
            <w:pPr>
              <w:jc w:val="both"/>
              <w:rPr>
                <w:lang w:val="lv-LV"/>
              </w:rPr>
            </w:pPr>
            <w:r w:rsidRPr="00EB3D99">
              <w:rPr>
                <w:lang w:val="lv-LV"/>
              </w:rPr>
              <w:lastRenderedPageBreak/>
              <w:t xml:space="preserve">FR, SK, SE, IE, BE, DE, AT, UK lūdz </w:t>
            </w:r>
            <w:r w:rsidRPr="00EB3D99">
              <w:rPr>
                <w:b/>
                <w:lang w:val="lv-LV"/>
              </w:rPr>
              <w:t>EK</w:t>
            </w:r>
            <w:r w:rsidRPr="00EB3D99">
              <w:rPr>
                <w:lang w:val="lv-LV"/>
              </w:rPr>
              <w:t xml:space="preserve"> sagatavot un rakstiski iesniegt detalizētu metodoloģiju, kā aprēķina, cik kura programma sniedz ieguldījumu klimata mērķa sasniegšanai. </w:t>
            </w:r>
          </w:p>
        </w:tc>
      </w:tr>
      <w:tr w:rsidR="00336F91" w:rsidRPr="00EE1E8A" w14:paraId="289D553D"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3E143761" w14:textId="77777777" w:rsidR="00336F91" w:rsidRPr="00EE1E8A" w:rsidRDefault="00336F91" w:rsidP="00336F91">
            <w:pPr>
              <w:spacing w:before="120" w:after="120"/>
              <w:jc w:val="center"/>
              <w:rPr>
                <w:b/>
                <w:lang w:val="lv-LV"/>
              </w:rPr>
            </w:pPr>
            <w:r w:rsidRPr="00EE1E8A">
              <w:rPr>
                <w:b/>
                <w:lang w:val="lv-LV"/>
              </w:rPr>
              <w:lastRenderedPageBreak/>
              <w:t>5. ES institūciju viedokļi</w:t>
            </w:r>
          </w:p>
        </w:tc>
      </w:tr>
      <w:tr w:rsidR="00336F91" w:rsidRPr="00EE1E8A" w14:paraId="3804E37C"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24" w:type="dxa"/>
            <w:gridSpan w:val="5"/>
          </w:tcPr>
          <w:p w14:paraId="0D7EA5F6" w14:textId="7EB2C23A" w:rsidR="00336F91" w:rsidRPr="00EB3D99" w:rsidRDefault="00336F91" w:rsidP="00336F91">
            <w:pPr>
              <w:spacing w:before="120" w:after="120"/>
              <w:jc w:val="both"/>
              <w:rPr>
                <w:lang w:val="lv-LV"/>
              </w:rPr>
            </w:pPr>
            <w:r w:rsidRPr="00EB3D99">
              <w:rPr>
                <w:b/>
                <w:lang w:val="lv-LV"/>
              </w:rPr>
              <w:t xml:space="preserve">EK </w:t>
            </w:r>
            <w:r w:rsidRPr="00EB3D99">
              <w:rPr>
                <w:lang w:val="lv-LV"/>
              </w:rPr>
              <w:t>29.oktobrī ir izplatījusi izpildes vēstuli</w:t>
            </w:r>
            <w:r w:rsidRPr="00EB3D99">
              <w:rPr>
                <w:rStyle w:val="FootnoteReference"/>
                <w:lang w:val="lv-LV"/>
              </w:rPr>
              <w:footnoteReference w:id="10"/>
            </w:r>
            <w:r w:rsidRPr="00EB3D99">
              <w:rPr>
                <w:lang w:val="lv-LV"/>
              </w:rPr>
              <w:t>, kurā uzskata, ka tās piedāvājums, iekļaujot rudenī nopublicēto grozījumu vēstuli</w:t>
            </w:r>
            <w:r w:rsidR="002237FC">
              <w:rPr>
                <w:lang w:val="lv-LV"/>
              </w:rPr>
              <w:t>/ AL,</w:t>
            </w:r>
            <w:r w:rsidRPr="00EB3D99">
              <w:rPr>
                <w:lang w:val="lv-LV"/>
              </w:rPr>
              <w:t xml:space="preserve"> ir labs pamats, uz kura </w:t>
            </w:r>
            <w:r w:rsidR="002237FC">
              <w:rPr>
                <w:lang w:val="lv-LV"/>
              </w:rPr>
              <w:t xml:space="preserve">bāzes </w:t>
            </w:r>
            <w:r w:rsidRPr="00EB3D99">
              <w:rPr>
                <w:lang w:val="lv-LV"/>
              </w:rPr>
              <w:t xml:space="preserve">apstiprināt nākamā gada ES BP. Priekšlikums ir līdzsvarots un tajā ir iekļautas visas aktualitātes, kā arī ņemtas vērā aktuālās vajadzības. </w:t>
            </w:r>
          </w:p>
          <w:p w14:paraId="19FCF0B1" w14:textId="321BF3AA" w:rsidR="00336F91" w:rsidRPr="00EE1E8A" w:rsidRDefault="00336F91" w:rsidP="00336F91">
            <w:pPr>
              <w:rPr>
                <w:szCs w:val="22"/>
                <w:lang w:val="lv-LV"/>
              </w:rPr>
            </w:pPr>
            <w:r w:rsidRPr="00EB3D99">
              <w:rPr>
                <w:b/>
                <w:lang w:val="lv-LV"/>
              </w:rPr>
              <w:t>EK</w:t>
            </w:r>
            <w:r w:rsidRPr="00EB3D99">
              <w:rPr>
                <w:lang w:val="lv-LV"/>
              </w:rPr>
              <w:t xml:space="preserve"> ir sagatavojusi informāciju par </w:t>
            </w:r>
            <w:r w:rsidRPr="00EB3D99">
              <w:rPr>
                <w:b/>
                <w:lang w:val="lv-LV"/>
              </w:rPr>
              <w:t>EP</w:t>
            </w:r>
            <w:r w:rsidRPr="00EB3D99">
              <w:rPr>
                <w:lang w:val="lv-LV"/>
              </w:rPr>
              <w:t xml:space="preserve"> un </w:t>
            </w:r>
            <w:r w:rsidRPr="00EB3D99">
              <w:rPr>
                <w:b/>
                <w:lang w:val="lv-LV"/>
              </w:rPr>
              <w:t>Padomes</w:t>
            </w:r>
            <w:r w:rsidRPr="00EB3D99">
              <w:rPr>
                <w:lang w:val="lv-LV"/>
              </w:rPr>
              <w:t xml:space="preserve"> iesniegtajiem priekšlikumiem 2020.gada ES budžetam (DB2020) un </w:t>
            </w:r>
            <w:r w:rsidRPr="00EB3D99">
              <w:rPr>
                <w:b/>
                <w:lang w:val="lv-LV"/>
              </w:rPr>
              <w:t xml:space="preserve">EK </w:t>
            </w:r>
            <w:r w:rsidRPr="00EB3D99">
              <w:rPr>
                <w:lang w:val="lv-LV"/>
              </w:rPr>
              <w:t xml:space="preserve">viedokli par šiem priekšlikumiem. </w:t>
            </w:r>
            <w:r w:rsidRPr="00EB3D99">
              <w:rPr>
                <w:b/>
                <w:lang w:val="lv-LV"/>
              </w:rPr>
              <w:t xml:space="preserve">EK </w:t>
            </w:r>
            <w:r w:rsidRPr="00EB3D99">
              <w:rPr>
                <w:lang w:val="lv-LV"/>
              </w:rPr>
              <w:t>cer, ka šī analīze palīdzēs Samierināšanas komitejas darbam.</w:t>
            </w:r>
          </w:p>
          <w:p w14:paraId="17AA856E" w14:textId="77777777" w:rsidR="00336F91" w:rsidRPr="00EB3D99" w:rsidRDefault="00336F91" w:rsidP="00336F91">
            <w:pPr>
              <w:rPr>
                <w:lang w:val="lv-LV"/>
              </w:rPr>
            </w:pPr>
          </w:p>
          <w:p w14:paraId="03CD793F" w14:textId="647E3D79" w:rsidR="00336F91" w:rsidRPr="00EB3D99" w:rsidRDefault="00336F91" w:rsidP="00336F91">
            <w:pPr>
              <w:rPr>
                <w:lang w:val="lv-LV"/>
              </w:rPr>
            </w:pPr>
            <w:r w:rsidRPr="00EB3D99">
              <w:rPr>
                <w:lang w:val="lv-LV"/>
              </w:rPr>
              <w:t>BP ir plānotas SA 168.3 miljardi EUR (kas ir + 1,3% salīdzinot ar 2019 budžetu) un MA 153,6 miljardi EUR (+ 3,5%).</w:t>
            </w:r>
            <w:r w:rsidRPr="00EB3D99">
              <w:rPr>
                <w:b/>
                <w:lang w:val="lv-LV"/>
              </w:rPr>
              <w:t xml:space="preserve"> EK</w:t>
            </w:r>
            <w:r w:rsidRPr="00EB3D99">
              <w:rPr>
                <w:lang w:val="lv-LV"/>
              </w:rPr>
              <w:t xml:space="preserve"> uzsver, ka 21% no tā ir tieši paredzēts klimata jautājumiem (20% mērķis </w:t>
            </w:r>
            <w:r w:rsidR="002237FC">
              <w:rPr>
                <w:lang w:val="lv-LV"/>
              </w:rPr>
              <w:t xml:space="preserve">DFS </w:t>
            </w:r>
            <w:r w:rsidRPr="00EB3D99">
              <w:rPr>
                <w:lang w:val="lv-LV"/>
              </w:rPr>
              <w:t>ir pārsniegts), kas nozīmē, ka 2020.gadā turpināsies iesāktie klimata projekti un tas būs labs atspēriena punkts nāk</w:t>
            </w:r>
            <w:r w:rsidR="002237FC">
              <w:rPr>
                <w:lang w:val="lv-LV"/>
              </w:rPr>
              <w:t>am</w:t>
            </w:r>
            <w:r w:rsidRPr="00EB3D99">
              <w:rPr>
                <w:lang w:val="lv-LV"/>
              </w:rPr>
              <w:t xml:space="preserve">ajam DFS. </w:t>
            </w:r>
          </w:p>
          <w:p w14:paraId="7CB126C5" w14:textId="77777777" w:rsidR="00336F91" w:rsidRPr="00EB3D99" w:rsidRDefault="00336F91" w:rsidP="00336F91">
            <w:pPr>
              <w:rPr>
                <w:lang w:val="lv-LV"/>
              </w:rPr>
            </w:pPr>
          </w:p>
          <w:p w14:paraId="33295F4F" w14:textId="35A41869" w:rsidR="00336F91" w:rsidRPr="00EB3D99" w:rsidRDefault="00336F91" w:rsidP="00336F91">
            <w:pPr>
              <w:rPr>
                <w:lang w:val="lv-LV"/>
              </w:rPr>
            </w:pPr>
            <w:r w:rsidRPr="00EB3D99">
              <w:rPr>
                <w:u w:val="single"/>
                <w:lang w:val="lv-LV"/>
              </w:rPr>
              <w:t>EK komentāri par EP un Padomes priekšlikumiem, kurus vajadzētu pārrunāt budžeta sarunās</w:t>
            </w:r>
            <w:r w:rsidRPr="00EB3D99">
              <w:rPr>
                <w:lang w:val="lv-LV"/>
              </w:rPr>
              <w:t>:</w:t>
            </w:r>
          </w:p>
          <w:p w14:paraId="553A2A65" w14:textId="6F77C2DB" w:rsidR="00336F91" w:rsidRPr="00077755" w:rsidRDefault="00336F91" w:rsidP="00336F91">
            <w:pPr>
              <w:pStyle w:val="ListParagraph"/>
              <w:numPr>
                <w:ilvl w:val="0"/>
                <w:numId w:val="34"/>
              </w:numPr>
              <w:spacing w:after="160" w:line="252" w:lineRule="auto"/>
              <w:contextualSpacing/>
              <w:rPr>
                <w:lang w:val="lv-LV"/>
              </w:rPr>
            </w:pPr>
            <w:r w:rsidRPr="00EB3D99">
              <w:rPr>
                <w:lang w:val="lv-LV"/>
              </w:rPr>
              <w:t>H1a Padome iesaka samazināt SA par 747 milj.</w:t>
            </w:r>
            <w:r w:rsidR="00DF0EC8">
              <w:rPr>
                <w:lang w:val="lv-LV"/>
              </w:rPr>
              <w:t xml:space="preserve"> </w:t>
            </w:r>
            <w:r w:rsidRPr="00EB3D99">
              <w:rPr>
                <w:lang w:val="lv-LV"/>
              </w:rPr>
              <w:t>EUR, bet EP rosina palielināt par 1,6 miljardiem</w:t>
            </w:r>
            <w:r w:rsidR="003036A4">
              <w:rPr>
                <w:lang w:val="lv-LV"/>
              </w:rPr>
              <w:t xml:space="preserve"> EUR</w:t>
            </w:r>
            <w:r w:rsidRPr="00EB3D99">
              <w:rPr>
                <w:lang w:val="lv-LV"/>
              </w:rPr>
              <w:t xml:space="preserve">. EK piedāvājums ir par 1,3 miljardiem </w:t>
            </w:r>
            <w:r w:rsidR="003036A4">
              <w:rPr>
                <w:lang w:val="lv-LV"/>
              </w:rPr>
              <w:t xml:space="preserve">EUR </w:t>
            </w:r>
            <w:r w:rsidRPr="00EB3D99">
              <w:rPr>
                <w:lang w:val="lv-LV"/>
              </w:rPr>
              <w:t xml:space="preserve">lielāks par 2019.gadu, kurā ir 474 milj. </w:t>
            </w:r>
            <w:r w:rsidR="003036A4">
              <w:rPr>
                <w:lang w:val="lv-LV"/>
              </w:rPr>
              <w:t xml:space="preserve">EUR </w:t>
            </w:r>
            <w:r w:rsidRPr="00077755">
              <w:rPr>
                <w:lang w:val="lv-LV"/>
              </w:rPr>
              <w:t>neiezīmētā rezerve. To varētu izmantot klimata jautājumu risināšanai un pārejai no esošā uz nāk</w:t>
            </w:r>
            <w:r w:rsidR="003036A4">
              <w:rPr>
                <w:lang w:val="lv-LV"/>
              </w:rPr>
              <w:t>am</w:t>
            </w:r>
            <w:r w:rsidRPr="00077755">
              <w:rPr>
                <w:lang w:val="lv-LV"/>
              </w:rPr>
              <w:t>o DFS.</w:t>
            </w:r>
          </w:p>
          <w:p w14:paraId="33795695" w14:textId="638FD695" w:rsidR="00336F91" w:rsidRPr="00EB3D99" w:rsidRDefault="00336F91" w:rsidP="00336F91">
            <w:pPr>
              <w:pStyle w:val="ListParagraph"/>
              <w:numPr>
                <w:ilvl w:val="0"/>
                <w:numId w:val="34"/>
              </w:numPr>
              <w:spacing w:after="160" w:line="252" w:lineRule="auto"/>
              <w:contextualSpacing/>
              <w:rPr>
                <w:lang w:val="lv-LV"/>
              </w:rPr>
            </w:pPr>
            <w:r w:rsidRPr="00EE1E8A">
              <w:rPr>
                <w:lang w:val="lv-LV"/>
              </w:rPr>
              <w:t>Atvērtais jautājums ir Finanšu regulas</w:t>
            </w:r>
            <w:r w:rsidRPr="00EE1E8A">
              <w:rPr>
                <w:rStyle w:val="FootnoteReference"/>
                <w:lang w:val="lv-LV"/>
              </w:rPr>
              <w:footnoteReference w:id="11"/>
            </w:r>
            <w:r w:rsidRPr="00EE1E8A">
              <w:rPr>
                <w:lang w:val="lv-LV"/>
              </w:rPr>
              <w:t xml:space="preserve"> 15.3.panta piemērošana (atcelto saistību atkārtota izmantošana tikai pētniecības projektiem). </w:t>
            </w:r>
            <w:r w:rsidRPr="00077755">
              <w:rPr>
                <w:lang w:val="lv-LV"/>
              </w:rPr>
              <w:t>Padome iebilst pret to, bet EP ierosina pilnībā izlietot atceltās saistības (281 milj</w:t>
            </w:r>
            <w:r w:rsidR="00DF0EC8">
              <w:rPr>
                <w:lang w:val="lv-LV"/>
              </w:rPr>
              <w:t>.</w:t>
            </w:r>
            <w:r w:rsidRPr="00077755">
              <w:rPr>
                <w:lang w:val="lv-LV"/>
              </w:rPr>
              <w:t xml:space="preserve"> EUR). Komisija ierosina izlietot </w:t>
            </w:r>
            <w:r w:rsidR="00AD3DD9">
              <w:rPr>
                <w:lang w:val="lv-LV"/>
              </w:rPr>
              <w:t xml:space="preserve">tikai daļu - </w:t>
            </w:r>
            <w:r w:rsidRPr="00EB3D99">
              <w:rPr>
                <w:lang w:val="lv-LV"/>
              </w:rPr>
              <w:t>72 milj.</w:t>
            </w:r>
            <w:r w:rsidR="00DF0EC8">
              <w:rPr>
                <w:lang w:val="lv-LV"/>
              </w:rPr>
              <w:t xml:space="preserve"> </w:t>
            </w:r>
            <w:r w:rsidRPr="00EB3D99">
              <w:rPr>
                <w:lang w:val="lv-LV"/>
              </w:rPr>
              <w:t>EUR</w:t>
            </w:r>
            <w:r w:rsidR="00AD3DD9">
              <w:rPr>
                <w:lang w:val="lv-LV"/>
              </w:rPr>
              <w:t>,</w:t>
            </w:r>
            <w:r w:rsidRPr="00EB3D99">
              <w:rPr>
                <w:lang w:val="lv-LV"/>
              </w:rPr>
              <w:t xml:space="preserve"> Eiropas Inovācijas padomei. </w:t>
            </w:r>
          </w:p>
          <w:p w14:paraId="50FB6F90" w14:textId="3CD42C41" w:rsidR="00336F91" w:rsidRPr="00EB3D99" w:rsidRDefault="00336F91" w:rsidP="00336F91">
            <w:pPr>
              <w:pStyle w:val="ListParagraph"/>
              <w:numPr>
                <w:ilvl w:val="0"/>
                <w:numId w:val="34"/>
              </w:numPr>
              <w:spacing w:after="160" w:line="252" w:lineRule="auto"/>
              <w:contextualSpacing/>
              <w:rPr>
                <w:lang w:val="lv-LV"/>
              </w:rPr>
            </w:pPr>
            <w:r w:rsidRPr="00EB3D99">
              <w:rPr>
                <w:lang w:val="lv-LV"/>
              </w:rPr>
              <w:t>H1b – EP rosina palielināt par 363 milj</w:t>
            </w:r>
            <w:r w:rsidR="00C40D75" w:rsidRPr="00EB3D99">
              <w:rPr>
                <w:lang w:val="lv-LV"/>
              </w:rPr>
              <w:t>.</w:t>
            </w:r>
            <w:r w:rsidR="00C40D75">
              <w:rPr>
                <w:lang w:val="lv-LV"/>
              </w:rPr>
              <w:t xml:space="preserve"> EUR </w:t>
            </w:r>
            <w:r w:rsidRPr="00EB3D99">
              <w:rPr>
                <w:lang w:val="lv-LV"/>
              </w:rPr>
              <w:t>JNI</w:t>
            </w:r>
            <w:r w:rsidR="00C40D75">
              <w:rPr>
                <w:lang w:val="lv-LV"/>
              </w:rPr>
              <w:t>/ YEI</w:t>
            </w:r>
            <w:r w:rsidRPr="00EB3D99">
              <w:rPr>
                <w:lang w:val="lv-LV"/>
              </w:rPr>
              <w:t>, kam tagad EK ir paredzējusi 117 milj.</w:t>
            </w:r>
            <w:r w:rsidR="00DF0EC8">
              <w:rPr>
                <w:lang w:val="lv-LV"/>
              </w:rPr>
              <w:t xml:space="preserve"> </w:t>
            </w:r>
            <w:r w:rsidR="00C40D75">
              <w:rPr>
                <w:lang w:val="lv-LV"/>
              </w:rPr>
              <w:t>EUR</w:t>
            </w:r>
            <w:r w:rsidR="00295986">
              <w:rPr>
                <w:lang w:val="lv-LV"/>
              </w:rPr>
              <w:t>.</w:t>
            </w:r>
            <w:r w:rsidRPr="00EB3D99">
              <w:rPr>
                <w:lang w:val="lv-LV"/>
              </w:rPr>
              <w:t xml:space="preserve"> Padome rosina to samazināt līdz nullei. </w:t>
            </w:r>
            <w:r w:rsidR="00295986">
              <w:rPr>
                <w:lang w:val="lv-LV"/>
              </w:rPr>
              <w:t>EK</w:t>
            </w:r>
            <w:r w:rsidRPr="00EB3D99">
              <w:rPr>
                <w:lang w:val="lv-LV"/>
              </w:rPr>
              <w:t xml:space="preserve"> uzskata, ka piedāvātais apjoms ir pietiekams, ņemot vērā programmas ieviešanas progresu.</w:t>
            </w:r>
          </w:p>
          <w:p w14:paraId="58F3D48F" w14:textId="40D6C106" w:rsidR="00336F91" w:rsidRPr="00EB3D99" w:rsidRDefault="00FA7BCE" w:rsidP="00336F91">
            <w:pPr>
              <w:pStyle w:val="ListParagraph"/>
              <w:numPr>
                <w:ilvl w:val="0"/>
                <w:numId w:val="34"/>
              </w:numPr>
              <w:spacing w:after="160" w:line="252" w:lineRule="auto"/>
              <w:contextualSpacing/>
              <w:rPr>
                <w:lang w:val="lv-LV"/>
              </w:rPr>
            </w:pPr>
            <w:r>
              <w:rPr>
                <w:lang w:val="lv-LV"/>
              </w:rPr>
              <w:t>Rezerves un īpašie</w:t>
            </w:r>
            <w:r w:rsidR="00336F91" w:rsidRPr="00EB3D99">
              <w:rPr>
                <w:lang w:val="lv-LV"/>
              </w:rPr>
              <w:t xml:space="preserve"> instrumenti – EP ierosina palielināt izdevumus virs SA griestiem</w:t>
            </w:r>
            <w:r>
              <w:rPr>
                <w:lang w:val="lv-LV"/>
              </w:rPr>
              <w:t>, paredz</w:t>
            </w:r>
            <w:r w:rsidR="00EB3D99">
              <w:rPr>
                <w:lang w:val="lv-LV"/>
              </w:rPr>
              <w:t>o</w:t>
            </w:r>
            <w:r>
              <w:rPr>
                <w:lang w:val="lv-LV"/>
              </w:rPr>
              <w:t>t intensīvu īpašo instrumentu izmantošanu</w:t>
            </w:r>
            <w:r w:rsidR="00EB3D99">
              <w:rPr>
                <w:lang w:val="lv-LV"/>
              </w:rPr>
              <w:t xml:space="preserve"> un krasi samazinot rezerves</w:t>
            </w:r>
            <w:r>
              <w:rPr>
                <w:lang w:val="lv-LV"/>
              </w:rPr>
              <w:t>.</w:t>
            </w:r>
            <w:r w:rsidR="00336F91" w:rsidRPr="00EB3D99">
              <w:rPr>
                <w:lang w:val="lv-LV"/>
              </w:rPr>
              <w:t xml:space="preserve"> Padome </w:t>
            </w:r>
            <w:r w:rsidR="002D7361">
              <w:rPr>
                <w:lang w:val="lv-LV"/>
              </w:rPr>
              <w:t xml:space="preserve">gluži </w:t>
            </w:r>
            <w:r w:rsidR="00336F91" w:rsidRPr="00EB3D99">
              <w:rPr>
                <w:lang w:val="lv-LV"/>
              </w:rPr>
              <w:t>pretēji ierosina palielināt rezervi par 1,2 miljardiem EUR</w:t>
            </w:r>
            <w:r w:rsidR="002D7361">
              <w:rPr>
                <w:lang w:val="lv-LV"/>
              </w:rPr>
              <w:t>,</w:t>
            </w:r>
            <w:r w:rsidR="00336F91" w:rsidRPr="00EB3D99">
              <w:rPr>
                <w:lang w:val="lv-LV"/>
              </w:rPr>
              <w:t xml:space="preserve"> salīdzinot ar EK priekšlikumu. </w:t>
            </w:r>
          </w:p>
          <w:p w14:paraId="1D2E4559" w14:textId="5B7EC928" w:rsidR="00336F91" w:rsidRPr="00EB3D99" w:rsidRDefault="000F2671" w:rsidP="00336F91">
            <w:pPr>
              <w:rPr>
                <w:u w:val="single"/>
                <w:lang w:val="lv-LV"/>
              </w:rPr>
            </w:pPr>
            <w:r w:rsidRPr="00EB3D99">
              <w:rPr>
                <w:u w:val="single"/>
                <w:lang w:val="lv-LV"/>
              </w:rPr>
              <w:t>Īpašo instrumentu izmantošana, rezerves</w:t>
            </w:r>
          </w:p>
          <w:p w14:paraId="1327212E" w14:textId="319D52FE" w:rsidR="00336F91" w:rsidRPr="00EB3D99" w:rsidRDefault="00336F91" w:rsidP="001A631A">
            <w:pPr>
              <w:jc w:val="both"/>
              <w:rPr>
                <w:lang w:val="lv-LV"/>
              </w:rPr>
            </w:pPr>
            <w:r w:rsidRPr="00EB3D99">
              <w:rPr>
                <w:lang w:val="lv-LV"/>
              </w:rPr>
              <w:t>BP paredz 1,8 mljrd. EUR rezervi SA visās sadaļās, izņemot H1b un H3. EK iesniegtā grozījumu vēstule</w:t>
            </w:r>
            <w:r w:rsidR="00F57BF1">
              <w:rPr>
                <w:lang w:val="lv-LV"/>
              </w:rPr>
              <w:t>/ AL</w:t>
            </w:r>
            <w:r w:rsidRPr="00EB3D99">
              <w:rPr>
                <w:lang w:val="lv-LV"/>
              </w:rPr>
              <w:t xml:space="preserve"> paredz</w:t>
            </w:r>
            <w:r w:rsidR="00BD56B4">
              <w:rPr>
                <w:lang w:val="lv-LV"/>
              </w:rPr>
              <w:t xml:space="preserve"> mazliet</w:t>
            </w:r>
            <w:r w:rsidRPr="00EB3D99">
              <w:rPr>
                <w:lang w:val="lv-LV"/>
              </w:rPr>
              <w:t xml:space="preserve"> </w:t>
            </w:r>
            <w:r w:rsidR="00DF0EC8">
              <w:rPr>
                <w:lang w:val="lv-LV"/>
              </w:rPr>
              <w:t xml:space="preserve">palielināt SA rezerves </w:t>
            </w:r>
            <w:r w:rsidR="00BD56B4">
              <w:rPr>
                <w:lang w:val="lv-LV"/>
              </w:rPr>
              <w:t>H2. Padome paredzējusi rezervi 3 mljrd. EUR apmērā.</w:t>
            </w:r>
            <w:r w:rsidR="00BD56B4">
              <w:t xml:space="preserve"> </w:t>
            </w:r>
            <w:proofErr w:type="spellStart"/>
            <w:r w:rsidR="00BD56B4">
              <w:t>Iepretim</w:t>
            </w:r>
            <w:proofErr w:type="spellEnd"/>
            <w:r w:rsidR="00BD56B4">
              <w:t xml:space="preserve"> EK un </w:t>
            </w:r>
            <w:proofErr w:type="spellStart"/>
            <w:r w:rsidR="00BD56B4">
              <w:t>Padomei</w:t>
            </w:r>
            <w:proofErr w:type="spellEnd"/>
            <w:r w:rsidR="00BD56B4">
              <w:t xml:space="preserve">, EP </w:t>
            </w:r>
            <w:proofErr w:type="spellStart"/>
            <w:r w:rsidR="00BD56B4">
              <w:t>uzskata</w:t>
            </w:r>
            <w:proofErr w:type="spellEnd"/>
            <w:r w:rsidR="00BD56B4">
              <w:t xml:space="preserve">, ka </w:t>
            </w:r>
            <w:proofErr w:type="spellStart"/>
            <w:r w:rsidR="00BD56B4">
              <w:t>rezervēm</w:t>
            </w:r>
            <w:proofErr w:type="spellEnd"/>
            <w:r w:rsidR="00BD56B4">
              <w:t xml:space="preserve"> </w:t>
            </w:r>
            <w:proofErr w:type="spellStart"/>
            <w:r w:rsidR="00BD56B4">
              <w:t>ir</w:t>
            </w:r>
            <w:proofErr w:type="spellEnd"/>
            <w:r w:rsidR="00BD56B4">
              <w:t xml:space="preserve"> </w:t>
            </w:r>
            <w:proofErr w:type="spellStart"/>
            <w:r w:rsidR="00BD56B4">
              <w:t>jābūt</w:t>
            </w:r>
            <w:proofErr w:type="spellEnd"/>
            <w:r w:rsidR="00BD56B4">
              <w:t xml:space="preserve"> </w:t>
            </w:r>
            <w:proofErr w:type="spellStart"/>
            <w:r w:rsidR="00BD56B4">
              <w:t>daudz</w:t>
            </w:r>
            <w:proofErr w:type="spellEnd"/>
            <w:r w:rsidR="00BD56B4">
              <w:t xml:space="preserve"> </w:t>
            </w:r>
            <w:proofErr w:type="spellStart"/>
            <w:r w:rsidR="00BD56B4">
              <w:t>mazākām</w:t>
            </w:r>
            <w:proofErr w:type="spellEnd"/>
            <w:r w:rsidR="00BD56B4">
              <w:t xml:space="preserve"> (425 </w:t>
            </w:r>
            <w:proofErr w:type="spellStart"/>
            <w:r w:rsidR="00BD56B4">
              <w:t>milj</w:t>
            </w:r>
            <w:proofErr w:type="spellEnd"/>
            <w:r w:rsidR="00BD56B4">
              <w:t xml:space="preserve">. EUR), </w:t>
            </w:r>
            <w:proofErr w:type="spellStart"/>
            <w:r w:rsidR="00BD56B4">
              <w:t>tā</w:t>
            </w:r>
            <w:proofErr w:type="spellEnd"/>
            <w:r w:rsidR="00BD56B4">
              <w:t xml:space="preserve"> </w:t>
            </w:r>
            <w:proofErr w:type="spellStart"/>
            <w:r w:rsidR="00BD56B4">
              <w:t>vietā</w:t>
            </w:r>
            <w:proofErr w:type="spellEnd"/>
            <w:r w:rsidR="00BD56B4">
              <w:t xml:space="preserve"> </w:t>
            </w:r>
            <w:proofErr w:type="spellStart"/>
            <w:r w:rsidR="00BD56B4">
              <w:t>uzsvaru</w:t>
            </w:r>
            <w:proofErr w:type="spellEnd"/>
            <w:r w:rsidR="00BD56B4">
              <w:t xml:space="preserve"> </w:t>
            </w:r>
            <w:proofErr w:type="spellStart"/>
            <w:r w:rsidR="00BD56B4">
              <w:t>liekot</w:t>
            </w:r>
            <w:proofErr w:type="spellEnd"/>
            <w:r w:rsidR="00BD56B4">
              <w:t xml:space="preserve"> </w:t>
            </w:r>
            <w:proofErr w:type="spellStart"/>
            <w:r w:rsidR="00BD56B4">
              <w:t>uz</w:t>
            </w:r>
            <w:proofErr w:type="spellEnd"/>
            <w:r w:rsidR="00BD56B4">
              <w:t xml:space="preserve"> </w:t>
            </w:r>
            <w:proofErr w:type="spellStart"/>
            <w:r w:rsidR="00BD56B4">
              <w:t>īpašo</w:t>
            </w:r>
            <w:proofErr w:type="spellEnd"/>
            <w:r w:rsidR="00BD56B4">
              <w:t xml:space="preserve"> instrument </w:t>
            </w:r>
            <w:proofErr w:type="spellStart"/>
            <w:r w:rsidR="00BD56B4">
              <w:t>izmantošanu</w:t>
            </w:r>
            <w:proofErr w:type="spellEnd"/>
            <w:r w:rsidR="00BD56B4">
              <w:t>.</w:t>
            </w:r>
          </w:p>
          <w:p w14:paraId="5AD96E7D" w14:textId="76922B21" w:rsidR="00336F91" w:rsidRPr="00EB3D99" w:rsidRDefault="00336F91" w:rsidP="001A631A">
            <w:pPr>
              <w:jc w:val="both"/>
              <w:rPr>
                <w:lang w:val="lv-LV"/>
              </w:rPr>
            </w:pPr>
            <w:r w:rsidRPr="00EB3D99">
              <w:rPr>
                <w:lang w:val="lv-LV"/>
              </w:rPr>
              <w:t xml:space="preserve">EK uzskata, ka EP priekšlikumu rezultātā tiks izsmelta atlikusī nauda </w:t>
            </w:r>
            <w:r w:rsidRPr="00521847">
              <w:rPr>
                <w:lang w:val="lv-LV"/>
              </w:rPr>
              <w:t>elastības instrumentos</w:t>
            </w:r>
            <w:r w:rsidRPr="00EB3D99">
              <w:rPr>
                <w:lang w:val="lv-LV"/>
              </w:rPr>
              <w:t xml:space="preserve"> un tas radīs nepieciešamību izmantot rezervi ārkārtas gadījumiem</w:t>
            </w:r>
            <w:r w:rsidR="00E41DAC">
              <w:rPr>
                <w:lang w:val="lv-LV"/>
              </w:rPr>
              <w:t xml:space="preserve"> (</w:t>
            </w:r>
            <w:proofErr w:type="spellStart"/>
            <w:r w:rsidR="00E41DAC" w:rsidRPr="00EB3D99">
              <w:rPr>
                <w:i/>
                <w:lang w:val="lv-LV"/>
              </w:rPr>
              <w:t>contingency</w:t>
            </w:r>
            <w:proofErr w:type="spellEnd"/>
            <w:r w:rsidR="00E41DAC" w:rsidRPr="00EB3D99">
              <w:rPr>
                <w:i/>
                <w:lang w:val="lv-LV"/>
              </w:rPr>
              <w:t xml:space="preserve"> </w:t>
            </w:r>
            <w:proofErr w:type="spellStart"/>
            <w:r w:rsidR="00E41DAC" w:rsidRPr="00EB3D99">
              <w:rPr>
                <w:i/>
                <w:lang w:val="lv-LV"/>
              </w:rPr>
              <w:t>margin</w:t>
            </w:r>
            <w:proofErr w:type="spellEnd"/>
            <w:r w:rsidR="00E41DAC">
              <w:rPr>
                <w:lang w:val="lv-LV"/>
              </w:rPr>
              <w:t>)</w:t>
            </w:r>
            <w:r w:rsidRPr="00EB3D99">
              <w:rPr>
                <w:lang w:val="lv-LV"/>
              </w:rPr>
              <w:t>. EK uzskata, ka Padomes pieeja ir daudz apdomīgāka. EK rekomendē daudz piesardzīgāku pieeju DFS pēdējā gadā, kad varētu palielināties nepieciešamība ātrāk reaģēt uz neparedzamiem apstākļiem</w:t>
            </w:r>
            <w:r w:rsidR="00BD56B4">
              <w:rPr>
                <w:lang w:val="lv-LV"/>
              </w:rPr>
              <w:t xml:space="preserve"> (Sīrija, Turcija</w:t>
            </w:r>
            <w:r w:rsidR="004574DC">
              <w:rPr>
                <w:lang w:val="lv-LV"/>
              </w:rPr>
              <w:t>)</w:t>
            </w:r>
            <w:r w:rsidRPr="00EB3D99">
              <w:rPr>
                <w:lang w:val="lv-LV"/>
              </w:rPr>
              <w:t>.</w:t>
            </w:r>
          </w:p>
          <w:p w14:paraId="7EB38594" w14:textId="77777777" w:rsidR="000F2671" w:rsidRPr="00EB3D99" w:rsidRDefault="000F2671" w:rsidP="001A631A">
            <w:pPr>
              <w:jc w:val="both"/>
              <w:rPr>
                <w:lang w:val="lv-LV"/>
              </w:rPr>
            </w:pPr>
          </w:p>
          <w:p w14:paraId="74815891" w14:textId="67E7879A" w:rsidR="000F2671" w:rsidRPr="00521847" w:rsidRDefault="000F2671" w:rsidP="001A631A">
            <w:pPr>
              <w:jc w:val="both"/>
              <w:rPr>
                <w:u w:val="single"/>
                <w:lang w:val="lv-LV"/>
              </w:rPr>
            </w:pPr>
            <w:r w:rsidRPr="00521847">
              <w:rPr>
                <w:u w:val="single"/>
                <w:lang w:val="lv-LV"/>
              </w:rPr>
              <w:t>Klimata pārmaiņas</w:t>
            </w:r>
          </w:p>
          <w:p w14:paraId="384A061F" w14:textId="485680C1" w:rsidR="00E30284" w:rsidRPr="00EB3D99" w:rsidRDefault="00E30284" w:rsidP="001A631A">
            <w:pPr>
              <w:jc w:val="both"/>
              <w:rPr>
                <w:lang w:val="lv-LV"/>
              </w:rPr>
            </w:pPr>
            <w:r w:rsidRPr="00EB3D99">
              <w:rPr>
                <w:lang w:val="lv-LV"/>
              </w:rPr>
              <w:t>Reaģējot uz EP pieprasījum</w:t>
            </w:r>
            <w:r w:rsidR="004574DC">
              <w:rPr>
                <w:lang w:val="lv-LV"/>
              </w:rPr>
              <w:t>u</w:t>
            </w:r>
            <w:r w:rsidRPr="00EB3D99">
              <w:rPr>
                <w:lang w:val="lv-LV"/>
              </w:rPr>
              <w:t xml:space="preserve"> pastiprināt klimata finansējumu 2020.gadā, EK informē, ka</w:t>
            </w:r>
            <w:r w:rsidR="004574DC">
              <w:rPr>
                <w:lang w:val="lv-LV"/>
              </w:rPr>
              <w:t>,</w:t>
            </w:r>
            <w:r w:rsidRPr="00EB3D99">
              <w:rPr>
                <w:lang w:val="lv-LV"/>
              </w:rPr>
              <w:t xml:space="preserve"> ja tiktu apstiprināts EK priekšlikums, tad 21% no ES budžeta 2020.gadā tiktu novirzīts klimata mērķiem.</w:t>
            </w:r>
            <w:r w:rsidR="004574DC">
              <w:rPr>
                <w:lang w:val="lv-LV"/>
              </w:rPr>
              <w:t xml:space="preserve"> </w:t>
            </w:r>
            <w:r w:rsidRPr="00EB3D99">
              <w:rPr>
                <w:lang w:val="lv-LV"/>
              </w:rPr>
              <w:t xml:space="preserve">20% </w:t>
            </w:r>
            <w:r w:rsidRPr="00EB3D99">
              <w:rPr>
                <w:lang w:val="lv-LV"/>
              </w:rPr>
              <w:lastRenderedPageBreak/>
              <w:t xml:space="preserve">mērķis kopš 2016.gada ir sasniegts vai pat pārsniegts. Kaut arī tas nav pietiekami, lai nokompensētu </w:t>
            </w:r>
            <w:r w:rsidR="004574DC">
              <w:rPr>
                <w:lang w:val="lv-LV"/>
              </w:rPr>
              <w:t>zem</w:t>
            </w:r>
            <w:r w:rsidRPr="00EB3D99">
              <w:rPr>
                <w:lang w:val="lv-LV"/>
              </w:rPr>
              <w:t>āku rādītāju</w:t>
            </w:r>
            <w:r w:rsidR="004574DC">
              <w:rPr>
                <w:lang w:val="lv-LV"/>
              </w:rPr>
              <w:t>/ izpildi</w:t>
            </w:r>
            <w:r w:rsidRPr="00EB3D99">
              <w:rPr>
                <w:lang w:val="lv-LV"/>
              </w:rPr>
              <w:t xml:space="preserve"> 2014.-2015.gadā, tomēr ir skaidrs, ka 2020.gada BP nodrošina nozīmīgu devum</w:t>
            </w:r>
            <w:r w:rsidR="00C353B4" w:rsidRPr="00EB3D99">
              <w:rPr>
                <w:lang w:val="lv-LV"/>
              </w:rPr>
              <w:t xml:space="preserve">u klimata pasākumiem, kā arī </w:t>
            </w:r>
            <w:r w:rsidR="0003455E">
              <w:rPr>
                <w:lang w:val="lv-LV"/>
              </w:rPr>
              <w:t>sniedz labu</w:t>
            </w:r>
            <w:r w:rsidRPr="00EB3D99">
              <w:rPr>
                <w:lang w:val="lv-LV"/>
              </w:rPr>
              <w:t xml:space="preserve"> sign</w:t>
            </w:r>
            <w:r w:rsidR="00DF0EC8">
              <w:rPr>
                <w:lang w:val="lv-LV"/>
              </w:rPr>
              <w:t>ā</w:t>
            </w:r>
            <w:r w:rsidR="0003455E">
              <w:rPr>
                <w:lang w:val="lv-LV"/>
              </w:rPr>
              <w:t>lu</w:t>
            </w:r>
            <w:r w:rsidRPr="00EB3D99">
              <w:rPr>
                <w:lang w:val="lv-LV"/>
              </w:rPr>
              <w:t xml:space="preserve"> att</w:t>
            </w:r>
            <w:r w:rsidR="0013490A">
              <w:rPr>
                <w:lang w:val="lv-LV"/>
              </w:rPr>
              <w:t>i</w:t>
            </w:r>
            <w:r w:rsidRPr="00EB3D99">
              <w:rPr>
                <w:lang w:val="lv-LV"/>
              </w:rPr>
              <w:t>ecībā uz nāk</w:t>
            </w:r>
            <w:r w:rsidR="004574DC">
              <w:rPr>
                <w:lang w:val="lv-LV"/>
              </w:rPr>
              <w:t>am</w:t>
            </w:r>
            <w:r w:rsidRPr="00EB3D99">
              <w:rPr>
                <w:lang w:val="lv-LV"/>
              </w:rPr>
              <w:t>ā perioda DFS.</w:t>
            </w:r>
          </w:p>
          <w:p w14:paraId="28D0FC57" w14:textId="3A5BAE5D" w:rsidR="00B65F19" w:rsidRPr="00EB3D99" w:rsidRDefault="00B65F19" w:rsidP="001A631A">
            <w:pPr>
              <w:jc w:val="both"/>
              <w:rPr>
                <w:lang w:val="lv-LV"/>
              </w:rPr>
            </w:pPr>
          </w:p>
          <w:p w14:paraId="6A3CE8B2" w14:textId="209C25C9" w:rsidR="00B65F19" w:rsidRPr="00EB3D99" w:rsidRDefault="005A3226" w:rsidP="001A631A">
            <w:pPr>
              <w:jc w:val="both"/>
              <w:rPr>
                <w:u w:val="single"/>
                <w:lang w:val="lv-LV"/>
              </w:rPr>
            </w:pPr>
            <w:r w:rsidRPr="00EB3D99">
              <w:rPr>
                <w:u w:val="single"/>
                <w:lang w:val="lv-LV"/>
              </w:rPr>
              <w:t>CEF</w:t>
            </w:r>
          </w:p>
          <w:p w14:paraId="080EBA11" w14:textId="24B85590" w:rsidR="000F2671" w:rsidRPr="00154F55" w:rsidRDefault="00B65F19" w:rsidP="00662760">
            <w:pPr>
              <w:spacing w:before="120" w:after="120"/>
              <w:jc w:val="both"/>
              <w:rPr>
                <w:lang w:val="lv-LV"/>
              </w:rPr>
            </w:pPr>
            <w:r w:rsidRPr="00EE1E8A">
              <w:rPr>
                <w:lang w:val="lv-LV"/>
              </w:rPr>
              <w:t xml:space="preserve">Ņemot vērā gaidāmo projekta gaitu, </w:t>
            </w:r>
            <w:r w:rsidR="006A7502">
              <w:rPr>
                <w:lang w:val="lv-LV"/>
              </w:rPr>
              <w:t>EK</w:t>
            </w:r>
            <w:r w:rsidRPr="00EE1E8A">
              <w:rPr>
                <w:lang w:val="lv-LV"/>
              </w:rPr>
              <w:t xml:space="preserve"> apstiprina, ka CEF enerģētikas atzars spētu absorbēt papildu saistību apropriācijas, it īpaši ar paredzēto Baltijas sinhronizācijas projekta II fāzes finansējumu. Lai nodrošinātu Baltijas valstu energoapgādes drošību, ir jāpabeidz nepieciešamā infrastruktūra, lai sinhronizācija notiktu līdz 2025.gada beigām. Turklāt CEF </w:t>
            </w:r>
            <w:r w:rsidRPr="00562B3F">
              <w:rPr>
                <w:lang w:val="lv-LV"/>
              </w:rPr>
              <w:t>enerģētikas atzars turpinās atbalstīt elektroenerģijas uzglabāšanu un pārvades līnijas, lai labāk integrētu a</w:t>
            </w:r>
            <w:r w:rsidRPr="00255C4F">
              <w:rPr>
                <w:lang w:val="lv-LV"/>
              </w:rPr>
              <w:t xml:space="preserve">tjaunojamās enerģijas ražošanu visā Eiropā. Maksājumu apropriācijas, kas saistītas ar papildu saistību apropriācijām, kuras ierosinājis </w:t>
            </w:r>
            <w:r w:rsidR="00662760">
              <w:rPr>
                <w:lang w:val="lv-LV"/>
              </w:rPr>
              <w:t>EP</w:t>
            </w:r>
            <w:r w:rsidRPr="00255C4F">
              <w:rPr>
                <w:lang w:val="lv-LV"/>
              </w:rPr>
              <w:t>, būs vajadzīgas tikai vēlākā posmā, atkarībā no projekta virzības. Tāpēc 2020.gadā nav vajadzīgas papildu maksājumu apropriācijas.</w:t>
            </w:r>
          </w:p>
        </w:tc>
      </w:tr>
      <w:tr w:rsidR="00336F91" w:rsidRPr="00EE1E8A" w14:paraId="1474E5FA"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2E97E690" w14:textId="77777777" w:rsidR="00336F91" w:rsidRPr="00EE1E8A" w:rsidRDefault="00336F91" w:rsidP="00336F91">
            <w:pPr>
              <w:spacing w:before="120" w:after="120"/>
              <w:jc w:val="center"/>
              <w:rPr>
                <w:b/>
                <w:lang w:val="lv-LV"/>
              </w:rPr>
            </w:pPr>
            <w:r w:rsidRPr="00EE1E8A">
              <w:rPr>
                <w:b/>
                <w:lang w:val="lv-LV"/>
              </w:rPr>
              <w:lastRenderedPageBreak/>
              <w:br w:type="page"/>
            </w:r>
            <w:r w:rsidRPr="00EE1E8A">
              <w:rPr>
                <w:b/>
                <w:lang w:val="lv-LV"/>
              </w:rPr>
              <w:br w:type="page"/>
              <w:t>6. Saskaņošana</w:t>
            </w:r>
          </w:p>
        </w:tc>
      </w:tr>
      <w:tr w:rsidR="00336F91" w:rsidRPr="00EE1E8A" w14:paraId="2685E2DC"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924" w:type="dxa"/>
            <w:gridSpan w:val="5"/>
          </w:tcPr>
          <w:p w14:paraId="63A75C1E" w14:textId="77777777" w:rsidR="00336F91" w:rsidRPr="00EE1E8A" w:rsidRDefault="00336F91" w:rsidP="00336F91">
            <w:pPr>
              <w:spacing w:before="120" w:after="120"/>
              <w:jc w:val="both"/>
              <w:rPr>
                <w:lang w:val="lv-LV"/>
              </w:rPr>
            </w:pPr>
            <w:r w:rsidRPr="00EE1E8A">
              <w:rPr>
                <w:lang w:val="lv-LV"/>
              </w:rPr>
              <w:t>Visas nozaru ministrijas.</w:t>
            </w:r>
          </w:p>
        </w:tc>
      </w:tr>
      <w:tr w:rsidR="00336F91" w:rsidRPr="00EE1E8A" w14:paraId="7BB0D650"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24" w:type="dxa"/>
            <w:gridSpan w:val="5"/>
          </w:tcPr>
          <w:p w14:paraId="795CE457" w14:textId="77777777" w:rsidR="00336F91" w:rsidRPr="00EE1E8A" w:rsidRDefault="00336F91" w:rsidP="00336F91">
            <w:pPr>
              <w:pStyle w:val="CommentText"/>
              <w:spacing w:before="120" w:after="120"/>
              <w:rPr>
                <w:szCs w:val="24"/>
                <w:lang w:val="lv-LV"/>
              </w:rPr>
            </w:pPr>
            <w:r w:rsidRPr="00EE1E8A">
              <w:rPr>
                <w:szCs w:val="24"/>
                <w:lang w:val="lv-LV"/>
              </w:rPr>
              <w:t>Atšķirīgie viedokļi</w:t>
            </w:r>
          </w:p>
        </w:tc>
      </w:tr>
      <w:tr w:rsidR="00336F91" w:rsidRPr="00EE1E8A" w14:paraId="7C670A47"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24" w:type="dxa"/>
            <w:gridSpan w:val="5"/>
          </w:tcPr>
          <w:p w14:paraId="4A1AACE1" w14:textId="77777777" w:rsidR="00336F91" w:rsidRPr="00EE1E8A" w:rsidRDefault="00336F91" w:rsidP="00336F91">
            <w:pPr>
              <w:spacing w:before="120" w:after="120"/>
              <w:rPr>
                <w:sz w:val="20"/>
                <w:lang w:val="lv-LV"/>
              </w:rPr>
            </w:pPr>
            <w:r w:rsidRPr="00EE1E8A">
              <w:rPr>
                <w:lang w:val="lv-LV"/>
              </w:rPr>
              <w:t>–</w:t>
            </w:r>
          </w:p>
        </w:tc>
      </w:tr>
      <w:tr w:rsidR="00336F91" w:rsidRPr="00EE1E8A" w14:paraId="2916470A"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9924" w:type="dxa"/>
            <w:gridSpan w:val="5"/>
          </w:tcPr>
          <w:p w14:paraId="18023E21" w14:textId="77777777" w:rsidR="00336F91" w:rsidRPr="00EE1E8A" w:rsidRDefault="00336F91" w:rsidP="00336F91">
            <w:pPr>
              <w:spacing w:before="120" w:after="120"/>
              <w:jc w:val="center"/>
              <w:rPr>
                <w:b/>
                <w:lang w:val="lv-LV"/>
              </w:rPr>
            </w:pPr>
            <w:r w:rsidRPr="00EE1E8A">
              <w:rPr>
                <w:b/>
                <w:lang w:val="lv-LV"/>
              </w:rPr>
              <w:t>7. Saskaņošana ar Saeimas Eiropas lietu komisiju</w:t>
            </w:r>
          </w:p>
        </w:tc>
      </w:tr>
      <w:tr w:rsidR="00336F91" w:rsidRPr="00EE1E8A" w14:paraId="3C54C012"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24" w:type="dxa"/>
            <w:gridSpan w:val="5"/>
          </w:tcPr>
          <w:p w14:paraId="56B0164F" w14:textId="6723B9FB" w:rsidR="00336F91" w:rsidRPr="00EE1E8A" w:rsidRDefault="000B6C95" w:rsidP="00336F91">
            <w:pPr>
              <w:spacing w:before="120" w:after="120"/>
              <w:jc w:val="both"/>
              <w:rPr>
                <w:lang w:val="lv-LV"/>
              </w:rPr>
            </w:pPr>
            <w:r>
              <w:rPr>
                <w:lang w:val="lv-LV"/>
              </w:rPr>
              <w:t>13.11.2019</w:t>
            </w:r>
          </w:p>
        </w:tc>
      </w:tr>
      <w:tr w:rsidR="00336F91" w:rsidRPr="00EE1E8A" w14:paraId="708043A3"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5"/>
          </w:tcPr>
          <w:p w14:paraId="1A59578C" w14:textId="77777777" w:rsidR="00336F91" w:rsidRPr="00EE1E8A" w:rsidRDefault="00336F91" w:rsidP="00336F91">
            <w:pPr>
              <w:spacing w:before="120" w:after="120"/>
              <w:jc w:val="center"/>
              <w:rPr>
                <w:b/>
                <w:lang w:val="lv-LV"/>
              </w:rPr>
            </w:pPr>
            <w:r w:rsidRPr="00EE1E8A">
              <w:rPr>
                <w:b/>
                <w:lang w:val="lv-LV"/>
              </w:rPr>
              <w:t>8. Konsultācijas ar biedrībām un nodibinājumiem, pašvaldību un sociālo partneru organizācijām</w:t>
            </w:r>
          </w:p>
        </w:tc>
      </w:tr>
      <w:tr w:rsidR="00336F91" w:rsidRPr="00EE1E8A" w14:paraId="08F52FDC" w14:textId="77777777" w:rsidTr="007E4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924" w:type="dxa"/>
            <w:gridSpan w:val="5"/>
          </w:tcPr>
          <w:p w14:paraId="03AFC3BF" w14:textId="77777777" w:rsidR="00336F91" w:rsidRPr="00EE1E8A" w:rsidRDefault="00336F91" w:rsidP="00336F91">
            <w:pPr>
              <w:spacing w:before="120" w:after="120"/>
              <w:rPr>
                <w:sz w:val="20"/>
                <w:lang w:val="lv-LV"/>
              </w:rPr>
            </w:pPr>
            <w:r w:rsidRPr="00EE1E8A">
              <w:rPr>
                <w:lang w:val="lv-LV"/>
              </w:rPr>
              <w:t xml:space="preserve">Nosūtīts saskaņošanai Latvijas Darba devēju konfederācijai, Nacionālai trīspusējās sadarbības padomei, Latvijas Brīvo arodbiedrību savienībai, </w:t>
            </w:r>
            <w:proofErr w:type="spellStart"/>
            <w:r w:rsidRPr="00EE1E8A">
              <w:rPr>
                <w:lang w:val="lv-LV"/>
              </w:rPr>
              <w:t>Pārresoru</w:t>
            </w:r>
            <w:proofErr w:type="spellEnd"/>
            <w:r w:rsidRPr="00EE1E8A">
              <w:rPr>
                <w:lang w:val="lv-LV"/>
              </w:rPr>
              <w:t xml:space="preserve"> koordinācijas centram.</w:t>
            </w:r>
          </w:p>
        </w:tc>
      </w:tr>
      <w:tr w:rsidR="00336F91" w:rsidRPr="00EE1E8A" w14:paraId="08B6B4A6" w14:textId="77777777" w:rsidTr="007E49BD">
        <w:trPr>
          <w:gridAfter w:val="1"/>
          <w:wAfter w:w="270" w:type="dxa"/>
        </w:trPr>
        <w:tc>
          <w:tcPr>
            <w:tcW w:w="7974" w:type="dxa"/>
            <w:gridSpan w:val="3"/>
          </w:tcPr>
          <w:p w14:paraId="4139CA9C" w14:textId="77777777" w:rsidR="00336F91" w:rsidRPr="00EE1E8A" w:rsidRDefault="00336F91" w:rsidP="00336F91">
            <w:pPr>
              <w:pStyle w:val="Header"/>
              <w:tabs>
                <w:tab w:val="clear" w:pos="4153"/>
                <w:tab w:val="clear" w:pos="8306"/>
              </w:tabs>
              <w:spacing w:before="120" w:after="120"/>
              <w:rPr>
                <w:lang w:val="lv-LV"/>
              </w:rPr>
            </w:pPr>
          </w:p>
          <w:p w14:paraId="611EABA5" w14:textId="77777777" w:rsidR="00336F91" w:rsidRPr="00562B3F" w:rsidRDefault="00336F91" w:rsidP="00336F91">
            <w:pPr>
              <w:pStyle w:val="Header"/>
              <w:tabs>
                <w:tab w:val="clear" w:pos="4153"/>
                <w:tab w:val="clear" w:pos="8306"/>
              </w:tabs>
              <w:spacing w:before="120" w:after="120"/>
              <w:rPr>
                <w:szCs w:val="28"/>
                <w:lang w:val="lv-LV"/>
              </w:rPr>
            </w:pPr>
            <w:r w:rsidRPr="00EE1E8A">
              <w:rPr>
                <w:lang w:val="lv-LV"/>
              </w:rPr>
              <w:t>Latvijas Republikas nacionālās pozīcijas arhīva numurs Ārlietu ministrijā</w:t>
            </w:r>
          </w:p>
        </w:tc>
        <w:tc>
          <w:tcPr>
            <w:tcW w:w="1680" w:type="dxa"/>
            <w:tcBorders>
              <w:bottom w:val="single" w:sz="4" w:space="0" w:color="auto"/>
            </w:tcBorders>
          </w:tcPr>
          <w:p w14:paraId="70ABC523" w14:textId="77777777" w:rsidR="00336F91" w:rsidRPr="00255C4F" w:rsidRDefault="00336F91" w:rsidP="00336F91">
            <w:pPr>
              <w:spacing w:before="120" w:after="120"/>
              <w:jc w:val="both"/>
              <w:rPr>
                <w:szCs w:val="28"/>
                <w:lang w:val="lv-LV"/>
              </w:rPr>
            </w:pPr>
          </w:p>
        </w:tc>
      </w:tr>
    </w:tbl>
    <w:p w14:paraId="643CEB31" w14:textId="77777777" w:rsidR="009734BB" w:rsidRPr="00EE1E8A" w:rsidRDefault="009734BB" w:rsidP="009734BB">
      <w:pPr>
        <w:pStyle w:val="BodyText2"/>
        <w:tabs>
          <w:tab w:val="left" w:pos="6840"/>
        </w:tabs>
        <w:spacing w:before="120" w:after="120"/>
        <w:jc w:val="both"/>
        <w:rPr>
          <w:sz w:val="24"/>
        </w:rPr>
      </w:pPr>
    </w:p>
    <w:p w14:paraId="10179B0F" w14:textId="77777777" w:rsidR="009734BB" w:rsidRPr="00EE1E8A" w:rsidRDefault="009734BB" w:rsidP="009734BB">
      <w:pPr>
        <w:pStyle w:val="BodyText2"/>
        <w:tabs>
          <w:tab w:val="left" w:pos="6840"/>
        </w:tabs>
        <w:ind w:left="-425"/>
        <w:jc w:val="both"/>
        <w:rPr>
          <w:sz w:val="24"/>
        </w:rPr>
      </w:pPr>
    </w:p>
    <w:p w14:paraId="74A44345" w14:textId="77777777" w:rsidR="009734BB" w:rsidRPr="00562B3F" w:rsidRDefault="009734BB" w:rsidP="009734BB">
      <w:pPr>
        <w:pStyle w:val="BodyText2"/>
        <w:tabs>
          <w:tab w:val="left" w:pos="6840"/>
        </w:tabs>
        <w:ind w:left="-425"/>
        <w:jc w:val="both"/>
        <w:rPr>
          <w:sz w:val="24"/>
        </w:rPr>
      </w:pPr>
      <w:r w:rsidRPr="00562B3F">
        <w:rPr>
          <w:sz w:val="24"/>
        </w:rPr>
        <w:t>Finanšu ministrs</w:t>
      </w:r>
      <w:r w:rsidRPr="00562B3F">
        <w:rPr>
          <w:sz w:val="24"/>
        </w:rPr>
        <w:tab/>
      </w:r>
      <w:r w:rsidRPr="00562B3F">
        <w:rPr>
          <w:sz w:val="24"/>
        </w:rPr>
        <w:tab/>
        <w:t xml:space="preserve"> </w:t>
      </w:r>
      <w:r w:rsidRPr="00562B3F">
        <w:rPr>
          <w:sz w:val="24"/>
        </w:rPr>
        <w:tab/>
        <w:t xml:space="preserve"> J. Reirs</w:t>
      </w:r>
    </w:p>
    <w:p w14:paraId="35E55AD6" w14:textId="77777777" w:rsidR="009734BB" w:rsidRPr="003111DB" w:rsidRDefault="009734BB" w:rsidP="009734BB">
      <w:pPr>
        <w:rPr>
          <w:sz w:val="20"/>
          <w:szCs w:val="20"/>
          <w:lang w:val="lv-LV"/>
        </w:rPr>
      </w:pPr>
    </w:p>
    <w:p w14:paraId="3ADA9DF5" w14:textId="7DEB57FE" w:rsidR="009734BB" w:rsidRPr="00FF4FC0" w:rsidRDefault="00252BEE" w:rsidP="009734BB">
      <w:pPr>
        <w:ind w:left="-567"/>
        <w:rPr>
          <w:sz w:val="20"/>
          <w:szCs w:val="20"/>
          <w:lang w:val="lv-LV"/>
        </w:rPr>
      </w:pPr>
      <w:r>
        <w:rPr>
          <w:sz w:val="20"/>
          <w:szCs w:val="20"/>
          <w:lang w:val="lv-LV"/>
        </w:rPr>
        <w:t>Esenberga</w:t>
      </w:r>
    </w:p>
    <w:p w14:paraId="145C5952" w14:textId="592394E5" w:rsidR="001050A3" w:rsidRDefault="009734BB" w:rsidP="00252BEE">
      <w:pPr>
        <w:ind w:left="-567"/>
        <w:rPr>
          <w:sz w:val="20"/>
          <w:szCs w:val="20"/>
          <w:lang w:val="lv-LV"/>
        </w:rPr>
      </w:pPr>
      <w:r w:rsidRPr="00222336">
        <w:rPr>
          <w:sz w:val="20"/>
          <w:szCs w:val="20"/>
          <w:lang w:val="lv-LV"/>
        </w:rPr>
        <w:t xml:space="preserve">67083948, </w:t>
      </w:r>
      <w:r w:rsidR="00252BEE">
        <w:rPr>
          <w:sz w:val="20"/>
          <w:szCs w:val="20"/>
          <w:lang w:val="lv-LV"/>
        </w:rPr>
        <w:t>Antra.Esenberga@fm.gov.l</w:t>
      </w:r>
      <w:r w:rsidR="00001AFE">
        <w:rPr>
          <w:sz w:val="20"/>
          <w:szCs w:val="20"/>
          <w:lang w:val="lv-LV"/>
        </w:rPr>
        <w:t>v</w:t>
      </w:r>
    </w:p>
    <w:p w14:paraId="2F8CA392" w14:textId="77777777" w:rsidR="001050A3" w:rsidRPr="001050A3" w:rsidRDefault="001050A3" w:rsidP="001050A3">
      <w:pPr>
        <w:rPr>
          <w:sz w:val="20"/>
          <w:szCs w:val="20"/>
          <w:lang w:val="lv-LV"/>
        </w:rPr>
      </w:pPr>
    </w:p>
    <w:p w14:paraId="73CB8ACE" w14:textId="2CBBD4F5" w:rsidR="009734BB" w:rsidRPr="001050A3" w:rsidRDefault="009734BB" w:rsidP="00FF60CB">
      <w:pPr>
        <w:tabs>
          <w:tab w:val="left" w:pos="6967"/>
        </w:tabs>
        <w:rPr>
          <w:sz w:val="20"/>
          <w:szCs w:val="20"/>
          <w:lang w:val="lv-LV"/>
        </w:rPr>
        <w:sectPr w:rsidR="009734BB" w:rsidRPr="001050A3" w:rsidSect="007E49BD">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719" w:left="1701" w:header="454" w:footer="454" w:gutter="0"/>
          <w:cols w:space="708"/>
          <w:docGrid w:linePitch="360"/>
        </w:sectPr>
      </w:pPr>
    </w:p>
    <w:p w14:paraId="152DACF1" w14:textId="199335C9" w:rsidR="008D3594" w:rsidRPr="00943A52" w:rsidRDefault="008D3594" w:rsidP="00891AE1">
      <w:pPr>
        <w:rPr>
          <w:lang w:val="lv-LV"/>
        </w:rPr>
      </w:pPr>
    </w:p>
    <w:sectPr w:rsidR="008D3594" w:rsidRPr="00943A52" w:rsidSect="00866AED">
      <w:headerReference w:type="default" r:id="rId20"/>
      <w:footerReference w:type="default" r:id="rId21"/>
      <w:pgSz w:w="16838" w:h="11906" w:orient="landscape"/>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B439" w14:textId="77777777" w:rsidR="004304A7" w:rsidRDefault="004304A7" w:rsidP="009734BB">
      <w:r>
        <w:separator/>
      </w:r>
    </w:p>
  </w:endnote>
  <w:endnote w:type="continuationSeparator" w:id="0">
    <w:p w14:paraId="1C2F6B47" w14:textId="77777777" w:rsidR="004304A7" w:rsidRDefault="004304A7" w:rsidP="0097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6645" w14:textId="77777777" w:rsidR="00866AED" w:rsidRDefault="00866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F94520" w14:textId="77777777" w:rsidR="00866AED" w:rsidRDefault="00866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4812536"/>
      <w:docPartObj>
        <w:docPartGallery w:val="Page Numbers (Bottom of Page)"/>
        <w:docPartUnique/>
      </w:docPartObj>
    </w:sdtPr>
    <w:sdtEndPr>
      <w:rPr>
        <w:noProof/>
      </w:rPr>
    </w:sdtEndPr>
    <w:sdtContent>
      <w:p w14:paraId="4BE48DF4" w14:textId="2CB3B3DA" w:rsidR="00866AED" w:rsidRPr="00891AE1" w:rsidRDefault="00866AED">
        <w:pPr>
          <w:pStyle w:val="Footer"/>
          <w:jc w:val="right"/>
          <w:rPr>
            <w:sz w:val="20"/>
            <w:szCs w:val="20"/>
          </w:rPr>
        </w:pPr>
        <w:r w:rsidRPr="00891AE1">
          <w:rPr>
            <w:sz w:val="20"/>
            <w:szCs w:val="20"/>
          </w:rPr>
          <w:fldChar w:fldCharType="begin"/>
        </w:r>
        <w:r w:rsidRPr="00891AE1">
          <w:rPr>
            <w:sz w:val="20"/>
            <w:szCs w:val="20"/>
          </w:rPr>
          <w:instrText xml:space="preserve"> PAGE   \* MERGEFORMAT </w:instrText>
        </w:r>
        <w:r w:rsidRPr="00891AE1">
          <w:rPr>
            <w:sz w:val="20"/>
            <w:szCs w:val="20"/>
          </w:rPr>
          <w:fldChar w:fldCharType="separate"/>
        </w:r>
        <w:r w:rsidR="004D46A1" w:rsidRPr="00891AE1">
          <w:rPr>
            <w:noProof/>
            <w:sz w:val="20"/>
            <w:szCs w:val="20"/>
          </w:rPr>
          <w:t>17</w:t>
        </w:r>
        <w:r w:rsidRPr="00891AE1">
          <w:rPr>
            <w:noProof/>
            <w:sz w:val="20"/>
            <w:szCs w:val="20"/>
          </w:rPr>
          <w:fldChar w:fldCharType="end"/>
        </w:r>
      </w:p>
    </w:sdtContent>
  </w:sdt>
  <w:p w14:paraId="180CD917" w14:textId="77777777" w:rsidR="00891AE1" w:rsidRPr="00DD092C" w:rsidRDefault="00866AED" w:rsidP="00891AE1">
    <w:pPr>
      <w:jc w:val="center"/>
      <w:rPr>
        <w:sz w:val="28"/>
        <w:szCs w:val="28"/>
      </w:rPr>
    </w:pPr>
    <w:r w:rsidRPr="00891AE1">
      <w:rPr>
        <w:sz w:val="20"/>
        <w:szCs w:val="20"/>
        <w:lang w:val="lv-LV"/>
      </w:rPr>
      <w:t>FMpoz_</w:t>
    </w:r>
    <w:r w:rsidR="009512DC" w:rsidRPr="00891AE1">
      <w:rPr>
        <w:sz w:val="20"/>
        <w:szCs w:val="20"/>
        <w:lang w:val="lv-LV"/>
      </w:rPr>
      <w:t>07</w:t>
    </w:r>
    <w:r w:rsidRPr="00891AE1">
      <w:rPr>
        <w:sz w:val="20"/>
        <w:szCs w:val="20"/>
        <w:lang w:val="lv-LV"/>
      </w:rPr>
      <w:t>1119_BP2020</w:t>
    </w:r>
    <w:r w:rsidR="00891AE1">
      <w:rPr>
        <w:sz w:val="20"/>
        <w:szCs w:val="20"/>
        <w:lang w:val="lv-LV"/>
      </w:rPr>
      <w:t xml:space="preserve"> </w:t>
    </w:r>
    <w:proofErr w:type="spellStart"/>
    <w:r w:rsidR="00891AE1" w:rsidRPr="00DD092C">
      <w:rPr>
        <w:strike/>
        <w:sz w:val="28"/>
        <w:szCs w:val="28"/>
      </w:rPr>
      <w:t>Ierobežotas</w:t>
    </w:r>
    <w:proofErr w:type="spellEnd"/>
    <w:r w:rsidR="00891AE1" w:rsidRPr="00DD092C">
      <w:rPr>
        <w:strike/>
        <w:sz w:val="28"/>
        <w:szCs w:val="28"/>
      </w:rPr>
      <w:t xml:space="preserve"> </w:t>
    </w:r>
    <w:proofErr w:type="spellStart"/>
    <w:r w:rsidR="00891AE1" w:rsidRPr="00DD092C">
      <w:rPr>
        <w:strike/>
        <w:sz w:val="28"/>
        <w:szCs w:val="28"/>
      </w:rPr>
      <w:t>pieejamības</w:t>
    </w:r>
    <w:proofErr w:type="spellEnd"/>
    <w:r w:rsidR="00891AE1" w:rsidRPr="00DD092C">
      <w:rPr>
        <w:strike/>
        <w:sz w:val="28"/>
        <w:szCs w:val="28"/>
      </w:rPr>
      <w:t xml:space="preserve"> </w:t>
    </w:r>
    <w:proofErr w:type="spellStart"/>
    <w:r w:rsidR="00891AE1" w:rsidRPr="00DD092C">
      <w:rPr>
        <w:strike/>
        <w:sz w:val="28"/>
        <w:szCs w:val="28"/>
      </w:rPr>
      <w:t>informācija</w:t>
    </w:r>
    <w:proofErr w:type="spellEnd"/>
    <w:r w:rsidR="00891AE1" w:rsidRPr="00DD092C">
      <w:rPr>
        <w:sz w:val="28"/>
        <w:szCs w:val="28"/>
      </w:rPr>
      <w:t xml:space="preserve">  NAV  KLASIFICĒTS</w:t>
    </w:r>
  </w:p>
  <w:p w14:paraId="1A26B6F7" w14:textId="3FF10C4A" w:rsidR="00866AED" w:rsidRPr="00891AE1" w:rsidRDefault="00866AED" w:rsidP="007E49BD">
    <w:pPr>
      <w:pStyle w:val="Header"/>
      <w:rPr>
        <w:sz w:val="20"/>
        <w:szCs w:val="20"/>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C8B7" w14:textId="77777777" w:rsidR="00891AE1" w:rsidRDefault="00891A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4EFC" w14:textId="26ED9405" w:rsidR="00866AED" w:rsidRPr="00991F65" w:rsidRDefault="00866AED" w:rsidP="00866AED">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D6CE" w14:textId="77777777" w:rsidR="004304A7" w:rsidRDefault="004304A7" w:rsidP="009734BB">
      <w:r>
        <w:separator/>
      </w:r>
    </w:p>
  </w:footnote>
  <w:footnote w:type="continuationSeparator" w:id="0">
    <w:p w14:paraId="7978B01E" w14:textId="77777777" w:rsidR="004304A7" w:rsidRDefault="004304A7" w:rsidP="009734BB">
      <w:r>
        <w:continuationSeparator/>
      </w:r>
    </w:p>
  </w:footnote>
  <w:footnote w:id="1">
    <w:p w14:paraId="525E3132" w14:textId="77777777" w:rsidR="00891AE1" w:rsidRDefault="00891AE1" w:rsidP="00891AE1">
      <w:r>
        <w:rPr>
          <w:rStyle w:val="FootnoteReference"/>
        </w:rPr>
        <w:t/>
      </w:r>
      <w:r>
        <w:t xml:space="preserve"> </w:t>
      </w:r>
      <w:bookmarkStart w:id="0" w:name="_Hlk38538275"/>
      <w:proofErr w:type="spellStart"/>
      <w:r w:rsidRPr="004A364D">
        <w:t>Deklasificēts</w:t>
      </w:r>
      <w:proofErr w:type="spellEnd"/>
      <w:r w:rsidRPr="004A364D">
        <w:t xml:space="preserve"> </w:t>
      </w:r>
      <w:proofErr w:type="spellStart"/>
      <w:r w:rsidRPr="004A364D">
        <w:t>saskaņā</w:t>
      </w:r>
      <w:proofErr w:type="spellEnd"/>
      <w:r w:rsidRPr="004A364D">
        <w:t xml:space="preserve"> </w:t>
      </w:r>
      <w:proofErr w:type="spellStart"/>
      <w:r w:rsidRPr="004A364D">
        <w:t>ar</w:t>
      </w:r>
      <w:proofErr w:type="spellEnd"/>
      <w:r w:rsidRPr="004A364D">
        <w:t xml:space="preserve"> FM 2</w:t>
      </w:r>
      <w:r>
        <w:t>1</w:t>
      </w:r>
      <w:r w:rsidRPr="004A364D">
        <w:t>.</w:t>
      </w:r>
      <w:r>
        <w:t>12</w:t>
      </w:r>
      <w:r w:rsidRPr="004A364D">
        <w:t>.202</w:t>
      </w:r>
      <w:r>
        <w:t>1</w:t>
      </w:r>
      <w:r w:rsidRPr="004A364D">
        <w:t xml:space="preserve">. </w:t>
      </w:r>
      <w:proofErr w:type="spellStart"/>
      <w:proofErr w:type="gramStart"/>
      <w:r w:rsidRPr="004A364D">
        <w:t>vēstuli</w:t>
      </w:r>
      <w:proofErr w:type="spellEnd"/>
      <w:r w:rsidRPr="004A364D">
        <w:t xml:space="preserve">  Nr</w:t>
      </w:r>
      <w:proofErr w:type="gramEnd"/>
      <w:r w:rsidRPr="004A364D">
        <w:t>.13.7-13/12/</w:t>
      </w:r>
      <w:r>
        <w:t>6199</w:t>
      </w:r>
      <w:r w:rsidRPr="004A364D">
        <w:t xml:space="preserve"> (</w:t>
      </w:r>
      <w:proofErr w:type="spellStart"/>
      <w:r w:rsidRPr="004A364D">
        <w:t>reģ</w:t>
      </w:r>
      <w:proofErr w:type="spellEnd"/>
      <w:r w:rsidRPr="004A364D">
        <w:t xml:space="preserve">. Nr. </w:t>
      </w:r>
      <w:r>
        <w:t>2021-DOC-3085</w:t>
      </w:r>
      <w:r w:rsidRPr="004A364D">
        <w:t>)</w:t>
      </w:r>
    </w:p>
    <w:bookmarkEnd w:id="0"/>
    <w:p w14:paraId="6916D16A" w14:textId="02922BC0" w:rsidR="00891AE1" w:rsidRPr="00891AE1" w:rsidRDefault="00891AE1">
      <w:pPr>
        <w:pStyle w:val="FootnoteText"/>
        <w:rPr>
          <w:lang w:val="lv-LV"/>
        </w:rPr>
      </w:pPr>
    </w:p>
  </w:footnote>
  <w:footnote w:id="2">
    <w:p w14:paraId="5B6A7BBF" w14:textId="5FB069BD" w:rsidR="00866AED" w:rsidRPr="000D6B3D" w:rsidRDefault="00866AED" w:rsidP="009734BB">
      <w:pPr>
        <w:pStyle w:val="FootnoteText"/>
        <w:ind w:left="-426"/>
        <w:jc w:val="both"/>
        <w:rPr>
          <w:lang w:val="lv-LV"/>
        </w:rPr>
      </w:pPr>
      <w:r>
        <w:rPr>
          <w:rStyle w:val="FootnoteReference"/>
        </w:rPr>
        <w:footnoteRef/>
      </w:r>
      <w:r>
        <w:rPr>
          <w:lang w:val="lv-LV"/>
        </w:rPr>
        <w:t xml:space="preserve">2019.gada 29.oktobrī Eiropadome (rakstiskajā procedūrā) lēma par AK izstāšanās termiņa pagarināšanu līdz 2020.gada 31.janvārim, atvēlot ilgāku laiku izstāšanās līguma ratifikācijai, vienlaikus saglabājot AK pilntiesīgas dalībvalsts </w:t>
      </w:r>
      <w:r w:rsidRPr="00380901">
        <w:rPr>
          <w:lang w:val="lv-LV"/>
        </w:rPr>
        <w:t>statusu. Saskaņā ar 2018.gada 25.novembra AK izstāšanās līguma projektu, kurš nav ratificēts, AK tiks uzskatīta par pilntiesīgu dalībvalsti līdz 2020.gada 31.decembrim.</w:t>
      </w:r>
      <w:r w:rsidRPr="00441180">
        <w:rPr>
          <w:lang w:val="lv-LV"/>
        </w:rPr>
        <w:t xml:space="preserve"> </w:t>
      </w:r>
      <w:r>
        <w:rPr>
          <w:lang w:val="lv-LV"/>
        </w:rPr>
        <w:t>Gadījumā, ja AK izstājas bez vienošanās, tā tiks uzskatīta par trešo valsti sākot no izstāšanās dienas.</w:t>
      </w:r>
    </w:p>
  </w:footnote>
  <w:footnote w:id="3">
    <w:p w14:paraId="1F1A2D9F" w14:textId="77777777" w:rsidR="00866AED" w:rsidRPr="00F977C3" w:rsidRDefault="00866AED" w:rsidP="009734BB">
      <w:pPr>
        <w:pStyle w:val="FootnoteText"/>
        <w:ind w:left="-426"/>
        <w:jc w:val="both"/>
        <w:rPr>
          <w:lang w:val="lv-LV"/>
        </w:rPr>
      </w:pPr>
      <w:r>
        <w:rPr>
          <w:rStyle w:val="FootnoteReference"/>
        </w:rPr>
        <w:footnoteRef/>
      </w:r>
      <w:r w:rsidRPr="00F977C3">
        <w:rPr>
          <w:lang w:val="lv-LV"/>
        </w:rPr>
        <w:t xml:space="preserve"> </w:t>
      </w:r>
      <w:r>
        <w:rPr>
          <w:lang w:val="lv-LV"/>
        </w:rPr>
        <w:t xml:space="preserve">Elastības instruments ir ārpusbudžeta instruments, kuru izmanto, lai finansētu skaidri noteiktus izdevumus, ko nav iespējams finansēt, nepārsniedzot daudzgadu finanšu shēmas vienai vai vairākām izdevumu kategorijām noteiktos maksimālos apjomus. Elastības instrumenta maksimālais gada apjoms ir 600 milj. EUR gadā 2011.gada cenās. Sākot ar 2017.gadu elastības instrumenta ikgadējam apjomam jāpievieno ESSF un EGF iepriekšējā gadā neizmantotās summas, kā arī paša elastības instrumenta iepriekšējā gadā neizmantotās summas. Tā rezultātā konkrētajā finanšu gadā elastības instrumentā pieejamais līdzekļu apjoms var būt lielāks. (DFS regulas Nr. 2017/1123 ar kuru groza regulu Nr. 1311/2013 5.punkts). 2020.gadam pieejamā summa Elastības instrumenta ietvaros šobrīd veido aptuveni 919 milj. EUR (tekošajās cenās). </w:t>
      </w:r>
    </w:p>
  </w:footnote>
  <w:footnote w:id="4">
    <w:p w14:paraId="4A55016E" w14:textId="77777777" w:rsidR="00866AED" w:rsidRPr="00F977C3" w:rsidRDefault="00866AED" w:rsidP="009734BB">
      <w:pPr>
        <w:pStyle w:val="FootnoteText"/>
        <w:ind w:left="-426"/>
        <w:jc w:val="both"/>
        <w:rPr>
          <w:lang w:val="lv-LV"/>
        </w:rPr>
      </w:pPr>
      <w:r>
        <w:rPr>
          <w:rStyle w:val="FootnoteReference"/>
        </w:rPr>
        <w:footnoteRef/>
      </w:r>
      <w:r w:rsidRPr="00F977C3">
        <w:rPr>
          <w:lang w:val="lv-LV"/>
        </w:rPr>
        <w:t xml:space="preserve"> </w:t>
      </w:r>
      <w:r>
        <w:rPr>
          <w:lang w:val="lv-LV"/>
        </w:rPr>
        <w:t>Vispārējā rezerve saistībām (</w:t>
      </w:r>
      <w:proofErr w:type="spellStart"/>
      <w:r>
        <w:rPr>
          <w:i/>
          <w:lang w:val="lv-LV"/>
        </w:rPr>
        <w:t>Global</w:t>
      </w:r>
      <w:proofErr w:type="spellEnd"/>
      <w:r>
        <w:rPr>
          <w:i/>
          <w:lang w:val="lv-LV"/>
        </w:rPr>
        <w:t xml:space="preserve"> </w:t>
      </w:r>
      <w:proofErr w:type="spellStart"/>
      <w:r>
        <w:rPr>
          <w:i/>
          <w:lang w:val="lv-LV"/>
        </w:rPr>
        <w:t>margin</w:t>
      </w:r>
      <w:proofErr w:type="spellEnd"/>
      <w:r>
        <w:rPr>
          <w:i/>
          <w:lang w:val="lv-LV"/>
        </w:rPr>
        <w:t xml:space="preserve"> </w:t>
      </w:r>
      <w:proofErr w:type="spellStart"/>
      <w:r>
        <w:rPr>
          <w:i/>
          <w:lang w:val="lv-LV"/>
        </w:rPr>
        <w:t>for</w:t>
      </w:r>
      <w:proofErr w:type="spellEnd"/>
      <w:r>
        <w:rPr>
          <w:i/>
          <w:lang w:val="lv-LV"/>
        </w:rPr>
        <w:t xml:space="preserve"> </w:t>
      </w:r>
      <w:proofErr w:type="spellStart"/>
      <w:r>
        <w:rPr>
          <w:i/>
          <w:lang w:val="lv-LV"/>
        </w:rPr>
        <w:t>commitments</w:t>
      </w:r>
      <w:proofErr w:type="spellEnd"/>
      <w:r>
        <w:rPr>
          <w:i/>
          <w:lang w:val="lv-LV"/>
        </w:rPr>
        <w:t xml:space="preserve"> – GMC) </w:t>
      </w:r>
      <w:r>
        <w:rPr>
          <w:lang w:val="lv-LV"/>
        </w:rPr>
        <w:t xml:space="preserve">veidojas no rezervēm, kuras ir atstātas pieejamas līdz DFS noteiktajam maksimālajam apjomam saistību apropriācijās laika posmā no 2014.-2017.g. Tā ir jādara pieejama pārsniedzot DFS noteiktos maksimālos apjomus 2016.-2020.gadam politikas mērķiem, kas saistīti ar izaugsmi un nodarbinātību, īpaši jaunatnes nodarbinātību, </w:t>
      </w:r>
      <w:r w:rsidRPr="00075693">
        <w:rPr>
          <w:lang w:val="lv-LV"/>
        </w:rPr>
        <w:t>migrāciju un drošību.</w:t>
      </w:r>
      <w:r>
        <w:rPr>
          <w:lang w:val="lv-LV"/>
        </w:rPr>
        <w:t xml:space="preserve"> 2020.gadam pieejamā summa GMC ietvaros veido 1 447,1 milj. EUR (tekošajās cenās). </w:t>
      </w:r>
    </w:p>
  </w:footnote>
  <w:footnote w:id="5">
    <w:p w14:paraId="3A24BC8B" w14:textId="77777777" w:rsidR="00866AED" w:rsidRPr="003B14DE" w:rsidRDefault="00866AED" w:rsidP="009734BB">
      <w:pPr>
        <w:pStyle w:val="FootnoteText"/>
        <w:ind w:left="-426"/>
        <w:rPr>
          <w:lang w:val="lv-LV"/>
        </w:rPr>
      </w:pPr>
      <w:r>
        <w:rPr>
          <w:rStyle w:val="FootnoteReference"/>
        </w:rPr>
        <w:footnoteRef/>
      </w:r>
      <w:r>
        <w:t xml:space="preserve"> </w:t>
      </w:r>
      <w:r w:rsidRPr="003B14DE">
        <w:rPr>
          <w:lang w:val="lv-LV"/>
        </w:rPr>
        <w:t>Eiropas Parlamenta un Padomes regula (ES, Euratom) 2018/1046 (2018.gada 18.jūlijs) par finanšu noteikumiem, ko piemēro Savienības vispārējam budžetam, ar kuru groza Regulas (ES)Nr. 1296/2013, (ES)Nr. 1301/2013, (ES)Nr. 1303/2013, (ES)Nr. 1304/2013, (ES)Nr. 1309/2013, (ES)Nr. 1316/2013, (ES)Nr. 223/2014, (ES)Nr. 283/2014 un Lēmumu Nr. 541/2014/ES un atceļ Regulu (ES, Euratom) Nr. 966/2012. 42.pants – Budžeta grozījumu vēstule.</w:t>
      </w:r>
    </w:p>
  </w:footnote>
  <w:footnote w:id="6">
    <w:p w14:paraId="2E61E355" w14:textId="77777777" w:rsidR="00866AED" w:rsidRPr="00581F5F" w:rsidRDefault="00866AED" w:rsidP="009734BB">
      <w:pPr>
        <w:pStyle w:val="FootnoteText"/>
        <w:ind w:left="-426"/>
        <w:jc w:val="both"/>
        <w:rPr>
          <w:lang w:val="lv-LV"/>
        </w:rPr>
      </w:pPr>
      <w:r>
        <w:rPr>
          <w:rStyle w:val="FootnoteReference"/>
        </w:rPr>
        <w:footnoteRef/>
      </w:r>
      <w:r w:rsidRPr="00DC1EEB">
        <w:rPr>
          <w:lang w:val="lv-LV"/>
        </w:rPr>
        <w:t xml:space="preserve"> </w:t>
      </w:r>
      <w:r w:rsidRPr="00581F5F">
        <w:rPr>
          <w:lang w:val="lv-LV"/>
        </w:rPr>
        <w:t xml:space="preserve">Citi īpašie instrumenti ietver Rezervi palīdzībai ārkārtas gadījumos jeb EAR (ar ikgadējo maksimālo apjomu 300 milj. EUR 2011.gada cenās), Eiropas Globalizācijas pielāgošanas fondu jeb EGF (ar ikgadējo maksimālo apjomu 150 milj. EUR 2011.gada cenās) un </w:t>
      </w:r>
      <w:r>
        <w:rPr>
          <w:lang w:val="lv-LV"/>
        </w:rPr>
        <w:t>ES</w:t>
      </w:r>
      <w:r w:rsidRPr="00581F5F">
        <w:rPr>
          <w:lang w:val="lv-LV"/>
        </w:rPr>
        <w:t xml:space="preserve"> Solidaritātes fondu jeb ESSF (ar ikgadējo maksimālo apjomu 500 milj. EUR 2011.gada cenās).</w:t>
      </w:r>
    </w:p>
  </w:footnote>
  <w:footnote w:id="7">
    <w:p w14:paraId="7C5B0E9D" w14:textId="77777777" w:rsidR="00866AED" w:rsidRPr="007E50F6" w:rsidRDefault="00866AED" w:rsidP="009734BB">
      <w:pPr>
        <w:pStyle w:val="FootnoteText"/>
        <w:ind w:left="-426"/>
        <w:jc w:val="both"/>
        <w:rPr>
          <w:lang w:val="lv-LV"/>
        </w:rPr>
      </w:pPr>
      <w:r>
        <w:rPr>
          <w:rStyle w:val="FootnoteReference"/>
        </w:rPr>
        <w:footnoteRef/>
      </w:r>
      <w:r w:rsidRPr="00ED10F2">
        <w:rPr>
          <w:lang w:val="lv-LV"/>
        </w:rPr>
        <w:t xml:space="preserve"> </w:t>
      </w:r>
      <w:r w:rsidRPr="007E50F6">
        <w:rPr>
          <w:lang w:val="lv-LV"/>
        </w:rPr>
        <w:t>Eiropas Parlamenta un Padomes regula (ES, Euratom) 2018/1046 (2018.gada 18.jūlijs) par finanšu noteikumiem, ko piemēro Savienības vispārējam budžetam, ar kuru groza Regulas (ES)Nr. 1296/2013, (ES)Nr. 1301/2013, (ES)Nr. 1303/2013, (ES)Nr. 1304/2013, (ES)Nr. 1309/2013, (ES)Nr. 1316/2013, (ES)Nr. 223/2014, (ES)Nr. 283/2014 un Lēmumu Nr. 541/2014/ES un atceļ Regulu (ES, Euratom) Nr. 966/2012.</w:t>
      </w:r>
    </w:p>
  </w:footnote>
  <w:footnote w:id="8">
    <w:p w14:paraId="384B9A8D" w14:textId="77777777" w:rsidR="00866AED" w:rsidRPr="007E50F6" w:rsidRDefault="00866AED" w:rsidP="00D8017E">
      <w:pPr>
        <w:pStyle w:val="FootnoteText"/>
        <w:ind w:left="-426"/>
        <w:jc w:val="both"/>
        <w:rPr>
          <w:lang w:val="lv-LV"/>
        </w:rPr>
      </w:pPr>
      <w:r>
        <w:rPr>
          <w:rStyle w:val="FootnoteReference"/>
        </w:rPr>
        <w:footnoteRef/>
      </w:r>
      <w:r w:rsidRPr="00ED10F2">
        <w:rPr>
          <w:lang w:val="lv-LV"/>
        </w:rPr>
        <w:t xml:space="preserve"> </w:t>
      </w:r>
      <w:r w:rsidRPr="007E50F6">
        <w:rPr>
          <w:lang w:val="lv-LV"/>
        </w:rPr>
        <w:t>Eiropas Parlamenta un Padomes regula (ES, Euratom) 2018/1046 (2018.gada 18.jūlijs) par finanšu noteikumiem, ko piemēro Savienības vispārējam budžetam, ar kuru groza Regulas (ES)Nr. 1296/2013, (ES)Nr. 1301/2013, (ES)Nr. 1303/2013, (ES)Nr. 1304/2013, (ES)Nr. 1309/2013, (ES)Nr. 1316/2013, (ES)Nr. 223/2014, (ES)Nr. 283/2014 un Lēmumu Nr. 541/2014/ES un atceļ Regulu (ES, Euratom) Nr. 966/2012.</w:t>
      </w:r>
    </w:p>
  </w:footnote>
  <w:footnote w:id="9">
    <w:p w14:paraId="2757F4AD" w14:textId="77777777" w:rsidR="00866AED" w:rsidRPr="000E34CA" w:rsidRDefault="00866AED" w:rsidP="00506C7A">
      <w:pPr>
        <w:pStyle w:val="FootnoteText"/>
        <w:ind w:left="-426"/>
        <w:rPr>
          <w:lang w:val="lv-LV"/>
        </w:rPr>
      </w:pPr>
      <w:r>
        <w:rPr>
          <w:rStyle w:val="FootnoteReference"/>
        </w:rPr>
        <w:footnoteRef/>
      </w:r>
      <w:r w:rsidRPr="003F2816">
        <w:rPr>
          <w:lang w:val="lv-LV"/>
        </w:rPr>
        <w:t xml:space="preserve"> </w:t>
      </w:r>
      <w:r>
        <w:rPr>
          <w:lang w:val="lv-LV"/>
        </w:rPr>
        <w:t>Eiropas Reģionālās attīstības fonds (ERAF), Eiropas Sociālais fonds (ESF), Kohēzijas fonds (KF) un Jauniešu nodarbinātības iniciatīva</w:t>
      </w:r>
    </w:p>
  </w:footnote>
  <w:footnote w:id="10">
    <w:p w14:paraId="4C4C9BF7" w14:textId="453538B2" w:rsidR="00866AED" w:rsidRPr="004C196F" w:rsidRDefault="00866AED" w:rsidP="00317219">
      <w:pPr>
        <w:pStyle w:val="FootnoteText"/>
        <w:ind w:left="-426"/>
        <w:jc w:val="both"/>
        <w:rPr>
          <w:i/>
        </w:rPr>
      </w:pPr>
      <w:r w:rsidRPr="00317219">
        <w:rPr>
          <w:rStyle w:val="FootnoteReference"/>
        </w:rPr>
        <w:footnoteRef/>
      </w:r>
      <w:r w:rsidRPr="00317219">
        <w:rPr>
          <w:bCs/>
          <w:i/>
          <w:iCs/>
        </w:rPr>
        <w:t>WK 12016/2019</w:t>
      </w:r>
      <w:r w:rsidRPr="00317219">
        <w:t xml:space="preserve"> </w:t>
      </w:r>
      <w:r w:rsidRPr="00317219">
        <w:rPr>
          <w:i/>
        </w:rPr>
        <w:t>Letter of the executability of amendments adopted by the Council and the European Parliament in their reading of the draft budget for 2020.</w:t>
      </w:r>
    </w:p>
  </w:footnote>
  <w:footnote w:id="11">
    <w:p w14:paraId="72434917" w14:textId="77777777" w:rsidR="00866AED" w:rsidRPr="007E50F6" w:rsidRDefault="00866AED" w:rsidP="007E49BD">
      <w:pPr>
        <w:pStyle w:val="FootnoteText"/>
        <w:ind w:left="-426"/>
        <w:jc w:val="both"/>
        <w:rPr>
          <w:lang w:val="lv-LV"/>
        </w:rPr>
      </w:pPr>
      <w:r>
        <w:rPr>
          <w:rStyle w:val="FootnoteReference"/>
        </w:rPr>
        <w:footnoteRef/>
      </w:r>
      <w:r w:rsidRPr="00ED10F2">
        <w:rPr>
          <w:lang w:val="lv-LV"/>
        </w:rPr>
        <w:t xml:space="preserve"> </w:t>
      </w:r>
      <w:r w:rsidRPr="007E50F6">
        <w:rPr>
          <w:lang w:val="lv-LV"/>
        </w:rPr>
        <w:t>Eiropas Parlamenta un Padomes regula (ES, Euratom) 2018/1046 (2018.gada 18.jūlijs) par finanšu noteikumiem, ko piemēro Savienības vispārējam budžetam, ar kuru groza Regulas (ES)Nr. 1296/2013, (ES)Nr. 1301/2013, (ES)Nr. 1303/2013, (ES)Nr. 1304/2013, (ES)Nr. 1309/2013, (ES)Nr. 1316/2013, (ES)Nr. 223/2014, (ES)Nr.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FCA7" w14:textId="77777777" w:rsidR="00866AED" w:rsidRDefault="00866A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925090" w14:textId="77777777" w:rsidR="00866AED" w:rsidRDefault="00866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2252" w14:textId="77777777" w:rsidR="00891AE1" w:rsidRPr="00DD092C" w:rsidRDefault="00891AE1" w:rsidP="00891AE1">
    <w:pPr>
      <w:jc w:val="center"/>
      <w:rPr>
        <w:sz w:val="28"/>
        <w:szCs w:val="28"/>
      </w:rPr>
    </w:pPr>
    <w:bookmarkStart w:id="3" w:name="_Hlk37918275"/>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9C3E" w14:textId="77777777" w:rsidR="00891AE1" w:rsidRDefault="00891A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7D85" w14:textId="36E8A24E" w:rsidR="00866AED" w:rsidRPr="00891AE1" w:rsidRDefault="00866AED" w:rsidP="00891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BA"/>
    <w:multiLevelType w:val="hybridMultilevel"/>
    <w:tmpl w:val="0E2644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414210"/>
    <w:multiLevelType w:val="hybridMultilevel"/>
    <w:tmpl w:val="26B2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5702B"/>
    <w:multiLevelType w:val="hybridMultilevel"/>
    <w:tmpl w:val="D2441530"/>
    <w:lvl w:ilvl="0" w:tplc="E75C64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75568C"/>
    <w:multiLevelType w:val="hybridMultilevel"/>
    <w:tmpl w:val="31BC70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55CAD"/>
    <w:multiLevelType w:val="hybridMultilevel"/>
    <w:tmpl w:val="2020F1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7CE6DE0"/>
    <w:multiLevelType w:val="hybridMultilevel"/>
    <w:tmpl w:val="D3F855E6"/>
    <w:lvl w:ilvl="0" w:tplc="98B4AFC4">
      <w:start w:val="1"/>
      <w:numFmt w:val="bullet"/>
      <w:lvlText w:val=""/>
      <w:lvlJc w:val="left"/>
      <w:pPr>
        <w:ind w:left="720" w:hanging="360"/>
      </w:pPr>
      <w:rPr>
        <w:rFonts w:ascii="Symbol" w:hAnsi="Symbol" w:hint="default"/>
      </w:rPr>
    </w:lvl>
    <w:lvl w:ilvl="1" w:tplc="9E8838A0" w:tentative="1">
      <w:start w:val="1"/>
      <w:numFmt w:val="bullet"/>
      <w:lvlText w:val="o"/>
      <w:lvlJc w:val="left"/>
      <w:pPr>
        <w:ind w:left="1440" w:hanging="360"/>
      </w:pPr>
      <w:rPr>
        <w:rFonts w:ascii="Courier New" w:hAnsi="Courier New" w:cs="Courier New" w:hint="default"/>
      </w:rPr>
    </w:lvl>
    <w:lvl w:ilvl="2" w:tplc="A882085A" w:tentative="1">
      <w:start w:val="1"/>
      <w:numFmt w:val="bullet"/>
      <w:lvlText w:val=""/>
      <w:lvlJc w:val="left"/>
      <w:pPr>
        <w:ind w:left="2160" w:hanging="360"/>
      </w:pPr>
      <w:rPr>
        <w:rFonts w:ascii="Wingdings" w:hAnsi="Wingdings" w:hint="default"/>
      </w:rPr>
    </w:lvl>
    <w:lvl w:ilvl="3" w:tplc="B94ACD7C" w:tentative="1">
      <w:start w:val="1"/>
      <w:numFmt w:val="bullet"/>
      <w:lvlText w:val=""/>
      <w:lvlJc w:val="left"/>
      <w:pPr>
        <w:ind w:left="2880" w:hanging="360"/>
      </w:pPr>
      <w:rPr>
        <w:rFonts w:ascii="Symbol" w:hAnsi="Symbol" w:hint="default"/>
      </w:rPr>
    </w:lvl>
    <w:lvl w:ilvl="4" w:tplc="B5A88724" w:tentative="1">
      <w:start w:val="1"/>
      <w:numFmt w:val="bullet"/>
      <w:lvlText w:val="o"/>
      <w:lvlJc w:val="left"/>
      <w:pPr>
        <w:ind w:left="3600" w:hanging="360"/>
      </w:pPr>
      <w:rPr>
        <w:rFonts w:ascii="Courier New" w:hAnsi="Courier New" w:cs="Courier New" w:hint="default"/>
      </w:rPr>
    </w:lvl>
    <w:lvl w:ilvl="5" w:tplc="07F6E18E" w:tentative="1">
      <w:start w:val="1"/>
      <w:numFmt w:val="bullet"/>
      <w:lvlText w:val=""/>
      <w:lvlJc w:val="left"/>
      <w:pPr>
        <w:ind w:left="4320" w:hanging="360"/>
      </w:pPr>
      <w:rPr>
        <w:rFonts w:ascii="Wingdings" w:hAnsi="Wingdings" w:hint="default"/>
      </w:rPr>
    </w:lvl>
    <w:lvl w:ilvl="6" w:tplc="948A05D0" w:tentative="1">
      <w:start w:val="1"/>
      <w:numFmt w:val="bullet"/>
      <w:lvlText w:val=""/>
      <w:lvlJc w:val="left"/>
      <w:pPr>
        <w:ind w:left="5040" w:hanging="360"/>
      </w:pPr>
      <w:rPr>
        <w:rFonts w:ascii="Symbol" w:hAnsi="Symbol" w:hint="default"/>
      </w:rPr>
    </w:lvl>
    <w:lvl w:ilvl="7" w:tplc="42D2E408" w:tentative="1">
      <w:start w:val="1"/>
      <w:numFmt w:val="bullet"/>
      <w:lvlText w:val="o"/>
      <w:lvlJc w:val="left"/>
      <w:pPr>
        <w:ind w:left="5760" w:hanging="360"/>
      </w:pPr>
      <w:rPr>
        <w:rFonts w:ascii="Courier New" w:hAnsi="Courier New" w:cs="Courier New" w:hint="default"/>
      </w:rPr>
    </w:lvl>
    <w:lvl w:ilvl="8" w:tplc="8CA0524C" w:tentative="1">
      <w:start w:val="1"/>
      <w:numFmt w:val="bullet"/>
      <w:lvlText w:val=""/>
      <w:lvlJc w:val="left"/>
      <w:pPr>
        <w:ind w:left="6480" w:hanging="360"/>
      </w:pPr>
      <w:rPr>
        <w:rFonts w:ascii="Wingdings" w:hAnsi="Wingdings" w:hint="default"/>
      </w:rPr>
    </w:lvl>
  </w:abstractNum>
  <w:abstractNum w:abstractNumId="6" w15:restartNumberingAfterBreak="0">
    <w:nsid w:val="1F8B4FBA"/>
    <w:multiLevelType w:val="hybridMultilevel"/>
    <w:tmpl w:val="BC3E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20568"/>
    <w:multiLevelType w:val="hybridMultilevel"/>
    <w:tmpl w:val="165E795E"/>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15:restartNumberingAfterBreak="0">
    <w:nsid w:val="20883758"/>
    <w:multiLevelType w:val="hybridMultilevel"/>
    <w:tmpl w:val="FE20DC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AE67A7"/>
    <w:multiLevelType w:val="hybridMultilevel"/>
    <w:tmpl w:val="BEFA3210"/>
    <w:lvl w:ilvl="0" w:tplc="BED0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920778"/>
    <w:multiLevelType w:val="hybridMultilevel"/>
    <w:tmpl w:val="812CD8B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860822"/>
    <w:multiLevelType w:val="hybridMultilevel"/>
    <w:tmpl w:val="235852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7F5B33"/>
    <w:multiLevelType w:val="hybridMultilevel"/>
    <w:tmpl w:val="7D44F610"/>
    <w:lvl w:ilvl="0" w:tplc="8DA449CC">
      <w:start w:val="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0CF795F"/>
    <w:multiLevelType w:val="hybridMultilevel"/>
    <w:tmpl w:val="F282295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2B3309"/>
    <w:multiLevelType w:val="hybridMultilevel"/>
    <w:tmpl w:val="35C657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F1386D"/>
    <w:multiLevelType w:val="hybridMultilevel"/>
    <w:tmpl w:val="B8FE97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464860"/>
    <w:multiLevelType w:val="hybridMultilevel"/>
    <w:tmpl w:val="1EA8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11588"/>
    <w:multiLevelType w:val="hybridMultilevel"/>
    <w:tmpl w:val="7E64652A"/>
    <w:lvl w:ilvl="0" w:tplc="337A21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5E2AB0"/>
    <w:multiLevelType w:val="hybridMultilevel"/>
    <w:tmpl w:val="9BB27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E43D82"/>
    <w:multiLevelType w:val="hybridMultilevel"/>
    <w:tmpl w:val="E286C5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8F4A51"/>
    <w:multiLevelType w:val="hybridMultilevel"/>
    <w:tmpl w:val="50C2A410"/>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5027657"/>
    <w:multiLevelType w:val="hybridMultilevel"/>
    <w:tmpl w:val="A3EAB680"/>
    <w:lvl w:ilvl="0" w:tplc="E75C6490">
      <w:numFmt w:val="bullet"/>
      <w:lvlText w:val="-"/>
      <w:lvlJc w:val="left"/>
      <w:pPr>
        <w:ind w:left="720" w:hanging="360"/>
      </w:pPr>
      <w:rPr>
        <w:rFonts w:ascii="Times New Roman" w:eastAsia="Times New Roman" w:hAnsi="Times New Roman"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DF2FB0"/>
    <w:multiLevelType w:val="hybridMultilevel"/>
    <w:tmpl w:val="F5D0F5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E2E58AC"/>
    <w:multiLevelType w:val="hybridMultilevel"/>
    <w:tmpl w:val="C4847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352A39"/>
    <w:multiLevelType w:val="hybridMultilevel"/>
    <w:tmpl w:val="2932BD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4D463F9"/>
    <w:multiLevelType w:val="hybridMultilevel"/>
    <w:tmpl w:val="29A2B3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9300F8"/>
    <w:multiLevelType w:val="hybridMultilevel"/>
    <w:tmpl w:val="AB22B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9F70AA"/>
    <w:multiLevelType w:val="hybridMultilevel"/>
    <w:tmpl w:val="455E898C"/>
    <w:lvl w:ilvl="0" w:tplc="45149C80">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A0213B4"/>
    <w:multiLevelType w:val="hybridMultilevel"/>
    <w:tmpl w:val="2E26C5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AE349B"/>
    <w:multiLevelType w:val="hybridMultilevel"/>
    <w:tmpl w:val="B31019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F92863"/>
    <w:multiLevelType w:val="hybridMultilevel"/>
    <w:tmpl w:val="5D7001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A24A3C"/>
    <w:multiLevelType w:val="hybridMultilevel"/>
    <w:tmpl w:val="34BEC4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DD16A0"/>
    <w:multiLevelType w:val="hybridMultilevel"/>
    <w:tmpl w:val="40D0D9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D074936"/>
    <w:multiLevelType w:val="hybridMultilevel"/>
    <w:tmpl w:val="D68C2F7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E263A07"/>
    <w:multiLevelType w:val="hybridMultilevel"/>
    <w:tmpl w:val="14A8CDA2"/>
    <w:lvl w:ilvl="0" w:tplc="E75C649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0"/>
  </w:num>
  <w:num w:numId="4">
    <w:abstractNumId w:val="19"/>
  </w:num>
  <w:num w:numId="5">
    <w:abstractNumId w:val="14"/>
  </w:num>
  <w:num w:numId="6">
    <w:abstractNumId w:val="13"/>
  </w:num>
  <w:num w:numId="7">
    <w:abstractNumId w:val="25"/>
  </w:num>
  <w:num w:numId="8">
    <w:abstractNumId w:val="16"/>
  </w:num>
  <w:num w:numId="9">
    <w:abstractNumId w:val="8"/>
  </w:num>
  <w:num w:numId="10">
    <w:abstractNumId w:val="21"/>
  </w:num>
  <w:num w:numId="11">
    <w:abstractNumId w:val="2"/>
  </w:num>
  <w:num w:numId="12">
    <w:abstractNumId w:val="0"/>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9"/>
  </w:num>
  <w:num w:numId="17">
    <w:abstractNumId w:val="30"/>
  </w:num>
  <w:num w:numId="18">
    <w:abstractNumId w:val="34"/>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6"/>
  </w:num>
  <w:num w:numId="23">
    <w:abstractNumId w:val="29"/>
  </w:num>
  <w:num w:numId="24">
    <w:abstractNumId w:val="3"/>
  </w:num>
  <w:num w:numId="25">
    <w:abstractNumId w:val="12"/>
  </w:num>
  <w:num w:numId="26">
    <w:abstractNumId w:val="23"/>
  </w:num>
  <w:num w:numId="27">
    <w:abstractNumId w:val="20"/>
  </w:num>
  <w:num w:numId="28">
    <w:abstractNumId w:val="24"/>
  </w:num>
  <w:num w:numId="29">
    <w:abstractNumId w:val="17"/>
  </w:num>
  <w:num w:numId="30">
    <w:abstractNumId w:val="7"/>
  </w:num>
  <w:num w:numId="31">
    <w:abstractNumId w:val="28"/>
  </w:num>
  <w:num w:numId="32">
    <w:abstractNumId w:val="5"/>
  </w:num>
  <w:num w:numId="33">
    <w:abstractNumId w:val="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BB"/>
    <w:rsid w:val="00001AFE"/>
    <w:rsid w:val="00027BA7"/>
    <w:rsid w:val="0003455E"/>
    <w:rsid w:val="0004341E"/>
    <w:rsid w:val="00044146"/>
    <w:rsid w:val="00045916"/>
    <w:rsid w:val="00052D62"/>
    <w:rsid w:val="000652F6"/>
    <w:rsid w:val="0007281B"/>
    <w:rsid w:val="00073E28"/>
    <w:rsid w:val="00075312"/>
    <w:rsid w:val="00077755"/>
    <w:rsid w:val="00080080"/>
    <w:rsid w:val="00082C74"/>
    <w:rsid w:val="0008326A"/>
    <w:rsid w:val="000939B5"/>
    <w:rsid w:val="00096609"/>
    <w:rsid w:val="000B1432"/>
    <w:rsid w:val="000B27A1"/>
    <w:rsid w:val="000B5007"/>
    <w:rsid w:val="000B59A8"/>
    <w:rsid w:val="000B6C95"/>
    <w:rsid w:val="000B7392"/>
    <w:rsid w:val="000C21D4"/>
    <w:rsid w:val="000D242E"/>
    <w:rsid w:val="000D324B"/>
    <w:rsid w:val="000D5099"/>
    <w:rsid w:val="000D5EC4"/>
    <w:rsid w:val="000E07DE"/>
    <w:rsid w:val="000E2E56"/>
    <w:rsid w:val="000E3D30"/>
    <w:rsid w:val="000F2671"/>
    <w:rsid w:val="001023BC"/>
    <w:rsid w:val="001050A3"/>
    <w:rsid w:val="0011000B"/>
    <w:rsid w:val="001140F3"/>
    <w:rsid w:val="00114F34"/>
    <w:rsid w:val="00133CA4"/>
    <w:rsid w:val="0013490A"/>
    <w:rsid w:val="00146F3B"/>
    <w:rsid w:val="001519ED"/>
    <w:rsid w:val="00154F55"/>
    <w:rsid w:val="00161DDE"/>
    <w:rsid w:val="001730C3"/>
    <w:rsid w:val="00185D9A"/>
    <w:rsid w:val="00187FEA"/>
    <w:rsid w:val="001A50E1"/>
    <w:rsid w:val="001A631A"/>
    <w:rsid w:val="001B1C75"/>
    <w:rsid w:val="001C28A7"/>
    <w:rsid w:val="001C656E"/>
    <w:rsid w:val="001D467C"/>
    <w:rsid w:val="001D5AB7"/>
    <w:rsid w:val="001D6F88"/>
    <w:rsid w:val="001E06D1"/>
    <w:rsid w:val="001F4782"/>
    <w:rsid w:val="00220445"/>
    <w:rsid w:val="00222336"/>
    <w:rsid w:val="002237FC"/>
    <w:rsid w:val="002516D0"/>
    <w:rsid w:val="00252BEE"/>
    <w:rsid w:val="00255C4F"/>
    <w:rsid w:val="00255DC9"/>
    <w:rsid w:val="00255EC2"/>
    <w:rsid w:val="0027287A"/>
    <w:rsid w:val="00276A1C"/>
    <w:rsid w:val="00281C38"/>
    <w:rsid w:val="0028637A"/>
    <w:rsid w:val="00287EC5"/>
    <w:rsid w:val="00290F49"/>
    <w:rsid w:val="002946EA"/>
    <w:rsid w:val="00295986"/>
    <w:rsid w:val="002A0BCC"/>
    <w:rsid w:val="002B699F"/>
    <w:rsid w:val="002C460C"/>
    <w:rsid w:val="002D7361"/>
    <w:rsid w:val="002E19CC"/>
    <w:rsid w:val="002E4D8A"/>
    <w:rsid w:val="00301D3A"/>
    <w:rsid w:val="003036A4"/>
    <w:rsid w:val="003111DB"/>
    <w:rsid w:val="00317219"/>
    <w:rsid w:val="00336F91"/>
    <w:rsid w:val="0035276A"/>
    <w:rsid w:val="0036494D"/>
    <w:rsid w:val="00366E03"/>
    <w:rsid w:val="00380901"/>
    <w:rsid w:val="00382D2B"/>
    <w:rsid w:val="0038495C"/>
    <w:rsid w:val="003926B0"/>
    <w:rsid w:val="003B0B35"/>
    <w:rsid w:val="003B71C4"/>
    <w:rsid w:val="003C035F"/>
    <w:rsid w:val="003D51E9"/>
    <w:rsid w:val="00403AC5"/>
    <w:rsid w:val="004062DB"/>
    <w:rsid w:val="004137F1"/>
    <w:rsid w:val="004164C4"/>
    <w:rsid w:val="004304A7"/>
    <w:rsid w:val="004320ED"/>
    <w:rsid w:val="00435DA4"/>
    <w:rsid w:val="00435F40"/>
    <w:rsid w:val="00437859"/>
    <w:rsid w:val="00441180"/>
    <w:rsid w:val="004434DC"/>
    <w:rsid w:val="00447CFC"/>
    <w:rsid w:val="00453DB8"/>
    <w:rsid w:val="004574DC"/>
    <w:rsid w:val="00482D0B"/>
    <w:rsid w:val="00493D6B"/>
    <w:rsid w:val="004954B8"/>
    <w:rsid w:val="004A21D8"/>
    <w:rsid w:val="004C24E9"/>
    <w:rsid w:val="004C3FA0"/>
    <w:rsid w:val="004D21FB"/>
    <w:rsid w:val="004D46A1"/>
    <w:rsid w:val="004E094A"/>
    <w:rsid w:val="004F5B7E"/>
    <w:rsid w:val="00503EDE"/>
    <w:rsid w:val="00506C7A"/>
    <w:rsid w:val="00512731"/>
    <w:rsid w:val="00521847"/>
    <w:rsid w:val="00522C6B"/>
    <w:rsid w:val="005430A3"/>
    <w:rsid w:val="00562B3F"/>
    <w:rsid w:val="00563FBB"/>
    <w:rsid w:val="005808DF"/>
    <w:rsid w:val="0058389A"/>
    <w:rsid w:val="00585E69"/>
    <w:rsid w:val="005862BA"/>
    <w:rsid w:val="00590F0A"/>
    <w:rsid w:val="005939E8"/>
    <w:rsid w:val="00596911"/>
    <w:rsid w:val="005A2B67"/>
    <w:rsid w:val="005A3226"/>
    <w:rsid w:val="005A5F93"/>
    <w:rsid w:val="005C01E9"/>
    <w:rsid w:val="005C1E79"/>
    <w:rsid w:val="005C460E"/>
    <w:rsid w:val="005D00E4"/>
    <w:rsid w:val="005D0297"/>
    <w:rsid w:val="005D1796"/>
    <w:rsid w:val="005D78A5"/>
    <w:rsid w:val="005E4C17"/>
    <w:rsid w:val="005F3717"/>
    <w:rsid w:val="005F5D31"/>
    <w:rsid w:val="006053EA"/>
    <w:rsid w:val="00606143"/>
    <w:rsid w:val="00612958"/>
    <w:rsid w:val="00613249"/>
    <w:rsid w:val="00634D42"/>
    <w:rsid w:val="0064141B"/>
    <w:rsid w:val="006460FD"/>
    <w:rsid w:val="00657C21"/>
    <w:rsid w:val="00662760"/>
    <w:rsid w:val="00665A24"/>
    <w:rsid w:val="006725E9"/>
    <w:rsid w:val="00683307"/>
    <w:rsid w:val="00687A33"/>
    <w:rsid w:val="00693953"/>
    <w:rsid w:val="006971D7"/>
    <w:rsid w:val="006A033C"/>
    <w:rsid w:val="006A7502"/>
    <w:rsid w:val="006B00CF"/>
    <w:rsid w:val="006C452C"/>
    <w:rsid w:val="006C59EE"/>
    <w:rsid w:val="006D2806"/>
    <w:rsid w:val="006F12DA"/>
    <w:rsid w:val="006F1941"/>
    <w:rsid w:val="006F695E"/>
    <w:rsid w:val="00704222"/>
    <w:rsid w:val="007143AD"/>
    <w:rsid w:val="0072301E"/>
    <w:rsid w:val="00723366"/>
    <w:rsid w:val="00725927"/>
    <w:rsid w:val="00743F35"/>
    <w:rsid w:val="007635A4"/>
    <w:rsid w:val="0077038D"/>
    <w:rsid w:val="00772C5B"/>
    <w:rsid w:val="00787715"/>
    <w:rsid w:val="00791D49"/>
    <w:rsid w:val="007B1B8D"/>
    <w:rsid w:val="007B6F16"/>
    <w:rsid w:val="007C0AD3"/>
    <w:rsid w:val="007C23AA"/>
    <w:rsid w:val="007E0A26"/>
    <w:rsid w:val="007E0ED8"/>
    <w:rsid w:val="007E14AC"/>
    <w:rsid w:val="007E49BD"/>
    <w:rsid w:val="00804B04"/>
    <w:rsid w:val="0081360E"/>
    <w:rsid w:val="00815C30"/>
    <w:rsid w:val="00824CE7"/>
    <w:rsid w:val="00833CEE"/>
    <w:rsid w:val="008374E4"/>
    <w:rsid w:val="0086266B"/>
    <w:rsid w:val="008627ED"/>
    <w:rsid w:val="00866AED"/>
    <w:rsid w:val="00874110"/>
    <w:rsid w:val="00881F85"/>
    <w:rsid w:val="00891AE1"/>
    <w:rsid w:val="008B3D28"/>
    <w:rsid w:val="008B3F17"/>
    <w:rsid w:val="008B7300"/>
    <w:rsid w:val="008C152E"/>
    <w:rsid w:val="008C1B91"/>
    <w:rsid w:val="008C2B25"/>
    <w:rsid w:val="008C3357"/>
    <w:rsid w:val="008C4C37"/>
    <w:rsid w:val="008C6E66"/>
    <w:rsid w:val="008D3594"/>
    <w:rsid w:val="008E0937"/>
    <w:rsid w:val="008E2ECD"/>
    <w:rsid w:val="008E5A1B"/>
    <w:rsid w:val="00904F73"/>
    <w:rsid w:val="00926F04"/>
    <w:rsid w:val="00943A52"/>
    <w:rsid w:val="009512DC"/>
    <w:rsid w:val="0096263E"/>
    <w:rsid w:val="009631B5"/>
    <w:rsid w:val="00970659"/>
    <w:rsid w:val="00972777"/>
    <w:rsid w:val="009734BB"/>
    <w:rsid w:val="00997106"/>
    <w:rsid w:val="009A5B6E"/>
    <w:rsid w:val="009B4998"/>
    <w:rsid w:val="009C2A6F"/>
    <w:rsid w:val="009D4A43"/>
    <w:rsid w:val="009D610D"/>
    <w:rsid w:val="009D65EC"/>
    <w:rsid w:val="009E23CA"/>
    <w:rsid w:val="009E25DA"/>
    <w:rsid w:val="009E3D40"/>
    <w:rsid w:val="009E4C88"/>
    <w:rsid w:val="009F51B3"/>
    <w:rsid w:val="00A15356"/>
    <w:rsid w:val="00A15F08"/>
    <w:rsid w:val="00A33C9A"/>
    <w:rsid w:val="00A4654E"/>
    <w:rsid w:val="00A6251A"/>
    <w:rsid w:val="00A72016"/>
    <w:rsid w:val="00A77487"/>
    <w:rsid w:val="00A975CE"/>
    <w:rsid w:val="00AB6B19"/>
    <w:rsid w:val="00AD3DD9"/>
    <w:rsid w:val="00AD3E4A"/>
    <w:rsid w:val="00AE64E5"/>
    <w:rsid w:val="00B0083B"/>
    <w:rsid w:val="00B04E73"/>
    <w:rsid w:val="00B05880"/>
    <w:rsid w:val="00B104BC"/>
    <w:rsid w:val="00B12963"/>
    <w:rsid w:val="00B15339"/>
    <w:rsid w:val="00B26375"/>
    <w:rsid w:val="00B27F09"/>
    <w:rsid w:val="00B36C4B"/>
    <w:rsid w:val="00B525B8"/>
    <w:rsid w:val="00B554E9"/>
    <w:rsid w:val="00B65F19"/>
    <w:rsid w:val="00BA5926"/>
    <w:rsid w:val="00BA61EB"/>
    <w:rsid w:val="00BB0181"/>
    <w:rsid w:val="00BC1113"/>
    <w:rsid w:val="00BC6EB8"/>
    <w:rsid w:val="00BD334E"/>
    <w:rsid w:val="00BD56B4"/>
    <w:rsid w:val="00BF61E5"/>
    <w:rsid w:val="00BF6249"/>
    <w:rsid w:val="00C0406B"/>
    <w:rsid w:val="00C10061"/>
    <w:rsid w:val="00C26C5C"/>
    <w:rsid w:val="00C303BE"/>
    <w:rsid w:val="00C3092C"/>
    <w:rsid w:val="00C313A9"/>
    <w:rsid w:val="00C353B4"/>
    <w:rsid w:val="00C358B6"/>
    <w:rsid w:val="00C37593"/>
    <w:rsid w:val="00C40D75"/>
    <w:rsid w:val="00C54B7B"/>
    <w:rsid w:val="00C673EE"/>
    <w:rsid w:val="00C7517A"/>
    <w:rsid w:val="00C7664F"/>
    <w:rsid w:val="00C87ECA"/>
    <w:rsid w:val="00CE2BD7"/>
    <w:rsid w:val="00D07593"/>
    <w:rsid w:val="00D31F24"/>
    <w:rsid w:val="00D4127B"/>
    <w:rsid w:val="00D4722B"/>
    <w:rsid w:val="00D5309A"/>
    <w:rsid w:val="00D640AD"/>
    <w:rsid w:val="00D67FB0"/>
    <w:rsid w:val="00D7388A"/>
    <w:rsid w:val="00D7651B"/>
    <w:rsid w:val="00D76FB5"/>
    <w:rsid w:val="00D8017E"/>
    <w:rsid w:val="00D87A76"/>
    <w:rsid w:val="00D92A57"/>
    <w:rsid w:val="00DA150D"/>
    <w:rsid w:val="00DA3F25"/>
    <w:rsid w:val="00DA7C75"/>
    <w:rsid w:val="00DD06AA"/>
    <w:rsid w:val="00DE555B"/>
    <w:rsid w:val="00DF0EC8"/>
    <w:rsid w:val="00DF1171"/>
    <w:rsid w:val="00DF25F0"/>
    <w:rsid w:val="00DF4AB9"/>
    <w:rsid w:val="00E2126E"/>
    <w:rsid w:val="00E24071"/>
    <w:rsid w:val="00E24864"/>
    <w:rsid w:val="00E27005"/>
    <w:rsid w:val="00E30284"/>
    <w:rsid w:val="00E41DAC"/>
    <w:rsid w:val="00E45ECE"/>
    <w:rsid w:val="00E53B95"/>
    <w:rsid w:val="00E610A7"/>
    <w:rsid w:val="00E65AA3"/>
    <w:rsid w:val="00E7077F"/>
    <w:rsid w:val="00E76B5E"/>
    <w:rsid w:val="00E81793"/>
    <w:rsid w:val="00E836BF"/>
    <w:rsid w:val="00E90681"/>
    <w:rsid w:val="00EA3F9F"/>
    <w:rsid w:val="00EB3D99"/>
    <w:rsid w:val="00EC0D35"/>
    <w:rsid w:val="00EC61F3"/>
    <w:rsid w:val="00ED047C"/>
    <w:rsid w:val="00EE1E8A"/>
    <w:rsid w:val="00F035B5"/>
    <w:rsid w:val="00F037D8"/>
    <w:rsid w:val="00F14021"/>
    <w:rsid w:val="00F272ED"/>
    <w:rsid w:val="00F325CD"/>
    <w:rsid w:val="00F365A8"/>
    <w:rsid w:val="00F369D4"/>
    <w:rsid w:val="00F50377"/>
    <w:rsid w:val="00F55374"/>
    <w:rsid w:val="00F57BF1"/>
    <w:rsid w:val="00F62EFC"/>
    <w:rsid w:val="00F648C1"/>
    <w:rsid w:val="00F75C24"/>
    <w:rsid w:val="00FA6978"/>
    <w:rsid w:val="00FA7BCE"/>
    <w:rsid w:val="00FB0CFC"/>
    <w:rsid w:val="00FD703B"/>
    <w:rsid w:val="00FF4FC0"/>
    <w:rsid w:val="00FF6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0D62"/>
  <w15:chartTrackingRefBased/>
  <w15:docId w15:val="{3F092CF2-4CD6-4F17-A3EA-78F7E2AF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BB"/>
    <w:rPr>
      <w:rFonts w:eastAsia="Times New Roman" w:cs="Times New Roman"/>
      <w:szCs w:val="24"/>
      <w:lang w:val="en-GB"/>
    </w:rPr>
  </w:style>
  <w:style w:type="paragraph" w:styleId="Heading1">
    <w:name w:val="heading 1"/>
    <w:basedOn w:val="Normal"/>
    <w:next w:val="Normal"/>
    <w:link w:val="Heading1Char"/>
    <w:uiPriority w:val="9"/>
    <w:qFormat/>
    <w:rsid w:val="009734B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734B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734BB"/>
    <w:pPr>
      <w:keepNext/>
      <w:outlineLvl w:val="2"/>
    </w:pPr>
    <w:rPr>
      <w:sz w:val="28"/>
      <w:lang w:val="lv-LV"/>
    </w:rPr>
  </w:style>
  <w:style w:type="paragraph" w:styleId="Heading4">
    <w:name w:val="heading 4"/>
    <w:basedOn w:val="Normal"/>
    <w:next w:val="Normal"/>
    <w:link w:val="Heading4Char"/>
    <w:qFormat/>
    <w:rsid w:val="009734BB"/>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B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9734B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9734BB"/>
    <w:rPr>
      <w:rFonts w:eastAsia="Times New Roman" w:cs="Times New Roman"/>
      <w:sz w:val="28"/>
      <w:szCs w:val="24"/>
    </w:rPr>
  </w:style>
  <w:style w:type="character" w:customStyle="1" w:styleId="Heading4Char">
    <w:name w:val="Heading 4 Char"/>
    <w:basedOn w:val="DefaultParagraphFont"/>
    <w:link w:val="Heading4"/>
    <w:rsid w:val="009734BB"/>
    <w:rPr>
      <w:rFonts w:eastAsia="Times New Roman" w:cs="Times New Roman"/>
      <w:b/>
      <w:bCs/>
      <w:sz w:val="28"/>
      <w:szCs w:val="24"/>
    </w:rPr>
  </w:style>
  <w:style w:type="paragraph" w:styleId="BodyText">
    <w:name w:val="Body Text"/>
    <w:basedOn w:val="Normal"/>
    <w:link w:val="BodyTextChar"/>
    <w:rsid w:val="009734BB"/>
    <w:rPr>
      <w:sz w:val="20"/>
      <w:lang w:val="lv-LV"/>
    </w:rPr>
  </w:style>
  <w:style w:type="character" w:customStyle="1" w:styleId="BodyTextChar">
    <w:name w:val="Body Text Char"/>
    <w:basedOn w:val="DefaultParagraphFont"/>
    <w:link w:val="BodyText"/>
    <w:rsid w:val="009734BB"/>
    <w:rPr>
      <w:rFonts w:eastAsia="Times New Roman" w:cs="Times New Roman"/>
      <w:sz w:val="20"/>
      <w:szCs w:val="24"/>
    </w:rPr>
  </w:style>
  <w:style w:type="paragraph" w:styleId="Header">
    <w:name w:val="header"/>
    <w:basedOn w:val="Normal"/>
    <w:link w:val="HeaderChar"/>
    <w:rsid w:val="009734BB"/>
    <w:pPr>
      <w:tabs>
        <w:tab w:val="center" w:pos="4153"/>
        <w:tab w:val="right" w:pos="8306"/>
      </w:tabs>
    </w:pPr>
  </w:style>
  <w:style w:type="character" w:customStyle="1" w:styleId="HeaderChar">
    <w:name w:val="Header Char"/>
    <w:basedOn w:val="DefaultParagraphFont"/>
    <w:link w:val="Header"/>
    <w:rsid w:val="009734BB"/>
    <w:rPr>
      <w:rFonts w:eastAsia="Times New Roman" w:cs="Times New Roman"/>
      <w:szCs w:val="24"/>
      <w:lang w:val="en-GB"/>
    </w:rPr>
  </w:style>
  <w:style w:type="paragraph" w:styleId="Footer">
    <w:name w:val="footer"/>
    <w:basedOn w:val="Normal"/>
    <w:link w:val="FooterChar"/>
    <w:uiPriority w:val="99"/>
    <w:rsid w:val="009734BB"/>
    <w:pPr>
      <w:tabs>
        <w:tab w:val="center" w:pos="4153"/>
        <w:tab w:val="right" w:pos="8306"/>
      </w:tabs>
    </w:pPr>
  </w:style>
  <w:style w:type="character" w:customStyle="1" w:styleId="FooterChar">
    <w:name w:val="Footer Char"/>
    <w:basedOn w:val="DefaultParagraphFont"/>
    <w:link w:val="Footer"/>
    <w:uiPriority w:val="99"/>
    <w:rsid w:val="009734BB"/>
    <w:rPr>
      <w:rFonts w:eastAsia="Times New Roman" w:cs="Times New Roman"/>
      <w:szCs w:val="24"/>
      <w:lang w:val="en-GB"/>
    </w:rPr>
  </w:style>
  <w:style w:type="paragraph" w:styleId="BodyText2">
    <w:name w:val="Body Text 2"/>
    <w:basedOn w:val="Normal"/>
    <w:link w:val="BodyText2Char"/>
    <w:rsid w:val="009734BB"/>
    <w:pPr>
      <w:jc w:val="center"/>
    </w:pPr>
    <w:rPr>
      <w:sz w:val="32"/>
      <w:lang w:val="lv-LV"/>
    </w:rPr>
  </w:style>
  <w:style w:type="character" w:customStyle="1" w:styleId="BodyText2Char">
    <w:name w:val="Body Text 2 Char"/>
    <w:basedOn w:val="DefaultParagraphFont"/>
    <w:link w:val="BodyText2"/>
    <w:rsid w:val="009734BB"/>
    <w:rPr>
      <w:rFonts w:eastAsia="Times New Roman" w:cs="Times New Roman"/>
      <w:sz w:val="32"/>
      <w:szCs w:val="24"/>
    </w:rPr>
  </w:style>
  <w:style w:type="character" w:styleId="PageNumber">
    <w:name w:val="page number"/>
    <w:basedOn w:val="DefaultParagraphFont"/>
    <w:rsid w:val="009734BB"/>
  </w:style>
  <w:style w:type="character" w:styleId="Hyperlink">
    <w:name w:val="Hyperlink"/>
    <w:uiPriority w:val="99"/>
    <w:rsid w:val="009734BB"/>
    <w:rPr>
      <w:color w:val="0000FF"/>
      <w:u w:val="single"/>
    </w:rPr>
  </w:style>
  <w:style w:type="paragraph" w:styleId="CommentText">
    <w:name w:val="annotation text"/>
    <w:basedOn w:val="Normal"/>
    <w:link w:val="CommentTextChar"/>
    <w:semiHidden/>
    <w:rsid w:val="009734BB"/>
    <w:rPr>
      <w:sz w:val="20"/>
      <w:szCs w:val="20"/>
    </w:rPr>
  </w:style>
  <w:style w:type="character" w:customStyle="1" w:styleId="CommentTextChar">
    <w:name w:val="Comment Text Char"/>
    <w:basedOn w:val="DefaultParagraphFont"/>
    <w:link w:val="CommentText"/>
    <w:semiHidden/>
    <w:rsid w:val="009734BB"/>
    <w:rPr>
      <w:rFonts w:eastAsia="Times New Roman" w:cs="Times New Roman"/>
      <w:sz w:val="20"/>
      <w:szCs w:val="20"/>
      <w:lang w:val="en-GB"/>
    </w:rPr>
  </w:style>
  <w:style w:type="paragraph" w:customStyle="1" w:styleId="naisf">
    <w:name w:val="naisf"/>
    <w:basedOn w:val="Normal"/>
    <w:rsid w:val="009734BB"/>
    <w:pPr>
      <w:spacing w:before="75" w:after="75"/>
      <w:ind w:firstLine="375"/>
      <w:jc w:val="both"/>
    </w:pPr>
    <w:rPr>
      <w:lang w:val="lv-LV" w:eastAsia="lv-LV"/>
    </w:rPr>
  </w:style>
  <w:style w:type="paragraph" w:customStyle="1" w:styleId="EntEmet">
    <w:name w:val="EntEmet"/>
    <w:basedOn w:val="Normal"/>
    <w:rsid w:val="009734BB"/>
    <w:pPr>
      <w:widowControl w:val="0"/>
      <w:tabs>
        <w:tab w:val="left" w:pos="284"/>
        <w:tab w:val="left" w:pos="567"/>
        <w:tab w:val="left" w:pos="851"/>
        <w:tab w:val="left" w:pos="1134"/>
        <w:tab w:val="left" w:pos="1418"/>
      </w:tabs>
      <w:spacing w:before="40"/>
    </w:pPr>
    <w:rPr>
      <w:szCs w:val="20"/>
      <w:lang w:val="fr-FR"/>
    </w:rPr>
  </w:style>
  <w:style w:type="paragraph" w:styleId="NoSpacing">
    <w:name w:val="No Spacing"/>
    <w:uiPriority w:val="1"/>
    <w:qFormat/>
    <w:rsid w:val="009734BB"/>
    <w:rPr>
      <w:rFonts w:ascii="Calibri" w:eastAsia="Calibri" w:hAnsi="Calibri" w:cs="Times New Roman"/>
      <w:sz w:val="22"/>
    </w:rPr>
  </w:style>
  <w:style w:type="paragraph" w:styleId="BodyText3">
    <w:name w:val="Body Text 3"/>
    <w:basedOn w:val="Normal"/>
    <w:link w:val="BodyText3Char"/>
    <w:rsid w:val="009734BB"/>
    <w:pPr>
      <w:spacing w:after="120"/>
    </w:pPr>
    <w:rPr>
      <w:sz w:val="16"/>
      <w:szCs w:val="16"/>
      <w:lang w:eastAsia="lv-LV"/>
    </w:rPr>
  </w:style>
  <w:style w:type="character" w:customStyle="1" w:styleId="BodyText3Char">
    <w:name w:val="Body Text 3 Char"/>
    <w:basedOn w:val="DefaultParagraphFont"/>
    <w:link w:val="BodyText3"/>
    <w:rsid w:val="009734BB"/>
    <w:rPr>
      <w:rFonts w:eastAsia="Times New Roman" w:cs="Times New Roman"/>
      <w:sz w:val="16"/>
      <w:szCs w:val="16"/>
      <w:lang w:val="en-GB" w:eastAsia="lv-LV"/>
    </w:rPr>
  </w:style>
  <w:style w:type="character" w:styleId="Emphasis">
    <w:name w:val="Emphasis"/>
    <w:qFormat/>
    <w:rsid w:val="009734BB"/>
    <w:rPr>
      <w:i/>
      <w:iCs/>
    </w:rPr>
  </w:style>
  <w:style w:type="paragraph" w:styleId="NormalWeb">
    <w:name w:val="Normal (Web)"/>
    <w:basedOn w:val="Normal"/>
    <w:uiPriority w:val="99"/>
    <w:unhideWhenUsed/>
    <w:rsid w:val="009734BB"/>
    <w:pPr>
      <w:spacing w:before="100" w:beforeAutospacing="1" w:after="100" w:afterAutospacing="1"/>
    </w:pPr>
    <w:rPr>
      <w:rFonts w:eastAsia="Calibri"/>
      <w:lang w:val="lv-LV" w:eastAsia="lv-LV"/>
    </w:rPr>
  </w:style>
  <w:style w:type="paragraph" w:styleId="PlainText">
    <w:name w:val="Plain Text"/>
    <w:basedOn w:val="Normal"/>
    <w:link w:val="PlainTextChar"/>
    <w:uiPriority w:val="99"/>
    <w:unhideWhenUsed/>
    <w:rsid w:val="009734BB"/>
    <w:rPr>
      <w:rFonts w:ascii="Consolas" w:eastAsia="Calibri" w:hAnsi="Consolas"/>
      <w:sz w:val="21"/>
      <w:szCs w:val="21"/>
      <w:lang w:val="lv-LV" w:eastAsia="lv-LV"/>
    </w:rPr>
  </w:style>
  <w:style w:type="character" w:customStyle="1" w:styleId="PlainTextChar">
    <w:name w:val="Plain Text Char"/>
    <w:basedOn w:val="DefaultParagraphFont"/>
    <w:link w:val="PlainText"/>
    <w:uiPriority w:val="99"/>
    <w:rsid w:val="009734BB"/>
    <w:rPr>
      <w:rFonts w:ascii="Consolas" w:eastAsia="Calibri" w:hAnsi="Consolas" w:cs="Times New Roman"/>
      <w:sz w:val="21"/>
      <w:szCs w:val="21"/>
      <w:lang w:eastAsia="lv-LV"/>
    </w:rPr>
  </w:style>
  <w:style w:type="paragraph" w:customStyle="1" w:styleId="EntRefer">
    <w:name w:val="EntRefer"/>
    <w:basedOn w:val="Normal"/>
    <w:rsid w:val="009734BB"/>
    <w:pPr>
      <w:widowControl w:val="0"/>
    </w:pPr>
    <w:rPr>
      <w:b/>
      <w:szCs w:val="20"/>
      <w:lang w:eastAsia="fr-BE"/>
    </w:rPr>
  </w:style>
  <w:style w:type="paragraph" w:customStyle="1" w:styleId="EntLogo">
    <w:name w:val="EntLogo"/>
    <w:basedOn w:val="Normal"/>
    <w:next w:val="Normal"/>
    <w:rsid w:val="009734BB"/>
    <w:pPr>
      <w:widowControl w:val="0"/>
      <w:spacing w:line="360" w:lineRule="auto"/>
    </w:pPr>
    <w:rPr>
      <w:b/>
      <w:szCs w:val="20"/>
      <w:lang w:eastAsia="fr-BE"/>
    </w:rPr>
  </w:style>
  <w:style w:type="character" w:styleId="CommentReference">
    <w:name w:val="annotation reference"/>
    <w:unhideWhenUsed/>
    <w:rsid w:val="009734BB"/>
    <w:rPr>
      <w:sz w:val="16"/>
      <w:szCs w:val="16"/>
    </w:rPr>
  </w:style>
  <w:style w:type="paragraph" w:styleId="CommentSubject">
    <w:name w:val="annotation subject"/>
    <w:basedOn w:val="CommentText"/>
    <w:next w:val="CommentText"/>
    <w:link w:val="CommentSubjectChar"/>
    <w:uiPriority w:val="99"/>
    <w:semiHidden/>
    <w:unhideWhenUsed/>
    <w:rsid w:val="009734BB"/>
    <w:rPr>
      <w:b/>
      <w:bCs/>
    </w:rPr>
  </w:style>
  <w:style w:type="character" w:customStyle="1" w:styleId="CommentSubjectChar">
    <w:name w:val="Comment Subject Char"/>
    <w:basedOn w:val="CommentTextChar"/>
    <w:link w:val="CommentSubject"/>
    <w:uiPriority w:val="99"/>
    <w:semiHidden/>
    <w:rsid w:val="009734BB"/>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9734BB"/>
    <w:rPr>
      <w:rFonts w:ascii="Tahoma" w:hAnsi="Tahoma" w:cs="Tahoma"/>
      <w:sz w:val="16"/>
      <w:szCs w:val="16"/>
    </w:rPr>
  </w:style>
  <w:style w:type="character" w:customStyle="1" w:styleId="BalloonTextChar">
    <w:name w:val="Balloon Text Char"/>
    <w:basedOn w:val="DefaultParagraphFont"/>
    <w:link w:val="BalloonText"/>
    <w:uiPriority w:val="99"/>
    <w:semiHidden/>
    <w:rsid w:val="009734BB"/>
    <w:rPr>
      <w:rFonts w:ascii="Tahoma" w:eastAsia="Times New Roman" w:hAnsi="Tahoma" w:cs="Tahoma"/>
      <w:sz w:val="16"/>
      <w:szCs w:val="16"/>
      <w:lang w:val="en-GB"/>
    </w:rPr>
  </w:style>
  <w:style w:type="character" w:customStyle="1" w:styleId="longtext1">
    <w:name w:val="long_text1"/>
    <w:rsid w:val="009734BB"/>
    <w:rPr>
      <w:sz w:val="20"/>
      <w:szCs w:val="20"/>
    </w:rPr>
  </w:style>
  <w:style w:type="paragraph" w:styleId="ListParagraph">
    <w:name w:val="List Paragraph"/>
    <w:aliases w:val="2"/>
    <w:basedOn w:val="Normal"/>
    <w:link w:val="ListParagraphChar"/>
    <w:uiPriority w:val="34"/>
    <w:qFormat/>
    <w:rsid w:val="009734BB"/>
    <w:pPr>
      <w:ind w:left="720"/>
    </w:pPr>
  </w:style>
  <w:style w:type="character" w:customStyle="1" w:styleId="Heading7Char">
    <w:name w:val="Heading 7 Char"/>
    <w:rsid w:val="009734BB"/>
    <w:rPr>
      <w:rFonts w:ascii="Times New Roman" w:eastAsia="Times New Roman" w:hAnsi="Times New Roman" w:cs="Times New Roman"/>
      <w:sz w:val="24"/>
      <w:szCs w:val="24"/>
    </w:rPr>
  </w:style>
  <w:style w:type="character" w:customStyle="1" w:styleId="paragraph">
    <w:name w:val="paragraph"/>
    <w:basedOn w:val="DefaultParagraphFont"/>
    <w:rsid w:val="009734BB"/>
  </w:style>
  <w:style w:type="character" w:styleId="Strong">
    <w:name w:val="Strong"/>
    <w:uiPriority w:val="22"/>
    <w:qFormat/>
    <w:rsid w:val="009734BB"/>
    <w:rPr>
      <w:b/>
      <w:bCs/>
    </w:rPr>
  </w:style>
  <w:style w:type="character" w:customStyle="1" w:styleId="CommentTextChar1">
    <w:name w:val="Comment Text Char1"/>
    <w:semiHidden/>
    <w:rsid w:val="009734BB"/>
    <w:rPr>
      <w:rFonts w:ascii="Times New Roman" w:eastAsia="Times New Roman" w:hAnsi="Times New Roman"/>
      <w:lang w:val="en-GB"/>
    </w:rPr>
  </w:style>
  <w:style w:type="paragraph" w:customStyle="1" w:styleId="Sarakstarindkopa">
    <w:name w:val="Saraksta rindkopa"/>
    <w:basedOn w:val="Normal"/>
    <w:uiPriority w:val="34"/>
    <w:qFormat/>
    <w:rsid w:val="009734BB"/>
    <w:pPr>
      <w:ind w:left="720"/>
    </w:pPr>
  </w:style>
  <w:style w:type="paragraph" w:customStyle="1" w:styleId="Standard">
    <w:name w:val="Standard"/>
    <w:rsid w:val="009734BB"/>
    <w:pPr>
      <w:suppressAutoHyphens/>
      <w:autoSpaceDN w:val="0"/>
      <w:textAlignment w:val="baseline"/>
    </w:pPr>
    <w:rPr>
      <w:rFonts w:eastAsia="Times New Roman" w:cs="Times New Roman"/>
      <w:kern w:val="3"/>
      <w:szCs w:val="24"/>
      <w:lang w:val="en-GB" w:eastAsia="lv-LV"/>
    </w:rPr>
  </w:style>
  <w:style w:type="paragraph" w:styleId="FootnoteText">
    <w:name w:val="footnote text"/>
    <w:basedOn w:val="Normal"/>
    <w:link w:val="FootnoteTextChar"/>
    <w:uiPriority w:val="99"/>
    <w:semiHidden/>
    <w:unhideWhenUsed/>
    <w:rsid w:val="009734BB"/>
    <w:rPr>
      <w:sz w:val="20"/>
      <w:szCs w:val="20"/>
    </w:rPr>
  </w:style>
  <w:style w:type="character" w:customStyle="1" w:styleId="FootnoteTextChar">
    <w:name w:val="Footnote Text Char"/>
    <w:basedOn w:val="DefaultParagraphFont"/>
    <w:link w:val="FootnoteText"/>
    <w:uiPriority w:val="99"/>
    <w:semiHidden/>
    <w:rsid w:val="009734BB"/>
    <w:rPr>
      <w:rFonts w:eastAsia="Times New Roman" w:cs="Times New Roman"/>
      <w:sz w:val="20"/>
      <w:szCs w:val="20"/>
      <w:lang w:val="en-GB"/>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uiPriority w:val="99"/>
    <w:semiHidden/>
    <w:unhideWhenUsed/>
    <w:rsid w:val="009734BB"/>
    <w:rPr>
      <w:vertAlign w:val="superscript"/>
    </w:rPr>
  </w:style>
  <w:style w:type="paragraph" w:styleId="EndnoteText">
    <w:name w:val="endnote text"/>
    <w:basedOn w:val="Normal"/>
    <w:link w:val="EndnoteTextChar"/>
    <w:uiPriority w:val="99"/>
    <w:semiHidden/>
    <w:unhideWhenUsed/>
    <w:rsid w:val="009734BB"/>
    <w:rPr>
      <w:sz w:val="20"/>
      <w:szCs w:val="20"/>
    </w:rPr>
  </w:style>
  <w:style w:type="character" w:customStyle="1" w:styleId="EndnoteTextChar">
    <w:name w:val="Endnote Text Char"/>
    <w:basedOn w:val="DefaultParagraphFont"/>
    <w:link w:val="EndnoteText"/>
    <w:uiPriority w:val="99"/>
    <w:semiHidden/>
    <w:rsid w:val="009734BB"/>
    <w:rPr>
      <w:rFonts w:eastAsia="Times New Roman" w:cs="Times New Roman"/>
      <w:sz w:val="20"/>
      <w:szCs w:val="20"/>
      <w:lang w:val="en-GB"/>
    </w:rPr>
  </w:style>
  <w:style w:type="character" w:styleId="EndnoteReference">
    <w:name w:val="endnote reference"/>
    <w:uiPriority w:val="99"/>
    <w:semiHidden/>
    <w:unhideWhenUsed/>
    <w:rsid w:val="009734BB"/>
    <w:rPr>
      <w:vertAlign w:val="superscript"/>
    </w:rPr>
  </w:style>
  <w:style w:type="paragraph" w:customStyle="1" w:styleId="Default">
    <w:name w:val="Default"/>
    <w:rsid w:val="009734BB"/>
    <w:pPr>
      <w:autoSpaceDE w:val="0"/>
      <w:autoSpaceDN w:val="0"/>
      <w:adjustRightInd w:val="0"/>
    </w:pPr>
    <w:rPr>
      <w:rFonts w:ascii="EUAlbertina" w:eastAsia="Calibri" w:hAnsi="EUAlbertina" w:cs="EUAlbertina"/>
      <w:color w:val="000000"/>
      <w:szCs w:val="24"/>
      <w:lang w:eastAsia="lv-LV"/>
    </w:rPr>
  </w:style>
  <w:style w:type="paragraph" w:customStyle="1" w:styleId="Sarakstarindkopa1">
    <w:name w:val="Saraksta rindkopa1"/>
    <w:basedOn w:val="Normal"/>
    <w:uiPriority w:val="34"/>
    <w:qFormat/>
    <w:rsid w:val="009734BB"/>
    <w:pPr>
      <w:ind w:left="720"/>
    </w:pPr>
  </w:style>
  <w:style w:type="paragraph" w:styleId="Revision">
    <w:name w:val="Revision"/>
    <w:hidden/>
    <w:uiPriority w:val="99"/>
    <w:semiHidden/>
    <w:rsid w:val="009734BB"/>
    <w:rPr>
      <w:rFonts w:eastAsia="Times New Roman" w:cs="Times New Roman"/>
      <w:szCs w:val="24"/>
      <w:lang w:val="en-GB"/>
    </w:rPr>
  </w:style>
  <w:style w:type="paragraph" w:styleId="Caption">
    <w:name w:val="caption"/>
    <w:basedOn w:val="Normal"/>
    <w:uiPriority w:val="35"/>
    <w:semiHidden/>
    <w:unhideWhenUsed/>
    <w:qFormat/>
    <w:rsid w:val="009734BB"/>
    <w:pPr>
      <w:spacing w:after="200"/>
    </w:pPr>
    <w:rPr>
      <w:rFonts w:ascii="Calibri" w:eastAsiaTheme="minorHAnsi" w:hAnsi="Calibri"/>
      <w:b/>
      <w:bCs/>
      <w:color w:val="5B9BD5"/>
      <w:sz w:val="18"/>
      <w:szCs w:val="18"/>
      <w:lang w:val="lv-LV" w:eastAsia="lv-LV"/>
    </w:rPr>
  </w:style>
  <w:style w:type="character" w:customStyle="1" w:styleId="ListParagraphChar">
    <w:name w:val="List Paragraph Char"/>
    <w:aliases w:val="2 Char"/>
    <w:basedOn w:val="DefaultParagraphFont"/>
    <w:link w:val="ListParagraph"/>
    <w:uiPriority w:val="34"/>
    <w:locked/>
    <w:rsid w:val="009734BB"/>
    <w:rPr>
      <w:rFonts w:eastAsia="Times New Roman" w:cs="Times New Roman"/>
      <w:szCs w:val="24"/>
      <w:lang w:val="en-GB"/>
    </w:rPr>
  </w:style>
  <w:style w:type="character" w:customStyle="1" w:styleId="UnresolvedMention1">
    <w:name w:val="Unresolved Mention1"/>
    <w:basedOn w:val="DefaultParagraphFont"/>
    <w:uiPriority w:val="99"/>
    <w:semiHidden/>
    <w:unhideWhenUsed/>
    <w:rsid w:val="009734BB"/>
    <w:rPr>
      <w:color w:val="808080"/>
      <w:shd w:val="clear" w:color="auto" w:fill="E6E6E6"/>
    </w:rPr>
  </w:style>
  <w:style w:type="character" w:styleId="FollowedHyperlink">
    <w:name w:val="FollowedHyperlink"/>
    <w:basedOn w:val="DefaultParagraphFont"/>
    <w:uiPriority w:val="99"/>
    <w:semiHidden/>
    <w:unhideWhenUsed/>
    <w:rsid w:val="009734BB"/>
    <w:rPr>
      <w:color w:val="954F72" w:themeColor="followedHyperlink"/>
      <w:u w:val="single"/>
    </w:rPr>
  </w:style>
  <w:style w:type="character" w:customStyle="1" w:styleId="UnresolvedMention10">
    <w:name w:val="Unresolved Mention1"/>
    <w:basedOn w:val="DefaultParagraphFont"/>
    <w:uiPriority w:val="99"/>
    <w:semiHidden/>
    <w:unhideWhenUsed/>
    <w:rsid w:val="009734BB"/>
    <w:rPr>
      <w:color w:val="808080"/>
      <w:shd w:val="clear" w:color="auto" w:fill="E6E6E6"/>
    </w:rPr>
  </w:style>
  <w:style w:type="character" w:customStyle="1" w:styleId="Neatrisintapieminana1">
    <w:name w:val="Neatrisināta pieminēšana1"/>
    <w:basedOn w:val="DefaultParagraphFont"/>
    <w:uiPriority w:val="99"/>
    <w:semiHidden/>
    <w:unhideWhenUsed/>
    <w:rsid w:val="009734BB"/>
    <w:rPr>
      <w:color w:val="808080"/>
      <w:shd w:val="clear" w:color="auto" w:fill="E6E6E6"/>
    </w:rPr>
  </w:style>
  <w:style w:type="table" w:styleId="TableGrid">
    <w:name w:val="Table Grid"/>
    <w:basedOn w:val="TableNormal"/>
    <w:uiPriority w:val="39"/>
    <w:rsid w:val="0067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9146">
      <w:bodyDiv w:val="1"/>
      <w:marLeft w:val="0"/>
      <w:marRight w:val="0"/>
      <w:marTop w:val="0"/>
      <w:marBottom w:val="0"/>
      <w:divBdr>
        <w:top w:val="none" w:sz="0" w:space="0" w:color="auto"/>
        <w:left w:val="none" w:sz="0" w:space="0" w:color="auto"/>
        <w:bottom w:val="none" w:sz="0" w:space="0" w:color="auto"/>
        <w:right w:val="none" w:sz="0" w:space="0" w:color="auto"/>
      </w:divBdr>
      <w:divsChild>
        <w:div w:id="382170251">
          <w:marLeft w:val="0"/>
          <w:marRight w:val="0"/>
          <w:marTop w:val="0"/>
          <w:marBottom w:val="0"/>
          <w:divBdr>
            <w:top w:val="none" w:sz="0" w:space="0" w:color="auto"/>
            <w:left w:val="none" w:sz="0" w:space="0" w:color="auto"/>
            <w:bottom w:val="none" w:sz="0" w:space="0" w:color="auto"/>
            <w:right w:val="none" w:sz="0" w:space="0" w:color="auto"/>
          </w:divBdr>
          <w:divsChild>
            <w:div w:id="934827768">
              <w:marLeft w:val="0"/>
              <w:marRight w:val="0"/>
              <w:marTop w:val="0"/>
              <w:marBottom w:val="0"/>
              <w:divBdr>
                <w:top w:val="none" w:sz="0" w:space="0" w:color="auto"/>
                <w:left w:val="none" w:sz="0" w:space="0" w:color="auto"/>
                <w:bottom w:val="none" w:sz="0" w:space="0" w:color="auto"/>
                <w:right w:val="none" w:sz="0" w:space="0" w:color="auto"/>
              </w:divBdr>
              <w:divsChild>
                <w:div w:id="1990355470">
                  <w:marLeft w:val="0"/>
                  <w:marRight w:val="0"/>
                  <w:marTop w:val="0"/>
                  <w:marBottom w:val="0"/>
                  <w:divBdr>
                    <w:top w:val="none" w:sz="0" w:space="0" w:color="auto"/>
                    <w:left w:val="none" w:sz="0" w:space="0" w:color="auto"/>
                    <w:bottom w:val="none" w:sz="0" w:space="0" w:color="auto"/>
                    <w:right w:val="none" w:sz="0" w:space="0" w:color="auto"/>
                  </w:divBdr>
                  <w:divsChild>
                    <w:div w:id="157503270">
                      <w:marLeft w:val="0"/>
                      <w:marRight w:val="0"/>
                      <w:marTop w:val="0"/>
                      <w:marBottom w:val="0"/>
                      <w:divBdr>
                        <w:top w:val="none" w:sz="0" w:space="0" w:color="auto"/>
                        <w:left w:val="none" w:sz="0" w:space="0" w:color="auto"/>
                        <w:bottom w:val="none" w:sz="0" w:space="0" w:color="auto"/>
                        <w:right w:val="none" w:sz="0" w:space="0" w:color="auto"/>
                      </w:divBdr>
                      <w:divsChild>
                        <w:div w:id="1601255972">
                          <w:marLeft w:val="0"/>
                          <w:marRight w:val="0"/>
                          <w:marTop w:val="0"/>
                          <w:marBottom w:val="0"/>
                          <w:divBdr>
                            <w:top w:val="none" w:sz="0" w:space="0" w:color="auto"/>
                            <w:left w:val="none" w:sz="0" w:space="0" w:color="auto"/>
                            <w:bottom w:val="none" w:sz="0" w:space="0" w:color="auto"/>
                            <w:right w:val="none" w:sz="0" w:space="0" w:color="auto"/>
                          </w:divBdr>
                          <w:divsChild>
                            <w:div w:id="155653434">
                              <w:marLeft w:val="0"/>
                              <w:marRight w:val="0"/>
                              <w:marTop w:val="0"/>
                              <w:marBottom w:val="0"/>
                              <w:divBdr>
                                <w:top w:val="none" w:sz="0" w:space="0" w:color="auto"/>
                                <w:left w:val="none" w:sz="0" w:space="0" w:color="auto"/>
                                <w:bottom w:val="none" w:sz="0" w:space="0" w:color="auto"/>
                                <w:right w:val="none" w:sz="0" w:space="0" w:color="auto"/>
                              </w:divBdr>
                              <w:divsChild>
                                <w:div w:id="361170244">
                                  <w:marLeft w:val="0"/>
                                  <w:marRight w:val="0"/>
                                  <w:marTop w:val="0"/>
                                  <w:marBottom w:val="0"/>
                                  <w:divBdr>
                                    <w:top w:val="none" w:sz="0" w:space="0" w:color="auto"/>
                                    <w:left w:val="none" w:sz="0" w:space="0" w:color="auto"/>
                                    <w:bottom w:val="none" w:sz="0" w:space="0" w:color="auto"/>
                                    <w:right w:val="none" w:sz="0" w:space="0" w:color="auto"/>
                                  </w:divBdr>
                                  <w:divsChild>
                                    <w:div w:id="977342709">
                                      <w:marLeft w:val="0"/>
                                      <w:marRight w:val="0"/>
                                      <w:marTop w:val="0"/>
                                      <w:marBottom w:val="0"/>
                                      <w:divBdr>
                                        <w:top w:val="none" w:sz="0" w:space="0" w:color="auto"/>
                                        <w:left w:val="none" w:sz="0" w:space="0" w:color="auto"/>
                                        <w:bottom w:val="none" w:sz="0" w:space="0" w:color="auto"/>
                                        <w:right w:val="none" w:sz="0" w:space="0" w:color="auto"/>
                                      </w:divBdr>
                                      <w:divsChild>
                                        <w:div w:id="69886944">
                                          <w:marLeft w:val="0"/>
                                          <w:marRight w:val="0"/>
                                          <w:marTop w:val="0"/>
                                          <w:marBottom w:val="495"/>
                                          <w:divBdr>
                                            <w:top w:val="none" w:sz="0" w:space="0" w:color="auto"/>
                                            <w:left w:val="none" w:sz="0" w:space="0" w:color="auto"/>
                                            <w:bottom w:val="none" w:sz="0" w:space="0" w:color="auto"/>
                                            <w:right w:val="none" w:sz="0" w:space="0" w:color="auto"/>
                                          </w:divBdr>
                                          <w:divsChild>
                                            <w:div w:id="5702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869251">
      <w:bodyDiv w:val="1"/>
      <w:marLeft w:val="0"/>
      <w:marRight w:val="0"/>
      <w:marTop w:val="0"/>
      <w:marBottom w:val="0"/>
      <w:divBdr>
        <w:top w:val="none" w:sz="0" w:space="0" w:color="auto"/>
        <w:left w:val="none" w:sz="0" w:space="0" w:color="auto"/>
        <w:bottom w:val="none" w:sz="0" w:space="0" w:color="auto"/>
        <w:right w:val="none" w:sz="0" w:space="0" w:color="auto"/>
      </w:divBdr>
    </w:div>
    <w:div w:id="584219658">
      <w:bodyDiv w:val="1"/>
      <w:marLeft w:val="0"/>
      <w:marRight w:val="0"/>
      <w:marTop w:val="0"/>
      <w:marBottom w:val="0"/>
      <w:divBdr>
        <w:top w:val="none" w:sz="0" w:space="0" w:color="auto"/>
        <w:left w:val="none" w:sz="0" w:space="0" w:color="auto"/>
        <w:bottom w:val="none" w:sz="0" w:space="0" w:color="auto"/>
        <w:right w:val="none" w:sz="0" w:space="0" w:color="auto"/>
      </w:divBdr>
      <w:divsChild>
        <w:div w:id="909341094">
          <w:marLeft w:val="0"/>
          <w:marRight w:val="0"/>
          <w:marTop w:val="0"/>
          <w:marBottom w:val="0"/>
          <w:divBdr>
            <w:top w:val="none" w:sz="0" w:space="0" w:color="auto"/>
            <w:left w:val="none" w:sz="0" w:space="0" w:color="auto"/>
            <w:bottom w:val="none" w:sz="0" w:space="0" w:color="auto"/>
            <w:right w:val="none" w:sz="0" w:space="0" w:color="auto"/>
          </w:divBdr>
          <w:divsChild>
            <w:div w:id="1718360367">
              <w:marLeft w:val="0"/>
              <w:marRight w:val="0"/>
              <w:marTop w:val="0"/>
              <w:marBottom w:val="0"/>
              <w:divBdr>
                <w:top w:val="none" w:sz="0" w:space="0" w:color="auto"/>
                <w:left w:val="none" w:sz="0" w:space="0" w:color="auto"/>
                <w:bottom w:val="none" w:sz="0" w:space="0" w:color="auto"/>
                <w:right w:val="none" w:sz="0" w:space="0" w:color="auto"/>
              </w:divBdr>
              <w:divsChild>
                <w:div w:id="722212304">
                  <w:marLeft w:val="0"/>
                  <w:marRight w:val="0"/>
                  <w:marTop w:val="0"/>
                  <w:marBottom w:val="0"/>
                  <w:divBdr>
                    <w:top w:val="none" w:sz="0" w:space="0" w:color="auto"/>
                    <w:left w:val="none" w:sz="0" w:space="0" w:color="auto"/>
                    <w:bottom w:val="none" w:sz="0" w:space="0" w:color="auto"/>
                    <w:right w:val="none" w:sz="0" w:space="0" w:color="auto"/>
                  </w:divBdr>
                  <w:divsChild>
                    <w:div w:id="77409414">
                      <w:marLeft w:val="0"/>
                      <w:marRight w:val="0"/>
                      <w:marTop w:val="0"/>
                      <w:marBottom w:val="0"/>
                      <w:divBdr>
                        <w:top w:val="none" w:sz="0" w:space="0" w:color="auto"/>
                        <w:left w:val="none" w:sz="0" w:space="0" w:color="auto"/>
                        <w:bottom w:val="none" w:sz="0" w:space="0" w:color="auto"/>
                        <w:right w:val="none" w:sz="0" w:space="0" w:color="auto"/>
                      </w:divBdr>
                      <w:divsChild>
                        <w:div w:id="1911308629">
                          <w:marLeft w:val="0"/>
                          <w:marRight w:val="0"/>
                          <w:marTop w:val="0"/>
                          <w:marBottom w:val="0"/>
                          <w:divBdr>
                            <w:top w:val="none" w:sz="0" w:space="0" w:color="auto"/>
                            <w:left w:val="none" w:sz="0" w:space="0" w:color="auto"/>
                            <w:bottom w:val="none" w:sz="0" w:space="0" w:color="auto"/>
                            <w:right w:val="none" w:sz="0" w:space="0" w:color="auto"/>
                          </w:divBdr>
                          <w:divsChild>
                            <w:div w:id="300116172">
                              <w:marLeft w:val="0"/>
                              <w:marRight w:val="0"/>
                              <w:marTop w:val="0"/>
                              <w:marBottom w:val="0"/>
                              <w:divBdr>
                                <w:top w:val="none" w:sz="0" w:space="0" w:color="auto"/>
                                <w:left w:val="none" w:sz="0" w:space="0" w:color="auto"/>
                                <w:bottom w:val="none" w:sz="0" w:space="0" w:color="auto"/>
                                <w:right w:val="none" w:sz="0" w:space="0" w:color="auto"/>
                              </w:divBdr>
                              <w:divsChild>
                                <w:div w:id="766854633">
                                  <w:marLeft w:val="0"/>
                                  <w:marRight w:val="0"/>
                                  <w:marTop w:val="0"/>
                                  <w:marBottom w:val="0"/>
                                  <w:divBdr>
                                    <w:top w:val="none" w:sz="0" w:space="0" w:color="auto"/>
                                    <w:left w:val="none" w:sz="0" w:space="0" w:color="auto"/>
                                    <w:bottom w:val="none" w:sz="0" w:space="0" w:color="auto"/>
                                    <w:right w:val="none" w:sz="0" w:space="0" w:color="auto"/>
                                  </w:divBdr>
                                  <w:divsChild>
                                    <w:div w:id="1132476708">
                                      <w:marLeft w:val="0"/>
                                      <w:marRight w:val="0"/>
                                      <w:marTop w:val="0"/>
                                      <w:marBottom w:val="0"/>
                                      <w:divBdr>
                                        <w:top w:val="none" w:sz="0" w:space="0" w:color="auto"/>
                                        <w:left w:val="none" w:sz="0" w:space="0" w:color="auto"/>
                                        <w:bottom w:val="none" w:sz="0" w:space="0" w:color="auto"/>
                                        <w:right w:val="none" w:sz="0" w:space="0" w:color="auto"/>
                                      </w:divBdr>
                                      <w:divsChild>
                                        <w:div w:id="806123143">
                                          <w:marLeft w:val="0"/>
                                          <w:marRight w:val="0"/>
                                          <w:marTop w:val="0"/>
                                          <w:marBottom w:val="495"/>
                                          <w:divBdr>
                                            <w:top w:val="none" w:sz="0" w:space="0" w:color="auto"/>
                                            <w:left w:val="none" w:sz="0" w:space="0" w:color="auto"/>
                                            <w:bottom w:val="none" w:sz="0" w:space="0" w:color="auto"/>
                                            <w:right w:val="none" w:sz="0" w:space="0" w:color="auto"/>
                                          </w:divBdr>
                                          <w:divsChild>
                                            <w:div w:id="8064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459077">
      <w:bodyDiv w:val="1"/>
      <w:marLeft w:val="0"/>
      <w:marRight w:val="0"/>
      <w:marTop w:val="0"/>
      <w:marBottom w:val="0"/>
      <w:divBdr>
        <w:top w:val="none" w:sz="0" w:space="0" w:color="auto"/>
        <w:left w:val="none" w:sz="0" w:space="0" w:color="auto"/>
        <w:bottom w:val="none" w:sz="0" w:space="0" w:color="auto"/>
        <w:right w:val="none" w:sz="0" w:space="0" w:color="auto"/>
      </w:divBdr>
      <w:divsChild>
        <w:div w:id="1091007160">
          <w:marLeft w:val="0"/>
          <w:marRight w:val="0"/>
          <w:marTop w:val="0"/>
          <w:marBottom w:val="0"/>
          <w:divBdr>
            <w:top w:val="none" w:sz="0" w:space="0" w:color="auto"/>
            <w:left w:val="none" w:sz="0" w:space="0" w:color="auto"/>
            <w:bottom w:val="none" w:sz="0" w:space="0" w:color="auto"/>
            <w:right w:val="none" w:sz="0" w:space="0" w:color="auto"/>
          </w:divBdr>
          <w:divsChild>
            <w:div w:id="2074230880">
              <w:marLeft w:val="0"/>
              <w:marRight w:val="0"/>
              <w:marTop w:val="0"/>
              <w:marBottom w:val="0"/>
              <w:divBdr>
                <w:top w:val="none" w:sz="0" w:space="0" w:color="auto"/>
                <w:left w:val="none" w:sz="0" w:space="0" w:color="auto"/>
                <w:bottom w:val="none" w:sz="0" w:space="0" w:color="auto"/>
                <w:right w:val="none" w:sz="0" w:space="0" w:color="auto"/>
              </w:divBdr>
              <w:divsChild>
                <w:div w:id="945231243">
                  <w:marLeft w:val="0"/>
                  <w:marRight w:val="0"/>
                  <w:marTop w:val="0"/>
                  <w:marBottom w:val="0"/>
                  <w:divBdr>
                    <w:top w:val="none" w:sz="0" w:space="0" w:color="auto"/>
                    <w:left w:val="none" w:sz="0" w:space="0" w:color="auto"/>
                    <w:bottom w:val="none" w:sz="0" w:space="0" w:color="auto"/>
                    <w:right w:val="none" w:sz="0" w:space="0" w:color="auto"/>
                  </w:divBdr>
                  <w:divsChild>
                    <w:div w:id="195847627">
                      <w:marLeft w:val="0"/>
                      <w:marRight w:val="0"/>
                      <w:marTop w:val="0"/>
                      <w:marBottom w:val="0"/>
                      <w:divBdr>
                        <w:top w:val="none" w:sz="0" w:space="0" w:color="auto"/>
                        <w:left w:val="none" w:sz="0" w:space="0" w:color="auto"/>
                        <w:bottom w:val="none" w:sz="0" w:space="0" w:color="auto"/>
                        <w:right w:val="none" w:sz="0" w:space="0" w:color="auto"/>
                      </w:divBdr>
                      <w:divsChild>
                        <w:div w:id="177354693">
                          <w:marLeft w:val="0"/>
                          <w:marRight w:val="0"/>
                          <w:marTop w:val="0"/>
                          <w:marBottom w:val="0"/>
                          <w:divBdr>
                            <w:top w:val="none" w:sz="0" w:space="0" w:color="auto"/>
                            <w:left w:val="none" w:sz="0" w:space="0" w:color="auto"/>
                            <w:bottom w:val="none" w:sz="0" w:space="0" w:color="auto"/>
                            <w:right w:val="none" w:sz="0" w:space="0" w:color="auto"/>
                          </w:divBdr>
                          <w:divsChild>
                            <w:div w:id="313294307">
                              <w:marLeft w:val="0"/>
                              <w:marRight w:val="0"/>
                              <w:marTop w:val="0"/>
                              <w:marBottom w:val="0"/>
                              <w:divBdr>
                                <w:top w:val="none" w:sz="0" w:space="0" w:color="auto"/>
                                <w:left w:val="none" w:sz="0" w:space="0" w:color="auto"/>
                                <w:bottom w:val="none" w:sz="0" w:space="0" w:color="auto"/>
                                <w:right w:val="none" w:sz="0" w:space="0" w:color="auto"/>
                              </w:divBdr>
                              <w:divsChild>
                                <w:div w:id="829097371">
                                  <w:marLeft w:val="0"/>
                                  <w:marRight w:val="0"/>
                                  <w:marTop w:val="0"/>
                                  <w:marBottom w:val="0"/>
                                  <w:divBdr>
                                    <w:top w:val="none" w:sz="0" w:space="0" w:color="auto"/>
                                    <w:left w:val="none" w:sz="0" w:space="0" w:color="auto"/>
                                    <w:bottom w:val="none" w:sz="0" w:space="0" w:color="auto"/>
                                    <w:right w:val="none" w:sz="0" w:space="0" w:color="auto"/>
                                  </w:divBdr>
                                  <w:divsChild>
                                    <w:div w:id="431512887">
                                      <w:marLeft w:val="0"/>
                                      <w:marRight w:val="0"/>
                                      <w:marTop w:val="0"/>
                                      <w:marBottom w:val="0"/>
                                      <w:divBdr>
                                        <w:top w:val="none" w:sz="0" w:space="0" w:color="auto"/>
                                        <w:left w:val="none" w:sz="0" w:space="0" w:color="auto"/>
                                        <w:bottom w:val="none" w:sz="0" w:space="0" w:color="auto"/>
                                        <w:right w:val="none" w:sz="0" w:space="0" w:color="auto"/>
                                      </w:divBdr>
                                      <w:divsChild>
                                        <w:div w:id="1991666096">
                                          <w:marLeft w:val="0"/>
                                          <w:marRight w:val="0"/>
                                          <w:marTop w:val="0"/>
                                          <w:marBottom w:val="495"/>
                                          <w:divBdr>
                                            <w:top w:val="none" w:sz="0" w:space="0" w:color="auto"/>
                                            <w:left w:val="none" w:sz="0" w:space="0" w:color="auto"/>
                                            <w:bottom w:val="none" w:sz="0" w:space="0" w:color="auto"/>
                                            <w:right w:val="none" w:sz="0" w:space="0" w:color="auto"/>
                                          </w:divBdr>
                                          <w:divsChild>
                                            <w:div w:id="1148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796959">
      <w:bodyDiv w:val="1"/>
      <w:marLeft w:val="0"/>
      <w:marRight w:val="0"/>
      <w:marTop w:val="0"/>
      <w:marBottom w:val="0"/>
      <w:divBdr>
        <w:top w:val="none" w:sz="0" w:space="0" w:color="auto"/>
        <w:left w:val="none" w:sz="0" w:space="0" w:color="auto"/>
        <w:bottom w:val="none" w:sz="0" w:space="0" w:color="auto"/>
        <w:right w:val="none" w:sz="0" w:space="0" w:color="auto"/>
      </w:divBdr>
      <w:divsChild>
        <w:div w:id="472061564">
          <w:marLeft w:val="0"/>
          <w:marRight w:val="0"/>
          <w:marTop w:val="0"/>
          <w:marBottom w:val="0"/>
          <w:divBdr>
            <w:top w:val="none" w:sz="0" w:space="0" w:color="auto"/>
            <w:left w:val="none" w:sz="0" w:space="0" w:color="auto"/>
            <w:bottom w:val="none" w:sz="0" w:space="0" w:color="auto"/>
            <w:right w:val="none" w:sz="0" w:space="0" w:color="auto"/>
          </w:divBdr>
          <w:divsChild>
            <w:div w:id="1330329237">
              <w:marLeft w:val="0"/>
              <w:marRight w:val="0"/>
              <w:marTop w:val="0"/>
              <w:marBottom w:val="0"/>
              <w:divBdr>
                <w:top w:val="none" w:sz="0" w:space="0" w:color="auto"/>
                <w:left w:val="none" w:sz="0" w:space="0" w:color="auto"/>
                <w:bottom w:val="none" w:sz="0" w:space="0" w:color="auto"/>
                <w:right w:val="none" w:sz="0" w:space="0" w:color="auto"/>
              </w:divBdr>
              <w:divsChild>
                <w:div w:id="494540710">
                  <w:marLeft w:val="0"/>
                  <w:marRight w:val="0"/>
                  <w:marTop w:val="0"/>
                  <w:marBottom w:val="0"/>
                  <w:divBdr>
                    <w:top w:val="none" w:sz="0" w:space="0" w:color="auto"/>
                    <w:left w:val="none" w:sz="0" w:space="0" w:color="auto"/>
                    <w:bottom w:val="none" w:sz="0" w:space="0" w:color="auto"/>
                    <w:right w:val="none" w:sz="0" w:space="0" w:color="auto"/>
                  </w:divBdr>
                  <w:divsChild>
                    <w:div w:id="434638563">
                      <w:marLeft w:val="0"/>
                      <w:marRight w:val="0"/>
                      <w:marTop w:val="0"/>
                      <w:marBottom w:val="0"/>
                      <w:divBdr>
                        <w:top w:val="none" w:sz="0" w:space="0" w:color="auto"/>
                        <w:left w:val="none" w:sz="0" w:space="0" w:color="auto"/>
                        <w:bottom w:val="none" w:sz="0" w:space="0" w:color="auto"/>
                        <w:right w:val="none" w:sz="0" w:space="0" w:color="auto"/>
                      </w:divBdr>
                      <w:divsChild>
                        <w:div w:id="964771952">
                          <w:marLeft w:val="0"/>
                          <w:marRight w:val="0"/>
                          <w:marTop w:val="0"/>
                          <w:marBottom w:val="0"/>
                          <w:divBdr>
                            <w:top w:val="none" w:sz="0" w:space="0" w:color="auto"/>
                            <w:left w:val="none" w:sz="0" w:space="0" w:color="auto"/>
                            <w:bottom w:val="none" w:sz="0" w:space="0" w:color="auto"/>
                            <w:right w:val="none" w:sz="0" w:space="0" w:color="auto"/>
                          </w:divBdr>
                          <w:divsChild>
                            <w:div w:id="508522478">
                              <w:marLeft w:val="0"/>
                              <w:marRight w:val="0"/>
                              <w:marTop w:val="0"/>
                              <w:marBottom w:val="0"/>
                              <w:divBdr>
                                <w:top w:val="none" w:sz="0" w:space="0" w:color="auto"/>
                                <w:left w:val="none" w:sz="0" w:space="0" w:color="auto"/>
                                <w:bottom w:val="none" w:sz="0" w:space="0" w:color="auto"/>
                                <w:right w:val="none" w:sz="0" w:space="0" w:color="auto"/>
                              </w:divBdr>
                              <w:divsChild>
                                <w:div w:id="880046455">
                                  <w:marLeft w:val="0"/>
                                  <w:marRight w:val="0"/>
                                  <w:marTop w:val="0"/>
                                  <w:marBottom w:val="0"/>
                                  <w:divBdr>
                                    <w:top w:val="none" w:sz="0" w:space="0" w:color="auto"/>
                                    <w:left w:val="none" w:sz="0" w:space="0" w:color="auto"/>
                                    <w:bottom w:val="none" w:sz="0" w:space="0" w:color="auto"/>
                                    <w:right w:val="none" w:sz="0" w:space="0" w:color="auto"/>
                                  </w:divBdr>
                                  <w:divsChild>
                                    <w:div w:id="1309630372">
                                      <w:marLeft w:val="0"/>
                                      <w:marRight w:val="0"/>
                                      <w:marTop w:val="0"/>
                                      <w:marBottom w:val="0"/>
                                      <w:divBdr>
                                        <w:top w:val="none" w:sz="0" w:space="0" w:color="auto"/>
                                        <w:left w:val="none" w:sz="0" w:space="0" w:color="auto"/>
                                        <w:bottom w:val="none" w:sz="0" w:space="0" w:color="auto"/>
                                        <w:right w:val="none" w:sz="0" w:space="0" w:color="auto"/>
                                      </w:divBdr>
                                      <w:divsChild>
                                        <w:div w:id="434447865">
                                          <w:marLeft w:val="0"/>
                                          <w:marRight w:val="0"/>
                                          <w:marTop w:val="0"/>
                                          <w:marBottom w:val="495"/>
                                          <w:divBdr>
                                            <w:top w:val="none" w:sz="0" w:space="0" w:color="auto"/>
                                            <w:left w:val="none" w:sz="0" w:space="0" w:color="auto"/>
                                            <w:bottom w:val="none" w:sz="0" w:space="0" w:color="auto"/>
                                            <w:right w:val="none" w:sz="0" w:space="0" w:color="auto"/>
                                          </w:divBdr>
                                          <w:divsChild>
                                            <w:div w:id="51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449347">
      <w:bodyDiv w:val="1"/>
      <w:marLeft w:val="0"/>
      <w:marRight w:val="0"/>
      <w:marTop w:val="0"/>
      <w:marBottom w:val="0"/>
      <w:divBdr>
        <w:top w:val="none" w:sz="0" w:space="0" w:color="auto"/>
        <w:left w:val="none" w:sz="0" w:space="0" w:color="auto"/>
        <w:bottom w:val="none" w:sz="0" w:space="0" w:color="auto"/>
        <w:right w:val="none" w:sz="0" w:space="0" w:color="auto"/>
      </w:divBdr>
      <w:divsChild>
        <w:div w:id="1281035876">
          <w:marLeft w:val="0"/>
          <w:marRight w:val="0"/>
          <w:marTop w:val="0"/>
          <w:marBottom w:val="0"/>
          <w:divBdr>
            <w:top w:val="none" w:sz="0" w:space="0" w:color="auto"/>
            <w:left w:val="none" w:sz="0" w:space="0" w:color="auto"/>
            <w:bottom w:val="none" w:sz="0" w:space="0" w:color="auto"/>
            <w:right w:val="none" w:sz="0" w:space="0" w:color="auto"/>
          </w:divBdr>
          <w:divsChild>
            <w:div w:id="1474298875">
              <w:marLeft w:val="0"/>
              <w:marRight w:val="0"/>
              <w:marTop w:val="0"/>
              <w:marBottom w:val="0"/>
              <w:divBdr>
                <w:top w:val="none" w:sz="0" w:space="0" w:color="auto"/>
                <w:left w:val="none" w:sz="0" w:space="0" w:color="auto"/>
                <w:bottom w:val="none" w:sz="0" w:space="0" w:color="auto"/>
                <w:right w:val="none" w:sz="0" w:space="0" w:color="auto"/>
              </w:divBdr>
              <w:divsChild>
                <w:div w:id="1142845990">
                  <w:marLeft w:val="0"/>
                  <w:marRight w:val="0"/>
                  <w:marTop w:val="0"/>
                  <w:marBottom w:val="0"/>
                  <w:divBdr>
                    <w:top w:val="none" w:sz="0" w:space="0" w:color="auto"/>
                    <w:left w:val="none" w:sz="0" w:space="0" w:color="auto"/>
                    <w:bottom w:val="none" w:sz="0" w:space="0" w:color="auto"/>
                    <w:right w:val="none" w:sz="0" w:space="0" w:color="auto"/>
                  </w:divBdr>
                  <w:divsChild>
                    <w:div w:id="1286962577">
                      <w:marLeft w:val="0"/>
                      <w:marRight w:val="0"/>
                      <w:marTop w:val="0"/>
                      <w:marBottom w:val="0"/>
                      <w:divBdr>
                        <w:top w:val="none" w:sz="0" w:space="0" w:color="auto"/>
                        <w:left w:val="none" w:sz="0" w:space="0" w:color="auto"/>
                        <w:bottom w:val="none" w:sz="0" w:space="0" w:color="auto"/>
                        <w:right w:val="none" w:sz="0" w:space="0" w:color="auto"/>
                      </w:divBdr>
                      <w:divsChild>
                        <w:div w:id="2145543277">
                          <w:marLeft w:val="0"/>
                          <w:marRight w:val="0"/>
                          <w:marTop w:val="0"/>
                          <w:marBottom w:val="0"/>
                          <w:divBdr>
                            <w:top w:val="none" w:sz="0" w:space="0" w:color="auto"/>
                            <w:left w:val="none" w:sz="0" w:space="0" w:color="auto"/>
                            <w:bottom w:val="none" w:sz="0" w:space="0" w:color="auto"/>
                            <w:right w:val="none" w:sz="0" w:space="0" w:color="auto"/>
                          </w:divBdr>
                          <w:divsChild>
                            <w:div w:id="2138525241">
                              <w:marLeft w:val="0"/>
                              <w:marRight w:val="0"/>
                              <w:marTop w:val="0"/>
                              <w:marBottom w:val="0"/>
                              <w:divBdr>
                                <w:top w:val="none" w:sz="0" w:space="0" w:color="auto"/>
                                <w:left w:val="none" w:sz="0" w:space="0" w:color="auto"/>
                                <w:bottom w:val="none" w:sz="0" w:space="0" w:color="auto"/>
                                <w:right w:val="none" w:sz="0" w:space="0" w:color="auto"/>
                              </w:divBdr>
                              <w:divsChild>
                                <w:div w:id="696585707">
                                  <w:marLeft w:val="0"/>
                                  <w:marRight w:val="0"/>
                                  <w:marTop w:val="0"/>
                                  <w:marBottom w:val="0"/>
                                  <w:divBdr>
                                    <w:top w:val="none" w:sz="0" w:space="0" w:color="auto"/>
                                    <w:left w:val="none" w:sz="0" w:space="0" w:color="auto"/>
                                    <w:bottom w:val="none" w:sz="0" w:space="0" w:color="auto"/>
                                    <w:right w:val="none" w:sz="0" w:space="0" w:color="auto"/>
                                  </w:divBdr>
                                  <w:divsChild>
                                    <w:div w:id="428740590">
                                      <w:marLeft w:val="0"/>
                                      <w:marRight w:val="0"/>
                                      <w:marTop w:val="0"/>
                                      <w:marBottom w:val="0"/>
                                      <w:divBdr>
                                        <w:top w:val="none" w:sz="0" w:space="0" w:color="auto"/>
                                        <w:left w:val="none" w:sz="0" w:space="0" w:color="auto"/>
                                        <w:bottom w:val="none" w:sz="0" w:space="0" w:color="auto"/>
                                        <w:right w:val="none" w:sz="0" w:space="0" w:color="auto"/>
                                      </w:divBdr>
                                      <w:divsChild>
                                        <w:div w:id="1307081831">
                                          <w:marLeft w:val="0"/>
                                          <w:marRight w:val="0"/>
                                          <w:marTop w:val="0"/>
                                          <w:marBottom w:val="495"/>
                                          <w:divBdr>
                                            <w:top w:val="none" w:sz="0" w:space="0" w:color="auto"/>
                                            <w:left w:val="none" w:sz="0" w:space="0" w:color="auto"/>
                                            <w:bottom w:val="none" w:sz="0" w:space="0" w:color="auto"/>
                                            <w:right w:val="none" w:sz="0" w:space="0" w:color="auto"/>
                                          </w:divBdr>
                                          <w:divsChild>
                                            <w:div w:id="15382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713274">
      <w:bodyDiv w:val="1"/>
      <w:marLeft w:val="0"/>
      <w:marRight w:val="0"/>
      <w:marTop w:val="0"/>
      <w:marBottom w:val="0"/>
      <w:divBdr>
        <w:top w:val="none" w:sz="0" w:space="0" w:color="auto"/>
        <w:left w:val="none" w:sz="0" w:space="0" w:color="auto"/>
        <w:bottom w:val="none" w:sz="0" w:space="0" w:color="auto"/>
        <w:right w:val="none" w:sz="0" w:space="0" w:color="auto"/>
      </w:divBdr>
      <w:divsChild>
        <w:div w:id="954794893">
          <w:marLeft w:val="0"/>
          <w:marRight w:val="0"/>
          <w:marTop w:val="0"/>
          <w:marBottom w:val="0"/>
          <w:divBdr>
            <w:top w:val="none" w:sz="0" w:space="0" w:color="auto"/>
            <w:left w:val="none" w:sz="0" w:space="0" w:color="auto"/>
            <w:bottom w:val="none" w:sz="0" w:space="0" w:color="auto"/>
            <w:right w:val="none" w:sz="0" w:space="0" w:color="auto"/>
          </w:divBdr>
          <w:divsChild>
            <w:div w:id="1445150732">
              <w:marLeft w:val="0"/>
              <w:marRight w:val="0"/>
              <w:marTop w:val="0"/>
              <w:marBottom w:val="0"/>
              <w:divBdr>
                <w:top w:val="none" w:sz="0" w:space="0" w:color="auto"/>
                <w:left w:val="none" w:sz="0" w:space="0" w:color="auto"/>
                <w:bottom w:val="none" w:sz="0" w:space="0" w:color="auto"/>
                <w:right w:val="none" w:sz="0" w:space="0" w:color="auto"/>
              </w:divBdr>
              <w:divsChild>
                <w:div w:id="1860315224">
                  <w:marLeft w:val="0"/>
                  <w:marRight w:val="0"/>
                  <w:marTop w:val="0"/>
                  <w:marBottom w:val="0"/>
                  <w:divBdr>
                    <w:top w:val="none" w:sz="0" w:space="0" w:color="auto"/>
                    <w:left w:val="none" w:sz="0" w:space="0" w:color="auto"/>
                    <w:bottom w:val="none" w:sz="0" w:space="0" w:color="auto"/>
                    <w:right w:val="none" w:sz="0" w:space="0" w:color="auto"/>
                  </w:divBdr>
                  <w:divsChild>
                    <w:div w:id="1794595412">
                      <w:marLeft w:val="0"/>
                      <w:marRight w:val="0"/>
                      <w:marTop w:val="0"/>
                      <w:marBottom w:val="0"/>
                      <w:divBdr>
                        <w:top w:val="none" w:sz="0" w:space="0" w:color="auto"/>
                        <w:left w:val="none" w:sz="0" w:space="0" w:color="auto"/>
                        <w:bottom w:val="none" w:sz="0" w:space="0" w:color="auto"/>
                        <w:right w:val="none" w:sz="0" w:space="0" w:color="auto"/>
                      </w:divBdr>
                      <w:divsChild>
                        <w:div w:id="1311397730">
                          <w:marLeft w:val="0"/>
                          <w:marRight w:val="0"/>
                          <w:marTop w:val="0"/>
                          <w:marBottom w:val="0"/>
                          <w:divBdr>
                            <w:top w:val="none" w:sz="0" w:space="0" w:color="auto"/>
                            <w:left w:val="none" w:sz="0" w:space="0" w:color="auto"/>
                            <w:bottom w:val="none" w:sz="0" w:space="0" w:color="auto"/>
                            <w:right w:val="none" w:sz="0" w:space="0" w:color="auto"/>
                          </w:divBdr>
                          <w:divsChild>
                            <w:div w:id="560360544">
                              <w:marLeft w:val="0"/>
                              <w:marRight w:val="0"/>
                              <w:marTop w:val="0"/>
                              <w:marBottom w:val="0"/>
                              <w:divBdr>
                                <w:top w:val="none" w:sz="0" w:space="0" w:color="auto"/>
                                <w:left w:val="none" w:sz="0" w:space="0" w:color="auto"/>
                                <w:bottom w:val="none" w:sz="0" w:space="0" w:color="auto"/>
                                <w:right w:val="none" w:sz="0" w:space="0" w:color="auto"/>
                              </w:divBdr>
                              <w:divsChild>
                                <w:div w:id="669482551">
                                  <w:marLeft w:val="0"/>
                                  <w:marRight w:val="0"/>
                                  <w:marTop w:val="0"/>
                                  <w:marBottom w:val="0"/>
                                  <w:divBdr>
                                    <w:top w:val="none" w:sz="0" w:space="0" w:color="auto"/>
                                    <w:left w:val="none" w:sz="0" w:space="0" w:color="auto"/>
                                    <w:bottom w:val="none" w:sz="0" w:space="0" w:color="auto"/>
                                    <w:right w:val="none" w:sz="0" w:space="0" w:color="auto"/>
                                  </w:divBdr>
                                  <w:divsChild>
                                    <w:div w:id="990254446">
                                      <w:marLeft w:val="0"/>
                                      <w:marRight w:val="0"/>
                                      <w:marTop w:val="0"/>
                                      <w:marBottom w:val="0"/>
                                      <w:divBdr>
                                        <w:top w:val="none" w:sz="0" w:space="0" w:color="auto"/>
                                        <w:left w:val="none" w:sz="0" w:space="0" w:color="auto"/>
                                        <w:bottom w:val="none" w:sz="0" w:space="0" w:color="auto"/>
                                        <w:right w:val="none" w:sz="0" w:space="0" w:color="auto"/>
                                      </w:divBdr>
                                      <w:divsChild>
                                        <w:div w:id="646671876">
                                          <w:marLeft w:val="0"/>
                                          <w:marRight w:val="0"/>
                                          <w:marTop w:val="0"/>
                                          <w:marBottom w:val="495"/>
                                          <w:divBdr>
                                            <w:top w:val="none" w:sz="0" w:space="0" w:color="auto"/>
                                            <w:left w:val="none" w:sz="0" w:space="0" w:color="auto"/>
                                            <w:bottom w:val="none" w:sz="0" w:space="0" w:color="auto"/>
                                            <w:right w:val="none" w:sz="0" w:space="0" w:color="auto"/>
                                          </w:divBdr>
                                          <w:divsChild>
                                            <w:div w:id="8036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083031">
      <w:bodyDiv w:val="1"/>
      <w:marLeft w:val="0"/>
      <w:marRight w:val="0"/>
      <w:marTop w:val="0"/>
      <w:marBottom w:val="0"/>
      <w:divBdr>
        <w:top w:val="none" w:sz="0" w:space="0" w:color="auto"/>
        <w:left w:val="none" w:sz="0" w:space="0" w:color="auto"/>
        <w:bottom w:val="none" w:sz="0" w:space="0" w:color="auto"/>
        <w:right w:val="none" w:sz="0" w:space="0" w:color="auto"/>
      </w:divBdr>
      <w:divsChild>
        <w:div w:id="1834487030">
          <w:marLeft w:val="0"/>
          <w:marRight w:val="0"/>
          <w:marTop w:val="0"/>
          <w:marBottom w:val="0"/>
          <w:divBdr>
            <w:top w:val="none" w:sz="0" w:space="0" w:color="auto"/>
            <w:left w:val="none" w:sz="0" w:space="0" w:color="auto"/>
            <w:bottom w:val="none" w:sz="0" w:space="0" w:color="auto"/>
            <w:right w:val="none" w:sz="0" w:space="0" w:color="auto"/>
          </w:divBdr>
          <w:divsChild>
            <w:div w:id="1182741087">
              <w:marLeft w:val="0"/>
              <w:marRight w:val="0"/>
              <w:marTop w:val="0"/>
              <w:marBottom w:val="0"/>
              <w:divBdr>
                <w:top w:val="none" w:sz="0" w:space="0" w:color="auto"/>
                <w:left w:val="none" w:sz="0" w:space="0" w:color="auto"/>
                <w:bottom w:val="none" w:sz="0" w:space="0" w:color="auto"/>
                <w:right w:val="none" w:sz="0" w:space="0" w:color="auto"/>
              </w:divBdr>
              <w:divsChild>
                <w:div w:id="408116566">
                  <w:marLeft w:val="0"/>
                  <w:marRight w:val="0"/>
                  <w:marTop w:val="0"/>
                  <w:marBottom w:val="0"/>
                  <w:divBdr>
                    <w:top w:val="none" w:sz="0" w:space="0" w:color="auto"/>
                    <w:left w:val="none" w:sz="0" w:space="0" w:color="auto"/>
                    <w:bottom w:val="none" w:sz="0" w:space="0" w:color="auto"/>
                    <w:right w:val="none" w:sz="0" w:space="0" w:color="auto"/>
                  </w:divBdr>
                  <w:divsChild>
                    <w:div w:id="1874462948">
                      <w:marLeft w:val="0"/>
                      <w:marRight w:val="0"/>
                      <w:marTop w:val="0"/>
                      <w:marBottom w:val="0"/>
                      <w:divBdr>
                        <w:top w:val="none" w:sz="0" w:space="0" w:color="auto"/>
                        <w:left w:val="none" w:sz="0" w:space="0" w:color="auto"/>
                        <w:bottom w:val="none" w:sz="0" w:space="0" w:color="auto"/>
                        <w:right w:val="none" w:sz="0" w:space="0" w:color="auto"/>
                      </w:divBdr>
                      <w:divsChild>
                        <w:div w:id="1095127636">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2033922604">
                                  <w:marLeft w:val="0"/>
                                  <w:marRight w:val="0"/>
                                  <w:marTop w:val="0"/>
                                  <w:marBottom w:val="0"/>
                                  <w:divBdr>
                                    <w:top w:val="none" w:sz="0" w:space="0" w:color="auto"/>
                                    <w:left w:val="none" w:sz="0" w:space="0" w:color="auto"/>
                                    <w:bottom w:val="none" w:sz="0" w:space="0" w:color="auto"/>
                                    <w:right w:val="none" w:sz="0" w:space="0" w:color="auto"/>
                                  </w:divBdr>
                                  <w:divsChild>
                                    <w:div w:id="68967126">
                                      <w:marLeft w:val="0"/>
                                      <w:marRight w:val="0"/>
                                      <w:marTop w:val="0"/>
                                      <w:marBottom w:val="0"/>
                                      <w:divBdr>
                                        <w:top w:val="none" w:sz="0" w:space="0" w:color="auto"/>
                                        <w:left w:val="none" w:sz="0" w:space="0" w:color="auto"/>
                                        <w:bottom w:val="none" w:sz="0" w:space="0" w:color="auto"/>
                                        <w:right w:val="none" w:sz="0" w:space="0" w:color="auto"/>
                                      </w:divBdr>
                                      <w:divsChild>
                                        <w:div w:id="243730910">
                                          <w:marLeft w:val="0"/>
                                          <w:marRight w:val="0"/>
                                          <w:marTop w:val="0"/>
                                          <w:marBottom w:val="495"/>
                                          <w:divBdr>
                                            <w:top w:val="none" w:sz="0" w:space="0" w:color="auto"/>
                                            <w:left w:val="none" w:sz="0" w:space="0" w:color="auto"/>
                                            <w:bottom w:val="none" w:sz="0" w:space="0" w:color="auto"/>
                                            <w:right w:val="none" w:sz="0" w:space="0" w:color="auto"/>
                                          </w:divBdr>
                                          <w:divsChild>
                                            <w:div w:id="12480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853709">
      <w:bodyDiv w:val="1"/>
      <w:marLeft w:val="0"/>
      <w:marRight w:val="0"/>
      <w:marTop w:val="0"/>
      <w:marBottom w:val="0"/>
      <w:divBdr>
        <w:top w:val="none" w:sz="0" w:space="0" w:color="auto"/>
        <w:left w:val="none" w:sz="0" w:space="0" w:color="auto"/>
        <w:bottom w:val="none" w:sz="0" w:space="0" w:color="auto"/>
        <w:right w:val="none" w:sz="0" w:space="0" w:color="auto"/>
      </w:divBdr>
      <w:divsChild>
        <w:div w:id="82529868">
          <w:marLeft w:val="0"/>
          <w:marRight w:val="0"/>
          <w:marTop w:val="0"/>
          <w:marBottom w:val="0"/>
          <w:divBdr>
            <w:top w:val="none" w:sz="0" w:space="0" w:color="auto"/>
            <w:left w:val="none" w:sz="0" w:space="0" w:color="auto"/>
            <w:bottom w:val="none" w:sz="0" w:space="0" w:color="auto"/>
            <w:right w:val="none" w:sz="0" w:space="0" w:color="auto"/>
          </w:divBdr>
          <w:divsChild>
            <w:div w:id="934284686">
              <w:marLeft w:val="0"/>
              <w:marRight w:val="0"/>
              <w:marTop w:val="0"/>
              <w:marBottom w:val="0"/>
              <w:divBdr>
                <w:top w:val="none" w:sz="0" w:space="0" w:color="auto"/>
                <w:left w:val="none" w:sz="0" w:space="0" w:color="auto"/>
                <w:bottom w:val="none" w:sz="0" w:space="0" w:color="auto"/>
                <w:right w:val="none" w:sz="0" w:space="0" w:color="auto"/>
              </w:divBdr>
              <w:divsChild>
                <w:div w:id="435715516">
                  <w:marLeft w:val="0"/>
                  <w:marRight w:val="0"/>
                  <w:marTop w:val="0"/>
                  <w:marBottom w:val="0"/>
                  <w:divBdr>
                    <w:top w:val="none" w:sz="0" w:space="0" w:color="auto"/>
                    <w:left w:val="none" w:sz="0" w:space="0" w:color="auto"/>
                    <w:bottom w:val="none" w:sz="0" w:space="0" w:color="auto"/>
                    <w:right w:val="none" w:sz="0" w:space="0" w:color="auto"/>
                  </w:divBdr>
                  <w:divsChild>
                    <w:div w:id="2028406154">
                      <w:marLeft w:val="0"/>
                      <w:marRight w:val="0"/>
                      <w:marTop w:val="0"/>
                      <w:marBottom w:val="0"/>
                      <w:divBdr>
                        <w:top w:val="none" w:sz="0" w:space="0" w:color="auto"/>
                        <w:left w:val="none" w:sz="0" w:space="0" w:color="auto"/>
                        <w:bottom w:val="none" w:sz="0" w:space="0" w:color="auto"/>
                        <w:right w:val="none" w:sz="0" w:space="0" w:color="auto"/>
                      </w:divBdr>
                      <w:divsChild>
                        <w:div w:id="134300573">
                          <w:marLeft w:val="0"/>
                          <w:marRight w:val="0"/>
                          <w:marTop w:val="0"/>
                          <w:marBottom w:val="0"/>
                          <w:divBdr>
                            <w:top w:val="none" w:sz="0" w:space="0" w:color="auto"/>
                            <w:left w:val="none" w:sz="0" w:space="0" w:color="auto"/>
                            <w:bottom w:val="none" w:sz="0" w:space="0" w:color="auto"/>
                            <w:right w:val="none" w:sz="0" w:space="0" w:color="auto"/>
                          </w:divBdr>
                          <w:divsChild>
                            <w:div w:id="1588492754">
                              <w:marLeft w:val="0"/>
                              <w:marRight w:val="0"/>
                              <w:marTop w:val="0"/>
                              <w:marBottom w:val="0"/>
                              <w:divBdr>
                                <w:top w:val="none" w:sz="0" w:space="0" w:color="auto"/>
                                <w:left w:val="none" w:sz="0" w:space="0" w:color="auto"/>
                                <w:bottom w:val="none" w:sz="0" w:space="0" w:color="auto"/>
                                <w:right w:val="none" w:sz="0" w:space="0" w:color="auto"/>
                              </w:divBdr>
                              <w:divsChild>
                                <w:div w:id="1167162836">
                                  <w:marLeft w:val="0"/>
                                  <w:marRight w:val="0"/>
                                  <w:marTop w:val="0"/>
                                  <w:marBottom w:val="0"/>
                                  <w:divBdr>
                                    <w:top w:val="none" w:sz="0" w:space="0" w:color="auto"/>
                                    <w:left w:val="none" w:sz="0" w:space="0" w:color="auto"/>
                                    <w:bottom w:val="none" w:sz="0" w:space="0" w:color="auto"/>
                                    <w:right w:val="none" w:sz="0" w:space="0" w:color="auto"/>
                                  </w:divBdr>
                                  <w:divsChild>
                                    <w:div w:id="1228296653">
                                      <w:marLeft w:val="0"/>
                                      <w:marRight w:val="0"/>
                                      <w:marTop w:val="0"/>
                                      <w:marBottom w:val="0"/>
                                      <w:divBdr>
                                        <w:top w:val="none" w:sz="0" w:space="0" w:color="auto"/>
                                        <w:left w:val="none" w:sz="0" w:space="0" w:color="auto"/>
                                        <w:bottom w:val="none" w:sz="0" w:space="0" w:color="auto"/>
                                        <w:right w:val="none" w:sz="0" w:space="0" w:color="auto"/>
                                      </w:divBdr>
                                      <w:divsChild>
                                        <w:div w:id="529610324">
                                          <w:marLeft w:val="0"/>
                                          <w:marRight w:val="0"/>
                                          <w:marTop w:val="0"/>
                                          <w:marBottom w:val="495"/>
                                          <w:divBdr>
                                            <w:top w:val="none" w:sz="0" w:space="0" w:color="auto"/>
                                            <w:left w:val="none" w:sz="0" w:space="0" w:color="auto"/>
                                            <w:bottom w:val="none" w:sz="0" w:space="0" w:color="auto"/>
                                            <w:right w:val="none" w:sz="0" w:space="0" w:color="auto"/>
                                          </w:divBdr>
                                          <w:divsChild>
                                            <w:div w:id="4832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851785">
      <w:bodyDiv w:val="1"/>
      <w:marLeft w:val="0"/>
      <w:marRight w:val="0"/>
      <w:marTop w:val="0"/>
      <w:marBottom w:val="0"/>
      <w:divBdr>
        <w:top w:val="none" w:sz="0" w:space="0" w:color="auto"/>
        <w:left w:val="none" w:sz="0" w:space="0" w:color="auto"/>
        <w:bottom w:val="none" w:sz="0" w:space="0" w:color="auto"/>
        <w:right w:val="none" w:sz="0" w:space="0" w:color="auto"/>
      </w:divBdr>
    </w:div>
    <w:div w:id="1495413770">
      <w:bodyDiv w:val="1"/>
      <w:marLeft w:val="0"/>
      <w:marRight w:val="0"/>
      <w:marTop w:val="0"/>
      <w:marBottom w:val="0"/>
      <w:divBdr>
        <w:top w:val="none" w:sz="0" w:space="0" w:color="auto"/>
        <w:left w:val="none" w:sz="0" w:space="0" w:color="auto"/>
        <w:bottom w:val="none" w:sz="0" w:space="0" w:color="auto"/>
        <w:right w:val="none" w:sz="0" w:space="0" w:color="auto"/>
      </w:divBdr>
      <w:divsChild>
        <w:div w:id="18747098">
          <w:marLeft w:val="0"/>
          <w:marRight w:val="0"/>
          <w:marTop w:val="0"/>
          <w:marBottom w:val="0"/>
          <w:divBdr>
            <w:top w:val="none" w:sz="0" w:space="0" w:color="auto"/>
            <w:left w:val="none" w:sz="0" w:space="0" w:color="auto"/>
            <w:bottom w:val="none" w:sz="0" w:space="0" w:color="auto"/>
            <w:right w:val="none" w:sz="0" w:space="0" w:color="auto"/>
          </w:divBdr>
          <w:divsChild>
            <w:div w:id="840042453">
              <w:marLeft w:val="0"/>
              <w:marRight w:val="0"/>
              <w:marTop w:val="0"/>
              <w:marBottom w:val="0"/>
              <w:divBdr>
                <w:top w:val="none" w:sz="0" w:space="0" w:color="auto"/>
                <w:left w:val="none" w:sz="0" w:space="0" w:color="auto"/>
                <w:bottom w:val="none" w:sz="0" w:space="0" w:color="auto"/>
                <w:right w:val="none" w:sz="0" w:space="0" w:color="auto"/>
              </w:divBdr>
              <w:divsChild>
                <w:div w:id="1003750128">
                  <w:marLeft w:val="0"/>
                  <w:marRight w:val="0"/>
                  <w:marTop w:val="0"/>
                  <w:marBottom w:val="0"/>
                  <w:divBdr>
                    <w:top w:val="none" w:sz="0" w:space="0" w:color="auto"/>
                    <w:left w:val="none" w:sz="0" w:space="0" w:color="auto"/>
                    <w:bottom w:val="none" w:sz="0" w:space="0" w:color="auto"/>
                    <w:right w:val="none" w:sz="0" w:space="0" w:color="auto"/>
                  </w:divBdr>
                  <w:divsChild>
                    <w:div w:id="417217121">
                      <w:marLeft w:val="0"/>
                      <w:marRight w:val="0"/>
                      <w:marTop w:val="0"/>
                      <w:marBottom w:val="0"/>
                      <w:divBdr>
                        <w:top w:val="none" w:sz="0" w:space="0" w:color="auto"/>
                        <w:left w:val="none" w:sz="0" w:space="0" w:color="auto"/>
                        <w:bottom w:val="none" w:sz="0" w:space="0" w:color="auto"/>
                        <w:right w:val="none" w:sz="0" w:space="0" w:color="auto"/>
                      </w:divBdr>
                      <w:divsChild>
                        <w:div w:id="1003170189">
                          <w:marLeft w:val="0"/>
                          <w:marRight w:val="0"/>
                          <w:marTop w:val="0"/>
                          <w:marBottom w:val="0"/>
                          <w:divBdr>
                            <w:top w:val="none" w:sz="0" w:space="0" w:color="auto"/>
                            <w:left w:val="none" w:sz="0" w:space="0" w:color="auto"/>
                            <w:bottom w:val="none" w:sz="0" w:space="0" w:color="auto"/>
                            <w:right w:val="none" w:sz="0" w:space="0" w:color="auto"/>
                          </w:divBdr>
                          <w:divsChild>
                            <w:div w:id="481049455">
                              <w:marLeft w:val="0"/>
                              <w:marRight w:val="0"/>
                              <w:marTop w:val="0"/>
                              <w:marBottom w:val="0"/>
                              <w:divBdr>
                                <w:top w:val="none" w:sz="0" w:space="0" w:color="auto"/>
                                <w:left w:val="none" w:sz="0" w:space="0" w:color="auto"/>
                                <w:bottom w:val="none" w:sz="0" w:space="0" w:color="auto"/>
                                <w:right w:val="none" w:sz="0" w:space="0" w:color="auto"/>
                              </w:divBdr>
                              <w:divsChild>
                                <w:div w:id="258681693">
                                  <w:marLeft w:val="0"/>
                                  <w:marRight w:val="0"/>
                                  <w:marTop w:val="0"/>
                                  <w:marBottom w:val="0"/>
                                  <w:divBdr>
                                    <w:top w:val="none" w:sz="0" w:space="0" w:color="auto"/>
                                    <w:left w:val="none" w:sz="0" w:space="0" w:color="auto"/>
                                    <w:bottom w:val="none" w:sz="0" w:space="0" w:color="auto"/>
                                    <w:right w:val="none" w:sz="0" w:space="0" w:color="auto"/>
                                  </w:divBdr>
                                  <w:divsChild>
                                    <w:div w:id="2130776552">
                                      <w:marLeft w:val="0"/>
                                      <w:marRight w:val="0"/>
                                      <w:marTop w:val="0"/>
                                      <w:marBottom w:val="0"/>
                                      <w:divBdr>
                                        <w:top w:val="none" w:sz="0" w:space="0" w:color="auto"/>
                                        <w:left w:val="none" w:sz="0" w:space="0" w:color="auto"/>
                                        <w:bottom w:val="none" w:sz="0" w:space="0" w:color="auto"/>
                                        <w:right w:val="none" w:sz="0" w:space="0" w:color="auto"/>
                                      </w:divBdr>
                                      <w:divsChild>
                                        <w:div w:id="127823746">
                                          <w:marLeft w:val="0"/>
                                          <w:marRight w:val="0"/>
                                          <w:marTop w:val="0"/>
                                          <w:marBottom w:val="495"/>
                                          <w:divBdr>
                                            <w:top w:val="none" w:sz="0" w:space="0" w:color="auto"/>
                                            <w:left w:val="none" w:sz="0" w:space="0" w:color="auto"/>
                                            <w:bottom w:val="none" w:sz="0" w:space="0" w:color="auto"/>
                                            <w:right w:val="none" w:sz="0" w:space="0" w:color="auto"/>
                                          </w:divBdr>
                                          <w:divsChild>
                                            <w:div w:id="2680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500907">
      <w:bodyDiv w:val="1"/>
      <w:marLeft w:val="0"/>
      <w:marRight w:val="0"/>
      <w:marTop w:val="0"/>
      <w:marBottom w:val="0"/>
      <w:divBdr>
        <w:top w:val="none" w:sz="0" w:space="0" w:color="auto"/>
        <w:left w:val="none" w:sz="0" w:space="0" w:color="auto"/>
        <w:bottom w:val="none" w:sz="0" w:space="0" w:color="auto"/>
        <w:right w:val="none" w:sz="0" w:space="0" w:color="auto"/>
      </w:divBdr>
      <w:divsChild>
        <w:div w:id="396973368">
          <w:marLeft w:val="0"/>
          <w:marRight w:val="0"/>
          <w:marTop w:val="0"/>
          <w:marBottom w:val="0"/>
          <w:divBdr>
            <w:top w:val="none" w:sz="0" w:space="0" w:color="auto"/>
            <w:left w:val="none" w:sz="0" w:space="0" w:color="auto"/>
            <w:bottom w:val="none" w:sz="0" w:space="0" w:color="auto"/>
            <w:right w:val="none" w:sz="0" w:space="0" w:color="auto"/>
          </w:divBdr>
          <w:divsChild>
            <w:div w:id="1826628354">
              <w:marLeft w:val="0"/>
              <w:marRight w:val="0"/>
              <w:marTop w:val="0"/>
              <w:marBottom w:val="0"/>
              <w:divBdr>
                <w:top w:val="none" w:sz="0" w:space="0" w:color="auto"/>
                <w:left w:val="none" w:sz="0" w:space="0" w:color="auto"/>
                <w:bottom w:val="none" w:sz="0" w:space="0" w:color="auto"/>
                <w:right w:val="none" w:sz="0" w:space="0" w:color="auto"/>
              </w:divBdr>
              <w:divsChild>
                <w:div w:id="333264956">
                  <w:marLeft w:val="0"/>
                  <w:marRight w:val="0"/>
                  <w:marTop w:val="0"/>
                  <w:marBottom w:val="0"/>
                  <w:divBdr>
                    <w:top w:val="none" w:sz="0" w:space="0" w:color="auto"/>
                    <w:left w:val="none" w:sz="0" w:space="0" w:color="auto"/>
                    <w:bottom w:val="none" w:sz="0" w:space="0" w:color="auto"/>
                    <w:right w:val="none" w:sz="0" w:space="0" w:color="auto"/>
                  </w:divBdr>
                  <w:divsChild>
                    <w:div w:id="122425436">
                      <w:marLeft w:val="0"/>
                      <w:marRight w:val="0"/>
                      <w:marTop w:val="0"/>
                      <w:marBottom w:val="0"/>
                      <w:divBdr>
                        <w:top w:val="none" w:sz="0" w:space="0" w:color="auto"/>
                        <w:left w:val="none" w:sz="0" w:space="0" w:color="auto"/>
                        <w:bottom w:val="none" w:sz="0" w:space="0" w:color="auto"/>
                        <w:right w:val="none" w:sz="0" w:space="0" w:color="auto"/>
                      </w:divBdr>
                      <w:divsChild>
                        <w:div w:id="1351368478">
                          <w:marLeft w:val="0"/>
                          <w:marRight w:val="0"/>
                          <w:marTop w:val="0"/>
                          <w:marBottom w:val="0"/>
                          <w:divBdr>
                            <w:top w:val="none" w:sz="0" w:space="0" w:color="auto"/>
                            <w:left w:val="none" w:sz="0" w:space="0" w:color="auto"/>
                            <w:bottom w:val="none" w:sz="0" w:space="0" w:color="auto"/>
                            <w:right w:val="none" w:sz="0" w:space="0" w:color="auto"/>
                          </w:divBdr>
                          <w:divsChild>
                            <w:div w:id="1067075618">
                              <w:marLeft w:val="0"/>
                              <w:marRight w:val="0"/>
                              <w:marTop w:val="0"/>
                              <w:marBottom w:val="0"/>
                              <w:divBdr>
                                <w:top w:val="none" w:sz="0" w:space="0" w:color="auto"/>
                                <w:left w:val="none" w:sz="0" w:space="0" w:color="auto"/>
                                <w:bottom w:val="none" w:sz="0" w:space="0" w:color="auto"/>
                                <w:right w:val="none" w:sz="0" w:space="0" w:color="auto"/>
                              </w:divBdr>
                              <w:divsChild>
                                <w:div w:id="771752862">
                                  <w:marLeft w:val="0"/>
                                  <w:marRight w:val="0"/>
                                  <w:marTop w:val="0"/>
                                  <w:marBottom w:val="0"/>
                                  <w:divBdr>
                                    <w:top w:val="none" w:sz="0" w:space="0" w:color="auto"/>
                                    <w:left w:val="none" w:sz="0" w:space="0" w:color="auto"/>
                                    <w:bottom w:val="none" w:sz="0" w:space="0" w:color="auto"/>
                                    <w:right w:val="none" w:sz="0" w:space="0" w:color="auto"/>
                                  </w:divBdr>
                                  <w:divsChild>
                                    <w:div w:id="904488191">
                                      <w:marLeft w:val="0"/>
                                      <w:marRight w:val="0"/>
                                      <w:marTop w:val="0"/>
                                      <w:marBottom w:val="0"/>
                                      <w:divBdr>
                                        <w:top w:val="none" w:sz="0" w:space="0" w:color="auto"/>
                                        <w:left w:val="none" w:sz="0" w:space="0" w:color="auto"/>
                                        <w:bottom w:val="none" w:sz="0" w:space="0" w:color="auto"/>
                                        <w:right w:val="none" w:sz="0" w:space="0" w:color="auto"/>
                                      </w:divBdr>
                                      <w:divsChild>
                                        <w:div w:id="1317682739">
                                          <w:marLeft w:val="0"/>
                                          <w:marRight w:val="0"/>
                                          <w:marTop w:val="0"/>
                                          <w:marBottom w:val="495"/>
                                          <w:divBdr>
                                            <w:top w:val="none" w:sz="0" w:space="0" w:color="auto"/>
                                            <w:left w:val="none" w:sz="0" w:space="0" w:color="auto"/>
                                            <w:bottom w:val="none" w:sz="0" w:space="0" w:color="auto"/>
                                            <w:right w:val="none" w:sz="0" w:space="0" w:color="auto"/>
                                          </w:divBdr>
                                          <w:divsChild>
                                            <w:div w:id="8867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204935">
      <w:bodyDiv w:val="1"/>
      <w:marLeft w:val="0"/>
      <w:marRight w:val="0"/>
      <w:marTop w:val="0"/>
      <w:marBottom w:val="0"/>
      <w:divBdr>
        <w:top w:val="none" w:sz="0" w:space="0" w:color="auto"/>
        <w:left w:val="none" w:sz="0" w:space="0" w:color="auto"/>
        <w:bottom w:val="none" w:sz="0" w:space="0" w:color="auto"/>
        <w:right w:val="none" w:sz="0" w:space="0" w:color="auto"/>
      </w:divBdr>
    </w:div>
    <w:div w:id="2098791174">
      <w:bodyDiv w:val="1"/>
      <w:marLeft w:val="0"/>
      <w:marRight w:val="0"/>
      <w:marTop w:val="0"/>
      <w:marBottom w:val="0"/>
      <w:divBdr>
        <w:top w:val="none" w:sz="0" w:space="0" w:color="auto"/>
        <w:left w:val="none" w:sz="0" w:space="0" w:color="auto"/>
        <w:bottom w:val="none" w:sz="0" w:space="0" w:color="auto"/>
        <w:right w:val="none" w:sz="0" w:space="0" w:color="auto"/>
      </w:divBdr>
      <w:divsChild>
        <w:div w:id="1301962708">
          <w:marLeft w:val="0"/>
          <w:marRight w:val="0"/>
          <w:marTop w:val="0"/>
          <w:marBottom w:val="0"/>
          <w:divBdr>
            <w:top w:val="none" w:sz="0" w:space="0" w:color="auto"/>
            <w:left w:val="none" w:sz="0" w:space="0" w:color="auto"/>
            <w:bottom w:val="none" w:sz="0" w:space="0" w:color="auto"/>
            <w:right w:val="none" w:sz="0" w:space="0" w:color="auto"/>
          </w:divBdr>
          <w:divsChild>
            <w:div w:id="782652827">
              <w:marLeft w:val="0"/>
              <w:marRight w:val="0"/>
              <w:marTop w:val="0"/>
              <w:marBottom w:val="0"/>
              <w:divBdr>
                <w:top w:val="none" w:sz="0" w:space="0" w:color="auto"/>
                <w:left w:val="none" w:sz="0" w:space="0" w:color="auto"/>
                <w:bottom w:val="none" w:sz="0" w:space="0" w:color="auto"/>
                <w:right w:val="none" w:sz="0" w:space="0" w:color="auto"/>
              </w:divBdr>
              <w:divsChild>
                <w:div w:id="2044741114">
                  <w:marLeft w:val="0"/>
                  <w:marRight w:val="0"/>
                  <w:marTop w:val="0"/>
                  <w:marBottom w:val="0"/>
                  <w:divBdr>
                    <w:top w:val="none" w:sz="0" w:space="0" w:color="auto"/>
                    <w:left w:val="none" w:sz="0" w:space="0" w:color="auto"/>
                    <w:bottom w:val="none" w:sz="0" w:space="0" w:color="auto"/>
                    <w:right w:val="none" w:sz="0" w:space="0" w:color="auto"/>
                  </w:divBdr>
                  <w:divsChild>
                    <w:div w:id="259532536">
                      <w:marLeft w:val="0"/>
                      <w:marRight w:val="0"/>
                      <w:marTop w:val="0"/>
                      <w:marBottom w:val="0"/>
                      <w:divBdr>
                        <w:top w:val="none" w:sz="0" w:space="0" w:color="auto"/>
                        <w:left w:val="none" w:sz="0" w:space="0" w:color="auto"/>
                        <w:bottom w:val="none" w:sz="0" w:space="0" w:color="auto"/>
                        <w:right w:val="none" w:sz="0" w:space="0" w:color="auto"/>
                      </w:divBdr>
                      <w:divsChild>
                        <w:div w:id="1544714559">
                          <w:marLeft w:val="0"/>
                          <w:marRight w:val="0"/>
                          <w:marTop w:val="0"/>
                          <w:marBottom w:val="0"/>
                          <w:divBdr>
                            <w:top w:val="none" w:sz="0" w:space="0" w:color="auto"/>
                            <w:left w:val="none" w:sz="0" w:space="0" w:color="auto"/>
                            <w:bottom w:val="none" w:sz="0" w:space="0" w:color="auto"/>
                            <w:right w:val="none" w:sz="0" w:space="0" w:color="auto"/>
                          </w:divBdr>
                          <w:divsChild>
                            <w:div w:id="359475435">
                              <w:marLeft w:val="0"/>
                              <w:marRight w:val="0"/>
                              <w:marTop w:val="0"/>
                              <w:marBottom w:val="0"/>
                              <w:divBdr>
                                <w:top w:val="none" w:sz="0" w:space="0" w:color="auto"/>
                                <w:left w:val="none" w:sz="0" w:space="0" w:color="auto"/>
                                <w:bottom w:val="none" w:sz="0" w:space="0" w:color="auto"/>
                                <w:right w:val="none" w:sz="0" w:space="0" w:color="auto"/>
                              </w:divBdr>
                              <w:divsChild>
                                <w:div w:id="1347050843">
                                  <w:marLeft w:val="0"/>
                                  <w:marRight w:val="0"/>
                                  <w:marTop w:val="0"/>
                                  <w:marBottom w:val="0"/>
                                  <w:divBdr>
                                    <w:top w:val="none" w:sz="0" w:space="0" w:color="auto"/>
                                    <w:left w:val="none" w:sz="0" w:space="0" w:color="auto"/>
                                    <w:bottom w:val="none" w:sz="0" w:space="0" w:color="auto"/>
                                    <w:right w:val="none" w:sz="0" w:space="0" w:color="auto"/>
                                  </w:divBdr>
                                  <w:divsChild>
                                    <w:div w:id="1540433267">
                                      <w:marLeft w:val="0"/>
                                      <w:marRight w:val="0"/>
                                      <w:marTop w:val="0"/>
                                      <w:marBottom w:val="0"/>
                                      <w:divBdr>
                                        <w:top w:val="none" w:sz="0" w:space="0" w:color="auto"/>
                                        <w:left w:val="none" w:sz="0" w:space="0" w:color="auto"/>
                                        <w:bottom w:val="none" w:sz="0" w:space="0" w:color="auto"/>
                                        <w:right w:val="none" w:sz="0" w:space="0" w:color="auto"/>
                                      </w:divBdr>
                                      <w:divsChild>
                                        <w:div w:id="800533473">
                                          <w:marLeft w:val="0"/>
                                          <w:marRight w:val="0"/>
                                          <w:marTop w:val="0"/>
                                          <w:marBottom w:val="495"/>
                                          <w:divBdr>
                                            <w:top w:val="none" w:sz="0" w:space="0" w:color="auto"/>
                                            <w:left w:val="none" w:sz="0" w:space="0" w:color="auto"/>
                                            <w:bottom w:val="none" w:sz="0" w:space="0" w:color="auto"/>
                                            <w:right w:val="none" w:sz="0" w:space="0" w:color="auto"/>
                                          </w:divBdr>
                                          <w:divsChild>
                                            <w:div w:id="729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Blauberga@fm.gov.lv" TargetMode="External"/><Relationship Id="rId13" Type="http://schemas.openxmlformats.org/officeDocument/2006/relationships/hyperlink" Target="mailt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Klinta.Krauze@f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7280-0DAF-4259-856D-B906A3FA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35691</Words>
  <Characters>20345</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Iveta Stafecka</cp:lastModifiedBy>
  <cp:revision>47</cp:revision>
  <dcterms:created xsi:type="dcterms:W3CDTF">2019-11-07T08:30:00Z</dcterms:created>
  <dcterms:modified xsi:type="dcterms:W3CDTF">2021-12-28T14:22:00Z</dcterms:modified>
</cp:coreProperties>
</file>