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AEC8" w14:textId="3B19FC6E" w:rsidR="00531F3B" w:rsidRPr="00531F3B" w:rsidRDefault="00B57D1B" w:rsidP="0053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FootnoteReference"/>
          <w:rFonts w:ascii="Times New Roman" w:eastAsia="Times New Roman" w:hAnsi="Times New Roman" w:cs="Times New Roman"/>
          <w:b/>
          <w:sz w:val="28"/>
          <w:szCs w:val="28"/>
        </w:rPr>
        <w:footnoteReference w:customMarkFollows="1" w:id="1"/>
        <w:t/>
      </w:r>
      <w:r w:rsidR="00531F3B" w:rsidRPr="00531F3B">
        <w:rPr>
          <w:rFonts w:ascii="Times New Roman" w:eastAsia="Times New Roman" w:hAnsi="Times New Roman" w:cs="Times New Roman"/>
          <w:b/>
          <w:sz w:val="28"/>
          <w:szCs w:val="28"/>
        </w:rPr>
        <w:t>Informatīvais ziņojums</w:t>
      </w:r>
    </w:p>
    <w:p w14:paraId="08FE24AC" w14:textId="77777777" w:rsidR="00531F3B" w:rsidRDefault="00531F3B" w:rsidP="00531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176B7">
        <w:rPr>
          <w:rFonts w:ascii="Times New Roman" w:hAnsi="Times New Roman" w:cs="Times New Roman"/>
          <w:sz w:val="28"/>
          <w:szCs w:val="28"/>
        </w:rPr>
        <w:t>P</w:t>
      </w:r>
      <w:r w:rsidRPr="00531F3B">
        <w:rPr>
          <w:rFonts w:ascii="Times New Roman" w:hAnsi="Times New Roman" w:cs="Times New Roman"/>
          <w:sz w:val="28"/>
          <w:szCs w:val="28"/>
        </w:rPr>
        <w:t>ar zaudējumiem piena nozarē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18D1912F" w14:textId="77777777" w:rsidR="006F427B" w:rsidRPr="00531F3B" w:rsidRDefault="006F427B" w:rsidP="00531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B827B" w14:textId="77777777" w:rsidR="00531F3B" w:rsidRDefault="00531F3B" w:rsidP="0053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531F3B">
        <w:rPr>
          <w:rFonts w:ascii="Times New Roman" w:eastAsia="Times New Roman" w:hAnsi="Times New Roman" w:cs="Times New Roman"/>
          <w:sz w:val="28"/>
          <w:szCs w:val="28"/>
        </w:rPr>
        <w:t>Infor</w:t>
      </w:r>
      <w:r>
        <w:rPr>
          <w:rFonts w:ascii="Times New Roman" w:eastAsia="Times New Roman" w:hAnsi="Times New Roman" w:cs="Times New Roman"/>
          <w:sz w:val="28"/>
          <w:szCs w:val="28"/>
        </w:rPr>
        <w:t>matīvais ziņojums ir sagatavots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pamatojoties uz </w:t>
      </w:r>
      <w:r w:rsidRPr="00531F3B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 2014.gada 2</w:t>
      </w:r>
      <w:r w:rsidR="00A57584">
        <w:rPr>
          <w:rFonts w:ascii="Times New Roman" w:eastAsia="Times New Roman" w:hAnsi="Times New Roman" w:cs="Times New Roman"/>
          <w:sz w:val="28"/>
          <w:szCs w:val="24"/>
          <w:lang w:eastAsia="lv-LV"/>
        </w:rPr>
        <w:t>6</w:t>
      </w:r>
      <w:r w:rsidRPr="00531F3B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.augusta </w:t>
      </w:r>
      <w:r w:rsidR="0082147B">
        <w:rPr>
          <w:rFonts w:ascii="Times New Roman" w:eastAsia="Times New Roman" w:hAnsi="Times New Roman" w:cs="Times New Roman"/>
          <w:sz w:val="28"/>
          <w:szCs w:val="24"/>
          <w:lang w:eastAsia="lv-LV"/>
        </w:rPr>
        <w:t>sēdes</w:t>
      </w:r>
      <w:r w:rsidR="0082147B" w:rsidRPr="00531F3B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531F3B">
        <w:rPr>
          <w:rFonts w:ascii="Times New Roman" w:eastAsia="Times New Roman" w:hAnsi="Times New Roman" w:cs="Times New Roman"/>
          <w:sz w:val="28"/>
          <w:szCs w:val="24"/>
          <w:lang w:eastAsia="lv-LV"/>
        </w:rPr>
        <w:t>protokol</w:t>
      </w:r>
      <w:r w:rsidR="0082147B">
        <w:rPr>
          <w:rFonts w:ascii="Times New Roman" w:eastAsia="Times New Roman" w:hAnsi="Times New Roman" w:cs="Times New Roman"/>
          <w:sz w:val="28"/>
          <w:szCs w:val="24"/>
          <w:lang w:eastAsia="lv-LV"/>
        </w:rPr>
        <w:t>lēmum</w:t>
      </w:r>
      <w:r w:rsidR="00563F42">
        <w:rPr>
          <w:rFonts w:ascii="Times New Roman" w:eastAsia="Times New Roman" w:hAnsi="Times New Roman" w:cs="Times New Roman"/>
          <w:sz w:val="28"/>
          <w:szCs w:val="24"/>
          <w:lang w:eastAsia="lv-LV"/>
        </w:rPr>
        <w:t>a</w:t>
      </w:r>
      <w:r w:rsidRPr="00531F3B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82147B">
        <w:rPr>
          <w:rFonts w:ascii="Times New Roman" w:eastAsia="Times New Roman" w:hAnsi="Times New Roman" w:cs="Times New Roman"/>
          <w:sz w:val="28"/>
          <w:szCs w:val="24"/>
          <w:lang w:eastAsia="lv-LV"/>
        </w:rPr>
        <w:t>(</w:t>
      </w:r>
      <w:r w:rsidRPr="00531F3B">
        <w:rPr>
          <w:rFonts w:ascii="Times New Roman" w:eastAsia="Times New Roman" w:hAnsi="Times New Roman" w:cs="Times New Roman"/>
          <w:sz w:val="28"/>
          <w:szCs w:val="24"/>
          <w:lang w:eastAsia="lv-LV"/>
        </w:rPr>
        <w:t>Nr.4</w:t>
      </w:r>
      <w:r w:rsidR="002A3FDF">
        <w:rPr>
          <w:rFonts w:ascii="Times New Roman" w:eastAsia="Times New Roman" w:hAnsi="Times New Roman" w:cs="Times New Roman"/>
          <w:sz w:val="28"/>
          <w:szCs w:val="24"/>
          <w:lang w:eastAsia="lv-LV"/>
        </w:rPr>
        <w:t>5</w:t>
      </w:r>
      <w:r w:rsidRPr="00531F3B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5</w:t>
      </w:r>
      <w:r w:rsidR="002A3FDF">
        <w:rPr>
          <w:rFonts w:ascii="Times New Roman" w:eastAsia="Times New Roman" w:hAnsi="Times New Roman" w:cs="Times New Roman"/>
          <w:sz w:val="28"/>
          <w:szCs w:val="24"/>
          <w:lang w:eastAsia="lv-LV"/>
        </w:rPr>
        <w:t>5</w:t>
      </w:r>
      <w:r w:rsidRPr="00531F3B">
        <w:rPr>
          <w:rFonts w:ascii="Times New Roman" w:eastAsia="Times New Roman" w:hAnsi="Times New Roman" w:cs="Times New Roman"/>
          <w:sz w:val="28"/>
          <w:szCs w:val="24"/>
          <w:lang w:eastAsia="lv-LV"/>
        </w:rPr>
        <w:t>.§</w:t>
      </w:r>
      <w:r w:rsidR="0082147B">
        <w:rPr>
          <w:rFonts w:ascii="Times New Roman" w:eastAsia="Times New Roman" w:hAnsi="Times New Roman" w:cs="Times New Roman"/>
          <w:sz w:val="28"/>
          <w:szCs w:val="24"/>
          <w:lang w:eastAsia="lv-LV"/>
        </w:rPr>
        <w:t>)</w:t>
      </w:r>
      <w:r w:rsidRPr="00531F3B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82147B">
        <w:rPr>
          <w:rFonts w:ascii="Times New Roman" w:eastAsia="Times New Roman" w:hAnsi="Times New Roman" w:cs="Times New Roman"/>
          <w:sz w:val="28"/>
          <w:szCs w:val="24"/>
          <w:lang w:eastAsia="lv-LV"/>
        </w:rPr>
        <w:t>“</w:t>
      </w:r>
      <w:r w:rsidR="0082147B" w:rsidRPr="0082147B">
        <w:rPr>
          <w:rFonts w:ascii="Times New Roman" w:eastAsia="Times New Roman" w:hAnsi="Times New Roman" w:cs="Times New Roman"/>
          <w:sz w:val="28"/>
          <w:szCs w:val="24"/>
          <w:lang w:eastAsia="lv-LV"/>
        </w:rPr>
        <w:t>Informatīvais ziņojum</w:t>
      </w:r>
      <w:r w:rsidR="0082147B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s "Par zaudējumiem piena nozarē”” </w:t>
      </w:r>
      <w:r w:rsidRPr="00531F3B">
        <w:rPr>
          <w:rFonts w:ascii="Times New Roman" w:eastAsia="Times New Roman" w:hAnsi="Times New Roman" w:cs="Times New Roman"/>
          <w:sz w:val="28"/>
          <w:szCs w:val="24"/>
          <w:lang w:eastAsia="lv-LV"/>
        </w:rPr>
        <w:t>2.punkt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u, k</w:t>
      </w:r>
      <w:r w:rsidR="0082147B">
        <w:rPr>
          <w:rFonts w:ascii="Times New Roman" w:eastAsia="Times New Roman" w:hAnsi="Times New Roman" w:cs="Times New Roman"/>
          <w:sz w:val="28"/>
          <w:szCs w:val="24"/>
          <w:lang w:eastAsia="lv-LV"/>
        </w:rPr>
        <w:t>as paredz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2A3FDF" w:rsidRPr="007E10B9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Zemkopības ministrijai </w:t>
      </w:r>
      <w:r w:rsidR="0082147B">
        <w:rPr>
          <w:rFonts w:ascii="Times New Roman" w:eastAsia="Times New Roman" w:hAnsi="Times New Roman" w:cs="Times New Roman"/>
          <w:sz w:val="28"/>
          <w:szCs w:val="20"/>
          <w:lang w:eastAsia="lv-LV"/>
        </w:rPr>
        <w:t>uzdevumu</w:t>
      </w:r>
      <w:r w:rsidR="00563F42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–</w:t>
      </w:r>
      <w:r w:rsidR="0082147B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2A3FDF" w:rsidRPr="007E10B9">
        <w:rPr>
          <w:rFonts w:ascii="Times New Roman" w:eastAsia="Times New Roman" w:hAnsi="Times New Roman" w:cs="Times New Roman"/>
          <w:sz w:val="28"/>
          <w:szCs w:val="20"/>
          <w:lang w:eastAsia="lv-LV"/>
        </w:rPr>
        <w:t>sagatavot informatīvo ziņojumu par situāciju piena nozarē un iesniegt to izskatīšanai Ministru kabineta 2014.gada 28.oktobra sēdē, lai lemtu par papildu finansējuma piešķiršanu piena nozarei.</w:t>
      </w:r>
      <w:r w:rsidR="002A3FDF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</w:p>
    <w:p w14:paraId="46896A52" w14:textId="77777777" w:rsidR="006F427B" w:rsidRPr="00531F3B" w:rsidRDefault="006F427B" w:rsidP="0053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0AA20" w14:textId="77777777" w:rsidR="00640331" w:rsidRDefault="005E0AD4" w:rsidP="0053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Zemkopības ministrija informē, ka p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ēc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Lauksaimniecības datu centra</w:t>
      </w:r>
      <w:r w:rsidR="00756D37">
        <w:rPr>
          <w:rFonts w:ascii="Times New Roman" w:eastAsia="Times New Roman" w:hAnsi="Times New Roman" w:cs="Times New Roman"/>
          <w:sz w:val="28"/>
          <w:szCs w:val="28"/>
        </w:rPr>
        <w:t xml:space="preserve"> (turpmāk – LDC)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sniegt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informācijas, </w:t>
      </w:r>
      <w:r w:rsidR="001024CA">
        <w:rPr>
          <w:rFonts w:ascii="Times New Roman" w:eastAsia="Times New Roman" w:hAnsi="Times New Roman" w:cs="Times New Roman"/>
          <w:sz w:val="28"/>
          <w:szCs w:val="28"/>
        </w:rPr>
        <w:t xml:space="preserve">pirms Krievijas Federācijas ekonomisko </w:t>
      </w:r>
      <w:r w:rsidR="00556A49">
        <w:rPr>
          <w:rFonts w:ascii="Times New Roman" w:eastAsia="Times New Roman" w:hAnsi="Times New Roman" w:cs="Times New Roman"/>
          <w:sz w:val="28"/>
          <w:szCs w:val="28"/>
        </w:rPr>
        <w:t xml:space="preserve">sankciju ieviešanas,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piena iepirkuma cena jūnijā bija 295,89 </w:t>
      </w:r>
      <w:r w:rsidR="00531F3B" w:rsidRPr="00531F3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>t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>onnu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un jūlijā 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293,16 </w:t>
      </w:r>
      <w:r w:rsidR="00D60B21" w:rsidRPr="00D60B21">
        <w:rPr>
          <w:rFonts w:ascii="Times New Roman" w:eastAsia="Times New Roman" w:hAnsi="Times New Roman" w:cs="Times New Roman"/>
          <w:i/>
          <w:sz w:val="28"/>
          <w:szCs w:val="28"/>
        </w:rPr>
        <w:t xml:space="preserve">euro </w:t>
      </w:r>
      <w:r w:rsidR="00D60B21" w:rsidRPr="00D072ED">
        <w:rPr>
          <w:rFonts w:ascii="Times New Roman" w:eastAsia="Times New Roman" w:hAnsi="Times New Roman" w:cs="Times New Roman"/>
          <w:sz w:val="28"/>
          <w:szCs w:val="28"/>
        </w:rPr>
        <w:t>par tonnu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Pēc piena pircēju iesniegtās un 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>LDC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apkopotās </w:t>
      </w:r>
      <w:r w:rsidR="00556A49">
        <w:rPr>
          <w:rFonts w:ascii="Times New Roman" w:eastAsia="Times New Roman" w:hAnsi="Times New Roman" w:cs="Times New Roman"/>
          <w:sz w:val="28"/>
          <w:szCs w:val="28"/>
        </w:rPr>
        <w:t xml:space="preserve">operatīvās aptaujas </w:t>
      </w:r>
      <w:r>
        <w:rPr>
          <w:rFonts w:ascii="Times New Roman" w:eastAsia="Times New Roman" w:hAnsi="Times New Roman" w:cs="Times New Roman"/>
          <w:sz w:val="28"/>
          <w:szCs w:val="28"/>
        </w:rPr>
        <w:t>informācijas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vidējā iepirkuma cena </w:t>
      </w:r>
      <w:r w:rsidR="00556A49">
        <w:rPr>
          <w:rFonts w:ascii="Times New Roman" w:eastAsia="Times New Roman" w:hAnsi="Times New Roman" w:cs="Times New Roman"/>
          <w:sz w:val="28"/>
          <w:szCs w:val="28"/>
        </w:rPr>
        <w:t>oktobra pirmajā pusē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ir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nokritusi līdz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220,00 </w:t>
      </w:r>
      <w:r w:rsidR="00D60B21" w:rsidRPr="00531F3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D60B21" w:rsidRPr="00531F3B">
        <w:rPr>
          <w:rFonts w:ascii="Times New Roman" w:eastAsia="Times New Roman" w:hAnsi="Times New Roman" w:cs="Times New Roman"/>
          <w:sz w:val="28"/>
          <w:szCs w:val="28"/>
        </w:rPr>
        <w:t>t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>onnu (1.tabula)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4B5B67" w14:textId="77777777" w:rsidR="00640331" w:rsidRDefault="00640331" w:rsidP="0053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E46B9" w14:textId="77777777" w:rsidR="00640331" w:rsidRDefault="00556A49" w:rsidP="006403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Operatīvās aptaujas rezultāti</w:t>
      </w:r>
    </w:p>
    <w:p w14:paraId="50EC0BE9" w14:textId="77777777" w:rsidR="00640331" w:rsidRPr="00556A49" w:rsidRDefault="00640331" w:rsidP="006403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556A49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1.tabula</w:t>
      </w:r>
    </w:p>
    <w:tbl>
      <w:tblPr>
        <w:tblpPr w:leftFromText="180" w:rightFromText="180" w:vertAnchor="text" w:horzAnchor="page" w:tblpX="2143" w:tblpY="117"/>
        <w:tblW w:w="8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680"/>
        <w:gridCol w:w="2790"/>
      </w:tblGrid>
      <w:tr w:rsidR="00640331" w:rsidRPr="00556A49" w14:paraId="2E06FA00" w14:textId="77777777" w:rsidTr="00640331">
        <w:trPr>
          <w:trHeight w:val="83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C848" w14:textId="77777777" w:rsidR="00640331" w:rsidRPr="00556A49" w:rsidRDefault="00640331" w:rsidP="00640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3572" w14:textId="77777777" w:rsidR="00640331" w:rsidRPr="00556A49" w:rsidRDefault="00640331" w:rsidP="00640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Jūlija iepirkuma cena</w:t>
            </w:r>
            <w:r w:rsidR="00556A49" w:rsidRPr="0055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  <w:r w:rsidRPr="0055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bez PVN</w:t>
            </w:r>
            <w:r w:rsidR="00940EED" w:rsidRPr="0055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940EED" w:rsidRPr="00556A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0E3D" w14:textId="77777777" w:rsidR="00640331" w:rsidRPr="00556A49" w:rsidRDefault="00556A49" w:rsidP="00640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Oktobrī</w:t>
            </w:r>
            <w:r w:rsidR="00640331" w:rsidRPr="0055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plānotā iepirkuma cena</w:t>
            </w:r>
            <w:r w:rsidRPr="0055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  <w:r w:rsidR="00640331" w:rsidRPr="0055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bez PVN</w:t>
            </w:r>
            <w:r w:rsidR="00940EED" w:rsidRPr="00556A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940EED" w:rsidRPr="00556A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euro</w:t>
            </w:r>
          </w:p>
        </w:tc>
      </w:tr>
      <w:tr w:rsidR="00640331" w:rsidRPr="00556A49" w14:paraId="1123B5A9" w14:textId="77777777" w:rsidTr="00640331">
        <w:trPr>
          <w:trHeight w:val="25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1A28C" w14:textId="77777777" w:rsidR="00640331" w:rsidRPr="00556A49" w:rsidRDefault="00640331" w:rsidP="00640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Minimālā cena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5B8D1" w14:textId="77777777" w:rsidR="00640331" w:rsidRPr="00556A49" w:rsidRDefault="00640331" w:rsidP="00640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0,25100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FE93D" w14:textId="77777777" w:rsidR="00640331" w:rsidRPr="00556A49" w:rsidRDefault="00556A49" w:rsidP="00640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0,15</w:t>
            </w:r>
            <w:r w:rsidR="00640331" w:rsidRP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40331" w:rsidRPr="00556A49" w14:paraId="4772DCA7" w14:textId="77777777" w:rsidTr="00640331">
        <w:trPr>
          <w:trHeight w:val="25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CC879" w14:textId="77777777" w:rsidR="00640331" w:rsidRPr="00556A49" w:rsidRDefault="00640331" w:rsidP="00640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Maksimālā cena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386A5" w14:textId="77777777" w:rsidR="00640331" w:rsidRPr="00556A49" w:rsidRDefault="00640331" w:rsidP="00640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0,36200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16D18" w14:textId="77777777" w:rsidR="00640331" w:rsidRPr="00556A49" w:rsidRDefault="00640331" w:rsidP="00556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0,3</w:t>
            </w:r>
            <w:r w:rsid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40331" w:rsidRPr="00640331" w14:paraId="2AF8A274" w14:textId="77777777" w:rsidTr="00640331">
        <w:trPr>
          <w:trHeight w:val="25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7CF95" w14:textId="77777777" w:rsidR="00640331" w:rsidRPr="00556A49" w:rsidRDefault="00640331" w:rsidP="00640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Vidējā svērtā cena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34399" w14:textId="77777777" w:rsidR="00640331" w:rsidRPr="00556A49" w:rsidRDefault="00640331" w:rsidP="00640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0,29316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50E76" w14:textId="77777777" w:rsidR="00640331" w:rsidRPr="00556A49" w:rsidRDefault="00640331" w:rsidP="00640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0,22 </w:t>
            </w:r>
          </w:p>
        </w:tc>
      </w:tr>
    </w:tbl>
    <w:p w14:paraId="1F7D10F6" w14:textId="77777777" w:rsidR="00556A49" w:rsidRPr="00556A49" w:rsidRDefault="00556A49" w:rsidP="00556A4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556A49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*</w:t>
      </w:r>
      <w:r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 xml:space="preserve"> - pircēju piena iepirkuma vidējā svērtā cena </w:t>
      </w:r>
    </w:p>
    <w:p w14:paraId="1C007886" w14:textId="77777777" w:rsidR="00640331" w:rsidRPr="006C131E" w:rsidRDefault="00640331" w:rsidP="006403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6C131E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Avots: LDC</w:t>
      </w:r>
    </w:p>
    <w:p w14:paraId="591C6746" w14:textId="77777777" w:rsidR="006F427B" w:rsidRDefault="006F427B" w:rsidP="0053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2C3EB" w14:textId="77777777" w:rsidR="00531F3B" w:rsidRPr="00531F3B" w:rsidRDefault="00640331" w:rsidP="0053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iena iepirkuma cena </w:t>
      </w:r>
      <w:r>
        <w:rPr>
          <w:rFonts w:ascii="Times New Roman" w:eastAsia="Times New Roman" w:hAnsi="Times New Roman" w:cs="Times New Roman"/>
          <w:sz w:val="28"/>
          <w:szCs w:val="28"/>
        </w:rPr>
        <w:t>ir jau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noslīdē</w:t>
      </w:r>
      <w:r>
        <w:rPr>
          <w:rFonts w:ascii="Times New Roman" w:eastAsia="Times New Roman" w:hAnsi="Times New Roman" w:cs="Times New Roman"/>
          <w:sz w:val="28"/>
          <w:szCs w:val="28"/>
        </w:rPr>
        <w:t>jusi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zem piena ražošanas pašizmaksas, kas atbilstoši Latvijas Lauku konsultāciju un izglītības centra</w:t>
      </w:r>
      <w:r w:rsidR="00756D37">
        <w:rPr>
          <w:rFonts w:ascii="Times New Roman" w:eastAsia="Times New Roman" w:hAnsi="Times New Roman" w:cs="Times New Roman"/>
          <w:sz w:val="28"/>
          <w:szCs w:val="28"/>
        </w:rPr>
        <w:t xml:space="preserve"> (turpmāk – LLKC)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rīcībā esošajiem un apkopotajiem datiem vidēji Latvijā ir 0,2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531F3B" w:rsidRPr="00531F3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>k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>ilo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>g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>ramu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>. Jā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piebilst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>, ka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 xml:space="preserve"> aprēķinos izmantotajiem datiem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ir ļoti liela pašizmaksas amplitūda 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no 0,186 </w:t>
      </w:r>
      <w:r w:rsidR="00D60B21" w:rsidRPr="00531F3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D60B21" w:rsidRPr="00531F3B">
        <w:rPr>
          <w:rFonts w:ascii="Times New Roman" w:eastAsia="Times New Roman" w:hAnsi="Times New Roman" w:cs="Times New Roman"/>
          <w:sz w:val="28"/>
          <w:szCs w:val="28"/>
        </w:rPr>
        <w:t>k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>ilo</w:t>
      </w:r>
      <w:r w:rsidR="00D60B21" w:rsidRPr="00531F3B">
        <w:rPr>
          <w:rFonts w:ascii="Times New Roman" w:eastAsia="Times New Roman" w:hAnsi="Times New Roman" w:cs="Times New Roman"/>
          <w:sz w:val="28"/>
          <w:szCs w:val="28"/>
        </w:rPr>
        <w:t>g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>ramu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līdz 0,364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0B21" w:rsidRPr="00531F3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D60B21" w:rsidRPr="00531F3B">
        <w:rPr>
          <w:rFonts w:ascii="Times New Roman" w:eastAsia="Times New Roman" w:hAnsi="Times New Roman" w:cs="Times New Roman"/>
          <w:sz w:val="28"/>
          <w:szCs w:val="28"/>
        </w:rPr>
        <w:t>k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>ilo</w:t>
      </w:r>
      <w:r w:rsidR="00D60B21" w:rsidRPr="00531F3B">
        <w:rPr>
          <w:rFonts w:ascii="Times New Roman" w:eastAsia="Times New Roman" w:hAnsi="Times New Roman" w:cs="Times New Roman"/>
          <w:sz w:val="28"/>
          <w:szCs w:val="28"/>
        </w:rPr>
        <w:t>g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>ramu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>. Diemžēl zemākā pašizmaksa ir saimniecībās, kur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nav pamatlīdzekļu amortizācijas, 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tas nozīmē, ka mānīgi zemā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lastRenderedPageBreak/>
        <w:t>pašizmaks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a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ir uz īsu 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laiku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, jo pamatlīdzekļi ir nolietojušies un jebkurā brīdī 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 xml:space="preserve">var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>bū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t nepieciešamība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iegādā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>jaun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u</w:t>
      </w:r>
      <w:r w:rsidR="00D60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>tehnik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u</w:t>
      </w:r>
      <w:r w:rsidR="00531F3B" w:rsidRPr="00531F3B">
        <w:rPr>
          <w:rFonts w:ascii="Times New Roman" w:eastAsia="Times New Roman" w:hAnsi="Times New Roman" w:cs="Times New Roman"/>
          <w:sz w:val="28"/>
          <w:szCs w:val="28"/>
        </w:rPr>
        <w:t xml:space="preserve"> vai iekārtas.</w:t>
      </w:r>
    </w:p>
    <w:p w14:paraId="3212DFE5" w14:textId="77777777" w:rsidR="00531F3B" w:rsidRDefault="00531F3B" w:rsidP="0053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F3B">
        <w:rPr>
          <w:rFonts w:ascii="Times New Roman" w:eastAsia="Times New Roman" w:hAnsi="Times New Roman" w:cs="Times New Roman"/>
          <w:sz w:val="28"/>
          <w:szCs w:val="28"/>
        </w:rPr>
        <w:t>Latvijā pien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31F3B">
        <w:rPr>
          <w:rFonts w:ascii="Times New Roman" w:eastAsia="Times New Roman" w:hAnsi="Times New Roman" w:cs="Times New Roman"/>
          <w:sz w:val="28"/>
          <w:szCs w:val="28"/>
        </w:rPr>
        <w:t xml:space="preserve"> pārstrādei 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 xml:space="preserve">tiek </w:t>
      </w:r>
      <w:r w:rsidRPr="00531F3B">
        <w:rPr>
          <w:rFonts w:ascii="Times New Roman" w:eastAsia="Times New Roman" w:hAnsi="Times New Roman" w:cs="Times New Roman"/>
          <w:sz w:val="28"/>
          <w:szCs w:val="28"/>
        </w:rPr>
        <w:t>iep</w:t>
      </w:r>
      <w:r w:rsidR="00F176B7">
        <w:rPr>
          <w:rFonts w:ascii="Times New Roman" w:eastAsia="Times New Roman" w:hAnsi="Times New Roman" w:cs="Times New Roman"/>
          <w:sz w:val="28"/>
          <w:szCs w:val="28"/>
        </w:rPr>
        <w:t>irkts</w:t>
      </w:r>
      <w:r w:rsidRPr="00531F3B"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r w:rsidR="00B24289">
        <w:rPr>
          <w:rFonts w:ascii="Times New Roman" w:eastAsia="Times New Roman" w:hAnsi="Times New Roman" w:cs="Times New Roman"/>
          <w:sz w:val="28"/>
          <w:szCs w:val="28"/>
        </w:rPr>
        <w:t>9480</w:t>
      </w:r>
      <w:r w:rsidRPr="00531F3B">
        <w:rPr>
          <w:rFonts w:ascii="Times New Roman" w:eastAsia="Times New Roman" w:hAnsi="Times New Roman" w:cs="Times New Roman"/>
          <w:sz w:val="28"/>
          <w:szCs w:val="28"/>
        </w:rPr>
        <w:t xml:space="preserve"> zemniekiem, kam piešķirta piena piegādes kvota ar kopējo apjomu </w:t>
      </w:r>
      <w:r w:rsidR="00B24289">
        <w:rPr>
          <w:rFonts w:ascii="Times New Roman" w:eastAsia="Times New Roman" w:hAnsi="Times New Roman" w:cs="Times New Roman"/>
          <w:sz w:val="28"/>
          <w:szCs w:val="28"/>
        </w:rPr>
        <w:t>767 328 466</w:t>
      </w:r>
      <w:r w:rsidRPr="00531F3B">
        <w:rPr>
          <w:rFonts w:ascii="Times New Roman" w:eastAsia="Times New Roman" w:hAnsi="Times New Roman" w:cs="Times New Roman"/>
          <w:sz w:val="28"/>
          <w:szCs w:val="28"/>
        </w:rPr>
        <w:t xml:space="preserve"> kg. </w:t>
      </w:r>
    </w:p>
    <w:p w14:paraId="19241FA6" w14:textId="77777777" w:rsidR="00D60B21" w:rsidRPr="00531F3B" w:rsidRDefault="00D60B21" w:rsidP="0053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DED369" w14:textId="77777777" w:rsidR="00756D37" w:rsidRDefault="00756D37" w:rsidP="00756D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7">
        <w:rPr>
          <w:rFonts w:ascii="Times New Roman" w:hAnsi="Times New Roman" w:cs="Times New Roman"/>
          <w:b/>
          <w:sz w:val="28"/>
          <w:szCs w:val="28"/>
        </w:rPr>
        <w:t>Zaudējumu aprēķins</w:t>
      </w:r>
    </w:p>
    <w:p w14:paraId="14612E27" w14:textId="77777777" w:rsidR="006F427B" w:rsidRPr="00756D37" w:rsidRDefault="006F427B" w:rsidP="00756D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F343AD3" w14:textId="77777777" w:rsidR="00FF1240" w:rsidRPr="00640331" w:rsidRDefault="00FF1240" w:rsidP="00756D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0331">
        <w:rPr>
          <w:rFonts w:ascii="Times New Roman" w:hAnsi="Times New Roman" w:cs="Times New Roman"/>
          <w:sz w:val="28"/>
          <w:szCs w:val="28"/>
        </w:rPr>
        <w:t>Iespējamie zaudējumi piena ražotājiem, ja piena cena vidēji valstī samazinās zem pašizmaksas, tika rēķināti</w:t>
      </w:r>
      <w:r w:rsidR="00F176B7">
        <w:rPr>
          <w:rFonts w:ascii="Times New Roman" w:hAnsi="Times New Roman" w:cs="Times New Roman"/>
          <w:sz w:val="28"/>
          <w:szCs w:val="28"/>
        </w:rPr>
        <w:t>,</w:t>
      </w:r>
      <w:r w:rsidRPr="00640331">
        <w:rPr>
          <w:rFonts w:ascii="Times New Roman" w:hAnsi="Times New Roman" w:cs="Times New Roman"/>
          <w:sz w:val="28"/>
          <w:szCs w:val="28"/>
        </w:rPr>
        <w:t xml:space="preserve"> pieņemot, ka:</w:t>
      </w:r>
    </w:p>
    <w:p w14:paraId="41C19462" w14:textId="77777777" w:rsidR="00FF1240" w:rsidRPr="00640331" w:rsidRDefault="00FF1240" w:rsidP="00FF124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03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lv-LV"/>
        </w:rPr>
        <w:t>piena pašizmaksa</w:t>
      </w:r>
      <w:r w:rsidR="00F176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lv-LV"/>
        </w:rPr>
        <w:t>,</w:t>
      </w:r>
      <w:r w:rsidRPr="0064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 xml:space="preserve"> pēc LLKC</w:t>
      </w:r>
      <w:r w:rsidR="00F176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 xml:space="preserve"> datiem,</w:t>
      </w:r>
      <w:r w:rsidRPr="0064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 xml:space="preserve"> ir </w:t>
      </w:r>
      <w:r w:rsidR="00DE2332" w:rsidRPr="00640331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lv-LV"/>
        </w:rPr>
        <w:t>0,27</w:t>
      </w:r>
      <w:r w:rsidRPr="00640331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lv-LV"/>
        </w:rPr>
        <w:t xml:space="preserve"> </w:t>
      </w:r>
      <w:r w:rsidR="00756D37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lv-LV"/>
        </w:rPr>
        <w:t>euro</w:t>
      </w:r>
      <w:r w:rsidRPr="00640331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lv-LV"/>
        </w:rPr>
        <w:t>/kg</w:t>
      </w:r>
      <w:r w:rsidR="00F176B7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lv-LV"/>
        </w:rPr>
        <w:t>;</w:t>
      </w:r>
    </w:p>
    <w:p w14:paraId="3A664473" w14:textId="77777777" w:rsidR="00FF1240" w:rsidRPr="00640331" w:rsidRDefault="00FF1240" w:rsidP="00FF124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0331">
        <w:rPr>
          <w:rStyle w:val="TitleChar"/>
          <w:rFonts w:ascii="Times New Roman" w:eastAsia="Calibri" w:hAnsi="Times New Roman"/>
          <w:i/>
          <w:color w:val="auto"/>
          <w:sz w:val="28"/>
          <w:szCs w:val="28"/>
        </w:rPr>
        <w:t xml:space="preserve">piena </w:t>
      </w:r>
      <w:r w:rsidRPr="00640331">
        <w:rPr>
          <w:rStyle w:val="TitleChar"/>
          <w:rFonts w:ascii="Times New Roman" w:eastAsia="Calibri" w:hAnsi="Times New Roman"/>
          <w:b/>
          <w:i/>
          <w:color w:val="auto"/>
          <w:sz w:val="28"/>
          <w:szCs w:val="28"/>
        </w:rPr>
        <w:t>iepirkuma apjom</w:t>
      </w:r>
      <w:r w:rsidR="00F176B7">
        <w:rPr>
          <w:rStyle w:val="TitleChar"/>
          <w:rFonts w:ascii="Times New Roman" w:eastAsia="Calibri" w:hAnsi="Times New Roman"/>
          <w:b/>
          <w:i/>
          <w:color w:val="auto"/>
          <w:sz w:val="28"/>
          <w:szCs w:val="28"/>
        </w:rPr>
        <w:t>s</w:t>
      </w:r>
      <w:r w:rsidRPr="00640331">
        <w:rPr>
          <w:rStyle w:val="TitleChar"/>
          <w:rFonts w:ascii="Times New Roman" w:eastAsia="Calibri" w:hAnsi="Times New Roman"/>
          <w:i/>
          <w:color w:val="auto"/>
          <w:sz w:val="28"/>
          <w:szCs w:val="28"/>
        </w:rPr>
        <w:t xml:space="preserve"> turpinātu </w:t>
      </w:r>
      <w:r w:rsidRPr="00640331">
        <w:rPr>
          <w:rStyle w:val="TitleChar"/>
          <w:rFonts w:ascii="Times New Roman" w:eastAsia="Calibri" w:hAnsi="Times New Roman"/>
          <w:b/>
          <w:i/>
          <w:color w:val="auto"/>
          <w:sz w:val="28"/>
          <w:szCs w:val="28"/>
        </w:rPr>
        <w:t>palielināties</w:t>
      </w:r>
      <w:r w:rsidR="00F176B7">
        <w:rPr>
          <w:rStyle w:val="TitleChar"/>
          <w:rFonts w:ascii="Times New Roman" w:eastAsia="Calibri" w:hAnsi="Times New Roman"/>
          <w:i/>
          <w:color w:val="auto"/>
          <w:sz w:val="28"/>
          <w:szCs w:val="28"/>
        </w:rPr>
        <w:t xml:space="preserve"> atbilstoši</w:t>
      </w:r>
      <w:r w:rsidRPr="00640331">
        <w:rPr>
          <w:rStyle w:val="TitleChar"/>
          <w:rFonts w:ascii="Times New Roman" w:eastAsia="Calibri" w:hAnsi="Times New Roman"/>
          <w:i/>
          <w:color w:val="auto"/>
          <w:sz w:val="28"/>
          <w:szCs w:val="28"/>
        </w:rPr>
        <w:t xml:space="preserve"> līdzšinēj</w:t>
      </w:r>
      <w:r w:rsidR="00F176B7">
        <w:rPr>
          <w:rStyle w:val="TitleChar"/>
          <w:rFonts w:ascii="Times New Roman" w:eastAsia="Calibri" w:hAnsi="Times New Roman"/>
          <w:i/>
          <w:color w:val="auto"/>
          <w:sz w:val="28"/>
          <w:szCs w:val="28"/>
        </w:rPr>
        <w:t>ai</w:t>
      </w:r>
      <w:r w:rsidRPr="00640331">
        <w:rPr>
          <w:rStyle w:val="TitleChar"/>
          <w:rFonts w:ascii="Times New Roman" w:eastAsia="Calibri" w:hAnsi="Times New Roman"/>
          <w:i/>
          <w:color w:val="auto"/>
          <w:sz w:val="28"/>
          <w:szCs w:val="28"/>
        </w:rPr>
        <w:t xml:space="preserve"> tendenc</w:t>
      </w:r>
      <w:r w:rsidR="00F176B7">
        <w:rPr>
          <w:rStyle w:val="TitleChar"/>
          <w:rFonts w:ascii="Times New Roman" w:eastAsia="Calibri" w:hAnsi="Times New Roman"/>
          <w:i/>
          <w:color w:val="auto"/>
          <w:sz w:val="28"/>
          <w:szCs w:val="28"/>
        </w:rPr>
        <w:t>ei</w:t>
      </w:r>
      <w:r w:rsidRPr="00640331">
        <w:rPr>
          <w:rStyle w:val="TitleChar"/>
          <w:rFonts w:ascii="Times New Roman" w:eastAsia="Calibri" w:hAnsi="Times New Roman"/>
          <w:i/>
          <w:color w:val="auto"/>
          <w:sz w:val="28"/>
          <w:szCs w:val="28"/>
        </w:rPr>
        <w:t xml:space="preserve"> par</w:t>
      </w:r>
      <w:r w:rsidRPr="0064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 xml:space="preserve"> </w:t>
      </w:r>
      <w:r w:rsidRPr="00640331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lv-LV"/>
        </w:rPr>
        <w:t>12 %</w:t>
      </w:r>
    </w:p>
    <w:tbl>
      <w:tblPr>
        <w:tblW w:w="8946" w:type="dxa"/>
        <w:jc w:val="center"/>
        <w:tblLook w:val="04A0" w:firstRow="1" w:lastRow="0" w:firstColumn="1" w:lastColumn="0" w:noHBand="0" w:noVBand="1"/>
      </w:tblPr>
      <w:tblGrid>
        <w:gridCol w:w="269"/>
        <w:gridCol w:w="2130"/>
        <w:gridCol w:w="1790"/>
        <w:gridCol w:w="405"/>
        <w:gridCol w:w="1088"/>
        <w:gridCol w:w="1371"/>
        <w:gridCol w:w="405"/>
        <w:gridCol w:w="1055"/>
        <w:gridCol w:w="405"/>
        <w:gridCol w:w="28"/>
      </w:tblGrid>
      <w:tr w:rsidR="00FF1240" w:rsidRPr="006C131E" w14:paraId="38502703" w14:textId="77777777" w:rsidTr="00640331">
        <w:trPr>
          <w:gridBefore w:val="1"/>
          <w:gridAfter w:val="2"/>
          <w:wBefore w:w="269" w:type="dxa"/>
          <w:wAfter w:w="433" w:type="dxa"/>
          <w:trHeight w:val="390"/>
          <w:jc w:val="center"/>
        </w:trPr>
        <w:tc>
          <w:tcPr>
            <w:tcW w:w="54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CC93F" w14:textId="77777777" w:rsidR="00FF1240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56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Nodotā piena apjom</w:t>
            </w:r>
            <w:r w:rsidR="00F1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</w:t>
            </w:r>
            <w:r w:rsidRPr="00756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, kg</w:t>
            </w:r>
          </w:p>
          <w:p w14:paraId="02A124B9" w14:textId="77777777" w:rsidR="006F427B" w:rsidRPr="00756D37" w:rsidRDefault="006F427B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14:paraId="7B0A6E79" w14:textId="77777777" w:rsidR="006C131E" w:rsidRPr="006C131E" w:rsidRDefault="00756D37" w:rsidP="0075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2</w:t>
            </w:r>
            <w:r w:rsidR="006C131E" w:rsidRPr="006C1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.tabula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190C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BA26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462F7112" w14:textId="77777777" w:rsidTr="00414043">
        <w:trPr>
          <w:gridBefore w:val="1"/>
          <w:gridAfter w:val="2"/>
          <w:wBefore w:w="269" w:type="dxa"/>
          <w:wAfter w:w="433" w:type="dxa"/>
          <w:trHeight w:val="330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56472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58C1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2013.gads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E151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2014.gads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CE46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11D9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1A88F536" w14:textId="77777777" w:rsidTr="00414043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A512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Janvāris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5BBD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52 990 628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1DF9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59 661 857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E220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B73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031534AE" w14:textId="77777777" w:rsidTr="00414043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EAF7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Februāris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D11C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48 391 307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EEAB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53 921 685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B9C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3252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4325A7C9" w14:textId="77777777" w:rsidTr="00414043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B639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9FB3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53 895 220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4B3A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60 932 185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890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03A6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33ED2F99" w14:textId="77777777" w:rsidTr="00414043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9181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4C047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54 632 706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4966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61 267 344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8D39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BE7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63D4036A" w14:textId="77777777" w:rsidTr="00414043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E2E4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Maijs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044B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62 579 600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98551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71 880 701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469F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2592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4751CDD0" w14:textId="77777777" w:rsidTr="00414043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EE3F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C093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68 675 541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B180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77 543 112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5D23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ED4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07EB331E" w14:textId="77777777" w:rsidTr="00414043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7364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7A19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71 378 416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08D2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78 793 488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1DCE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68C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6223BB78" w14:textId="77777777" w:rsidTr="00C519EB">
        <w:trPr>
          <w:gridBefore w:val="1"/>
          <w:gridAfter w:val="2"/>
          <w:wBefore w:w="269" w:type="dxa"/>
          <w:wAfter w:w="433" w:type="dxa"/>
          <w:trHeight w:val="330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4B999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Augusts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10928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74 104 221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36EB" w14:textId="77777777" w:rsidR="00B24289" w:rsidRPr="00C519EB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51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78 955 185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CB15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CC41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5F210ECD" w14:textId="77777777" w:rsidTr="00C519EB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CD21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918FE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70 047 822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B658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74 872 347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215C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CCFF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5B340F35" w14:textId="77777777" w:rsidTr="00414043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C935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BDF7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63 013 230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631459B0" w14:textId="77777777" w:rsidR="00B24289" w:rsidRPr="00C519EB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</w:pPr>
            <w:r w:rsidRP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70 574</w:t>
            </w:r>
            <w:r w:rsid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 </w:t>
            </w:r>
            <w:r w:rsidRP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818</w:t>
            </w:r>
            <w:r w:rsid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8E2E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4678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621238E9" w14:textId="77777777" w:rsidTr="00414043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4523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3B3D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56 404 886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440A5FD0" w14:textId="77777777" w:rsidR="00B24289" w:rsidRPr="00C519EB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</w:pPr>
            <w:r w:rsidRP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63 173</w:t>
            </w:r>
            <w:r w:rsid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 </w:t>
            </w:r>
            <w:r w:rsidRP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472</w:t>
            </w:r>
            <w:r w:rsid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16F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551D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4289" w:rsidRPr="006C131E" w14:paraId="66699A68" w14:textId="77777777" w:rsidTr="00414043">
        <w:trPr>
          <w:gridBefore w:val="1"/>
          <w:gridAfter w:val="2"/>
          <w:wBefore w:w="269" w:type="dxa"/>
          <w:wAfter w:w="433" w:type="dxa"/>
          <w:trHeight w:val="330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3AC1" w14:textId="77777777" w:rsidR="00B24289" w:rsidRPr="00B24289" w:rsidRDefault="00B24289" w:rsidP="00B24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DE78" w14:textId="77777777" w:rsidR="00B24289" w:rsidRPr="00B24289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24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59 547 181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4C239236" w14:textId="77777777" w:rsidR="00B24289" w:rsidRPr="00C519EB" w:rsidRDefault="00B24289" w:rsidP="00B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</w:pPr>
            <w:r w:rsidRP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66 692</w:t>
            </w:r>
            <w:r w:rsid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 </w:t>
            </w:r>
            <w:r w:rsidRP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843</w:t>
            </w:r>
            <w:r w:rsidR="00C519E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BAF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8CB" w14:textId="77777777" w:rsidR="00B24289" w:rsidRPr="006C131E" w:rsidRDefault="00B24289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F1240" w:rsidRPr="006C131E" w14:paraId="0EA25CB3" w14:textId="77777777" w:rsidTr="00640331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5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7D7E" w14:textId="77777777" w:rsidR="00C519EB" w:rsidRPr="00C519EB" w:rsidRDefault="00C519EB" w:rsidP="00C51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lv-LV"/>
              </w:rPr>
            </w:pPr>
            <w:r w:rsidRPr="00C519EB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lv-LV"/>
              </w:rPr>
              <w:t>* - prognoze</w:t>
            </w:r>
          </w:p>
          <w:p w14:paraId="76BC3252" w14:textId="77777777" w:rsidR="00FF1240" w:rsidRDefault="00756D37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756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Avots: LDC</w:t>
            </w:r>
          </w:p>
          <w:p w14:paraId="2CE37531" w14:textId="77777777" w:rsidR="00DD63E8" w:rsidRPr="006C131E" w:rsidRDefault="00DD63E8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6F4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A36C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F1240" w:rsidRPr="006C131E" w14:paraId="1273A22B" w14:textId="77777777" w:rsidTr="00756D37">
        <w:trPr>
          <w:gridBefore w:val="1"/>
          <w:gridAfter w:val="1"/>
          <w:wBefore w:w="269" w:type="dxa"/>
          <w:wAfter w:w="28" w:type="dxa"/>
          <w:trHeight w:val="315"/>
          <w:jc w:val="center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F92D" w14:textId="77777777" w:rsidR="00FF1240" w:rsidRPr="00756D37" w:rsidRDefault="00FF1240" w:rsidP="0075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lv-LV"/>
              </w:rPr>
            </w:pPr>
            <w:r w:rsidRPr="00756D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lv-LV"/>
              </w:rPr>
              <w:t>Prognozētais nodotā piena apjoms 2014.gada sept</w:t>
            </w:r>
            <w:r w:rsidR="00756D37" w:rsidRPr="00756D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lv-LV"/>
              </w:rPr>
              <w:t>embr</w:t>
            </w:r>
            <w:r w:rsidR="00F176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lv-LV"/>
              </w:rPr>
              <w:t>ī</w:t>
            </w:r>
            <w:r w:rsidR="00756D37" w:rsidRPr="00756D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lv-LV"/>
              </w:rPr>
              <w:t>–</w:t>
            </w:r>
            <w:r w:rsidRPr="00756D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lv-LV"/>
              </w:rPr>
              <w:t>dec</w:t>
            </w:r>
            <w:r w:rsidR="00756D37" w:rsidRPr="00756D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lv-LV"/>
              </w:rPr>
              <w:t>embr</w:t>
            </w:r>
            <w:r w:rsidR="00F176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lv-LV"/>
              </w:rPr>
              <w:t>ī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6C5E506" w14:textId="77777777" w:rsidR="00FF1240" w:rsidRPr="00756D37" w:rsidRDefault="00FF1240" w:rsidP="00C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56D3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lv-LV"/>
              </w:rPr>
              <w:t>27</w:t>
            </w:r>
            <w:r w:rsidR="00C519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lv-LV"/>
              </w:rPr>
              <w:t>5</w:t>
            </w:r>
            <w:r w:rsidRPr="00756D3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lv-LV"/>
              </w:rPr>
              <w:t xml:space="preserve"> </w:t>
            </w:r>
            <w:r w:rsidR="00C519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lv-LV"/>
              </w:rPr>
              <w:t>313</w:t>
            </w:r>
            <w:r w:rsidR="001B3BDD" w:rsidRPr="00756D3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lv-LV"/>
              </w:rPr>
              <w:t> </w:t>
            </w:r>
            <w:r w:rsidR="00C519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lv-LV"/>
              </w:rPr>
              <w:t>480</w:t>
            </w:r>
            <w:r w:rsidR="001B3BDD" w:rsidRPr="00756D3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lv-LV"/>
              </w:rPr>
              <w:t xml:space="preserve"> kg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016F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F1240" w:rsidRPr="006C131E" w14:paraId="3D4C076C" w14:textId="77777777" w:rsidTr="00640331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10DA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09C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90DA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CD2B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B986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F1240" w:rsidRPr="006C131E" w14:paraId="29D21650" w14:textId="77777777" w:rsidTr="00640331">
        <w:trPr>
          <w:trHeight w:val="375"/>
          <w:jc w:val="center"/>
        </w:trPr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77D" w14:textId="77777777" w:rsidR="006F427B" w:rsidRDefault="006F427B" w:rsidP="00DD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14:paraId="3CEB844D" w14:textId="77777777" w:rsidR="006F427B" w:rsidRDefault="006F427B" w:rsidP="00DD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14:paraId="323F5929" w14:textId="77777777" w:rsidR="00FF1240" w:rsidRDefault="00DE2332" w:rsidP="00DD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lv-LV"/>
              </w:rPr>
            </w:pPr>
            <w:r w:rsidRPr="00756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Aprēķinātie</w:t>
            </w:r>
            <w:r w:rsidR="00FF1240" w:rsidRPr="00756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zaudējumi līdz 2014.gada beigām (</w:t>
            </w:r>
            <w:r w:rsidR="00756D37" w:rsidRPr="00756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IX</w:t>
            </w:r>
            <w:r w:rsidR="00F1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–</w:t>
            </w:r>
            <w:r w:rsidR="00756D37" w:rsidRPr="00756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XII</w:t>
            </w:r>
            <w:r w:rsidR="00FF1240" w:rsidRPr="00756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), </w:t>
            </w:r>
            <w:r w:rsidR="00756D37" w:rsidRPr="00756D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lv-LV"/>
              </w:rPr>
              <w:t>euro</w:t>
            </w:r>
          </w:p>
          <w:p w14:paraId="434C55E8" w14:textId="77777777" w:rsidR="006F427B" w:rsidRPr="00756D37" w:rsidRDefault="006F427B" w:rsidP="00DD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14:paraId="62888137" w14:textId="77777777" w:rsidR="006C131E" w:rsidRPr="006C131E" w:rsidRDefault="006C131E" w:rsidP="0075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 xml:space="preserve">                                                                                                              </w:t>
            </w:r>
            <w:r w:rsidR="00756D3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3</w:t>
            </w:r>
            <w:r w:rsidRPr="006C1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.tabula</w:t>
            </w:r>
          </w:p>
        </w:tc>
      </w:tr>
      <w:tr w:rsidR="00DE2332" w:rsidRPr="006C131E" w14:paraId="67D38677" w14:textId="77777777" w:rsidTr="00640331">
        <w:trPr>
          <w:gridBefore w:val="1"/>
          <w:gridAfter w:val="2"/>
          <w:wBefore w:w="269" w:type="dxa"/>
          <w:wAfter w:w="433" w:type="dxa"/>
          <w:trHeight w:val="1553"/>
          <w:jc w:val="center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D426" w14:textId="77777777" w:rsidR="00DE2332" w:rsidRPr="006C131E" w:rsidRDefault="00DE2332" w:rsidP="00DD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C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Piena iepirkuma cena, </w:t>
            </w:r>
            <w:r w:rsidRPr="00DD63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</w:t>
            </w:r>
            <w:r w:rsidR="00DD63E8" w:rsidRPr="00DD63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u</w:t>
            </w:r>
            <w:r w:rsidRPr="00DD63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6C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/kg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4E1" w14:textId="77777777" w:rsidR="00DE2332" w:rsidRPr="006C131E" w:rsidRDefault="00DE2332" w:rsidP="00DD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C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Nodotais piens x pašizmaksa</w:t>
            </w:r>
            <w:r w:rsidR="00DF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(0,27)</w:t>
            </w:r>
            <w:r w:rsidRPr="006C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DD63E8" w:rsidRPr="00DD63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1E57" w14:textId="77777777" w:rsidR="00DE2332" w:rsidRPr="006C131E" w:rsidRDefault="00DE2332" w:rsidP="00F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C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Nodotais piens x iepirkuma cena</w:t>
            </w:r>
            <w:r w:rsidR="00DF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(0,22)</w:t>
            </w:r>
            <w:r w:rsidRPr="006C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DD63E8" w:rsidRPr="00DD63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BA2A" w14:textId="77777777" w:rsidR="00DE2332" w:rsidRPr="006C131E" w:rsidRDefault="00DE2332" w:rsidP="00F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C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Zaudējumi, </w:t>
            </w:r>
            <w:r w:rsidR="00DD63E8" w:rsidRPr="00DD63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</w:tr>
      <w:tr w:rsidR="00DE2332" w:rsidRPr="006C131E" w14:paraId="37913505" w14:textId="77777777" w:rsidTr="00640331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7FB0" w14:textId="77777777" w:rsidR="00DE2332" w:rsidRPr="006C131E" w:rsidRDefault="00DE2332" w:rsidP="00D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1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0,22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177" w14:textId="77777777" w:rsidR="00DE2332" w:rsidRPr="006C131E" w:rsidRDefault="00C519EB" w:rsidP="00FE3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74 334 640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37D" w14:textId="77777777" w:rsidR="00DE2332" w:rsidRPr="006C131E" w:rsidRDefault="00C519EB" w:rsidP="00FE3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60 568 966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14:paraId="0CB5DAA2" w14:textId="77777777" w:rsidR="00DE2332" w:rsidRPr="006C131E" w:rsidRDefault="00DE2332" w:rsidP="00C519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1E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C519EB">
              <w:rPr>
                <w:rFonts w:ascii="Times New Roman" w:hAnsi="Times New Roman" w:cs="Times New Roman"/>
                <w:b/>
                <w:sz w:val="24"/>
                <w:szCs w:val="24"/>
              </w:rPr>
              <w:t> 765 674</w:t>
            </w:r>
          </w:p>
        </w:tc>
      </w:tr>
      <w:tr w:rsidR="00FF1240" w:rsidRPr="006C131E" w14:paraId="4A0FAE84" w14:textId="77777777" w:rsidTr="00640331">
        <w:trPr>
          <w:gridBefore w:val="1"/>
          <w:gridAfter w:val="2"/>
          <w:wBefore w:w="269" w:type="dxa"/>
          <w:wAfter w:w="433" w:type="dxa"/>
          <w:trHeight w:val="315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D52F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5A25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10C3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E213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FFEB" w14:textId="77777777" w:rsidR="00FF1240" w:rsidRPr="006C131E" w:rsidRDefault="00FF1240" w:rsidP="00FE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6A6D71E" w14:textId="77777777" w:rsidR="006C131E" w:rsidRPr="00756D37" w:rsidRDefault="006C131E" w:rsidP="001A4EBE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756D3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Nepieciešamā atbalsta aprēķins sadalījumā pa mēnešiem</w:t>
      </w:r>
    </w:p>
    <w:p w14:paraId="59977995" w14:textId="77777777" w:rsidR="00756D37" w:rsidRPr="00756D37" w:rsidRDefault="00756D37" w:rsidP="001A4EBE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14:paraId="2320213F" w14:textId="77777777" w:rsidR="006C131E" w:rsidRPr="00756D37" w:rsidRDefault="009A4EA3" w:rsidP="00756D3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Aprēķinot nepieciešamo atbalsta summu septembrī, ir norādīts faktiski saražotais un pārstrādei nodotais piens, bet oktobrī, novembrī un decembrī ir prognozētais piena daudzums</w:t>
      </w:r>
      <w:r w:rsidR="00F176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14:paraId="22A838BE" w14:textId="77777777" w:rsidR="001A4EBE" w:rsidRPr="006C131E" w:rsidRDefault="001A4EBE" w:rsidP="001A4EBE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ab/>
      </w:r>
      <w:r w:rsidRPr="001A4EBE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4.tabula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540"/>
        <w:gridCol w:w="2815"/>
      </w:tblGrid>
      <w:tr w:rsidR="009A4EA3" w:rsidRPr="006C131E" w14:paraId="372A71C0" w14:textId="77777777" w:rsidTr="00B31363">
        <w:trPr>
          <w:jc w:val="center"/>
        </w:trPr>
        <w:tc>
          <w:tcPr>
            <w:tcW w:w="2240" w:type="dxa"/>
            <w:shd w:val="clear" w:color="auto" w:fill="auto"/>
          </w:tcPr>
          <w:p w14:paraId="2A95961C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2540" w:type="dxa"/>
            <w:shd w:val="clear" w:color="auto" w:fill="auto"/>
          </w:tcPr>
          <w:p w14:paraId="47AC75C8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Saražotais piena apjoms, kg</w:t>
            </w:r>
          </w:p>
        </w:tc>
        <w:tc>
          <w:tcPr>
            <w:tcW w:w="2815" w:type="dxa"/>
            <w:shd w:val="clear" w:color="auto" w:fill="auto"/>
          </w:tcPr>
          <w:p w14:paraId="3E2F49AE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Nepieciešamais finansējuma apmērs mēnesī, </w:t>
            </w:r>
            <w:r w:rsidRPr="00673BB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</w:tr>
      <w:tr w:rsidR="009A4EA3" w:rsidRPr="006C131E" w14:paraId="237E28B5" w14:textId="77777777" w:rsidTr="00B31363">
        <w:trPr>
          <w:jc w:val="center"/>
        </w:trPr>
        <w:tc>
          <w:tcPr>
            <w:tcW w:w="2240" w:type="dxa"/>
            <w:shd w:val="clear" w:color="auto" w:fill="auto"/>
          </w:tcPr>
          <w:p w14:paraId="725AAEE9" w14:textId="77777777" w:rsidR="009A4EA3" w:rsidRPr="009A4EA3" w:rsidRDefault="009A4EA3" w:rsidP="009A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2540" w:type="dxa"/>
            <w:shd w:val="clear" w:color="auto" w:fill="auto"/>
          </w:tcPr>
          <w:p w14:paraId="1BF50A85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74 872 347</w:t>
            </w:r>
          </w:p>
        </w:tc>
        <w:tc>
          <w:tcPr>
            <w:tcW w:w="2815" w:type="dxa"/>
            <w:shd w:val="clear" w:color="auto" w:fill="auto"/>
          </w:tcPr>
          <w:p w14:paraId="22A15D1F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3 743 617</w:t>
            </w:r>
          </w:p>
        </w:tc>
      </w:tr>
      <w:tr w:rsidR="009A4EA3" w:rsidRPr="006C131E" w14:paraId="106F2252" w14:textId="77777777" w:rsidTr="00B31363">
        <w:trPr>
          <w:jc w:val="center"/>
        </w:trPr>
        <w:tc>
          <w:tcPr>
            <w:tcW w:w="2240" w:type="dxa"/>
            <w:shd w:val="clear" w:color="auto" w:fill="auto"/>
          </w:tcPr>
          <w:p w14:paraId="39EC754E" w14:textId="77777777" w:rsidR="009A4EA3" w:rsidRPr="009A4EA3" w:rsidRDefault="009A4EA3" w:rsidP="009A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2540" w:type="dxa"/>
            <w:shd w:val="clear" w:color="auto" w:fill="auto"/>
          </w:tcPr>
          <w:p w14:paraId="3F5D0B1A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70 574 818</w:t>
            </w:r>
          </w:p>
        </w:tc>
        <w:tc>
          <w:tcPr>
            <w:tcW w:w="2815" w:type="dxa"/>
            <w:shd w:val="clear" w:color="auto" w:fill="auto"/>
          </w:tcPr>
          <w:p w14:paraId="6F7FAF25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3 528 741</w:t>
            </w:r>
          </w:p>
        </w:tc>
      </w:tr>
      <w:tr w:rsidR="009A4EA3" w:rsidRPr="006C131E" w14:paraId="2449EF90" w14:textId="77777777" w:rsidTr="00B31363">
        <w:trPr>
          <w:jc w:val="center"/>
        </w:trPr>
        <w:tc>
          <w:tcPr>
            <w:tcW w:w="2240" w:type="dxa"/>
            <w:shd w:val="clear" w:color="auto" w:fill="auto"/>
          </w:tcPr>
          <w:p w14:paraId="12844B48" w14:textId="77777777" w:rsidR="009A4EA3" w:rsidRPr="009A4EA3" w:rsidRDefault="009A4EA3" w:rsidP="009A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2540" w:type="dxa"/>
            <w:shd w:val="clear" w:color="auto" w:fill="auto"/>
          </w:tcPr>
          <w:p w14:paraId="7848B210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63 173 472</w:t>
            </w:r>
          </w:p>
        </w:tc>
        <w:tc>
          <w:tcPr>
            <w:tcW w:w="2815" w:type="dxa"/>
            <w:shd w:val="clear" w:color="auto" w:fill="auto"/>
          </w:tcPr>
          <w:p w14:paraId="17E416C3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3 158 674</w:t>
            </w:r>
          </w:p>
        </w:tc>
      </w:tr>
      <w:tr w:rsidR="009A4EA3" w:rsidRPr="006C131E" w14:paraId="588E15CE" w14:textId="77777777" w:rsidTr="00B31363">
        <w:trPr>
          <w:jc w:val="center"/>
        </w:trPr>
        <w:tc>
          <w:tcPr>
            <w:tcW w:w="2240" w:type="dxa"/>
            <w:shd w:val="clear" w:color="auto" w:fill="auto"/>
          </w:tcPr>
          <w:p w14:paraId="43782E0C" w14:textId="77777777" w:rsidR="009A4EA3" w:rsidRPr="009A4EA3" w:rsidRDefault="009A4EA3" w:rsidP="009A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2540" w:type="dxa"/>
            <w:shd w:val="clear" w:color="auto" w:fill="auto"/>
          </w:tcPr>
          <w:p w14:paraId="748B47D1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66 692 843</w:t>
            </w:r>
          </w:p>
        </w:tc>
        <w:tc>
          <w:tcPr>
            <w:tcW w:w="2815" w:type="dxa"/>
            <w:shd w:val="clear" w:color="auto" w:fill="auto"/>
          </w:tcPr>
          <w:p w14:paraId="1E4F0561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3 334 642</w:t>
            </w:r>
          </w:p>
        </w:tc>
      </w:tr>
      <w:tr w:rsidR="009A4EA3" w:rsidRPr="006C131E" w14:paraId="1A0CFDF4" w14:textId="77777777" w:rsidTr="00B31363">
        <w:trPr>
          <w:jc w:val="center"/>
        </w:trPr>
        <w:tc>
          <w:tcPr>
            <w:tcW w:w="2240" w:type="dxa"/>
            <w:shd w:val="clear" w:color="auto" w:fill="auto"/>
          </w:tcPr>
          <w:p w14:paraId="5DE7692F" w14:textId="77777777" w:rsidR="009A4EA3" w:rsidRPr="009A4EA3" w:rsidRDefault="009A4EA3" w:rsidP="009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540" w:type="dxa"/>
            <w:shd w:val="clear" w:color="auto" w:fill="auto"/>
          </w:tcPr>
          <w:p w14:paraId="11BB18C1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275 313 480</w:t>
            </w:r>
          </w:p>
        </w:tc>
        <w:tc>
          <w:tcPr>
            <w:tcW w:w="2815" w:type="dxa"/>
            <w:shd w:val="clear" w:color="auto" w:fill="auto"/>
          </w:tcPr>
          <w:p w14:paraId="51B14E13" w14:textId="77777777" w:rsidR="009A4EA3" w:rsidRPr="009A4EA3" w:rsidRDefault="009A4EA3" w:rsidP="009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13 765 674</w:t>
            </w:r>
          </w:p>
        </w:tc>
      </w:tr>
    </w:tbl>
    <w:p w14:paraId="7F774551" w14:textId="77777777" w:rsidR="009A4EA3" w:rsidRDefault="009A4EA3" w:rsidP="009A4EA3">
      <w:pPr>
        <w:spacing w:after="0"/>
        <w:ind w:firstLine="709"/>
      </w:pPr>
    </w:p>
    <w:p w14:paraId="1DAB1FCD" w14:textId="77777777" w:rsidR="009A4EA3" w:rsidRPr="00673BB9" w:rsidRDefault="00673BB9" w:rsidP="00673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673BB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Kopējie zaudējumi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ko radījusi piena iepirkuma cenu straujā krišana, septembra – decembra mēnešos ir 13,8 milj. </w:t>
      </w:r>
      <w:r w:rsidRPr="008304F1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>euro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Tā kā atbilstoši Ministru kabineta 2014.gada 26.augusta noteikumiem Nr.511 „Valsts atbalsta piešķiršanas kārtība piena šķirņu slaucamo govju produktivitātes datu izvērtēšanai” septembra vidū izmaksāts ciltsdarba maksājums, </w:t>
      </w:r>
      <w:r w:rsidR="00B82F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pašlaik </w:t>
      </w:r>
      <w:r w:rsidR="008304F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nepieciešamais finansējums ir </w:t>
      </w:r>
      <w:r w:rsidR="008304F1" w:rsidRPr="00B82F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7,</w:t>
      </w:r>
      <w:r w:rsidR="00B82F3F" w:rsidRPr="00B82F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9</w:t>
      </w:r>
      <w:r w:rsidR="008304F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milj. </w:t>
      </w:r>
      <w:r w:rsidR="008304F1" w:rsidRPr="008304F1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>euro</w:t>
      </w:r>
      <w:r w:rsidR="008304F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14:paraId="48EFBA30" w14:textId="77777777" w:rsidR="009A4EA3" w:rsidRDefault="009A4EA3" w:rsidP="00756D37">
      <w:pPr>
        <w:spacing w:after="0"/>
      </w:pPr>
    </w:p>
    <w:p w14:paraId="2FC69E8D" w14:textId="77777777" w:rsidR="009A4EA3" w:rsidRDefault="009A4EA3" w:rsidP="009A4EA3">
      <w:pPr>
        <w:spacing w:after="0"/>
        <w:ind w:firstLine="709"/>
        <w:sectPr w:rsidR="009A4EA3" w:rsidSect="00C767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59" w:bottom="1134" w:left="1797" w:header="709" w:footer="709" w:gutter="0"/>
          <w:cols w:space="708"/>
          <w:titlePg/>
          <w:docGrid w:linePitch="360"/>
        </w:sectPr>
      </w:pPr>
    </w:p>
    <w:p w14:paraId="71BD5C43" w14:textId="77777777" w:rsidR="00DF027A" w:rsidRDefault="00DF027A" w:rsidP="00940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Piena cena Latvijā no 2011.gada līdz 2014.gada </w:t>
      </w:r>
      <w:r w:rsidR="008304F1">
        <w:rPr>
          <w:rFonts w:ascii="Times New Roman" w:hAnsi="Times New Roman" w:cs="Times New Roman"/>
          <w:b/>
          <w:sz w:val="24"/>
          <w:szCs w:val="24"/>
        </w:rPr>
        <w:t>septembrim</w:t>
      </w:r>
      <w:r w:rsidRPr="00DF027A">
        <w:rPr>
          <w:rFonts w:ascii="Times New Roman" w:hAnsi="Times New Roman" w:cs="Times New Roman"/>
          <w:b/>
          <w:sz w:val="24"/>
          <w:szCs w:val="24"/>
        </w:rPr>
        <w:t xml:space="preserve"> un ES vidējā</w:t>
      </w:r>
      <w:r w:rsidR="00D94DD6">
        <w:rPr>
          <w:rFonts w:ascii="Times New Roman" w:hAnsi="Times New Roman" w:cs="Times New Roman"/>
          <w:b/>
          <w:sz w:val="24"/>
          <w:szCs w:val="24"/>
        </w:rPr>
        <w:t xml:space="preserve"> cena</w:t>
      </w:r>
      <w:r w:rsidRPr="00DF027A">
        <w:rPr>
          <w:rFonts w:ascii="Times New Roman" w:hAnsi="Times New Roman" w:cs="Times New Roman"/>
          <w:b/>
          <w:sz w:val="24"/>
          <w:szCs w:val="24"/>
        </w:rPr>
        <w:t xml:space="preserve"> 2014.gadā</w:t>
      </w:r>
      <w:r w:rsidR="00940E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0EED" w:rsidRPr="00940EED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940EED">
        <w:rPr>
          <w:rFonts w:ascii="Times New Roman" w:hAnsi="Times New Roman" w:cs="Times New Roman"/>
          <w:b/>
          <w:sz w:val="24"/>
          <w:szCs w:val="24"/>
        </w:rPr>
        <w:t>)</w:t>
      </w:r>
    </w:p>
    <w:p w14:paraId="08897CC4" w14:textId="77777777" w:rsidR="001A4EBE" w:rsidRDefault="00940F0A" w:rsidP="008304F1">
      <w:pPr>
        <w:tabs>
          <w:tab w:val="left" w:pos="720"/>
        </w:tabs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0F0A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5.tabula</w:t>
      </w:r>
      <w:r w:rsidR="008304F1" w:rsidRPr="008304F1">
        <w:rPr>
          <w:noProof/>
          <w:lang w:eastAsia="lv-LV"/>
        </w:rPr>
        <w:drawing>
          <wp:inline distT="0" distB="0" distL="0" distR="0" wp14:anchorId="56B54C6D" wp14:editId="0441D841">
            <wp:extent cx="7610475" cy="3848100"/>
            <wp:effectExtent l="0" t="0" r="9525" b="19050"/>
            <wp:docPr id="3" name="Diagram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841996" w14:textId="77777777" w:rsidR="00940F0A" w:rsidRDefault="00756D37" w:rsidP="00940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tab/>
      </w:r>
      <w:r w:rsidRPr="006C131E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Avots: LDC</w:t>
      </w:r>
      <w:r w:rsidR="00940F0A" w:rsidRPr="00940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D653AD" w14:textId="77777777" w:rsidR="00EA4B66" w:rsidRDefault="00EA4B66" w:rsidP="00EA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54F8EE" w14:textId="77777777" w:rsidR="00940F0A" w:rsidRPr="00940F0A" w:rsidRDefault="00940F0A" w:rsidP="00EA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0A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940F0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F0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F0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F0A">
        <w:rPr>
          <w:rFonts w:ascii="Times New Roman" w:eastAsia="Times New Roman" w:hAnsi="Times New Roman" w:cs="Times New Roman"/>
          <w:sz w:val="28"/>
          <w:szCs w:val="28"/>
        </w:rPr>
        <w:tab/>
      </w:r>
      <w:r w:rsidRPr="00940F0A">
        <w:rPr>
          <w:rFonts w:ascii="Times New Roman" w:eastAsia="Times New Roman" w:hAnsi="Times New Roman" w:cs="Times New Roman"/>
          <w:sz w:val="28"/>
          <w:szCs w:val="28"/>
        </w:rPr>
        <w:tab/>
      </w:r>
      <w:r w:rsidR="00EA4B66">
        <w:rPr>
          <w:rFonts w:ascii="Times New Roman" w:eastAsia="Times New Roman" w:hAnsi="Times New Roman" w:cs="Times New Roman"/>
          <w:sz w:val="28"/>
          <w:szCs w:val="28"/>
        </w:rPr>
        <w:tab/>
      </w:r>
      <w:r w:rsidR="00EA4B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4B66">
        <w:rPr>
          <w:rFonts w:ascii="Times New Roman" w:eastAsia="Times New Roman" w:hAnsi="Times New Roman" w:cs="Times New Roman"/>
          <w:sz w:val="28"/>
          <w:szCs w:val="28"/>
        </w:rPr>
        <w:tab/>
      </w:r>
      <w:r w:rsidR="00EA4B66">
        <w:rPr>
          <w:rFonts w:ascii="Times New Roman" w:eastAsia="Times New Roman" w:hAnsi="Times New Roman" w:cs="Times New Roman"/>
          <w:sz w:val="28"/>
          <w:szCs w:val="28"/>
        </w:rPr>
        <w:tab/>
      </w:r>
      <w:r w:rsidR="00EA4B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F0A">
        <w:rPr>
          <w:rFonts w:ascii="Times New Roman" w:eastAsia="Times New Roman" w:hAnsi="Times New Roman" w:cs="Times New Roman"/>
          <w:sz w:val="28"/>
          <w:szCs w:val="28"/>
        </w:rPr>
        <w:t>J.Dūklavs</w:t>
      </w:r>
    </w:p>
    <w:p w14:paraId="32DE7749" w14:textId="77777777" w:rsidR="00C767DA" w:rsidRDefault="00C767DA" w:rsidP="009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23.10.2014. 13:42</w:t>
      </w:r>
    </w:p>
    <w:p w14:paraId="1B930789" w14:textId="77777777" w:rsidR="00C767DA" w:rsidRDefault="00C767DA" w:rsidP="00940F0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mallCaps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mallCaps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mallCaps/>
          <w:noProof/>
          <w:sz w:val="20"/>
          <w:szCs w:val="20"/>
        </w:rPr>
        <w:t>589</w:t>
      </w:r>
      <w:r>
        <w:rPr>
          <w:rFonts w:ascii="Times New Roman" w:eastAsia="Times New Roman" w:hAnsi="Times New Roman" w:cs="Times New Roman"/>
          <w:smallCaps/>
          <w:sz w:val="20"/>
          <w:szCs w:val="20"/>
        </w:rPr>
        <w:fldChar w:fldCharType="end"/>
      </w:r>
    </w:p>
    <w:p w14:paraId="7294C857" w14:textId="77777777" w:rsidR="00940F0A" w:rsidRPr="00940F0A" w:rsidRDefault="00940F0A" w:rsidP="009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40F0A">
        <w:rPr>
          <w:rFonts w:ascii="Times New Roman" w:eastAsia="Times New Roman" w:hAnsi="Times New Roman" w:cs="Times New Roman"/>
          <w:sz w:val="20"/>
          <w:szCs w:val="20"/>
        </w:rPr>
        <w:t>B.Ingiļāvičute</w:t>
      </w:r>
      <w:proofErr w:type="spellEnd"/>
    </w:p>
    <w:p w14:paraId="50D6ACF0" w14:textId="77777777" w:rsidR="008304F1" w:rsidRDefault="00940F0A" w:rsidP="00940F0A">
      <w:pPr>
        <w:spacing w:after="0" w:line="240" w:lineRule="auto"/>
      </w:pPr>
      <w:r w:rsidRPr="00940F0A">
        <w:rPr>
          <w:rFonts w:ascii="Times New Roman" w:eastAsia="Times New Roman" w:hAnsi="Times New Roman" w:cs="Times New Roman"/>
          <w:sz w:val="20"/>
          <w:szCs w:val="20"/>
        </w:rPr>
        <w:t xml:space="preserve">67027661, </w:t>
      </w:r>
      <w:r w:rsidR="008304F1" w:rsidRPr="00C767DA">
        <w:rPr>
          <w:rFonts w:ascii="Times New Roman" w:eastAsia="Times New Roman" w:hAnsi="Times New Roman" w:cs="Times New Roman"/>
          <w:sz w:val="20"/>
          <w:szCs w:val="20"/>
        </w:rPr>
        <w:t>Biruta.Ingilavicute@zm.gov.lv</w:t>
      </w:r>
    </w:p>
    <w:sectPr w:rsidR="008304F1" w:rsidSect="00940F0A">
      <w:pgSz w:w="16838" w:h="11906" w:orient="landscape"/>
      <w:pgMar w:top="1800" w:right="1440" w:bottom="15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8ECA" w14:textId="77777777" w:rsidR="00CB288A" w:rsidRDefault="00CB288A" w:rsidP="001A4EBE">
      <w:pPr>
        <w:spacing w:after="0" w:line="240" w:lineRule="auto"/>
      </w:pPr>
      <w:r>
        <w:separator/>
      </w:r>
    </w:p>
  </w:endnote>
  <w:endnote w:type="continuationSeparator" w:id="0">
    <w:p w14:paraId="0306938E" w14:textId="77777777" w:rsidR="00CB288A" w:rsidRDefault="00CB288A" w:rsidP="001A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0720" w14:textId="77777777" w:rsidR="00B57D1B" w:rsidRDefault="00B57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EE5" w14:textId="77777777" w:rsidR="00531F3B" w:rsidRPr="00531F3B" w:rsidRDefault="00531F3B" w:rsidP="00531F3B">
    <w:pPr>
      <w:pStyle w:val="Footer"/>
      <w:rPr>
        <w:rFonts w:ascii="Times New Roman" w:hAnsi="Times New Roman" w:cs="Times New Roman"/>
        <w:sz w:val="20"/>
        <w:szCs w:val="20"/>
      </w:rPr>
    </w:pPr>
    <w:r w:rsidRPr="00531F3B">
      <w:rPr>
        <w:rFonts w:ascii="Times New Roman" w:hAnsi="Times New Roman" w:cs="Times New Roman"/>
        <w:sz w:val="20"/>
        <w:szCs w:val="20"/>
      </w:rPr>
      <w:t>ZMZin</w:t>
    </w:r>
    <w:r w:rsidR="00640331">
      <w:rPr>
        <w:rFonts w:ascii="Times New Roman" w:hAnsi="Times New Roman" w:cs="Times New Roman"/>
        <w:sz w:val="20"/>
        <w:szCs w:val="20"/>
      </w:rPr>
      <w:t>o</w:t>
    </w:r>
    <w:r w:rsidRPr="00531F3B">
      <w:rPr>
        <w:rFonts w:ascii="Times New Roman" w:hAnsi="Times New Roman" w:cs="Times New Roman"/>
        <w:sz w:val="20"/>
        <w:szCs w:val="20"/>
      </w:rPr>
      <w:t>_</w:t>
    </w:r>
    <w:r w:rsidR="006626CA">
      <w:rPr>
        <w:rFonts w:ascii="Times New Roman" w:hAnsi="Times New Roman" w:cs="Times New Roman"/>
        <w:sz w:val="20"/>
        <w:szCs w:val="20"/>
      </w:rPr>
      <w:t>20</w:t>
    </w:r>
    <w:r w:rsidR="002A3FDF">
      <w:rPr>
        <w:rFonts w:ascii="Times New Roman" w:hAnsi="Times New Roman" w:cs="Times New Roman"/>
        <w:sz w:val="20"/>
        <w:szCs w:val="20"/>
      </w:rPr>
      <w:t>10</w:t>
    </w:r>
    <w:r w:rsidRPr="00531F3B">
      <w:rPr>
        <w:rFonts w:ascii="Times New Roman" w:hAnsi="Times New Roman" w:cs="Times New Roman"/>
        <w:sz w:val="20"/>
        <w:szCs w:val="20"/>
      </w:rPr>
      <w:t>14</w:t>
    </w:r>
  </w:p>
  <w:p w14:paraId="79E0AE28" w14:textId="77777777" w:rsidR="00B57D1B" w:rsidRPr="00B57D1B" w:rsidRDefault="00B57D1B" w:rsidP="00B57D1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57D1B">
      <w:rPr>
        <w:rFonts w:ascii="Times New Roman" w:hAnsi="Times New Roman" w:cs="Times New Roman"/>
        <w:strike/>
        <w:sz w:val="24"/>
        <w:szCs w:val="24"/>
      </w:rPr>
      <w:t>IEROBEŽOTA PIEEJAMĪBA</w:t>
    </w:r>
    <w:r w:rsidRPr="00B57D1B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B57D1B">
      <w:rPr>
        <w:rFonts w:ascii="Times New Roman" w:hAnsi="Times New Roman" w:cs="Times New Roman"/>
        <w:sz w:val="24"/>
        <w:szCs w:val="24"/>
      </w:rPr>
      <w:t>NAV KLASIFICĒTS</w:t>
    </w:r>
    <w:proofErr w:type="gramEnd"/>
  </w:p>
  <w:p w14:paraId="6BAE08CD" w14:textId="77777777" w:rsidR="00AB2628" w:rsidRDefault="00AB2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A593" w14:textId="77777777" w:rsidR="006475FA" w:rsidRPr="00531F3B" w:rsidRDefault="006475FA" w:rsidP="006475FA">
    <w:pPr>
      <w:pStyle w:val="Footer"/>
      <w:rPr>
        <w:rFonts w:ascii="Times New Roman" w:hAnsi="Times New Roman" w:cs="Times New Roman"/>
        <w:sz w:val="20"/>
        <w:szCs w:val="20"/>
      </w:rPr>
    </w:pPr>
    <w:r w:rsidRPr="00531F3B">
      <w:rPr>
        <w:rFonts w:ascii="Times New Roman" w:hAnsi="Times New Roman" w:cs="Times New Roman"/>
        <w:sz w:val="20"/>
        <w:szCs w:val="20"/>
      </w:rPr>
      <w:t>ZM</w:t>
    </w:r>
    <w:r w:rsidR="00531F3B" w:rsidRPr="00531F3B">
      <w:rPr>
        <w:rFonts w:ascii="Times New Roman" w:hAnsi="Times New Roman" w:cs="Times New Roman"/>
        <w:sz w:val="20"/>
        <w:szCs w:val="20"/>
      </w:rPr>
      <w:t>Zin</w:t>
    </w:r>
    <w:r w:rsidR="00640331">
      <w:rPr>
        <w:rFonts w:ascii="Times New Roman" w:hAnsi="Times New Roman" w:cs="Times New Roman"/>
        <w:sz w:val="20"/>
        <w:szCs w:val="20"/>
      </w:rPr>
      <w:t>o</w:t>
    </w:r>
    <w:r w:rsidRPr="00531F3B">
      <w:rPr>
        <w:rFonts w:ascii="Times New Roman" w:hAnsi="Times New Roman" w:cs="Times New Roman"/>
        <w:sz w:val="20"/>
        <w:szCs w:val="20"/>
      </w:rPr>
      <w:t>_</w:t>
    </w:r>
    <w:r w:rsidR="00E25596">
      <w:rPr>
        <w:rFonts w:ascii="Times New Roman" w:hAnsi="Times New Roman" w:cs="Times New Roman"/>
        <w:sz w:val="20"/>
        <w:szCs w:val="20"/>
      </w:rPr>
      <w:t>20</w:t>
    </w:r>
    <w:r w:rsidR="002A3FDF">
      <w:rPr>
        <w:rFonts w:ascii="Times New Roman" w:hAnsi="Times New Roman" w:cs="Times New Roman"/>
        <w:sz w:val="20"/>
        <w:szCs w:val="20"/>
      </w:rPr>
      <w:t>10</w:t>
    </w:r>
    <w:r w:rsidR="00531F3B" w:rsidRPr="00531F3B">
      <w:rPr>
        <w:rFonts w:ascii="Times New Roman" w:hAnsi="Times New Roman" w:cs="Times New Roman"/>
        <w:sz w:val="20"/>
        <w:szCs w:val="20"/>
      </w:rPr>
      <w:t>14</w:t>
    </w:r>
  </w:p>
  <w:p w14:paraId="6A31D65B" w14:textId="77777777" w:rsidR="00B57D1B" w:rsidRPr="00B57D1B" w:rsidRDefault="00B57D1B" w:rsidP="00B57D1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57D1B">
      <w:rPr>
        <w:rFonts w:ascii="Times New Roman" w:hAnsi="Times New Roman" w:cs="Times New Roman"/>
        <w:strike/>
        <w:sz w:val="24"/>
        <w:szCs w:val="24"/>
      </w:rPr>
      <w:t>IEROBEŽOTA PIEEJAMĪBA</w:t>
    </w:r>
    <w:r w:rsidRPr="00B57D1B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B57D1B">
      <w:rPr>
        <w:rFonts w:ascii="Times New Roman" w:hAnsi="Times New Roman" w:cs="Times New Roman"/>
        <w:sz w:val="24"/>
        <w:szCs w:val="24"/>
      </w:rPr>
      <w:t>NAV KLASIFICĒTS</w:t>
    </w:r>
    <w:proofErr w:type="gramEnd"/>
  </w:p>
  <w:p w14:paraId="634F9C1B" w14:textId="77777777" w:rsidR="00D1430F" w:rsidRPr="00AB2628" w:rsidRDefault="00D1430F" w:rsidP="006475FA">
    <w:pPr>
      <w:pStyle w:val="Footer"/>
      <w:rPr>
        <w:rFonts w:ascii="Times New Roman" w:hAnsi="Times New Roman" w:cs="Times New Roman"/>
        <w:sz w:val="24"/>
        <w:szCs w:val="24"/>
      </w:rPr>
    </w:pPr>
  </w:p>
  <w:p w14:paraId="0024A908" w14:textId="77777777" w:rsidR="006475FA" w:rsidRDefault="00647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3DE4" w14:textId="77777777" w:rsidR="00CB288A" w:rsidRDefault="00CB288A" w:rsidP="001A4EBE">
      <w:pPr>
        <w:spacing w:after="0" w:line="240" w:lineRule="auto"/>
      </w:pPr>
      <w:r>
        <w:separator/>
      </w:r>
    </w:p>
  </w:footnote>
  <w:footnote w:type="continuationSeparator" w:id="0">
    <w:p w14:paraId="3826454B" w14:textId="77777777" w:rsidR="00CB288A" w:rsidRDefault="00CB288A" w:rsidP="001A4EBE">
      <w:pPr>
        <w:spacing w:after="0" w:line="240" w:lineRule="auto"/>
      </w:pPr>
      <w:r>
        <w:continuationSeparator/>
      </w:r>
    </w:p>
  </w:footnote>
  <w:footnote w:id="1">
    <w:p w14:paraId="3E71F4F3" w14:textId="77777777" w:rsidR="00B57D1B" w:rsidRPr="00B57D1B" w:rsidRDefault="00B57D1B" w:rsidP="00B57D1B">
      <w:pPr>
        <w:rPr>
          <w:rFonts w:ascii="Times New Roman" w:hAnsi="Times New Roman" w:cs="Times New Roman"/>
        </w:rPr>
      </w:pPr>
      <w:r w:rsidRPr="00B57D1B">
        <w:rPr>
          <w:rStyle w:val="FootnoteReference"/>
          <w:rFonts w:ascii="Times New Roman" w:hAnsi="Times New Roman" w:cs="Times New Roman"/>
        </w:rPr>
        <w:t/>
      </w:r>
      <w:r w:rsidRPr="00B57D1B">
        <w:rPr>
          <w:rFonts w:ascii="Times New Roman" w:hAnsi="Times New Roman" w:cs="Times New Roman"/>
        </w:rPr>
        <w:t xml:space="preserve"> </w:t>
      </w:r>
      <w:bookmarkStart w:id="0" w:name="_Hlk127457894"/>
      <w:r w:rsidRPr="00B57D1B">
        <w:rPr>
          <w:rFonts w:ascii="Times New Roman" w:hAnsi="Times New Roman" w:cs="Times New Roman"/>
        </w:rPr>
        <w:t xml:space="preserve">Deklasificēšanas pamatojums: ZM 26.01.2023. vēstule Nr. 13.1-9e/210/2023 </w:t>
      </w:r>
      <w:proofErr w:type="gramStart"/>
      <w:r w:rsidRPr="00B57D1B">
        <w:rPr>
          <w:rFonts w:ascii="Times New Roman" w:hAnsi="Times New Roman" w:cs="Times New Roman"/>
        </w:rPr>
        <w:t>(</w:t>
      </w:r>
      <w:proofErr w:type="gramEnd"/>
      <w:r w:rsidRPr="00B57D1B">
        <w:rPr>
          <w:rFonts w:ascii="Times New Roman" w:hAnsi="Times New Roman" w:cs="Times New Roman"/>
        </w:rPr>
        <w:t>reģ. Nr. 2023-DOC-188)</w:t>
      </w:r>
    </w:p>
    <w:bookmarkEnd w:id="0"/>
    <w:p w14:paraId="6EF5D9DB" w14:textId="34CED7C8" w:rsidR="00B57D1B" w:rsidRDefault="00B57D1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4821" w14:textId="77777777" w:rsidR="00B57D1B" w:rsidRDefault="00B57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675"/>
      <w:docPartObj>
        <w:docPartGallery w:val="Page Numbers (Top of Page)"/>
        <w:docPartUnique/>
      </w:docPartObj>
    </w:sdtPr>
    <w:sdtEndPr/>
    <w:sdtContent>
      <w:p w14:paraId="69E5FAB3" w14:textId="77777777" w:rsidR="00B57D1B" w:rsidRPr="00B57D1B" w:rsidRDefault="00B57D1B" w:rsidP="00B57D1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D1B">
          <w:rPr>
            <w:rFonts w:ascii="Times New Roman" w:hAnsi="Times New Roman" w:cs="Times New Roman"/>
            <w:strike/>
            <w:sz w:val="24"/>
            <w:szCs w:val="24"/>
          </w:rPr>
          <w:t>IEROBEŽOTA PIEEJAMĪBA</w:t>
        </w:r>
        <w:r w:rsidRPr="00B57D1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B57D1B">
          <w:rPr>
            <w:rFonts w:ascii="Times New Roman" w:hAnsi="Times New Roman" w:cs="Times New Roman"/>
            <w:sz w:val="24"/>
            <w:szCs w:val="24"/>
          </w:rPr>
          <w:t>NAV KLASIFICĒTS</w:t>
        </w:r>
        <w:proofErr w:type="gramEnd"/>
      </w:p>
      <w:p w14:paraId="2A5405A4" w14:textId="36CF92CC" w:rsidR="00C767DA" w:rsidRDefault="00C767DA">
        <w:pPr>
          <w:pStyle w:val="Header"/>
          <w:jc w:val="center"/>
        </w:pPr>
      </w:p>
      <w:p w14:paraId="74691C19" w14:textId="77777777" w:rsidR="00C767DA" w:rsidRDefault="00C767D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96">
          <w:rPr>
            <w:noProof/>
          </w:rPr>
          <w:t>3</w:t>
        </w:r>
        <w:r>
          <w:fldChar w:fldCharType="end"/>
        </w:r>
      </w:p>
    </w:sdtContent>
  </w:sdt>
  <w:p w14:paraId="7F67DBC5" w14:textId="77777777" w:rsidR="00AB2628" w:rsidRDefault="00AB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504F" w14:textId="77777777" w:rsidR="00B57D1B" w:rsidRPr="00B57D1B" w:rsidRDefault="00B57D1B" w:rsidP="00B57D1B">
    <w:pPr>
      <w:pStyle w:val="Footer"/>
      <w:jc w:val="center"/>
      <w:rPr>
        <w:rFonts w:ascii="Times New Roman" w:hAnsi="Times New Roman" w:cs="Times New Roman"/>
        <w:sz w:val="24"/>
        <w:szCs w:val="24"/>
      </w:rPr>
    </w:pPr>
    <w:bookmarkStart w:id="1" w:name="_Hlk127456610"/>
    <w:r w:rsidRPr="00B57D1B">
      <w:rPr>
        <w:rFonts w:ascii="Times New Roman" w:hAnsi="Times New Roman" w:cs="Times New Roman"/>
        <w:strike/>
        <w:sz w:val="24"/>
        <w:szCs w:val="24"/>
      </w:rPr>
      <w:t>IEROBEŽOTA PIEEJAMĪBA</w:t>
    </w:r>
    <w:r w:rsidRPr="00B57D1B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B57D1B">
      <w:rPr>
        <w:rFonts w:ascii="Times New Roman" w:hAnsi="Times New Roman" w:cs="Times New Roman"/>
        <w:sz w:val="24"/>
        <w:szCs w:val="24"/>
      </w:rPr>
      <w:t>NAV KLASIFICĒTS</w:t>
    </w:r>
    <w:proofErr w:type="gramEnd"/>
  </w:p>
  <w:bookmarkEnd w:id="1"/>
  <w:p w14:paraId="4B4B7138" w14:textId="77777777" w:rsidR="00D1430F" w:rsidRDefault="00D14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79FD"/>
    <w:multiLevelType w:val="hybridMultilevel"/>
    <w:tmpl w:val="02EC7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A0B29"/>
    <w:multiLevelType w:val="hybridMultilevel"/>
    <w:tmpl w:val="A16413F0"/>
    <w:lvl w:ilvl="0" w:tplc="4BAA4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9189">
    <w:abstractNumId w:val="1"/>
  </w:num>
  <w:num w:numId="2" w16cid:durableId="34979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632CA"/>
    <w:rsid w:val="00064D42"/>
    <w:rsid w:val="001024CA"/>
    <w:rsid w:val="00151C06"/>
    <w:rsid w:val="001A4EBE"/>
    <w:rsid w:val="001B3BDD"/>
    <w:rsid w:val="002A3FDF"/>
    <w:rsid w:val="002D3131"/>
    <w:rsid w:val="003C3908"/>
    <w:rsid w:val="003F77CF"/>
    <w:rsid w:val="0042186C"/>
    <w:rsid w:val="004218F4"/>
    <w:rsid w:val="00525E63"/>
    <w:rsid w:val="00531F3B"/>
    <w:rsid w:val="00556A49"/>
    <w:rsid w:val="00563F42"/>
    <w:rsid w:val="00596719"/>
    <w:rsid w:val="005A554F"/>
    <w:rsid w:val="005E0AD4"/>
    <w:rsid w:val="005E2411"/>
    <w:rsid w:val="00631F82"/>
    <w:rsid w:val="00640331"/>
    <w:rsid w:val="006475FA"/>
    <w:rsid w:val="00654CE0"/>
    <w:rsid w:val="006626CA"/>
    <w:rsid w:val="00673BB9"/>
    <w:rsid w:val="006C131E"/>
    <w:rsid w:val="006F427B"/>
    <w:rsid w:val="007506B7"/>
    <w:rsid w:val="00756D37"/>
    <w:rsid w:val="0082147B"/>
    <w:rsid w:val="008304F1"/>
    <w:rsid w:val="008371D6"/>
    <w:rsid w:val="0087780A"/>
    <w:rsid w:val="00885DF7"/>
    <w:rsid w:val="008D1841"/>
    <w:rsid w:val="008E2588"/>
    <w:rsid w:val="008F3B95"/>
    <w:rsid w:val="00936067"/>
    <w:rsid w:val="00940EED"/>
    <w:rsid w:val="00940F0A"/>
    <w:rsid w:val="009A4EA3"/>
    <w:rsid w:val="009D3C1A"/>
    <w:rsid w:val="00A57584"/>
    <w:rsid w:val="00A6404B"/>
    <w:rsid w:val="00A91D57"/>
    <w:rsid w:val="00AB2628"/>
    <w:rsid w:val="00AC7FF1"/>
    <w:rsid w:val="00B24289"/>
    <w:rsid w:val="00B51F5A"/>
    <w:rsid w:val="00B57D1B"/>
    <w:rsid w:val="00B82F3F"/>
    <w:rsid w:val="00BB6E99"/>
    <w:rsid w:val="00C03A60"/>
    <w:rsid w:val="00C155D5"/>
    <w:rsid w:val="00C519EB"/>
    <w:rsid w:val="00C767DA"/>
    <w:rsid w:val="00CB288A"/>
    <w:rsid w:val="00D072ED"/>
    <w:rsid w:val="00D1430F"/>
    <w:rsid w:val="00D41244"/>
    <w:rsid w:val="00D45E53"/>
    <w:rsid w:val="00D60B21"/>
    <w:rsid w:val="00D94DD6"/>
    <w:rsid w:val="00DA40AD"/>
    <w:rsid w:val="00DD63E8"/>
    <w:rsid w:val="00DE08B6"/>
    <w:rsid w:val="00DE2332"/>
    <w:rsid w:val="00DF027A"/>
    <w:rsid w:val="00E173C7"/>
    <w:rsid w:val="00E25596"/>
    <w:rsid w:val="00E96B64"/>
    <w:rsid w:val="00EA4B66"/>
    <w:rsid w:val="00EB41EC"/>
    <w:rsid w:val="00F176B7"/>
    <w:rsid w:val="00F22944"/>
    <w:rsid w:val="00FB1B59"/>
    <w:rsid w:val="00FB254A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AB92"/>
  <w15:docId w15:val="{09105123-4754-4068-AEBC-DEC4D941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12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2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A4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BE"/>
  </w:style>
  <w:style w:type="paragraph" w:styleId="Footer">
    <w:name w:val="footer"/>
    <w:basedOn w:val="Normal"/>
    <w:link w:val="FooterChar"/>
    <w:uiPriority w:val="99"/>
    <w:unhideWhenUsed/>
    <w:rsid w:val="001A4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BE"/>
  </w:style>
  <w:style w:type="paragraph" w:styleId="BalloonText">
    <w:name w:val="Balloon Text"/>
    <w:basedOn w:val="Normal"/>
    <w:link w:val="BalloonTextChar"/>
    <w:uiPriority w:val="99"/>
    <w:semiHidden/>
    <w:unhideWhenUsed/>
    <w:rsid w:val="001A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4F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D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7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12513504414372"/>
          <c:y val="0.12578351062309223"/>
          <c:w val="0.81721278937133501"/>
          <c:h val="0.65176098651242631"/>
        </c:manualLayout>
      </c:layout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Vidējā cena 2011.</c:v>
                </c:pt>
              </c:strCache>
            </c:strRef>
          </c:tx>
          <c:marker>
            <c:symbol val="none"/>
          </c:marker>
          <c:cat>
            <c:strRef>
              <c:f>Sheet1!$A$3:$A$14</c:f>
              <c:strCache>
                <c:ptCount val="12"/>
                <c:pt idx="0">
                  <c:v>Janvāris </c:v>
                </c:pt>
                <c:pt idx="1">
                  <c:v>Februāris</c:v>
                </c:pt>
                <c:pt idx="2">
                  <c:v>Marts</c:v>
                </c:pt>
                <c:pt idx="3">
                  <c:v>Aprīlis</c:v>
                </c:pt>
                <c:pt idx="4">
                  <c:v>Maijs</c:v>
                </c:pt>
                <c:pt idx="5">
                  <c:v>Jūnijs</c:v>
                </c:pt>
                <c:pt idx="6">
                  <c:v>Jūlijs</c:v>
                </c:pt>
                <c:pt idx="7">
                  <c:v>Augusts</c:v>
                </c:pt>
                <c:pt idx="8">
                  <c:v>Septembris</c:v>
                </c:pt>
                <c:pt idx="9">
                  <c:v>Oktobris</c:v>
                </c:pt>
                <c:pt idx="10">
                  <c:v>Novembris</c:v>
                </c:pt>
                <c:pt idx="11">
                  <c:v>Decembris</c:v>
                </c:pt>
              </c:strCache>
            </c:strRef>
          </c:cat>
          <c:val>
            <c:numRef>
              <c:f>Sheet1!$B$3:$B$14</c:f>
              <c:numCache>
                <c:formatCode>0.00000</c:formatCode>
                <c:ptCount val="12"/>
                <c:pt idx="0">
                  <c:v>0.2822541632044438</c:v>
                </c:pt>
                <c:pt idx="1">
                  <c:v>0.29305203009572811</c:v>
                </c:pt>
                <c:pt idx="2">
                  <c:v>0.29999117844581291</c:v>
                </c:pt>
                <c:pt idx="3">
                  <c:v>0.30778971691348045</c:v>
                </c:pt>
                <c:pt idx="4">
                  <c:v>0.30099712018940733</c:v>
                </c:pt>
                <c:pt idx="5">
                  <c:v>0.29168753485936733</c:v>
                </c:pt>
                <c:pt idx="6">
                  <c:v>0.28984781396195919</c:v>
                </c:pt>
                <c:pt idx="7">
                  <c:v>0.28942807872241127</c:v>
                </c:pt>
                <c:pt idx="8">
                  <c:v>0.29125641696925547</c:v>
                </c:pt>
                <c:pt idx="9">
                  <c:v>0.29558893834018185</c:v>
                </c:pt>
                <c:pt idx="10">
                  <c:v>0.29453177466904945</c:v>
                </c:pt>
                <c:pt idx="11">
                  <c:v>0.29981332453075021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58-4E74-BF68-1C6905763175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Vidējā cena 2012.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ymbol val="none"/>
          </c:marker>
          <c:cat>
            <c:strRef>
              <c:f>Sheet1!$A$3:$A$14</c:f>
              <c:strCache>
                <c:ptCount val="12"/>
                <c:pt idx="0">
                  <c:v>Janvāris </c:v>
                </c:pt>
                <c:pt idx="1">
                  <c:v>Februāris</c:v>
                </c:pt>
                <c:pt idx="2">
                  <c:v>Marts</c:v>
                </c:pt>
                <c:pt idx="3">
                  <c:v>Aprīlis</c:v>
                </c:pt>
                <c:pt idx="4">
                  <c:v>Maijs</c:v>
                </c:pt>
                <c:pt idx="5">
                  <c:v>Jūnijs</c:v>
                </c:pt>
                <c:pt idx="6">
                  <c:v>Jūlijs</c:v>
                </c:pt>
                <c:pt idx="7">
                  <c:v>Augusts</c:v>
                </c:pt>
                <c:pt idx="8">
                  <c:v>Septembris</c:v>
                </c:pt>
                <c:pt idx="9">
                  <c:v>Oktobris</c:v>
                </c:pt>
                <c:pt idx="10">
                  <c:v>Novembris</c:v>
                </c:pt>
                <c:pt idx="11">
                  <c:v>Decembris</c:v>
                </c:pt>
              </c:strCache>
            </c:strRef>
          </c:cat>
          <c:val>
            <c:numRef>
              <c:f>Sheet1!$C$3:$C$14</c:f>
              <c:numCache>
                <c:formatCode>0.00000</c:formatCode>
                <c:ptCount val="12"/>
                <c:pt idx="0">
                  <c:v>0.30291225114680204</c:v>
                </c:pt>
                <c:pt idx="1">
                  <c:v>0.30201729024620672</c:v>
                </c:pt>
                <c:pt idx="2">
                  <c:v>0.30049343790194982</c:v>
                </c:pt>
                <c:pt idx="3">
                  <c:v>0.29329248858889284</c:v>
                </c:pt>
                <c:pt idx="4">
                  <c:v>0.27162988173426061</c:v>
                </c:pt>
                <c:pt idx="5">
                  <c:v>0.25364102534916283</c:v>
                </c:pt>
                <c:pt idx="6">
                  <c:v>0.24832675036709045</c:v>
                </c:pt>
                <c:pt idx="7">
                  <c:v>0.24775477217624897</c:v>
                </c:pt>
                <c:pt idx="8">
                  <c:v>0.25147547607935983</c:v>
                </c:pt>
                <c:pt idx="9">
                  <c:v>0.26261482248756446</c:v>
                </c:pt>
                <c:pt idx="10">
                  <c:v>0.27283217420008427</c:v>
                </c:pt>
                <c:pt idx="11">
                  <c:v>0.28254584362514656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58-4E74-BF68-1C6905763175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Vidējā cena 2013.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val>
            <c:numRef>
              <c:f>Sheet1!$D$3:$D$14</c:f>
              <c:numCache>
                <c:formatCode>0.00000</c:formatCode>
                <c:ptCount val="12"/>
                <c:pt idx="0">
                  <c:v>0.2873436308378769</c:v>
                </c:pt>
                <c:pt idx="1">
                  <c:v>0.29090924612705316</c:v>
                </c:pt>
                <c:pt idx="2">
                  <c:v>0.29387442659897783</c:v>
                </c:pt>
                <c:pt idx="3">
                  <c:v>0.29521757936553106</c:v>
                </c:pt>
                <c:pt idx="4">
                  <c:v>0.29551495111151582</c:v>
                </c:pt>
                <c:pt idx="5">
                  <c:v>0.29325122648059826</c:v>
                </c:pt>
                <c:pt idx="6">
                  <c:v>0.29468259478902253</c:v>
                </c:pt>
                <c:pt idx="7">
                  <c:v>0.30198741078847618</c:v>
                </c:pt>
                <c:pt idx="8">
                  <c:v>0.31459227345679713</c:v>
                </c:pt>
                <c:pt idx="9">
                  <c:v>0.32570600890123275</c:v>
                </c:pt>
                <c:pt idx="10">
                  <c:v>0.33180284110958075</c:v>
                </c:pt>
                <c:pt idx="11">
                  <c:v>0.33596319989072654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58-4E74-BF68-1C6905763175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Vidējā cena 2014.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Sheet1!$A$3:$A$14</c:f>
              <c:strCache>
                <c:ptCount val="12"/>
                <c:pt idx="0">
                  <c:v>Janvāris </c:v>
                </c:pt>
                <c:pt idx="1">
                  <c:v>Februāris</c:v>
                </c:pt>
                <c:pt idx="2">
                  <c:v>Marts</c:v>
                </c:pt>
                <c:pt idx="3">
                  <c:v>Aprīlis</c:v>
                </c:pt>
                <c:pt idx="4">
                  <c:v>Maijs</c:v>
                </c:pt>
                <c:pt idx="5">
                  <c:v>Jūnijs</c:v>
                </c:pt>
                <c:pt idx="6">
                  <c:v>Jūlijs</c:v>
                </c:pt>
                <c:pt idx="7">
                  <c:v>Augusts</c:v>
                </c:pt>
                <c:pt idx="8">
                  <c:v>Septembris</c:v>
                </c:pt>
                <c:pt idx="9">
                  <c:v>Oktobris</c:v>
                </c:pt>
                <c:pt idx="10">
                  <c:v>Novembris</c:v>
                </c:pt>
                <c:pt idx="11">
                  <c:v>Decembris</c:v>
                </c:pt>
              </c:strCache>
            </c:strRef>
          </c:cat>
          <c:val>
            <c:numRef>
              <c:f>Sheet1!$E$3:$E$11</c:f>
              <c:numCache>
                <c:formatCode>0.00000</c:formatCode>
                <c:ptCount val="9"/>
                <c:pt idx="0">
                  <c:v>0.34201300000000001</c:v>
                </c:pt>
                <c:pt idx="1">
                  <c:v>0.34840100000000002</c:v>
                </c:pt>
                <c:pt idx="2">
                  <c:v>0.35151300000000002</c:v>
                </c:pt>
                <c:pt idx="3">
                  <c:v>0.34173399999999998</c:v>
                </c:pt>
                <c:pt idx="4">
                  <c:v>0.32433400000000001</c:v>
                </c:pt>
                <c:pt idx="5" formatCode="General">
                  <c:v>0.2959</c:v>
                </c:pt>
                <c:pt idx="6">
                  <c:v>0.29315999999999998</c:v>
                </c:pt>
                <c:pt idx="7">
                  <c:v>0.27204</c:v>
                </c:pt>
                <c:pt idx="8" formatCode="General">
                  <c:v>0.23358200000000001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858-4E74-BF68-1C6905763175}"/>
            </c:ext>
          </c:extLst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ES vidējā cena 2014.</c:v>
                </c:pt>
              </c:strCache>
            </c:strRef>
          </c:tx>
          <c:spPr>
            <a:ln>
              <a:solidFill>
                <a:srgbClr val="FFC000"/>
              </a:solidFill>
              <a:prstDash val="sysDash"/>
            </a:ln>
          </c:spPr>
          <c:marker>
            <c:symbol val="none"/>
          </c:marker>
          <c:cat>
            <c:strRef>
              <c:f>Sheet1!$A$3:$A$14</c:f>
              <c:strCache>
                <c:ptCount val="12"/>
                <c:pt idx="0">
                  <c:v>Janvāris </c:v>
                </c:pt>
                <c:pt idx="1">
                  <c:v>Februāris</c:v>
                </c:pt>
                <c:pt idx="2">
                  <c:v>Marts</c:v>
                </c:pt>
                <c:pt idx="3">
                  <c:v>Aprīlis</c:v>
                </c:pt>
                <c:pt idx="4">
                  <c:v>Maijs</c:v>
                </c:pt>
                <c:pt idx="5">
                  <c:v>Jūnijs</c:v>
                </c:pt>
                <c:pt idx="6">
                  <c:v>Jūlijs</c:v>
                </c:pt>
                <c:pt idx="7">
                  <c:v>Augusts</c:v>
                </c:pt>
                <c:pt idx="8">
                  <c:v>Septembris</c:v>
                </c:pt>
                <c:pt idx="9">
                  <c:v>Oktobris</c:v>
                </c:pt>
                <c:pt idx="10">
                  <c:v>Novembris</c:v>
                </c:pt>
                <c:pt idx="11">
                  <c:v>Decembris</c:v>
                </c:pt>
              </c:strCache>
            </c:strRef>
          </c:cat>
          <c:val>
            <c:numRef>
              <c:f>Sheet1!$F$3:$F$9</c:f>
              <c:numCache>
                <c:formatCode>General</c:formatCode>
                <c:ptCount val="7"/>
                <c:pt idx="0">
                  <c:v>0.4</c:v>
                </c:pt>
                <c:pt idx="1">
                  <c:v>0.3997</c:v>
                </c:pt>
                <c:pt idx="2">
                  <c:v>0.39579999999999999</c:v>
                </c:pt>
                <c:pt idx="3">
                  <c:v>0.38319999999999999</c:v>
                </c:pt>
                <c:pt idx="4">
                  <c:v>0.37719999999999998</c:v>
                </c:pt>
                <c:pt idx="5">
                  <c:v>0.37690000000000001</c:v>
                </c:pt>
                <c:pt idx="6">
                  <c:v>0.37159999999999999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858-4E74-BF68-1C6905763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054680"/>
        <c:axId val="202058600"/>
      </c:lineChart>
      <c:catAx>
        <c:axId val="2020546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02058600"/>
        <c:crosses val="autoZero"/>
        <c:auto val="1"/>
        <c:lblAlgn val="ctr"/>
        <c:lblOffset val="100"/>
        <c:noMultiLvlLbl val="0"/>
      </c:catAx>
      <c:valAx>
        <c:axId val="202058600"/>
        <c:scaling>
          <c:orientation val="minMax"/>
          <c:min val="0.2"/>
        </c:scaling>
        <c:delete val="0"/>
        <c:axPos val="l"/>
        <c:majorGridlines>
          <c:spPr>
            <a:ln>
              <a:noFill/>
            </a:ln>
          </c:spPr>
        </c:majorGridlines>
        <c:numFmt formatCode="0.00000" sourceLinked="1"/>
        <c:majorTickMark val="out"/>
        <c:minorTickMark val="none"/>
        <c:tickLblPos val="nextTo"/>
        <c:crossAx val="202054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410138904940643"/>
          <c:y val="7.9290140151650118E-2"/>
          <c:w val="0.25535076303081772"/>
          <c:h val="0.2975386817906502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Retrospect">
    <a:dk1>
      <a:srgbClr val="000000"/>
    </a:dk1>
    <a:lt1>
      <a:sysClr val="window" lastClr="FFFFFF"/>
    </a:lt1>
    <a:dk2>
      <a:srgbClr val="637052"/>
    </a:dk2>
    <a:lt2>
      <a:srgbClr val="CCDDEA"/>
    </a:lt2>
    <a:accent1>
      <a:srgbClr val="E48312"/>
    </a:accent1>
    <a:accent2>
      <a:srgbClr val="BD582C"/>
    </a:accent2>
    <a:accent3>
      <a:srgbClr val="865640"/>
    </a:accent3>
    <a:accent4>
      <a:srgbClr val="9B8357"/>
    </a:accent4>
    <a:accent5>
      <a:srgbClr val="C2BC80"/>
    </a:accent5>
    <a:accent6>
      <a:srgbClr val="94A088"/>
    </a:accent6>
    <a:hlink>
      <a:srgbClr val="2998E3"/>
    </a:hlink>
    <a:folHlink>
      <a:srgbClr val="8C8C8C"/>
    </a:folHlink>
  </a:clrScheme>
  <a:fontScheme name="Retrospect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Retrospect">
    <a:fillStyleLst>
      <a:solidFill>
        <a:schemeClr val="phClr"/>
      </a:solidFill>
      <a:gradFill rotWithShape="1">
        <a:gsLst>
          <a:gs pos="0">
            <a:schemeClr val="phClr">
              <a:tint val="65000"/>
              <a:shade val="92000"/>
              <a:satMod val="130000"/>
            </a:schemeClr>
          </a:gs>
          <a:gs pos="45000">
            <a:schemeClr val="phClr">
              <a:tint val="60000"/>
              <a:shade val="99000"/>
              <a:satMod val="120000"/>
            </a:schemeClr>
          </a:gs>
          <a:gs pos="100000">
            <a:schemeClr val="phClr">
              <a:tint val="55000"/>
              <a:satMod val="140000"/>
            </a:schemeClr>
          </a:gs>
        </a:gsLst>
        <a:path path="circle">
          <a:fillToRect l="100000" t="100000" r="100000" b="100000"/>
        </a:path>
      </a:gradFill>
      <a:gradFill rotWithShape="1">
        <a:gsLst>
          <a:gs pos="0">
            <a:schemeClr val="phClr">
              <a:shade val="85000"/>
              <a:satMod val="130000"/>
            </a:schemeClr>
          </a:gs>
          <a:gs pos="34000">
            <a:schemeClr val="phClr">
              <a:shade val="87000"/>
              <a:satMod val="125000"/>
            </a:schemeClr>
          </a:gs>
          <a:gs pos="70000">
            <a:schemeClr val="phClr">
              <a:tint val="100000"/>
              <a:shade val="90000"/>
              <a:satMod val="130000"/>
            </a:schemeClr>
          </a:gs>
          <a:gs pos="100000">
            <a:schemeClr val="phClr">
              <a:tint val="100000"/>
              <a:shade val="100000"/>
              <a:satMod val="110000"/>
            </a:schemeClr>
          </a:gs>
        </a:gsLst>
        <a:path path="circle">
          <a:fillToRect l="100000" t="100000" r="100000" b="100000"/>
        </a:path>
      </a:gradFill>
    </a:fillStyleLst>
    <a:lnStyleLst>
      <a:ln w="12700" cap="flat" cmpd="sng" algn="ctr">
        <a:solidFill>
          <a:schemeClr val="phClr"/>
        </a:solidFill>
        <a:prstDash val="solid"/>
      </a:ln>
      <a:ln w="1587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2700000" algn="br" rotWithShape="0">
            <a:srgbClr val="000000">
              <a:alpha val="60000"/>
            </a:srgbClr>
          </a:outerShdw>
        </a:effectLst>
      </a:effectStyle>
      <a:effectStyle>
        <a:effectLst>
          <a:outerShdw blurRad="44450" dist="25400" dir="2700000" algn="b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9800000"/>
          </a:lightRig>
        </a:scene3d>
        <a:sp3d prstMaterial="flat">
          <a:bevelT w="25400" h="31750"/>
        </a:sp3d>
      </a:effectStyle>
    </a:effectStyleLst>
    <a:bgFillStyleLst>
      <a:solidFill>
        <a:schemeClr val="phClr"/>
      </a:solidFill>
      <a:solidFill>
        <a:schemeClr val="phClr">
          <a:tint val="90000"/>
          <a:shade val="97000"/>
          <a:satMod val="130000"/>
        </a:schemeClr>
      </a:solidFill>
      <a:gradFill rotWithShape="1">
        <a:gsLst>
          <a:gs pos="0">
            <a:schemeClr val="phClr">
              <a:tint val="96000"/>
              <a:shade val="99000"/>
              <a:satMod val="140000"/>
            </a:schemeClr>
          </a:gs>
          <a:gs pos="65000">
            <a:schemeClr val="phClr">
              <a:tint val="100000"/>
              <a:shade val="80000"/>
              <a:satMod val="130000"/>
            </a:schemeClr>
          </a:gs>
          <a:gs pos="100000">
            <a:schemeClr val="phClr">
              <a:tint val="100000"/>
              <a:shade val="48000"/>
              <a:satMod val="120000"/>
            </a:schemeClr>
          </a:gs>
        </a:gsLst>
        <a:lin ang="162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7EF5-AAA6-41FE-BA61-C2226539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Celmina</dc:creator>
  <cp:lastModifiedBy>Iveta Stafecka</cp:lastModifiedBy>
  <cp:revision>3</cp:revision>
  <cp:lastPrinted>2014-10-20T09:34:00Z</cp:lastPrinted>
  <dcterms:created xsi:type="dcterms:W3CDTF">2023-02-20T13:11:00Z</dcterms:created>
  <dcterms:modified xsi:type="dcterms:W3CDTF">2023-02-20T13:12:00Z</dcterms:modified>
</cp:coreProperties>
</file>