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64E5" w14:textId="77777777" w:rsidR="00ED5874" w:rsidRDefault="00F0271A" w:rsidP="009C5E13">
      <w:pPr>
        <w:jc w:val="right"/>
      </w:pPr>
      <w:r>
        <w:t>2</w:t>
      </w:r>
      <w:r w:rsidR="009C5E13">
        <w:t>.pielikums</w:t>
      </w:r>
      <w:r w:rsidR="001C2964">
        <w:rPr>
          <w:rStyle w:val="FootnoteReference"/>
        </w:rPr>
        <w:footnoteReference w:id="1"/>
      </w:r>
    </w:p>
    <w:p w14:paraId="05088CF9" w14:textId="77777777" w:rsidR="00B03C58" w:rsidRDefault="00B03C58" w:rsidP="009C5E13">
      <w:pPr>
        <w:jc w:val="right"/>
      </w:pPr>
      <w:r>
        <w:t>Pozīcija</w:t>
      </w:r>
      <w:r w:rsidR="00FD4E44">
        <w:t xml:space="preserve"> </w:t>
      </w:r>
      <w:r>
        <w:t xml:space="preserve">Par </w:t>
      </w:r>
      <w:r w:rsidRPr="00B03C58">
        <w:t xml:space="preserve">Eiropas Komisijas Reģionālās politikas ģenerāldirektorāta 2011.gada oktobrī veiktās revīzijas rezultātā aprēķināto finanšu korekciju </w:t>
      </w:r>
    </w:p>
    <w:p w14:paraId="3414CF86" w14:textId="77777777" w:rsidR="00B03C58" w:rsidRDefault="002E0D35" w:rsidP="009C5E13">
      <w:pPr>
        <w:jc w:val="right"/>
      </w:pPr>
      <w:r>
        <w:t>par</w:t>
      </w:r>
      <w:r w:rsidR="00B03C58" w:rsidRPr="00B03C58">
        <w:t xml:space="preserve"> Eiropas Reģionālās attīstības fonda līdzfinansēto finanšu vadības instrumentu aktivitāšu īstenošanu Latvijā</w:t>
      </w:r>
    </w:p>
    <w:p w14:paraId="1D6A21D2" w14:textId="77777777" w:rsidR="00816BF4" w:rsidRDefault="00816BF4" w:rsidP="009C5E13">
      <w:pPr>
        <w:jc w:val="right"/>
      </w:pPr>
    </w:p>
    <w:p w14:paraId="0BA03C79" w14:textId="77777777" w:rsidR="00DC1C0F" w:rsidRDefault="00F0271A" w:rsidP="004E78C1">
      <w:pPr>
        <w:jc w:val="center"/>
        <w:rPr>
          <w:b/>
        </w:rPr>
      </w:pPr>
      <w:r>
        <w:rPr>
          <w:b/>
        </w:rPr>
        <w:t xml:space="preserve">Informācija par </w:t>
      </w:r>
      <w:r w:rsidR="00DC1C0F" w:rsidRPr="005500A2">
        <w:rPr>
          <w:b/>
        </w:rPr>
        <w:t>Eiropas Komisijas</w:t>
      </w:r>
      <w:r w:rsidR="00DC1C0F">
        <w:t xml:space="preserve"> </w:t>
      </w:r>
      <w:r w:rsidR="00DC1C0F" w:rsidRPr="005500A2">
        <w:rPr>
          <w:b/>
        </w:rPr>
        <w:t>Starpp</w:t>
      </w:r>
      <w:r w:rsidR="00335020">
        <w:rPr>
          <w:b/>
        </w:rPr>
        <w:t>osma revīzijas ziņojuma projekt</w:t>
      </w:r>
      <w:r>
        <w:rPr>
          <w:b/>
        </w:rPr>
        <w:t>ā</w:t>
      </w:r>
      <w:r w:rsidR="00DC1C0F" w:rsidRPr="005500A2">
        <w:rPr>
          <w:b/>
        </w:rPr>
        <w:t xml:space="preserve"> Nr.2011/LV/REGIO/J2/976/1</w:t>
      </w:r>
      <w:r w:rsidR="00335020">
        <w:rPr>
          <w:b/>
        </w:rPr>
        <w:t xml:space="preserve"> </w:t>
      </w:r>
      <w:r>
        <w:rPr>
          <w:b/>
        </w:rPr>
        <w:t>norādītajiem konstatējumiem, izdarītajiem secinājumiem, piedāvāto finanšu korekciju un iespējamo turpmāko rīcību</w:t>
      </w:r>
    </w:p>
    <w:p w14:paraId="1D3CB6DD" w14:textId="77777777" w:rsidR="00816BF4" w:rsidRPr="005500A2" w:rsidRDefault="00816BF4" w:rsidP="00DC1C0F">
      <w:pPr>
        <w:rPr>
          <w:b/>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851"/>
        <w:gridCol w:w="1701"/>
        <w:gridCol w:w="2410"/>
        <w:gridCol w:w="4536"/>
        <w:gridCol w:w="1984"/>
        <w:gridCol w:w="3402"/>
      </w:tblGrid>
      <w:tr w:rsidR="00C24735" w:rsidRPr="00816BF4" w14:paraId="41C1AD69" w14:textId="77777777" w:rsidTr="00C24735">
        <w:trPr>
          <w:tblHeader/>
        </w:trPr>
        <w:tc>
          <w:tcPr>
            <w:tcW w:w="851" w:type="dxa"/>
            <w:tcBorders>
              <w:right w:val="single" w:sz="2" w:space="0" w:color="auto"/>
            </w:tcBorders>
            <w:shd w:val="clear" w:color="auto" w:fill="D9D9D9"/>
            <w:vAlign w:val="center"/>
          </w:tcPr>
          <w:p w14:paraId="3D400C02" w14:textId="77777777" w:rsidR="00C24735" w:rsidRPr="00816BF4" w:rsidRDefault="00C24735" w:rsidP="004F7645">
            <w:pPr>
              <w:jc w:val="center"/>
              <w:rPr>
                <w:b/>
                <w:szCs w:val="24"/>
              </w:rPr>
            </w:pPr>
            <w:r w:rsidRPr="00816BF4">
              <w:rPr>
                <w:b/>
                <w:szCs w:val="24"/>
              </w:rPr>
              <w:t xml:space="preserve">Nr.p.k. </w:t>
            </w:r>
          </w:p>
        </w:tc>
        <w:tc>
          <w:tcPr>
            <w:tcW w:w="1701" w:type="dxa"/>
            <w:tcBorders>
              <w:right w:val="single" w:sz="2" w:space="0" w:color="auto"/>
            </w:tcBorders>
            <w:shd w:val="clear" w:color="auto" w:fill="D9D9D9"/>
            <w:vAlign w:val="center"/>
          </w:tcPr>
          <w:p w14:paraId="5D198CC1" w14:textId="77777777" w:rsidR="00C24735" w:rsidRPr="00816BF4" w:rsidRDefault="00C24735" w:rsidP="004F7645">
            <w:pPr>
              <w:jc w:val="center"/>
              <w:rPr>
                <w:b/>
                <w:szCs w:val="24"/>
              </w:rPr>
            </w:pPr>
            <w:r w:rsidRPr="00816BF4">
              <w:rPr>
                <w:b/>
                <w:szCs w:val="24"/>
              </w:rPr>
              <w:t>Fonds</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839B4C3" w14:textId="77777777" w:rsidR="00C24735" w:rsidRPr="00816BF4" w:rsidRDefault="00C24735" w:rsidP="004F7645">
            <w:pPr>
              <w:jc w:val="center"/>
              <w:rPr>
                <w:b/>
                <w:szCs w:val="24"/>
              </w:rPr>
            </w:pPr>
            <w:r w:rsidRPr="00816BF4">
              <w:rPr>
                <w:b/>
                <w:szCs w:val="24"/>
              </w:rPr>
              <w:t>Pārkāpums/Finanšu ietekmes cēlonis</w:t>
            </w:r>
          </w:p>
        </w:tc>
        <w:tc>
          <w:tcPr>
            <w:tcW w:w="4536" w:type="dxa"/>
            <w:tcBorders>
              <w:left w:val="single" w:sz="4" w:space="0" w:color="auto"/>
            </w:tcBorders>
            <w:shd w:val="clear" w:color="auto" w:fill="D9D9D9"/>
            <w:vAlign w:val="center"/>
          </w:tcPr>
          <w:p w14:paraId="18D85EDB" w14:textId="77777777" w:rsidR="00C24735" w:rsidRPr="00816BF4" w:rsidRDefault="00C24735" w:rsidP="004F7645">
            <w:pPr>
              <w:jc w:val="center"/>
              <w:rPr>
                <w:b/>
                <w:szCs w:val="24"/>
              </w:rPr>
            </w:pPr>
            <w:r w:rsidRPr="00816BF4">
              <w:rPr>
                <w:b/>
                <w:szCs w:val="24"/>
              </w:rPr>
              <w:t>Eiropas Komisijas (EK) pamatojums finansu korekcijas piemērošanai</w:t>
            </w:r>
          </w:p>
        </w:tc>
        <w:tc>
          <w:tcPr>
            <w:tcW w:w="1984" w:type="dxa"/>
            <w:shd w:val="clear" w:color="auto" w:fill="D9D9D9"/>
            <w:vAlign w:val="center"/>
          </w:tcPr>
          <w:p w14:paraId="3FBBAC02" w14:textId="77777777" w:rsidR="00C24735" w:rsidRPr="00816BF4" w:rsidRDefault="00C24735" w:rsidP="00F010CF">
            <w:pPr>
              <w:jc w:val="center"/>
              <w:rPr>
                <w:b/>
                <w:szCs w:val="24"/>
              </w:rPr>
            </w:pPr>
            <w:r w:rsidRPr="00816BF4">
              <w:rPr>
                <w:b/>
                <w:szCs w:val="24"/>
              </w:rPr>
              <w:t>EK aprēķinātās neatbilstības apmērs</w:t>
            </w:r>
          </w:p>
          <w:p w14:paraId="1DC2A843" w14:textId="77777777" w:rsidR="00C24735" w:rsidRPr="00816BF4" w:rsidRDefault="00C24735" w:rsidP="00F010CF">
            <w:pPr>
              <w:jc w:val="center"/>
              <w:rPr>
                <w:b/>
                <w:szCs w:val="24"/>
              </w:rPr>
            </w:pPr>
            <w:r w:rsidRPr="00816BF4">
              <w:rPr>
                <w:i/>
                <w:szCs w:val="24"/>
              </w:rPr>
              <w:t>Summas norādītas LVL</w:t>
            </w:r>
          </w:p>
        </w:tc>
        <w:tc>
          <w:tcPr>
            <w:tcW w:w="3402" w:type="dxa"/>
            <w:tcBorders>
              <w:right w:val="single" w:sz="4" w:space="0" w:color="auto"/>
            </w:tcBorders>
            <w:shd w:val="clear" w:color="auto" w:fill="D9D9D9"/>
            <w:vAlign w:val="center"/>
          </w:tcPr>
          <w:p w14:paraId="4FBDDC85" w14:textId="77777777" w:rsidR="00C24735" w:rsidRPr="00816BF4" w:rsidRDefault="00C24735" w:rsidP="004F7645">
            <w:pPr>
              <w:jc w:val="center"/>
              <w:rPr>
                <w:b/>
                <w:szCs w:val="24"/>
              </w:rPr>
            </w:pPr>
            <w:r w:rsidRPr="00816BF4">
              <w:rPr>
                <w:b/>
                <w:szCs w:val="24"/>
              </w:rPr>
              <w:t>Latvijas atbildīgo iestāžu iespējamā turpmākā rīcība attiecībā uz finansēm</w:t>
            </w:r>
          </w:p>
        </w:tc>
      </w:tr>
      <w:tr w:rsidR="00C24735" w:rsidRPr="00816BF4" w14:paraId="1DE9819C" w14:textId="77777777" w:rsidTr="00C24735">
        <w:trPr>
          <w:tblHeader/>
        </w:trPr>
        <w:tc>
          <w:tcPr>
            <w:tcW w:w="851" w:type="dxa"/>
            <w:tcBorders>
              <w:bottom w:val="single" w:sz="4" w:space="0" w:color="auto"/>
              <w:right w:val="single" w:sz="2" w:space="0" w:color="auto"/>
            </w:tcBorders>
            <w:shd w:val="clear" w:color="auto" w:fill="D9D9D9"/>
          </w:tcPr>
          <w:p w14:paraId="3E267FD8" w14:textId="77777777" w:rsidR="00C24735" w:rsidRPr="00816BF4" w:rsidRDefault="00C24735" w:rsidP="004F7645">
            <w:pPr>
              <w:jc w:val="center"/>
              <w:rPr>
                <w:i/>
                <w:szCs w:val="24"/>
              </w:rPr>
            </w:pPr>
            <w:r w:rsidRPr="00816BF4">
              <w:rPr>
                <w:i/>
                <w:szCs w:val="24"/>
              </w:rPr>
              <w:t>(1)</w:t>
            </w:r>
          </w:p>
        </w:tc>
        <w:tc>
          <w:tcPr>
            <w:tcW w:w="1701" w:type="dxa"/>
            <w:tcBorders>
              <w:bottom w:val="single" w:sz="4" w:space="0" w:color="auto"/>
              <w:right w:val="single" w:sz="2" w:space="0" w:color="auto"/>
            </w:tcBorders>
            <w:shd w:val="clear" w:color="auto" w:fill="D9D9D9"/>
          </w:tcPr>
          <w:p w14:paraId="66034E1E" w14:textId="77777777" w:rsidR="00C24735" w:rsidRPr="00816BF4" w:rsidRDefault="00C24735" w:rsidP="00F010CF">
            <w:pPr>
              <w:jc w:val="center"/>
              <w:rPr>
                <w:i/>
                <w:szCs w:val="24"/>
              </w:rPr>
            </w:pPr>
            <w:r w:rsidRPr="00816BF4">
              <w:rPr>
                <w:i/>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27D8CE22" w14:textId="77777777" w:rsidR="00C24735" w:rsidRPr="00816BF4" w:rsidRDefault="00C24735" w:rsidP="00863F31">
            <w:pPr>
              <w:jc w:val="center"/>
              <w:rPr>
                <w:i/>
                <w:szCs w:val="24"/>
              </w:rPr>
            </w:pPr>
            <w:r w:rsidRPr="00816BF4">
              <w:rPr>
                <w:i/>
                <w:szCs w:val="24"/>
              </w:rPr>
              <w:t>(</w:t>
            </w:r>
            <w:r>
              <w:rPr>
                <w:i/>
                <w:szCs w:val="24"/>
              </w:rPr>
              <w:t>4</w:t>
            </w:r>
            <w:r w:rsidRPr="00816BF4">
              <w:rPr>
                <w:i/>
                <w:szCs w:val="24"/>
              </w:rPr>
              <w:t>)</w:t>
            </w:r>
          </w:p>
        </w:tc>
        <w:tc>
          <w:tcPr>
            <w:tcW w:w="4536" w:type="dxa"/>
            <w:tcBorders>
              <w:left w:val="single" w:sz="4" w:space="0" w:color="auto"/>
              <w:bottom w:val="single" w:sz="4" w:space="0" w:color="auto"/>
            </w:tcBorders>
            <w:shd w:val="clear" w:color="auto" w:fill="D9D9D9"/>
          </w:tcPr>
          <w:p w14:paraId="4368C425" w14:textId="77777777" w:rsidR="00C24735" w:rsidRPr="00816BF4" w:rsidRDefault="00C24735" w:rsidP="00863F31">
            <w:pPr>
              <w:jc w:val="center"/>
              <w:rPr>
                <w:i/>
                <w:szCs w:val="24"/>
              </w:rPr>
            </w:pPr>
            <w:r w:rsidRPr="00816BF4">
              <w:rPr>
                <w:i/>
                <w:szCs w:val="24"/>
              </w:rPr>
              <w:t>(</w:t>
            </w:r>
            <w:r>
              <w:rPr>
                <w:i/>
                <w:szCs w:val="24"/>
              </w:rPr>
              <w:t>5</w:t>
            </w:r>
            <w:r w:rsidRPr="00816BF4">
              <w:rPr>
                <w:i/>
                <w:szCs w:val="24"/>
              </w:rPr>
              <w:t>)</w:t>
            </w:r>
          </w:p>
        </w:tc>
        <w:tc>
          <w:tcPr>
            <w:tcW w:w="1984" w:type="dxa"/>
            <w:tcBorders>
              <w:bottom w:val="single" w:sz="4" w:space="0" w:color="auto"/>
            </w:tcBorders>
            <w:shd w:val="clear" w:color="auto" w:fill="D9D9D9"/>
          </w:tcPr>
          <w:p w14:paraId="25399875" w14:textId="77777777" w:rsidR="00C24735" w:rsidRPr="00816BF4" w:rsidRDefault="00C24735" w:rsidP="00863F31">
            <w:pPr>
              <w:jc w:val="center"/>
              <w:rPr>
                <w:i/>
                <w:szCs w:val="24"/>
              </w:rPr>
            </w:pPr>
            <w:r w:rsidRPr="00816BF4">
              <w:rPr>
                <w:i/>
                <w:szCs w:val="24"/>
              </w:rPr>
              <w:t>(</w:t>
            </w:r>
            <w:r>
              <w:rPr>
                <w:i/>
                <w:szCs w:val="24"/>
              </w:rPr>
              <w:t>6</w:t>
            </w:r>
            <w:r w:rsidRPr="00816BF4">
              <w:rPr>
                <w:i/>
                <w:szCs w:val="24"/>
              </w:rPr>
              <w:t>)</w:t>
            </w:r>
          </w:p>
        </w:tc>
        <w:tc>
          <w:tcPr>
            <w:tcW w:w="3402" w:type="dxa"/>
            <w:tcBorders>
              <w:bottom w:val="single" w:sz="4" w:space="0" w:color="auto"/>
              <w:right w:val="single" w:sz="4" w:space="0" w:color="auto"/>
            </w:tcBorders>
            <w:shd w:val="clear" w:color="auto" w:fill="D9D9D9"/>
          </w:tcPr>
          <w:p w14:paraId="2D9A9241" w14:textId="77777777" w:rsidR="00C24735" w:rsidRPr="00816BF4" w:rsidRDefault="00C24735" w:rsidP="00863F31">
            <w:pPr>
              <w:jc w:val="center"/>
              <w:rPr>
                <w:i/>
                <w:szCs w:val="24"/>
              </w:rPr>
            </w:pPr>
            <w:r w:rsidRPr="00816BF4">
              <w:rPr>
                <w:i/>
                <w:szCs w:val="24"/>
              </w:rPr>
              <w:t>(</w:t>
            </w:r>
            <w:r>
              <w:rPr>
                <w:i/>
                <w:szCs w:val="24"/>
              </w:rPr>
              <w:t>7</w:t>
            </w:r>
            <w:r w:rsidRPr="00816BF4">
              <w:rPr>
                <w:i/>
                <w:szCs w:val="24"/>
              </w:rPr>
              <w:t>)</w:t>
            </w:r>
          </w:p>
        </w:tc>
      </w:tr>
      <w:tr w:rsidR="00C24735" w:rsidRPr="00816BF4" w14:paraId="6A81B879" w14:textId="77777777" w:rsidTr="00C24735">
        <w:trPr>
          <w:trHeight w:val="326"/>
        </w:trPr>
        <w:tc>
          <w:tcPr>
            <w:tcW w:w="851" w:type="dxa"/>
            <w:vMerge w:val="restart"/>
            <w:tcBorders>
              <w:top w:val="single" w:sz="4" w:space="0" w:color="auto"/>
              <w:right w:val="single" w:sz="2" w:space="0" w:color="auto"/>
            </w:tcBorders>
            <w:shd w:val="clear" w:color="auto" w:fill="F2F2F2"/>
            <w:vAlign w:val="center"/>
          </w:tcPr>
          <w:p w14:paraId="221E07C7" w14:textId="77777777" w:rsidR="00C24735" w:rsidRPr="00816BF4" w:rsidRDefault="00C24735" w:rsidP="004F7645">
            <w:pPr>
              <w:jc w:val="center"/>
              <w:rPr>
                <w:b/>
                <w:szCs w:val="24"/>
              </w:rPr>
            </w:pPr>
            <w:r w:rsidRPr="00816BF4">
              <w:rPr>
                <w:b/>
                <w:szCs w:val="24"/>
              </w:rPr>
              <w:t>1.</w:t>
            </w:r>
          </w:p>
          <w:p w14:paraId="751D296B" w14:textId="77777777" w:rsidR="00C24735" w:rsidRPr="00816BF4" w:rsidRDefault="00C24735" w:rsidP="004F7645">
            <w:pPr>
              <w:jc w:val="center"/>
              <w:rPr>
                <w:b/>
                <w:szCs w:val="24"/>
              </w:rPr>
            </w:pPr>
          </w:p>
        </w:tc>
        <w:tc>
          <w:tcPr>
            <w:tcW w:w="1701" w:type="dxa"/>
            <w:vMerge w:val="restart"/>
            <w:tcBorders>
              <w:top w:val="single" w:sz="4" w:space="0" w:color="auto"/>
              <w:right w:val="single" w:sz="2" w:space="0" w:color="auto"/>
            </w:tcBorders>
            <w:shd w:val="clear" w:color="auto" w:fill="F2F2F2"/>
            <w:vAlign w:val="center"/>
          </w:tcPr>
          <w:p w14:paraId="7ACADCB0" w14:textId="77777777" w:rsidR="00C24735" w:rsidRPr="00C24735" w:rsidRDefault="00C24735" w:rsidP="004F7645">
            <w:pPr>
              <w:jc w:val="center"/>
              <w:rPr>
                <w:sz w:val="20"/>
                <w:szCs w:val="20"/>
              </w:rPr>
            </w:pPr>
            <w:r w:rsidRPr="00816BF4">
              <w:rPr>
                <w:b/>
                <w:szCs w:val="24"/>
              </w:rPr>
              <w:t xml:space="preserve"> Garantiju fonds</w:t>
            </w:r>
            <w:r w:rsidRPr="00816BF4">
              <w:rPr>
                <w:szCs w:val="24"/>
              </w:rPr>
              <w:t xml:space="preserve">  </w:t>
            </w:r>
            <w:r w:rsidRPr="00C24735">
              <w:rPr>
                <w:sz w:val="20"/>
                <w:szCs w:val="20"/>
              </w:rPr>
              <w:t xml:space="preserve">(2.2.1.3. </w:t>
            </w:r>
          </w:p>
          <w:p w14:paraId="53813EA7" w14:textId="77777777" w:rsidR="00C24735" w:rsidRPr="00C24735" w:rsidRDefault="00C24735" w:rsidP="00863F31">
            <w:pPr>
              <w:jc w:val="center"/>
              <w:rPr>
                <w:sz w:val="20"/>
                <w:szCs w:val="20"/>
              </w:rPr>
            </w:pPr>
            <w:r w:rsidRPr="00C24735">
              <w:rPr>
                <w:sz w:val="20"/>
                <w:szCs w:val="20"/>
              </w:rPr>
              <w:t>Aktivitātes kopējais budžets</w:t>
            </w:r>
          </w:p>
          <w:p w14:paraId="204D6A1B" w14:textId="77777777" w:rsidR="00C24735" w:rsidRPr="00C24735" w:rsidRDefault="00C24735" w:rsidP="00863F31">
            <w:pPr>
              <w:jc w:val="center"/>
              <w:rPr>
                <w:sz w:val="20"/>
                <w:szCs w:val="20"/>
              </w:rPr>
            </w:pPr>
            <w:r w:rsidRPr="00C24735">
              <w:rPr>
                <w:sz w:val="20"/>
                <w:szCs w:val="20"/>
              </w:rPr>
              <w:t>19 999 999,85</w:t>
            </w:r>
            <w:r>
              <w:rPr>
                <w:sz w:val="20"/>
                <w:szCs w:val="20"/>
              </w:rPr>
              <w:t>)</w:t>
            </w:r>
          </w:p>
          <w:p w14:paraId="54EC54B1" w14:textId="77777777" w:rsidR="00C24735" w:rsidRDefault="00C24735" w:rsidP="00863F31">
            <w:pPr>
              <w:jc w:val="center"/>
              <w:rPr>
                <w:sz w:val="20"/>
                <w:szCs w:val="20"/>
              </w:rPr>
            </w:pPr>
          </w:p>
          <w:p w14:paraId="0979DDB3" w14:textId="77777777" w:rsidR="00C24735" w:rsidRDefault="00C24735" w:rsidP="00863F31">
            <w:pPr>
              <w:jc w:val="center"/>
              <w:rPr>
                <w:sz w:val="20"/>
                <w:szCs w:val="20"/>
              </w:rPr>
            </w:pPr>
          </w:p>
          <w:p w14:paraId="233AD5E0" w14:textId="77777777" w:rsidR="00C24735" w:rsidRDefault="00C24735" w:rsidP="00863F31">
            <w:pPr>
              <w:jc w:val="center"/>
              <w:rPr>
                <w:sz w:val="20"/>
                <w:szCs w:val="20"/>
              </w:rPr>
            </w:pPr>
          </w:p>
          <w:p w14:paraId="232BAE8B" w14:textId="77777777" w:rsidR="00C24735" w:rsidRDefault="00C24735" w:rsidP="00863F31">
            <w:pPr>
              <w:jc w:val="center"/>
              <w:rPr>
                <w:sz w:val="20"/>
                <w:szCs w:val="20"/>
              </w:rPr>
            </w:pPr>
          </w:p>
          <w:p w14:paraId="5DD3DEDD" w14:textId="77777777" w:rsidR="00C24735" w:rsidRDefault="00C24735" w:rsidP="00863F31">
            <w:pPr>
              <w:jc w:val="center"/>
              <w:rPr>
                <w:sz w:val="20"/>
                <w:szCs w:val="20"/>
              </w:rPr>
            </w:pPr>
          </w:p>
          <w:p w14:paraId="2419B25B" w14:textId="77777777" w:rsidR="00C24735" w:rsidRPr="00816BF4" w:rsidRDefault="00C24735" w:rsidP="00C24735">
            <w:pPr>
              <w:jc w:val="center"/>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08DC2062" w14:textId="77777777" w:rsidR="00C24735" w:rsidRPr="00816BF4" w:rsidRDefault="00C24735" w:rsidP="004D370B">
            <w:pPr>
              <w:jc w:val="center"/>
              <w:rPr>
                <w:szCs w:val="24"/>
              </w:rPr>
            </w:pPr>
          </w:p>
          <w:p w14:paraId="7FD30279" w14:textId="77777777" w:rsidR="00C24735" w:rsidRDefault="00C24735" w:rsidP="005967E3">
            <w:pPr>
              <w:numPr>
                <w:ilvl w:val="1"/>
                <w:numId w:val="1"/>
              </w:numPr>
              <w:ind w:left="34" w:firstLine="0"/>
              <w:jc w:val="center"/>
              <w:rPr>
                <w:szCs w:val="24"/>
              </w:rPr>
            </w:pPr>
            <w:r w:rsidRPr="00816BF4">
              <w:rPr>
                <w:szCs w:val="24"/>
              </w:rPr>
              <w:t>Garantijas kredīta brīvdienām</w:t>
            </w:r>
          </w:p>
          <w:p w14:paraId="5D12E8F8" w14:textId="77777777" w:rsidR="00C24735" w:rsidRPr="00816BF4" w:rsidRDefault="00C24735" w:rsidP="00863F31">
            <w:pPr>
              <w:ind w:left="34"/>
              <w:rPr>
                <w:szCs w:val="24"/>
              </w:rPr>
            </w:pPr>
          </w:p>
        </w:tc>
        <w:tc>
          <w:tcPr>
            <w:tcW w:w="4536" w:type="dxa"/>
            <w:tcBorders>
              <w:top w:val="single" w:sz="4" w:space="0" w:color="auto"/>
              <w:left w:val="single" w:sz="4" w:space="0" w:color="auto"/>
            </w:tcBorders>
            <w:shd w:val="clear" w:color="auto" w:fill="FFFFFF"/>
            <w:vAlign w:val="center"/>
          </w:tcPr>
          <w:p w14:paraId="39806C9A" w14:textId="77777777" w:rsidR="00C24735" w:rsidRPr="00816BF4" w:rsidRDefault="00C24735" w:rsidP="007B1BA9">
            <w:pPr>
              <w:jc w:val="both"/>
              <w:rPr>
                <w:szCs w:val="24"/>
              </w:rPr>
            </w:pPr>
            <w:r w:rsidRPr="00816BF4">
              <w:rPr>
                <w:szCs w:val="24"/>
              </w:rPr>
              <w:t xml:space="preserve">Piešķirtas garantijas „kredīta brīvdienām” aizdevumu garantēšanai, kas neveicina konkurētspējas mērķa īstenošanai. Šādas garantijas </w:t>
            </w:r>
            <w:r w:rsidRPr="00816BF4">
              <w:rPr>
                <w:b/>
                <w:szCs w:val="24"/>
              </w:rPr>
              <w:t>neatbilst Padomes Regulas (EK) Nr.1828/2006 45.pantam</w:t>
            </w:r>
            <w:r w:rsidRPr="00816BF4">
              <w:rPr>
                <w:szCs w:val="24"/>
              </w:rPr>
              <w:t>, lai gan saskaņā ar Regulas 2011.gada 13.decembra grozījumiem</w:t>
            </w:r>
            <w:r w:rsidRPr="00816BF4">
              <w:rPr>
                <w:rStyle w:val="FootnoteReference"/>
                <w:szCs w:val="24"/>
              </w:rPr>
              <w:footnoteReference w:id="2"/>
            </w:r>
            <w:r w:rsidRPr="00816BF4">
              <w:rPr>
                <w:szCs w:val="24"/>
              </w:rPr>
              <w:t xml:space="preserve"> un COCOF</w:t>
            </w:r>
            <w:r w:rsidRPr="00816BF4">
              <w:rPr>
                <w:rStyle w:val="FootnoteReference"/>
                <w:szCs w:val="24"/>
              </w:rPr>
              <w:footnoteReference w:id="3"/>
            </w:r>
            <w:r w:rsidRPr="00816BF4">
              <w:rPr>
                <w:szCs w:val="24"/>
              </w:rPr>
              <w:t xml:space="preserve"> metodiskajiem norādījumiem finanšu vadības instrumentus atļauts izmantot „apgrozāmā kapitāla” aizdevumiem. Tomēr EK pamato, ka Regulas grozījumi nav piemērojami ar atpakaļejošu spēku. </w:t>
            </w:r>
          </w:p>
        </w:tc>
        <w:tc>
          <w:tcPr>
            <w:tcW w:w="1984" w:type="dxa"/>
            <w:tcBorders>
              <w:top w:val="single" w:sz="4" w:space="0" w:color="auto"/>
            </w:tcBorders>
            <w:shd w:val="clear" w:color="auto" w:fill="FFFFFF"/>
            <w:vAlign w:val="center"/>
          </w:tcPr>
          <w:p w14:paraId="0ED3291D" w14:textId="77777777" w:rsidR="00C24735" w:rsidRDefault="00C24735" w:rsidP="00F010CF">
            <w:pPr>
              <w:jc w:val="center"/>
              <w:rPr>
                <w:szCs w:val="24"/>
              </w:rPr>
            </w:pPr>
            <w:bookmarkStart w:id="2" w:name="OLE_LINK1"/>
            <w:r w:rsidRPr="00816BF4">
              <w:rPr>
                <w:szCs w:val="24"/>
              </w:rPr>
              <w:t>16 963 772,19</w:t>
            </w:r>
            <w:bookmarkEnd w:id="2"/>
            <w:r w:rsidRPr="00816BF4">
              <w:rPr>
                <w:szCs w:val="24"/>
              </w:rPr>
              <w:t>*</w:t>
            </w:r>
          </w:p>
          <w:p w14:paraId="55DCF6DB" w14:textId="77777777" w:rsidR="00C24735" w:rsidRDefault="00C24735" w:rsidP="00F010CF">
            <w:pPr>
              <w:jc w:val="center"/>
              <w:rPr>
                <w:sz w:val="20"/>
                <w:szCs w:val="20"/>
              </w:rPr>
            </w:pPr>
          </w:p>
          <w:p w14:paraId="18F707AD" w14:textId="77777777" w:rsidR="00C24735" w:rsidRPr="00863F31" w:rsidRDefault="00C24735" w:rsidP="00F010CF">
            <w:pPr>
              <w:jc w:val="center"/>
              <w:rPr>
                <w:sz w:val="20"/>
                <w:szCs w:val="20"/>
              </w:rPr>
            </w:pPr>
          </w:p>
        </w:tc>
        <w:tc>
          <w:tcPr>
            <w:tcW w:w="3402" w:type="dxa"/>
            <w:tcBorders>
              <w:top w:val="single" w:sz="4" w:space="0" w:color="auto"/>
              <w:bottom w:val="single" w:sz="4" w:space="0" w:color="auto"/>
              <w:right w:val="single" w:sz="4" w:space="0" w:color="auto"/>
            </w:tcBorders>
            <w:shd w:val="clear" w:color="auto" w:fill="FFFFFF"/>
            <w:vAlign w:val="center"/>
          </w:tcPr>
          <w:p w14:paraId="57EE42B3" w14:textId="77777777" w:rsidR="00C24735" w:rsidRPr="00816BF4" w:rsidRDefault="00C24735" w:rsidP="004F7645">
            <w:pPr>
              <w:jc w:val="center"/>
              <w:rPr>
                <w:szCs w:val="24"/>
              </w:rPr>
            </w:pPr>
            <w:r w:rsidRPr="00816BF4">
              <w:rPr>
                <w:szCs w:val="24"/>
              </w:rPr>
              <w:t xml:space="preserve">Aizstāt neatbilstoši izsniegtās garantijas ar atbilstoši Padomes Regulas (EK) Nr.1828/2006 45.pantam izsniegtajām garantijām vai izmantot ERAF finansējumu citu ES fondu aktivitāšu īstenošanai. </w:t>
            </w:r>
          </w:p>
        </w:tc>
      </w:tr>
      <w:tr w:rsidR="00C24735" w:rsidRPr="00816BF4" w14:paraId="7D77FC7D" w14:textId="77777777" w:rsidTr="00C24735">
        <w:trPr>
          <w:trHeight w:val="283"/>
        </w:trPr>
        <w:tc>
          <w:tcPr>
            <w:tcW w:w="851" w:type="dxa"/>
            <w:vMerge/>
            <w:tcBorders>
              <w:right w:val="single" w:sz="2" w:space="0" w:color="auto"/>
            </w:tcBorders>
            <w:shd w:val="clear" w:color="auto" w:fill="F2F2F2"/>
            <w:vAlign w:val="center"/>
          </w:tcPr>
          <w:p w14:paraId="0D8EE5EF" w14:textId="77777777" w:rsidR="00C24735" w:rsidRPr="00816BF4" w:rsidRDefault="00C24735" w:rsidP="004F7645">
            <w:pPr>
              <w:jc w:val="center"/>
              <w:rPr>
                <w:szCs w:val="24"/>
              </w:rPr>
            </w:pPr>
          </w:p>
        </w:tc>
        <w:tc>
          <w:tcPr>
            <w:tcW w:w="1701" w:type="dxa"/>
            <w:vMerge/>
            <w:tcBorders>
              <w:right w:val="single" w:sz="2" w:space="0" w:color="auto"/>
            </w:tcBorders>
            <w:shd w:val="clear" w:color="auto" w:fill="F2F2F2"/>
            <w:vAlign w:val="center"/>
          </w:tcPr>
          <w:p w14:paraId="3E17AB7C" w14:textId="77777777" w:rsidR="00C24735" w:rsidRPr="00816BF4" w:rsidRDefault="00C24735" w:rsidP="004F7645">
            <w:pPr>
              <w:jc w:val="center"/>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2D1A8D96" w14:textId="77777777" w:rsidR="00C24735" w:rsidRPr="00816BF4" w:rsidRDefault="00C24735" w:rsidP="004D370B">
            <w:pPr>
              <w:numPr>
                <w:ilvl w:val="1"/>
                <w:numId w:val="1"/>
              </w:numPr>
              <w:jc w:val="center"/>
              <w:rPr>
                <w:szCs w:val="24"/>
              </w:rPr>
            </w:pPr>
            <w:r w:rsidRPr="00816BF4">
              <w:rPr>
                <w:szCs w:val="24"/>
              </w:rPr>
              <w:t xml:space="preserve">Neatbilstīgam nolūkam </w:t>
            </w:r>
            <w:r w:rsidRPr="00816BF4">
              <w:rPr>
                <w:szCs w:val="24"/>
              </w:rPr>
              <w:lastRenderedPageBreak/>
              <w:t>izsniegtas garantijas</w:t>
            </w:r>
          </w:p>
        </w:tc>
        <w:tc>
          <w:tcPr>
            <w:tcW w:w="4536" w:type="dxa"/>
            <w:tcBorders>
              <w:left w:val="single" w:sz="4" w:space="0" w:color="auto"/>
            </w:tcBorders>
            <w:shd w:val="clear" w:color="auto" w:fill="FFFFFF"/>
            <w:vAlign w:val="center"/>
          </w:tcPr>
          <w:p w14:paraId="6EB68FA7" w14:textId="77777777" w:rsidR="00C24735" w:rsidRPr="00816BF4" w:rsidRDefault="00C24735" w:rsidP="007B1BA9">
            <w:pPr>
              <w:jc w:val="both"/>
              <w:rPr>
                <w:szCs w:val="24"/>
              </w:rPr>
            </w:pPr>
            <w:r w:rsidRPr="00816BF4">
              <w:rPr>
                <w:szCs w:val="24"/>
              </w:rPr>
              <w:lastRenderedPageBreak/>
              <w:t xml:space="preserve">Piešķirtas garantijas „apgrozāmā kapitāla” aizdevumu garantēšanai, kas neveicina </w:t>
            </w:r>
            <w:r w:rsidRPr="00816BF4">
              <w:rPr>
                <w:szCs w:val="24"/>
              </w:rPr>
              <w:lastRenderedPageBreak/>
              <w:t xml:space="preserve">konkurētspējas mērķa īstenošanai. Šādas garantijas </w:t>
            </w:r>
            <w:r w:rsidRPr="00816BF4">
              <w:rPr>
                <w:b/>
                <w:szCs w:val="24"/>
              </w:rPr>
              <w:t>neatbilst Padomes Regulas (EK) Nr.1828/2006 45.pantam</w:t>
            </w:r>
            <w:r w:rsidRPr="00816BF4">
              <w:rPr>
                <w:szCs w:val="24"/>
              </w:rPr>
              <w:t>, lai gan saskaņā ar Regulas 2011.gada 13.decembra grozījumiem un COCOF metodiskajiem norādījumiem</w:t>
            </w:r>
            <w:r w:rsidRPr="00816BF4">
              <w:rPr>
                <w:rStyle w:val="FootnoteReference"/>
                <w:szCs w:val="24"/>
              </w:rPr>
              <w:footnoteReference w:id="4"/>
            </w:r>
            <w:r w:rsidRPr="00816BF4">
              <w:rPr>
                <w:szCs w:val="24"/>
              </w:rPr>
              <w:t xml:space="preserve"> finanšu vadības instrumentus atļauts izmantot „apgrozāmā kapitāla” aizdevumiem. Tomēr EK pamato, ka Regulas grozījumi nav piemērojami ar atpakaļejošu spēku.</w:t>
            </w:r>
          </w:p>
        </w:tc>
        <w:tc>
          <w:tcPr>
            <w:tcW w:w="1984" w:type="dxa"/>
            <w:shd w:val="clear" w:color="auto" w:fill="FFFFFF"/>
            <w:vAlign w:val="center"/>
          </w:tcPr>
          <w:p w14:paraId="6CB1E38A" w14:textId="77777777" w:rsidR="00C24735" w:rsidRPr="00816BF4" w:rsidRDefault="00C24735" w:rsidP="00F010CF">
            <w:pPr>
              <w:jc w:val="center"/>
              <w:rPr>
                <w:szCs w:val="24"/>
              </w:rPr>
            </w:pPr>
            <w:r w:rsidRPr="00816BF4">
              <w:rPr>
                <w:szCs w:val="24"/>
              </w:rPr>
              <w:lastRenderedPageBreak/>
              <w:t>8 905 099,21**</w:t>
            </w:r>
          </w:p>
        </w:tc>
        <w:tc>
          <w:tcPr>
            <w:tcW w:w="3402" w:type="dxa"/>
            <w:tcBorders>
              <w:right w:val="single" w:sz="4" w:space="0" w:color="auto"/>
            </w:tcBorders>
            <w:shd w:val="clear" w:color="auto" w:fill="FFFFFF"/>
            <w:vAlign w:val="center"/>
          </w:tcPr>
          <w:p w14:paraId="7F73184B" w14:textId="77777777" w:rsidR="00C24735" w:rsidRPr="00816BF4" w:rsidRDefault="00C24735" w:rsidP="004F7645">
            <w:pPr>
              <w:jc w:val="center"/>
              <w:rPr>
                <w:szCs w:val="24"/>
              </w:rPr>
            </w:pPr>
            <w:r w:rsidRPr="00816BF4">
              <w:rPr>
                <w:szCs w:val="24"/>
              </w:rPr>
              <w:t xml:space="preserve">Aizstāt neatbilstoši izsniegtās garantijas ar atbilstoši Padomes </w:t>
            </w:r>
            <w:r w:rsidRPr="00816BF4">
              <w:rPr>
                <w:szCs w:val="24"/>
              </w:rPr>
              <w:lastRenderedPageBreak/>
              <w:t>Regulas (EK) Nr.1828/2006 45.pantam izsniegtajām garantijām vai izmantot ERAF finansējumu citu ES fondu aktivitāšu īstenošanai.</w:t>
            </w:r>
          </w:p>
        </w:tc>
      </w:tr>
      <w:tr w:rsidR="00C24735" w:rsidRPr="00816BF4" w14:paraId="50373ABA" w14:textId="77777777" w:rsidTr="00C24735">
        <w:tc>
          <w:tcPr>
            <w:tcW w:w="851" w:type="dxa"/>
            <w:vMerge/>
            <w:tcBorders>
              <w:right w:val="single" w:sz="2" w:space="0" w:color="auto"/>
            </w:tcBorders>
            <w:shd w:val="clear" w:color="auto" w:fill="F2F2F2"/>
            <w:vAlign w:val="center"/>
          </w:tcPr>
          <w:p w14:paraId="7F1E425D" w14:textId="77777777" w:rsidR="00C24735" w:rsidRPr="00816BF4" w:rsidRDefault="00C24735" w:rsidP="004F7645">
            <w:pPr>
              <w:jc w:val="center"/>
              <w:rPr>
                <w:szCs w:val="24"/>
              </w:rPr>
            </w:pPr>
          </w:p>
        </w:tc>
        <w:tc>
          <w:tcPr>
            <w:tcW w:w="1701" w:type="dxa"/>
            <w:vMerge/>
            <w:tcBorders>
              <w:right w:val="single" w:sz="2" w:space="0" w:color="auto"/>
            </w:tcBorders>
            <w:shd w:val="clear" w:color="auto" w:fill="F2F2F2"/>
            <w:vAlign w:val="center"/>
          </w:tcPr>
          <w:p w14:paraId="46E4ECD6" w14:textId="77777777" w:rsidR="00C24735" w:rsidRPr="00816BF4" w:rsidRDefault="00C24735" w:rsidP="004F7645">
            <w:pPr>
              <w:jc w:val="center"/>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575E9BBE" w14:textId="77777777" w:rsidR="00C24735" w:rsidRPr="00816BF4" w:rsidRDefault="00C24735" w:rsidP="004D370B">
            <w:pPr>
              <w:numPr>
                <w:ilvl w:val="1"/>
                <w:numId w:val="1"/>
              </w:numPr>
              <w:jc w:val="center"/>
              <w:rPr>
                <w:szCs w:val="24"/>
              </w:rPr>
            </w:pPr>
            <w:r w:rsidRPr="00816BF4">
              <w:rPr>
                <w:szCs w:val="24"/>
              </w:rPr>
              <w:t>Grūtībās nonākušiem uzņēmumiem piešķirtās garantijas</w:t>
            </w:r>
          </w:p>
        </w:tc>
        <w:tc>
          <w:tcPr>
            <w:tcW w:w="4536" w:type="dxa"/>
            <w:tcBorders>
              <w:left w:val="single" w:sz="4" w:space="0" w:color="auto"/>
              <w:bottom w:val="single" w:sz="4" w:space="0" w:color="auto"/>
            </w:tcBorders>
            <w:shd w:val="clear" w:color="auto" w:fill="FFFFFF"/>
            <w:vAlign w:val="center"/>
          </w:tcPr>
          <w:p w14:paraId="6389A53B" w14:textId="77777777" w:rsidR="00C24735" w:rsidRPr="00816BF4" w:rsidRDefault="00C24735" w:rsidP="007B1BA9">
            <w:pPr>
              <w:jc w:val="both"/>
              <w:rPr>
                <w:szCs w:val="24"/>
              </w:rPr>
            </w:pPr>
            <w:r w:rsidRPr="00816BF4">
              <w:rPr>
                <w:szCs w:val="24"/>
              </w:rPr>
              <w:t xml:space="preserve">Izsniegtās garantijas </w:t>
            </w:r>
            <w:r w:rsidRPr="00816BF4">
              <w:rPr>
                <w:b/>
                <w:szCs w:val="24"/>
              </w:rPr>
              <w:t>neatbilst Padomes Regulas (EK) Nr.1828/2006 45.pantam</w:t>
            </w:r>
            <w:r w:rsidRPr="00816BF4">
              <w:rPr>
                <w:szCs w:val="24"/>
              </w:rPr>
              <w:t xml:space="preserve">, jo izsniegtas grūtības nonākušiem uzņēmumiem saskaņā ar </w:t>
            </w:r>
            <w:r w:rsidRPr="00816BF4">
              <w:rPr>
                <w:bCs/>
                <w:szCs w:val="24"/>
              </w:rPr>
              <w:t xml:space="preserve">Kopienas 2004.gada 10.oktobra Pamatnostādnēm par valsts atbalstu grūtībās nonākušu uzņēmumu glābšanai un pārstrukturēšanai, kā arī nacionālajiem normatīvajiem aktiem maksātnespējas jomā. </w:t>
            </w:r>
          </w:p>
        </w:tc>
        <w:tc>
          <w:tcPr>
            <w:tcW w:w="1984" w:type="dxa"/>
            <w:tcBorders>
              <w:bottom w:val="single" w:sz="4" w:space="0" w:color="auto"/>
            </w:tcBorders>
            <w:shd w:val="clear" w:color="auto" w:fill="FFFFFF"/>
            <w:vAlign w:val="center"/>
          </w:tcPr>
          <w:p w14:paraId="3294C723" w14:textId="77777777" w:rsidR="00C24735" w:rsidRPr="00816BF4" w:rsidRDefault="00C24735" w:rsidP="00F010CF">
            <w:pPr>
              <w:jc w:val="center"/>
              <w:rPr>
                <w:szCs w:val="24"/>
              </w:rPr>
            </w:pPr>
            <w:r w:rsidRPr="00816BF4">
              <w:rPr>
                <w:szCs w:val="24"/>
              </w:rPr>
              <w:t>19 654 842,54**</w:t>
            </w:r>
          </w:p>
          <w:p w14:paraId="10A8697A" w14:textId="77777777" w:rsidR="00C24735" w:rsidRPr="00816BF4" w:rsidRDefault="00C24735" w:rsidP="00F010CF">
            <w:pPr>
              <w:jc w:val="center"/>
              <w:rPr>
                <w:szCs w:val="24"/>
              </w:rPr>
            </w:pPr>
          </w:p>
        </w:tc>
        <w:tc>
          <w:tcPr>
            <w:tcW w:w="3402" w:type="dxa"/>
            <w:tcBorders>
              <w:bottom w:val="single" w:sz="4" w:space="0" w:color="auto"/>
              <w:right w:val="single" w:sz="4" w:space="0" w:color="auto"/>
            </w:tcBorders>
            <w:shd w:val="clear" w:color="auto" w:fill="FFFFFF"/>
            <w:vAlign w:val="center"/>
          </w:tcPr>
          <w:p w14:paraId="27E3260B" w14:textId="77777777" w:rsidR="00C24735" w:rsidRPr="00816BF4" w:rsidRDefault="00C24735" w:rsidP="004F7645">
            <w:pPr>
              <w:jc w:val="center"/>
              <w:rPr>
                <w:szCs w:val="24"/>
              </w:rPr>
            </w:pPr>
            <w:r w:rsidRPr="00816BF4">
              <w:rPr>
                <w:szCs w:val="24"/>
              </w:rPr>
              <w:t>Aizstāt neatbilstoši izsniegtās garantijas ar atbilstoši Padomes Regulas (EK) Nr.1828/2006 45.pantam izsniegtajām garantijām vai izmantot ERAF finansējumu citu ES fondu aktivitāšu īstenošanai.</w:t>
            </w:r>
          </w:p>
        </w:tc>
      </w:tr>
      <w:tr w:rsidR="00C24735" w:rsidRPr="00816BF4" w14:paraId="111D4725" w14:textId="77777777" w:rsidTr="00C24735">
        <w:tc>
          <w:tcPr>
            <w:tcW w:w="851" w:type="dxa"/>
            <w:vMerge/>
            <w:tcBorders>
              <w:right w:val="single" w:sz="2" w:space="0" w:color="auto"/>
            </w:tcBorders>
            <w:shd w:val="clear" w:color="auto" w:fill="F2F2F2"/>
            <w:vAlign w:val="center"/>
          </w:tcPr>
          <w:p w14:paraId="71D4DD64" w14:textId="77777777" w:rsidR="00C24735" w:rsidRPr="00816BF4" w:rsidRDefault="00C24735" w:rsidP="004F7645">
            <w:pPr>
              <w:jc w:val="center"/>
              <w:rPr>
                <w:szCs w:val="24"/>
              </w:rPr>
            </w:pPr>
          </w:p>
        </w:tc>
        <w:tc>
          <w:tcPr>
            <w:tcW w:w="1701" w:type="dxa"/>
            <w:vMerge/>
            <w:tcBorders>
              <w:right w:val="single" w:sz="2" w:space="0" w:color="auto"/>
            </w:tcBorders>
            <w:shd w:val="clear" w:color="auto" w:fill="F2F2F2"/>
            <w:vAlign w:val="center"/>
          </w:tcPr>
          <w:p w14:paraId="0E3E2DC8" w14:textId="77777777" w:rsidR="00C24735" w:rsidRPr="00816BF4" w:rsidRDefault="00C24735" w:rsidP="004F7645">
            <w:pPr>
              <w:jc w:val="center"/>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026F0D3A" w14:textId="77777777" w:rsidR="00C24735" w:rsidRPr="00816BF4" w:rsidRDefault="00C24735" w:rsidP="004D370B">
            <w:pPr>
              <w:numPr>
                <w:ilvl w:val="1"/>
                <w:numId w:val="1"/>
              </w:numPr>
              <w:jc w:val="center"/>
              <w:rPr>
                <w:szCs w:val="24"/>
              </w:rPr>
            </w:pPr>
            <w:r w:rsidRPr="00816BF4">
              <w:rPr>
                <w:szCs w:val="24"/>
              </w:rPr>
              <w:t>Dubultfinansēj</w:t>
            </w:r>
            <w:r w:rsidRPr="00816BF4">
              <w:rPr>
                <w:szCs w:val="24"/>
              </w:rPr>
              <w:lastRenderedPageBreak/>
              <w:t>ums</w:t>
            </w:r>
          </w:p>
          <w:p w14:paraId="795B2D0E" w14:textId="77777777" w:rsidR="00C24735" w:rsidRPr="00816BF4" w:rsidRDefault="00C24735" w:rsidP="004D370B">
            <w:pPr>
              <w:ind w:left="360"/>
              <w:jc w:val="center"/>
              <w:rPr>
                <w:szCs w:val="24"/>
              </w:rPr>
            </w:pPr>
          </w:p>
        </w:tc>
        <w:tc>
          <w:tcPr>
            <w:tcW w:w="4536" w:type="dxa"/>
            <w:tcBorders>
              <w:left w:val="single" w:sz="4" w:space="0" w:color="auto"/>
              <w:bottom w:val="single" w:sz="4" w:space="0" w:color="auto"/>
            </w:tcBorders>
            <w:shd w:val="clear" w:color="auto" w:fill="FFFFFF"/>
            <w:vAlign w:val="center"/>
          </w:tcPr>
          <w:p w14:paraId="39DC5AC4" w14:textId="77777777" w:rsidR="00C24735" w:rsidRPr="00816BF4" w:rsidRDefault="00C24735" w:rsidP="007B1BA9">
            <w:pPr>
              <w:jc w:val="both"/>
              <w:rPr>
                <w:szCs w:val="24"/>
              </w:rPr>
            </w:pPr>
            <w:r w:rsidRPr="00816BF4">
              <w:rPr>
                <w:szCs w:val="24"/>
              </w:rPr>
              <w:lastRenderedPageBreak/>
              <w:t xml:space="preserve">Tādu aizdevumu daļu, ko vēlāk atmaksā ar </w:t>
            </w:r>
            <w:r w:rsidRPr="00816BF4">
              <w:rPr>
                <w:szCs w:val="24"/>
              </w:rPr>
              <w:lastRenderedPageBreak/>
              <w:t xml:space="preserve">ES dotāciju, EK uzskata par </w:t>
            </w:r>
            <w:r w:rsidRPr="00816BF4">
              <w:rPr>
                <w:b/>
                <w:szCs w:val="24"/>
              </w:rPr>
              <w:t>neatbilstību kontekstā ar Padomes Regulas (EK) Nr.1828/2006 43.pantu.</w:t>
            </w:r>
            <w:r w:rsidRPr="00816BF4">
              <w:rPr>
                <w:szCs w:val="24"/>
              </w:rPr>
              <w:t xml:space="preserve"> Padomes Regulas (EK) Nr.1828/2006 43.panta 6.punkts nosaka, ka uzņēmumi, kas saņem atbalstu no finanšu vadības instrumentiem, var saņemt arī dotācijas vai citu atbalstu no darbības programmas. Tomēr šādā gadījumā pēc EK domām rīcībai ir jāatbilst pareizas finanšu vadības principiem, t.i.:</w:t>
            </w:r>
          </w:p>
          <w:p w14:paraId="5592D22A" w14:textId="77777777" w:rsidR="00C24735" w:rsidRPr="00816BF4" w:rsidRDefault="00C24735" w:rsidP="007B1BA9">
            <w:pPr>
              <w:numPr>
                <w:ilvl w:val="0"/>
                <w:numId w:val="2"/>
              </w:numPr>
              <w:tabs>
                <w:tab w:val="left" w:pos="222"/>
              </w:tabs>
              <w:ind w:left="34" w:hanging="34"/>
              <w:jc w:val="both"/>
              <w:rPr>
                <w:szCs w:val="24"/>
              </w:rPr>
            </w:pPr>
            <w:r w:rsidRPr="00816BF4">
              <w:rPr>
                <w:szCs w:val="24"/>
              </w:rPr>
              <w:t xml:space="preserve">vienus un tos pašus izdevumus nefinansē ar divkāršu finansējumu. Tādējādi viena atbalsta veidu neizmanto otra atbalsta sākotnējam finansējumam vai atmaksai. </w:t>
            </w:r>
          </w:p>
          <w:p w14:paraId="7C95819A" w14:textId="77777777" w:rsidR="00C24735" w:rsidRPr="00816BF4" w:rsidRDefault="00C24735" w:rsidP="007B1BA9">
            <w:pPr>
              <w:numPr>
                <w:ilvl w:val="0"/>
                <w:numId w:val="2"/>
              </w:numPr>
              <w:tabs>
                <w:tab w:val="left" w:pos="222"/>
              </w:tabs>
              <w:ind w:left="34" w:hanging="34"/>
              <w:jc w:val="both"/>
              <w:rPr>
                <w:szCs w:val="24"/>
              </w:rPr>
            </w:pPr>
            <w:r w:rsidRPr="00816BF4">
              <w:rPr>
                <w:szCs w:val="24"/>
              </w:rPr>
              <w:t>Abu atbalsta veidu kombinācija nepārsniedz vajadzīgo izdevumu posteņa finansējumu.</w:t>
            </w:r>
          </w:p>
          <w:p w14:paraId="0E99E3D0" w14:textId="77777777" w:rsidR="00C24735" w:rsidRPr="00816BF4" w:rsidRDefault="00C24735" w:rsidP="007B1BA9">
            <w:pPr>
              <w:numPr>
                <w:ilvl w:val="0"/>
                <w:numId w:val="2"/>
              </w:numPr>
              <w:tabs>
                <w:tab w:val="left" w:pos="222"/>
              </w:tabs>
              <w:ind w:left="34" w:hanging="34"/>
              <w:jc w:val="both"/>
              <w:rPr>
                <w:szCs w:val="24"/>
              </w:rPr>
            </w:pPr>
            <w:r w:rsidRPr="00816BF4">
              <w:rPr>
                <w:szCs w:val="24"/>
              </w:rPr>
              <w:t>Jāievēro noteikumi par valsts atbalstu. Jāievēro minimālā atbalsta intensitāte atbilstoši noteikumiem par valsts atbalstu un par atbalsta apvienošanu.</w:t>
            </w:r>
          </w:p>
        </w:tc>
        <w:tc>
          <w:tcPr>
            <w:tcW w:w="1984" w:type="dxa"/>
            <w:tcBorders>
              <w:bottom w:val="single" w:sz="4" w:space="0" w:color="auto"/>
            </w:tcBorders>
            <w:shd w:val="clear" w:color="auto" w:fill="FFFFFF"/>
            <w:vAlign w:val="center"/>
          </w:tcPr>
          <w:p w14:paraId="40C56792" w14:textId="77777777" w:rsidR="00C24735" w:rsidRPr="00816BF4" w:rsidRDefault="00C24735" w:rsidP="00F010CF">
            <w:pPr>
              <w:jc w:val="center"/>
              <w:rPr>
                <w:szCs w:val="24"/>
              </w:rPr>
            </w:pPr>
            <w:r w:rsidRPr="00816BF4">
              <w:rPr>
                <w:szCs w:val="24"/>
              </w:rPr>
              <w:lastRenderedPageBreak/>
              <w:t xml:space="preserve">RI turpina veikt </w:t>
            </w:r>
            <w:r w:rsidRPr="00816BF4">
              <w:rPr>
                <w:szCs w:val="24"/>
              </w:rPr>
              <w:lastRenderedPageBreak/>
              <w:t>aprēķinus.</w:t>
            </w:r>
          </w:p>
        </w:tc>
        <w:tc>
          <w:tcPr>
            <w:tcW w:w="3402" w:type="dxa"/>
            <w:tcBorders>
              <w:bottom w:val="single" w:sz="4" w:space="0" w:color="auto"/>
              <w:right w:val="single" w:sz="4" w:space="0" w:color="auto"/>
            </w:tcBorders>
            <w:shd w:val="clear" w:color="auto" w:fill="FFFFFF"/>
            <w:vAlign w:val="center"/>
          </w:tcPr>
          <w:p w14:paraId="7023310A" w14:textId="77777777" w:rsidR="00C24735" w:rsidRPr="00816BF4" w:rsidRDefault="00C24735" w:rsidP="004F7645">
            <w:pPr>
              <w:jc w:val="center"/>
              <w:rPr>
                <w:szCs w:val="24"/>
              </w:rPr>
            </w:pPr>
            <w:r w:rsidRPr="00816BF4">
              <w:rPr>
                <w:szCs w:val="24"/>
              </w:rPr>
              <w:lastRenderedPageBreak/>
              <w:t xml:space="preserve">Aizstāt neatbilstoši izsniegtās </w:t>
            </w:r>
            <w:r w:rsidRPr="00816BF4">
              <w:rPr>
                <w:szCs w:val="24"/>
              </w:rPr>
              <w:lastRenderedPageBreak/>
              <w:t>garantijas ar atbilstoši Padomes Regulas (EK) Nr.1828/2006 45.pantam izsniegtajām garantijām vai izmantot ERAF finansējumu citu ES fondu aktivitāšu īstenošanai.</w:t>
            </w:r>
          </w:p>
        </w:tc>
      </w:tr>
      <w:tr w:rsidR="00C24735" w:rsidRPr="00816BF4" w14:paraId="75DA1AD5" w14:textId="77777777" w:rsidTr="00C24735">
        <w:trPr>
          <w:trHeight w:val="553"/>
        </w:trPr>
        <w:tc>
          <w:tcPr>
            <w:tcW w:w="851" w:type="dxa"/>
            <w:vMerge w:val="restart"/>
            <w:tcBorders>
              <w:right w:val="single" w:sz="4" w:space="0" w:color="auto"/>
            </w:tcBorders>
            <w:shd w:val="clear" w:color="auto" w:fill="F2F2F2"/>
            <w:vAlign w:val="center"/>
          </w:tcPr>
          <w:p w14:paraId="2B3F0952" w14:textId="77777777" w:rsidR="00C24735" w:rsidRPr="00816BF4" w:rsidRDefault="00C24735" w:rsidP="004F7645">
            <w:pPr>
              <w:jc w:val="center"/>
              <w:rPr>
                <w:b/>
                <w:szCs w:val="24"/>
              </w:rPr>
            </w:pPr>
            <w:r w:rsidRPr="00816BF4">
              <w:rPr>
                <w:b/>
                <w:szCs w:val="24"/>
              </w:rPr>
              <w:lastRenderedPageBreak/>
              <w:t>2.</w:t>
            </w:r>
          </w:p>
        </w:tc>
        <w:tc>
          <w:tcPr>
            <w:tcW w:w="1701" w:type="dxa"/>
            <w:vMerge w:val="restart"/>
            <w:tcBorders>
              <w:right w:val="single" w:sz="4" w:space="0" w:color="auto"/>
            </w:tcBorders>
            <w:shd w:val="clear" w:color="auto" w:fill="F2F2F2"/>
            <w:vAlign w:val="center"/>
          </w:tcPr>
          <w:p w14:paraId="2C554F14" w14:textId="77777777" w:rsidR="00C24735" w:rsidRPr="00C24735" w:rsidRDefault="00C24735" w:rsidP="00C24735">
            <w:pPr>
              <w:jc w:val="center"/>
              <w:rPr>
                <w:sz w:val="22"/>
              </w:rPr>
            </w:pPr>
            <w:r w:rsidRPr="00816BF4">
              <w:rPr>
                <w:b/>
                <w:szCs w:val="24"/>
              </w:rPr>
              <w:t>Aizdevumu fonds</w:t>
            </w:r>
            <w:r w:rsidRPr="00816BF4">
              <w:rPr>
                <w:szCs w:val="24"/>
              </w:rPr>
              <w:t xml:space="preserve"> (</w:t>
            </w:r>
            <w:r w:rsidRPr="00C24735">
              <w:rPr>
                <w:sz w:val="22"/>
              </w:rPr>
              <w:t>2.2.1.4.</w:t>
            </w:r>
            <w:r>
              <w:rPr>
                <w:sz w:val="22"/>
              </w:rPr>
              <w:t xml:space="preserve"> </w:t>
            </w:r>
            <w:r w:rsidRPr="00C24735">
              <w:rPr>
                <w:sz w:val="22"/>
              </w:rPr>
              <w:t>aktivitātes kopējais budžets 56 328 648,44)</w:t>
            </w:r>
          </w:p>
          <w:p w14:paraId="5FC78642" w14:textId="77777777" w:rsidR="00C24735" w:rsidRPr="00816BF4" w:rsidRDefault="00C24735" w:rsidP="00863F31">
            <w:pPr>
              <w:jc w:val="center"/>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04768392" w14:textId="77777777" w:rsidR="00C24735" w:rsidRPr="00816BF4" w:rsidRDefault="00C24735" w:rsidP="004D370B">
            <w:pPr>
              <w:numPr>
                <w:ilvl w:val="1"/>
                <w:numId w:val="1"/>
              </w:numPr>
              <w:jc w:val="center"/>
              <w:rPr>
                <w:szCs w:val="24"/>
              </w:rPr>
            </w:pPr>
            <w:r w:rsidRPr="00816BF4">
              <w:rPr>
                <w:szCs w:val="24"/>
              </w:rPr>
              <w:t>VAS „Latvijas Hipotēku un zemes banka” kapitalizācija, izmantojot Eiropas Reģionālās attīstības fonda (ERAF) līdzekļus</w:t>
            </w:r>
          </w:p>
          <w:p w14:paraId="51A2399A" w14:textId="77777777" w:rsidR="00C24735" w:rsidRPr="00816BF4" w:rsidRDefault="00C24735" w:rsidP="004D370B">
            <w:pPr>
              <w:ind w:left="360"/>
              <w:jc w:val="center"/>
              <w:rPr>
                <w:szCs w:val="24"/>
              </w:rPr>
            </w:pPr>
          </w:p>
        </w:tc>
        <w:tc>
          <w:tcPr>
            <w:tcW w:w="4536" w:type="dxa"/>
            <w:tcBorders>
              <w:top w:val="single" w:sz="4" w:space="0" w:color="auto"/>
              <w:left w:val="single" w:sz="4" w:space="0" w:color="auto"/>
              <w:bottom w:val="single" w:sz="4" w:space="0" w:color="auto"/>
            </w:tcBorders>
            <w:shd w:val="clear" w:color="auto" w:fill="FFFFFF"/>
            <w:vAlign w:val="center"/>
          </w:tcPr>
          <w:p w14:paraId="5788A050" w14:textId="77777777" w:rsidR="00C24735" w:rsidRPr="00816BF4" w:rsidRDefault="00C24735" w:rsidP="007B1BA9">
            <w:pPr>
              <w:jc w:val="both"/>
              <w:rPr>
                <w:szCs w:val="24"/>
              </w:rPr>
            </w:pPr>
            <w:r w:rsidRPr="00816BF4">
              <w:rPr>
                <w:b/>
                <w:szCs w:val="24"/>
              </w:rPr>
              <w:t>Neatbilstība Padomes Regulas (EK) Nr.1828/2006 43.pantam.</w:t>
            </w:r>
            <w:r w:rsidRPr="00816BF4">
              <w:rPr>
                <w:szCs w:val="24"/>
              </w:rPr>
              <w:t xml:space="preserve"> Saskaņā ar Padomes Regulas (EK) Nr.1828/2006 43.panta 2.punktu finanšu vadības instrumenti ir vai nu neatkarīgi tiesību subjekti, kuru darbību nenosaka nolīgumi starp līdzfinansējošiem partneriem vai akcionāriem, vai arī tie ir atsevišķs finanšu bloks kādā finanšu iestādē. Veicot ERAF finansējuma iemaksu LHZB pamatkapitālā un norādot to gada pārskatā kā „akcionāru skaidras naudas iemaksas”, EK uzskata, ka kļuvusi ne tikai par finanšu vadības instrumentu akcionāru, bet arī par tāda finanšu starpnieka akcionāru, kas nesen bija iesaistīts ari komercionālās darbībās. </w:t>
            </w:r>
          </w:p>
        </w:tc>
        <w:tc>
          <w:tcPr>
            <w:tcW w:w="1984" w:type="dxa"/>
            <w:tcBorders>
              <w:top w:val="single" w:sz="4" w:space="0" w:color="auto"/>
              <w:bottom w:val="single" w:sz="4" w:space="0" w:color="auto"/>
            </w:tcBorders>
            <w:shd w:val="clear" w:color="auto" w:fill="FFFFFF"/>
            <w:vAlign w:val="center"/>
          </w:tcPr>
          <w:p w14:paraId="2F7AEEF6" w14:textId="77777777" w:rsidR="00C24735" w:rsidRPr="00816BF4" w:rsidRDefault="00C24735" w:rsidP="00F010CF">
            <w:pPr>
              <w:jc w:val="center"/>
              <w:rPr>
                <w:szCs w:val="24"/>
              </w:rPr>
            </w:pPr>
            <w:r w:rsidRPr="00816BF4">
              <w:rPr>
                <w:szCs w:val="24"/>
              </w:rPr>
              <w:t>4 166 924,92</w:t>
            </w:r>
            <w:r w:rsidRPr="00816BF4">
              <w:rPr>
                <w:rStyle w:val="FootnoteReference"/>
                <w:szCs w:val="24"/>
              </w:rPr>
              <w:footnoteReference w:id="5"/>
            </w:r>
          </w:p>
        </w:tc>
        <w:tc>
          <w:tcPr>
            <w:tcW w:w="3402" w:type="dxa"/>
            <w:tcBorders>
              <w:top w:val="single" w:sz="4" w:space="0" w:color="auto"/>
              <w:bottom w:val="single" w:sz="4" w:space="0" w:color="auto"/>
              <w:right w:val="single" w:sz="4" w:space="0" w:color="auto"/>
            </w:tcBorders>
            <w:shd w:val="clear" w:color="auto" w:fill="FFFFFF"/>
            <w:vAlign w:val="center"/>
          </w:tcPr>
          <w:p w14:paraId="1A2E1B4D" w14:textId="77777777" w:rsidR="00C24735" w:rsidRPr="00816BF4" w:rsidRDefault="00C24735" w:rsidP="004F7645">
            <w:pPr>
              <w:jc w:val="center"/>
              <w:rPr>
                <w:szCs w:val="24"/>
              </w:rPr>
            </w:pPr>
            <w:r w:rsidRPr="00816BF4">
              <w:rPr>
                <w:szCs w:val="24"/>
              </w:rPr>
              <w:t xml:space="preserve">Aizstāt LHZB pamatkapitālā iemaksāto ERAF līdzfinansējumu ar valsts budžeta līdzekļiem. </w:t>
            </w:r>
          </w:p>
        </w:tc>
      </w:tr>
      <w:tr w:rsidR="00C24735" w:rsidRPr="00816BF4" w14:paraId="037E7A3F" w14:textId="77777777" w:rsidTr="00C24735">
        <w:tc>
          <w:tcPr>
            <w:tcW w:w="851" w:type="dxa"/>
            <w:vMerge/>
            <w:tcBorders>
              <w:right w:val="single" w:sz="2" w:space="0" w:color="auto"/>
            </w:tcBorders>
            <w:shd w:val="clear" w:color="auto" w:fill="F2F2F2"/>
            <w:vAlign w:val="center"/>
          </w:tcPr>
          <w:p w14:paraId="4B44509E" w14:textId="77777777" w:rsidR="00C24735" w:rsidRPr="00816BF4" w:rsidRDefault="00C24735" w:rsidP="004F7645">
            <w:pPr>
              <w:jc w:val="center"/>
              <w:rPr>
                <w:szCs w:val="24"/>
              </w:rPr>
            </w:pPr>
          </w:p>
        </w:tc>
        <w:tc>
          <w:tcPr>
            <w:tcW w:w="1701" w:type="dxa"/>
            <w:vMerge/>
            <w:tcBorders>
              <w:right w:val="single" w:sz="2" w:space="0" w:color="auto"/>
            </w:tcBorders>
            <w:shd w:val="clear" w:color="auto" w:fill="F2F2F2"/>
            <w:vAlign w:val="center"/>
          </w:tcPr>
          <w:p w14:paraId="16D5A554" w14:textId="77777777" w:rsidR="00C24735" w:rsidRPr="00816BF4" w:rsidRDefault="00C24735" w:rsidP="004F7645">
            <w:pPr>
              <w:jc w:val="center"/>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1D343885" w14:textId="77777777" w:rsidR="00C24735" w:rsidRPr="00816BF4" w:rsidRDefault="00C24735" w:rsidP="004D370B">
            <w:pPr>
              <w:numPr>
                <w:ilvl w:val="1"/>
                <w:numId w:val="1"/>
              </w:numPr>
              <w:jc w:val="center"/>
              <w:rPr>
                <w:szCs w:val="24"/>
              </w:rPr>
            </w:pPr>
            <w:r w:rsidRPr="00816BF4">
              <w:rPr>
                <w:szCs w:val="24"/>
              </w:rPr>
              <w:t>Dubultfinansējums</w:t>
            </w:r>
          </w:p>
          <w:p w14:paraId="77691836" w14:textId="77777777" w:rsidR="00C24735" w:rsidRPr="00816BF4" w:rsidRDefault="00C24735" w:rsidP="004D370B">
            <w:pPr>
              <w:ind w:left="360"/>
              <w:rPr>
                <w:szCs w:val="24"/>
              </w:rPr>
            </w:pPr>
          </w:p>
        </w:tc>
        <w:tc>
          <w:tcPr>
            <w:tcW w:w="4536" w:type="dxa"/>
            <w:tcBorders>
              <w:top w:val="single" w:sz="4" w:space="0" w:color="auto"/>
              <w:left w:val="single" w:sz="4" w:space="0" w:color="auto"/>
            </w:tcBorders>
            <w:shd w:val="clear" w:color="auto" w:fill="FFFFFF"/>
            <w:vAlign w:val="center"/>
          </w:tcPr>
          <w:p w14:paraId="15D2BDEA" w14:textId="77777777" w:rsidR="00C24735" w:rsidRPr="00816BF4" w:rsidRDefault="00C24735" w:rsidP="007B1BA9">
            <w:pPr>
              <w:jc w:val="both"/>
              <w:rPr>
                <w:szCs w:val="24"/>
              </w:rPr>
            </w:pPr>
            <w:r w:rsidRPr="00816BF4">
              <w:rPr>
                <w:szCs w:val="24"/>
              </w:rPr>
              <w:lastRenderedPageBreak/>
              <w:t xml:space="preserve">Argumentus skatīt pie 5.kolonnas 1.4.punktā. </w:t>
            </w:r>
          </w:p>
        </w:tc>
        <w:tc>
          <w:tcPr>
            <w:tcW w:w="1984" w:type="dxa"/>
            <w:tcBorders>
              <w:top w:val="single" w:sz="4" w:space="0" w:color="auto"/>
            </w:tcBorders>
            <w:shd w:val="clear" w:color="auto" w:fill="FFFFFF"/>
            <w:vAlign w:val="center"/>
          </w:tcPr>
          <w:p w14:paraId="50CC7BDE" w14:textId="77777777" w:rsidR="00C24735" w:rsidRPr="00816BF4" w:rsidRDefault="00C24735" w:rsidP="00F010CF">
            <w:pPr>
              <w:jc w:val="center"/>
              <w:rPr>
                <w:szCs w:val="24"/>
              </w:rPr>
            </w:pPr>
            <w:r w:rsidRPr="00816BF4">
              <w:rPr>
                <w:szCs w:val="24"/>
              </w:rPr>
              <w:t>RI turpina veikt aprēķinus.</w:t>
            </w:r>
          </w:p>
        </w:tc>
        <w:tc>
          <w:tcPr>
            <w:tcW w:w="3402" w:type="dxa"/>
            <w:tcBorders>
              <w:top w:val="single" w:sz="4" w:space="0" w:color="auto"/>
              <w:right w:val="single" w:sz="4" w:space="0" w:color="auto"/>
            </w:tcBorders>
            <w:shd w:val="clear" w:color="auto" w:fill="FFFFFF"/>
            <w:vAlign w:val="center"/>
          </w:tcPr>
          <w:p w14:paraId="4FB8E6E3" w14:textId="77777777" w:rsidR="00C24735" w:rsidRPr="00816BF4" w:rsidRDefault="00C24735" w:rsidP="007B1BA9">
            <w:pPr>
              <w:jc w:val="center"/>
              <w:rPr>
                <w:szCs w:val="24"/>
              </w:rPr>
            </w:pPr>
            <w:r w:rsidRPr="00816BF4">
              <w:rPr>
                <w:szCs w:val="24"/>
              </w:rPr>
              <w:t xml:space="preserve">Aizstāt neatbilstoši izsniegtos aizdevumus ar atbilstoši </w:t>
            </w:r>
            <w:r w:rsidRPr="00816BF4">
              <w:rPr>
                <w:szCs w:val="24"/>
              </w:rPr>
              <w:lastRenderedPageBreak/>
              <w:t>Padomes Regulas (EK) Nr.1828/2006 45.pantam izsniegtajiem aizdevumiem vai izmantot ERAF finansējumu citu ES fondu aktivitāšu īstenošanai.</w:t>
            </w:r>
          </w:p>
        </w:tc>
      </w:tr>
      <w:tr w:rsidR="00C24735" w:rsidRPr="00816BF4" w14:paraId="1BD7F815" w14:textId="77777777" w:rsidTr="00C24735">
        <w:tc>
          <w:tcPr>
            <w:tcW w:w="851" w:type="dxa"/>
            <w:vMerge/>
            <w:tcBorders>
              <w:right w:val="single" w:sz="2" w:space="0" w:color="auto"/>
            </w:tcBorders>
            <w:shd w:val="clear" w:color="auto" w:fill="F2F2F2"/>
            <w:vAlign w:val="center"/>
          </w:tcPr>
          <w:p w14:paraId="262465F4" w14:textId="77777777" w:rsidR="00C24735" w:rsidRPr="00816BF4" w:rsidRDefault="00C24735" w:rsidP="004F7645">
            <w:pPr>
              <w:jc w:val="center"/>
              <w:rPr>
                <w:szCs w:val="24"/>
              </w:rPr>
            </w:pPr>
          </w:p>
        </w:tc>
        <w:tc>
          <w:tcPr>
            <w:tcW w:w="1701" w:type="dxa"/>
            <w:vMerge/>
            <w:tcBorders>
              <w:right w:val="single" w:sz="2" w:space="0" w:color="auto"/>
            </w:tcBorders>
            <w:shd w:val="clear" w:color="auto" w:fill="F2F2F2"/>
            <w:vAlign w:val="center"/>
          </w:tcPr>
          <w:p w14:paraId="5D681BC7" w14:textId="77777777" w:rsidR="00C24735" w:rsidRPr="00816BF4" w:rsidRDefault="00C24735" w:rsidP="004F7645">
            <w:pPr>
              <w:jc w:val="center"/>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7DFE8ED6" w14:textId="77777777" w:rsidR="00C24735" w:rsidRPr="00816BF4" w:rsidRDefault="00C24735" w:rsidP="004D370B">
            <w:pPr>
              <w:numPr>
                <w:ilvl w:val="1"/>
                <w:numId w:val="1"/>
              </w:numPr>
              <w:jc w:val="center"/>
              <w:rPr>
                <w:szCs w:val="24"/>
              </w:rPr>
            </w:pPr>
            <w:r w:rsidRPr="00816BF4">
              <w:rPr>
                <w:szCs w:val="24"/>
              </w:rPr>
              <w:t>Neatbilstīgam nolūkam izsniegti aizdevumi</w:t>
            </w:r>
          </w:p>
          <w:p w14:paraId="29BA9703" w14:textId="77777777" w:rsidR="00C24735" w:rsidRPr="00816BF4" w:rsidRDefault="00C24735" w:rsidP="004D370B">
            <w:pPr>
              <w:ind w:left="360"/>
              <w:rPr>
                <w:szCs w:val="24"/>
              </w:rPr>
            </w:pPr>
          </w:p>
        </w:tc>
        <w:tc>
          <w:tcPr>
            <w:tcW w:w="4536" w:type="dxa"/>
            <w:tcBorders>
              <w:left w:val="single" w:sz="4" w:space="0" w:color="auto"/>
            </w:tcBorders>
            <w:shd w:val="clear" w:color="auto" w:fill="FFFFFF"/>
            <w:vAlign w:val="center"/>
          </w:tcPr>
          <w:p w14:paraId="76401DE3" w14:textId="77777777" w:rsidR="00C24735" w:rsidRPr="00816BF4" w:rsidRDefault="00C24735" w:rsidP="007B1BA9">
            <w:pPr>
              <w:jc w:val="both"/>
              <w:rPr>
                <w:szCs w:val="24"/>
              </w:rPr>
            </w:pPr>
            <w:r w:rsidRPr="00816BF4">
              <w:rPr>
                <w:szCs w:val="24"/>
              </w:rPr>
              <w:t>Argumentus skatīt pie 5.kolonnas 1.2.punktā.</w:t>
            </w:r>
          </w:p>
        </w:tc>
        <w:tc>
          <w:tcPr>
            <w:tcW w:w="1984" w:type="dxa"/>
            <w:shd w:val="clear" w:color="auto" w:fill="FFFFFF"/>
            <w:vAlign w:val="center"/>
          </w:tcPr>
          <w:p w14:paraId="14C77877" w14:textId="77777777" w:rsidR="00C24735" w:rsidRPr="00816BF4" w:rsidRDefault="00C24735" w:rsidP="00F010CF">
            <w:pPr>
              <w:jc w:val="center"/>
              <w:rPr>
                <w:szCs w:val="24"/>
              </w:rPr>
            </w:pPr>
            <w:r w:rsidRPr="00816BF4">
              <w:rPr>
                <w:szCs w:val="24"/>
              </w:rPr>
              <w:t>RI turpina veikt aprēķinus.</w:t>
            </w:r>
          </w:p>
        </w:tc>
        <w:tc>
          <w:tcPr>
            <w:tcW w:w="3402" w:type="dxa"/>
            <w:tcBorders>
              <w:right w:val="single" w:sz="4" w:space="0" w:color="auto"/>
            </w:tcBorders>
            <w:shd w:val="clear" w:color="auto" w:fill="FFFFFF"/>
            <w:vAlign w:val="center"/>
          </w:tcPr>
          <w:p w14:paraId="43652F64" w14:textId="77777777" w:rsidR="00C24735" w:rsidRPr="00816BF4" w:rsidRDefault="00C24735" w:rsidP="004F7645">
            <w:pPr>
              <w:jc w:val="center"/>
              <w:rPr>
                <w:szCs w:val="24"/>
              </w:rPr>
            </w:pPr>
            <w:r w:rsidRPr="00816BF4">
              <w:rPr>
                <w:szCs w:val="24"/>
              </w:rPr>
              <w:t>Aizstāt neatbilstoši izsniegtos aizdevumus ar atbilstoši Padomes Regulas (EK) Nr.1828/2006 45.pantam izsniegtajiem aizdevumiem vai izmantot ERAF finansējumu citu ES fondu aktivitāšu īstenošanai.</w:t>
            </w:r>
          </w:p>
        </w:tc>
      </w:tr>
      <w:tr w:rsidR="00C24735" w:rsidRPr="00816BF4" w14:paraId="50F1A947" w14:textId="77777777" w:rsidTr="00C24735">
        <w:tc>
          <w:tcPr>
            <w:tcW w:w="851" w:type="dxa"/>
            <w:vMerge/>
            <w:tcBorders>
              <w:bottom w:val="single" w:sz="4" w:space="0" w:color="auto"/>
              <w:right w:val="single" w:sz="2" w:space="0" w:color="auto"/>
            </w:tcBorders>
            <w:shd w:val="clear" w:color="auto" w:fill="F2F2F2"/>
            <w:vAlign w:val="center"/>
          </w:tcPr>
          <w:p w14:paraId="4754EE8F" w14:textId="77777777" w:rsidR="00C24735" w:rsidRPr="00816BF4" w:rsidRDefault="00C24735" w:rsidP="004F7645">
            <w:pPr>
              <w:jc w:val="center"/>
              <w:rPr>
                <w:szCs w:val="24"/>
              </w:rPr>
            </w:pPr>
          </w:p>
        </w:tc>
        <w:tc>
          <w:tcPr>
            <w:tcW w:w="1701" w:type="dxa"/>
            <w:vMerge/>
            <w:tcBorders>
              <w:bottom w:val="single" w:sz="4" w:space="0" w:color="auto"/>
              <w:right w:val="single" w:sz="2" w:space="0" w:color="auto"/>
            </w:tcBorders>
            <w:shd w:val="clear" w:color="auto" w:fill="F2F2F2"/>
            <w:vAlign w:val="center"/>
          </w:tcPr>
          <w:p w14:paraId="2050AEE1" w14:textId="77777777" w:rsidR="00C24735" w:rsidRPr="00816BF4" w:rsidRDefault="00C24735" w:rsidP="004F7645">
            <w:pPr>
              <w:jc w:val="center"/>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5251B9CA" w14:textId="77777777" w:rsidR="00C24735" w:rsidRPr="00816BF4" w:rsidRDefault="00C24735" w:rsidP="004D370B">
            <w:pPr>
              <w:numPr>
                <w:ilvl w:val="1"/>
                <w:numId w:val="1"/>
              </w:numPr>
              <w:jc w:val="center"/>
              <w:rPr>
                <w:szCs w:val="24"/>
              </w:rPr>
            </w:pPr>
            <w:r w:rsidRPr="00816BF4">
              <w:rPr>
                <w:szCs w:val="24"/>
              </w:rPr>
              <w:t>Grūtībās nonākušiem uzņēmumiem piešķirtās garantijas</w:t>
            </w:r>
          </w:p>
          <w:p w14:paraId="2451623C" w14:textId="77777777" w:rsidR="00C24735" w:rsidRPr="00816BF4" w:rsidRDefault="00C24735" w:rsidP="004D370B">
            <w:pPr>
              <w:ind w:left="360"/>
              <w:jc w:val="center"/>
              <w:rPr>
                <w:szCs w:val="24"/>
              </w:rPr>
            </w:pPr>
          </w:p>
        </w:tc>
        <w:tc>
          <w:tcPr>
            <w:tcW w:w="4536" w:type="dxa"/>
            <w:tcBorders>
              <w:left w:val="single" w:sz="4" w:space="0" w:color="auto"/>
              <w:bottom w:val="single" w:sz="4" w:space="0" w:color="auto"/>
            </w:tcBorders>
            <w:shd w:val="clear" w:color="auto" w:fill="FFFFFF"/>
            <w:vAlign w:val="center"/>
          </w:tcPr>
          <w:p w14:paraId="61326831" w14:textId="77777777" w:rsidR="00C24735" w:rsidRPr="00816BF4" w:rsidRDefault="00C24735" w:rsidP="007B1BA9">
            <w:pPr>
              <w:jc w:val="both"/>
              <w:rPr>
                <w:szCs w:val="24"/>
              </w:rPr>
            </w:pPr>
            <w:r w:rsidRPr="00816BF4">
              <w:rPr>
                <w:szCs w:val="24"/>
              </w:rPr>
              <w:t>Argumentus skatīt pie 5.kolonnas 1.3.punktā.</w:t>
            </w:r>
          </w:p>
        </w:tc>
        <w:tc>
          <w:tcPr>
            <w:tcW w:w="1984" w:type="dxa"/>
            <w:tcBorders>
              <w:bottom w:val="single" w:sz="4" w:space="0" w:color="auto"/>
            </w:tcBorders>
            <w:shd w:val="clear" w:color="auto" w:fill="FFFFFF"/>
            <w:vAlign w:val="center"/>
          </w:tcPr>
          <w:p w14:paraId="65D41C2E" w14:textId="77777777" w:rsidR="00C24735" w:rsidRPr="00816BF4" w:rsidRDefault="00C24735" w:rsidP="00F010CF">
            <w:pPr>
              <w:jc w:val="center"/>
              <w:rPr>
                <w:szCs w:val="24"/>
              </w:rPr>
            </w:pPr>
            <w:r w:rsidRPr="00816BF4">
              <w:rPr>
                <w:szCs w:val="24"/>
              </w:rPr>
              <w:t>2 777 151,09**</w:t>
            </w:r>
          </w:p>
          <w:p w14:paraId="1549FEA2" w14:textId="77777777" w:rsidR="00C24735" w:rsidRPr="00816BF4" w:rsidRDefault="00C24735" w:rsidP="00F010CF">
            <w:pPr>
              <w:jc w:val="center"/>
              <w:rPr>
                <w:szCs w:val="24"/>
              </w:rPr>
            </w:pPr>
          </w:p>
        </w:tc>
        <w:tc>
          <w:tcPr>
            <w:tcW w:w="3402" w:type="dxa"/>
            <w:tcBorders>
              <w:bottom w:val="single" w:sz="4" w:space="0" w:color="auto"/>
              <w:right w:val="single" w:sz="4" w:space="0" w:color="auto"/>
            </w:tcBorders>
            <w:shd w:val="clear" w:color="auto" w:fill="FFFFFF"/>
            <w:vAlign w:val="center"/>
          </w:tcPr>
          <w:p w14:paraId="52BA523C" w14:textId="77777777" w:rsidR="00C24735" w:rsidRPr="00816BF4" w:rsidRDefault="00C24735" w:rsidP="004F7645">
            <w:pPr>
              <w:jc w:val="center"/>
              <w:rPr>
                <w:szCs w:val="24"/>
              </w:rPr>
            </w:pPr>
            <w:r w:rsidRPr="00816BF4">
              <w:rPr>
                <w:szCs w:val="24"/>
              </w:rPr>
              <w:t>Aizstāt neatbilstoši izsniegtos aizdevumus ar atbilstoši Padomes Regulas (EK) Nr.1828/2006 45.pantam izsniegtajiem aizdevumiem vai izmantot ERAF finansējumu citu ES fondu aktivitāšu īstenošanai.</w:t>
            </w:r>
          </w:p>
        </w:tc>
      </w:tr>
      <w:tr w:rsidR="00C24735" w:rsidRPr="00816BF4" w14:paraId="69FB4356" w14:textId="77777777" w:rsidTr="00C24735">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61F7EEB2" w14:textId="77777777" w:rsidR="00C24735" w:rsidRPr="00816BF4" w:rsidRDefault="00C24735" w:rsidP="004F7645">
            <w:pPr>
              <w:jc w:val="center"/>
              <w:rPr>
                <w:b/>
                <w:szCs w:val="24"/>
              </w:rPr>
            </w:pPr>
            <w:r w:rsidRPr="00816BF4">
              <w:rPr>
                <w:b/>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7F8CFDB3" w14:textId="77777777" w:rsidR="00C24735" w:rsidRPr="00816BF4" w:rsidRDefault="00C24735" w:rsidP="00C24735">
            <w:pPr>
              <w:jc w:val="center"/>
              <w:rPr>
                <w:szCs w:val="24"/>
              </w:rPr>
            </w:pPr>
            <w:r w:rsidRPr="00816BF4">
              <w:rPr>
                <w:b/>
                <w:szCs w:val="24"/>
              </w:rPr>
              <w:t>Ieguldījumu fonds</w:t>
            </w:r>
            <w:r w:rsidRPr="00816BF4">
              <w:rPr>
                <w:szCs w:val="24"/>
              </w:rPr>
              <w:t xml:space="preserve"> </w:t>
            </w:r>
            <w:r w:rsidRPr="00C24735">
              <w:rPr>
                <w:sz w:val="22"/>
              </w:rPr>
              <w:t>(2.2.1.1.</w:t>
            </w:r>
            <w:r w:rsidRPr="00C24735">
              <w:rPr>
                <w:b/>
                <w:sz w:val="22"/>
              </w:rPr>
              <w:t xml:space="preserve"> </w:t>
            </w:r>
            <w:r w:rsidRPr="00C24735">
              <w:rPr>
                <w:sz w:val="22"/>
              </w:rPr>
              <w:t xml:space="preserve">aktivitātes kopējais budžets </w:t>
            </w:r>
            <w:r w:rsidRPr="00C24735">
              <w:rPr>
                <w:sz w:val="22"/>
              </w:rPr>
              <w:lastRenderedPageBreak/>
              <w:t>75 895 803,96)</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5EEDB077" w14:textId="77777777" w:rsidR="00C24735" w:rsidRPr="00816BF4" w:rsidRDefault="00C24735" w:rsidP="004D370B">
            <w:pPr>
              <w:numPr>
                <w:ilvl w:val="1"/>
                <w:numId w:val="1"/>
              </w:numPr>
              <w:jc w:val="center"/>
              <w:rPr>
                <w:szCs w:val="24"/>
              </w:rPr>
            </w:pPr>
            <w:r w:rsidRPr="00816BF4">
              <w:rPr>
                <w:szCs w:val="24"/>
              </w:rPr>
              <w:lastRenderedPageBreak/>
              <w:t xml:space="preserve">Dubultfinansējums un neatbilstīgam </w:t>
            </w:r>
            <w:r w:rsidRPr="00816BF4">
              <w:rPr>
                <w:szCs w:val="24"/>
              </w:rPr>
              <w:lastRenderedPageBreak/>
              <w:t>nolūkam izsniegti aizdevumi</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F97A98F" w14:textId="77777777" w:rsidR="00C24735" w:rsidRPr="00816BF4" w:rsidRDefault="00C24735" w:rsidP="007B1BA9">
            <w:pPr>
              <w:jc w:val="both"/>
              <w:rPr>
                <w:szCs w:val="24"/>
              </w:rPr>
            </w:pPr>
            <w:r w:rsidRPr="00816BF4">
              <w:rPr>
                <w:szCs w:val="24"/>
              </w:rPr>
              <w:lastRenderedPageBreak/>
              <w:t>Argumentus skatīt pie 5.kolonnas 1.4.punktā.</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850B51B" w14:textId="77777777" w:rsidR="00C24735" w:rsidRPr="00816BF4" w:rsidRDefault="00C24735" w:rsidP="00F010CF">
            <w:pPr>
              <w:jc w:val="center"/>
              <w:rPr>
                <w:szCs w:val="24"/>
              </w:rPr>
            </w:pPr>
            <w:r w:rsidRPr="00816BF4">
              <w:rPr>
                <w:szCs w:val="24"/>
              </w:rPr>
              <w:t>RI turpina veikt aprēķinus.</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2B40A4B3" w14:textId="77777777" w:rsidR="00C24735" w:rsidRPr="00816BF4" w:rsidRDefault="00C24735" w:rsidP="004F7645">
            <w:pPr>
              <w:jc w:val="center"/>
              <w:rPr>
                <w:szCs w:val="24"/>
              </w:rPr>
            </w:pPr>
            <w:r w:rsidRPr="00816BF4">
              <w:rPr>
                <w:szCs w:val="24"/>
              </w:rPr>
              <w:t xml:space="preserve">Aizstāt neatbilstoši izsniegtos aizdevumus ar atbilstoši Padomes Regulas (EK) </w:t>
            </w:r>
            <w:r w:rsidRPr="00816BF4">
              <w:rPr>
                <w:szCs w:val="24"/>
              </w:rPr>
              <w:lastRenderedPageBreak/>
              <w:t>Nr.1828/2006 45.pantam izsniegtajiem aizdevumiem vai izmantot ERAF finansējumu citu ES fondu aktivitāšu īstenošanai.</w:t>
            </w:r>
          </w:p>
        </w:tc>
      </w:tr>
      <w:tr w:rsidR="00C24735" w:rsidRPr="00816BF4" w14:paraId="7E9346A0" w14:textId="77777777" w:rsidTr="00C24735">
        <w:tc>
          <w:tcPr>
            <w:tcW w:w="851" w:type="dxa"/>
            <w:tcBorders>
              <w:top w:val="single" w:sz="4" w:space="0" w:color="auto"/>
              <w:left w:val="single" w:sz="4" w:space="0" w:color="auto"/>
              <w:right w:val="single" w:sz="4" w:space="0" w:color="auto"/>
            </w:tcBorders>
            <w:shd w:val="clear" w:color="auto" w:fill="D9D9D9"/>
            <w:vAlign w:val="center"/>
          </w:tcPr>
          <w:p w14:paraId="6753320D" w14:textId="77777777" w:rsidR="00C24735" w:rsidRPr="00816BF4" w:rsidRDefault="00C24735" w:rsidP="00C24735">
            <w:pPr>
              <w:rPr>
                <w:b/>
                <w:szCs w:val="24"/>
              </w:rPr>
            </w:pPr>
            <w:r>
              <w:rPr>
                <w:b/>
                <w:szCs w:val="24"/>
              </w:rPr>
              <w:lastRenderedPageBreak/>
              <w:t xml:space="preserve">Kopā </w:t>
            </w:r>
          </w:p>
        </w:tc>
        <w:tc>
          <w:tcPr>
            <w:tcW w:w="14033" w:type="dxa"/>
            <w:gridSpan w:val="5"/>
            <w:tcBorders>
              <w:top w:val="single" w:sz="4" w:space="0" w:color="auto"/>
              <w:left w:val="single" w:sz="4" w:space="0" w:color="auto"/>
              <w:right w:val="single" w:sz="4" w:space="0" w:color="auto"/>
            </w:tcBorders>
            <w:shd w:val="clear" w:color="auto" w:fill="D9D9D9"/>
            <w:vAlign w:val="center"/>
          </w:tcPr>
          <w:p w14:paraId="7DB40791" w14:textId="77777777" w:rsidR="00C24735" w:rsidRPr="00816BF4" w:rsidRDefault="00C24735" w:rsidP="00C24735">
            <w:pPr>
              <w:jc w:val="center"/>
              <w:rPr>
                <w:b/>
                <w:szCs w:val="24"/>
              </w:rPr>
            </w:pPr>
            <w:r w:rsidRPr="00816BF4">
              <w:rPr>
                <w:b/>
                <w:szCs w:val="24"/>
              </w:rPr>
              <w:t>52 467 789,95</w:t>
            </w:r>
            <w:r w:rsidRPr="00816BF4">
              <w:rPr>
                <w:rStyle w:val="FootnoteReference"/>
                <w:b/>
                <w:szCs w:val="24"/>
              </w:rPr>
              <w:footnoteReference w:id="6"/>
            </w:r>
          </w:p>
        </w:tc>
      </w:tr>
    </w:tbl>
    <w:p w14:paraId="73095930" w14:textId="77777777" w:rsidR="009E13D3" w:rsidRDefault="009E13D3" w:rsidP="00212676">
      <w:pPr>
        <w:ind w:firstLine="720"/>
        <w:rPr>
          <w:rFonts w:eastAsia="Times New Roman"/>
          <w:sz w:val="28"/>
          <w:szCs w:val="28"/>
          <w:lang w:eastAsia="lv-LV"/>
        </w:rPr>
      </w:pPr>
    </w:p>
    <w:p w14:paraId="48AF8A63" w14:textId="77777777" w:rsidR="009E13D3" w:rsidRDefault="009E13D3" w:rsidP="00B86EA2">
      <w:pPr>
        <w:rPr>
          <w:rFonts w:eastAsia="Times New Roman"/>
          <w:sz w:val="28"/>
          <w:szCs w:val="28"/>
          <w:lang w:eastAsia="lv-LV"/>
        </w:rPr>
      </w:pPr>
    </w:p>
    <w:p w14:paraId="115CCCDD" w14:textId="77777777" w:rsidR="00F90C25" w:rsidRPr="00F90C25" w:rsidRDefault="00F90C25" w:rsidP="00212676">
      <w:pPr>
        <w:ind w:firstLine="720"/>
        <w:rPr>
          <w:rFonts w:eastAsia="Times New Roman"/>
          <w:sz w:val="28"/>
          <w:szCs w:val="28"/>
          <w:lang w:eastAsia="lv-LV"/>
        </w:rPr>
      </w:pPr>
      <w:r w:rsidRPr="00F90C25">
        <w:rPr>
          <w:rFonts w:eastAsia="Times New Roman"/>
          <w:sz w:val="28"/>
          <w:szCs w:val="28"/>
          <w:lang w:eastAsia="lv-LV"/>
        </w:rPr>
        <w:t>Finanšu ministr</w:t>
      </w:r>
      <w:r w:rsidR="00C0210E">
        <w:rPr>
          <w:rFonts w:eastAsia="Times New Roman"/>
          <w:sz w:val="28"/>
          <w:szCs w:val="28"/>
          <w:lang w:eastAsia="lv-LV"/>
        </w:rPr>
        <w:t>s</w:t>
      </w:r>
      <w:r w:rsidRPr="00F90C25">
        <w:rPr>
          <w:rFonts w:eastAsia="Times New Roman"/>
          <w:sz w:val="28"/>
          <w:szCs w:val="28"/>
          <w:lang w:eastAsia="lv-LV"/>
        </w:rPr>
        <w:tab/>
      </w:r>
      <w:r w:rsidRPr="00F90C25">
        <w:rPr>
          <w:rFonts w:eastAsia="Times New Roman"/>
          <w:sz w:val="28"/>
          <w:szCs w:val="28"/>
          <w:lang w:eastAsia="lv-LV"/>
        </w:rPr>
        <w:tab/>
      </w:r>
      <w:r w:rsidRPr="00F90C25">
        <w:rPr>
          <w:rFonts w:eastAsia="Times New Roman"/>
          <w:sz w:val="28"/>
          <w:szCs w:val="28"/>
          <w:lang w:eastAsia="lv-LV"/>
        </w:rPr>
        <w:tab/>
      </w:r>
      <w:r w:rsidRPr="00F90C25">
        <w:rPr>
          <w:rFonts w:eastAsia="Times New Roman"/>
          <w:sz w:val="28"/>
          <w:szCs w:val="28"/>
          <w:lang w:eastAsia="lv-LV"/>
        </w:rPr>
        <w:tab/>
      </w:r>
      <w:r w:rsidRPr="00F90C25">
        <w:rPr>
          <w:rFonts w:eastAsia="Times New Roman"/>
          <w:sz w:val="28"/>
          <w:szCs w:val="28"/>
          <w:lang w:eastAsia="lv-LV"/>
        </w:rPr>
        <w:tab/>
      </w:r>
      <w:r w:rsidRPr="00F90C25">
        <w:rPr>
          <w:rFonts w:eastAsia="Times New Roman"/>
          <w:sz w:val="28"/>
          <w:szCs w:val="28"/>
          <w:lang w:eastAsia="lv-LV"/>
        </w:rPr>
        <w:tab/>
      </w:r>
      <w:r w:rsidRPr="00F90C25">
        <w:rPr>
          <w:rFonts w:eastAsia="Times New Roman"/>
          <w:sz w:val="28"/>
          <w:szCs w:val="28"/>
          <w:lang w:eastAsia="lv-LV"/>
        </w:rPr>
        <w:tab/>
      </w:r>
      <w:r w:rsidR="00212676">
        <w:rPr>
          <w:rFonts w:eastAsia="Times New Roman"/>
          <w:sz w:val="28"/>
          <w:szCs w:val="28"/>
          <w:lang w:eastAsia="lv-LV"/>
        </w:rPr>
        <w:tab/>
      </w:r>
      <w:r w:rsidR="00212676">
        <w:rPr>
          <w:rFonts w:eastAsia="Times New Roman"/>
          <w:sz w:val="28"/>
          <w:szCs w:val="28"/>
          <w:lang w:eastAsia="lv-LV"/>
        </w:rPr>
        <w:tab/>
      </w:r>
      <w:r w:rsidR="00212676">
        <w:rPr>
          <w:rFonts w:eastAsia="Times New Roman"/>
          <w:sz w:val="28"/>
          <w:szCs w:val="28"/>
          <w:lang w:eastAsia="lv-LV"/>
        </w:rPr>
        <w:tab/>
      </w:r>
      <w:r w:rsidR="00C0210E">
        <w:rPr>
          <w:rFonts w:eastAsia="Times New Roman"/>
          <w:sz w:val="28"/>
          <w:szCs w:val="28"/>
          <w:lang w:eastAsia="lv-LV"/>
        </w:rPr>
        <w:tab/>
      </w:r>
      <w:r w:rsidR="00E933D3">
        <w:rPr>
          <w:rFonts w:eastAsia="Times New Roman"/>
          <w:sz w:val="28"/>
          <w:szCs w:val="28"/>
          <w:lang w:eastAsia="lv-LV"/>
        </w:rPr>
        <w:tab/>
      </w:r>
      <w:r w:rsidR="00E933D3">
        <w:rPr>
          <w:rFonts w:eastAsia="Times New Roman"/>
          <w:sz w:val="28"/>
          <w:szCs w:val="28"/>
          <w:lang w:eastAsia="lv-LV"/>
        </w:rPr>
        <w:tab/>
      </w:r>
      <w:r w:rsidRPr="00F90C25">
        <w:rPr>
          <w:rFonts w:eastAsia="Times New Roman"/>
          <w:sz w:val="28"/>
          <w:szCs w:val="28"/>
          <w:lang w:eastAsia="lv-LV"/>
        </w:rPr>
        <w:t xml:space="preserve"> </w:t>
      </w:r>
      <w:r w:rsidR="00C0210E">
        <w:rPr>
          <w:rFonts w:eastAsia="Times New Roman"/>
          <w:sz w:val="28"/>
          <w:szCs w:val="28"/>
          <w:lang w:eastAsia="lv-LV"/>
        </w:rPr>
        <w:t>A.Vilks</w:t>
      </w:r>
      <w:r w:rsidRPr="00F90C25">
        <w:rPr>
          <w:rFonts w:eastAsia="Times New Roman"/>
          <w:sz w:val="28"/>
          <w:szCs w:val="28"/>
          <w:lang w:eastAsia="lv-LV"/>
        </w:rPr>
        <w:tab/>
      </w:r>
    </w:p>
    <w:p w14:paraId="302BE60B" w14:textId="77777777" w:rsidR="001C2964" w:rsidRDefault="001C2964" w:rsidP="00F90C25">
      <w:pPr>
        <w:jc w:val="both"/>
        <w:rPr>
          <w:sz w:val="18"/>
          <w:szCs w:val="18"/>
        </w:rPr>
      </w:pPr>
    </w:p>
    <w:p w14:paraId="1F2510D6" w14:textId="77777777" w:rsidR="00F90C25" w:rsidRPr="00B77029" w:rsidRDefault="00ED0B62" w:rsidP="00F90C25">
      <w:pPr>
        <w:jc w:val="both"/>
        <w:rPr>
          <w:sz w:val="18"/>
          <w:szCs w:val="18"/>
        </w:rPr>
      </w:pPr>
      <w:r>
        <w:rPr>
          <w:sz w:val="18"/>
          <w:szCs w:val="18"/>
        </w:rPr>
        <w:t>02</w:t>
      </w:r>
      <w:r w:rsidR="00F90C25" w:rsidRPr="00B77029">
        <w:rPr>
          <w:sz w:val="18"/>
          <w:szCs w:val="18"/>
        </w:rPr>
        <w:t>.0</w:t>
      </w:r>
      <w:r>
        <w:rPr>
          <w:sz w:val="18"/>
          <w:szCs w:val="18"/>
        </w:rPr>
        <w:t>8</w:t>
      </w:r>
      <w:r w:rsidR="00F90C25" w:rsidRPr="00B77029">
        <w:rPr>
          <w:sz w:val="18"/>
          <w:szCs w:val="18"/>
        </w:rPr>
        <w:t xml:space="preserve">.2012 </w:t>
      </w:r>
      <w:r w:rsidR="00E20226">
        <w:rPr>
          <w:sz w:val="18"/>
          <w:szCs w:val="18"/>
        </w:rPr>
        <w:t>1</w:t>
      </w:r>
      <w:r w:rsidR="00D528E1">
        <w:rPr>
          <w:sz w:val="18"/>
          <w:szCs w:val="18"/>
        </w:rPr>
        <w:t>7</w:t>
      </w:r>
      <w:r w:rsidR="00F90C25" w:rsidRPr="00B77029">
        <w:rPr>
          <w:sz w:val="18"/>
          <w:szCs w:val="18"/>
        </w:rPr>
        <w:t>:</w:t>
      </w:r>
      <w:r>
        <w:rPr>
          <w:sz w:val="18"/>
          <w:szCs w:val="18"/>
        </w:rPr>
        <w:t>00</w:t>
      </w:r>
    </w:p>
    <w:p w14:paraId="6C03973D" w14:textId="77777777" w:rsidR="00F90C25" w:rsidRPr="00B77029" w:rsidRDefault="00FD6559" w:rsidP="00F90C25">
      <w:pPr>
        <w:rPr>
          <w:rFonts w:eastAsia="Times New Roman"/>
          <w:sz w:val="20"/>
          <w:szCs w:val="20"/>
          <w:lang w:eastAsia="lv-LV"/>
        </w:rPr>
      </w:pPr>
      <w:r>
        <w:rPr>
          <w:rFonts w:eastAsia="Times New Roman"/>
          <w:sz w:val="20"/>
          <w:szCs w:val="20"/>
          <w:lang w:eastAsia="lv-LV"/>
        </w:rPr>
        <w:t>954</w:t>
      </w:r>
    </w:p>
    <w:p w14:paraId="60CDF386" w14:textId="77777777" w:rsidR="00ED0B62" w:rsidRPr="00F90C25" w:rsidRDefault="00ED0B62" w:rsidP="00ED0B62">
      <w:pPr>
        <w:jc w:val="both"/>
        <w:rPr>
          <w:sz w:val="18"/>
          <w:szCs w:val="18"/>
        </w:rPr>
      </w:pPr>
      <w:r w:rsidRPr="00F90C25">
        <w:rPr>
          <w:sz w:val="18"/>
          <w:szCs w:val="18"/>
        </w:rPr>
        <w:t>L.Vigule</w:t>
      </w:r>
    </w:p>
    <w:p w14:paraId="580438F7" w14:textId="77777777" w:rsidR="00ED0B62" w:rsidRPr="00F90C25" w:rsidRDefault="00ED0B62" w:rsidP="00ED0B62">
      <w:pPr>
        <w:jc w:val="both"/>
        <w:rPr>
          <w:sz w:val="18"/>
          <w:szCs w:val="18"/>
        </w:rPr>
      </w:pPr>
      <w:r w:rsidRPr="00F90C25">
        <w:rPr>
          <w:sz w:val="18"/>
          <w:szCs w:val="18"/>
        </w:rPr>
        <w:t xml:space="preserve">Finanšu ministrijas </w:t>
      </w:r>
    </w:p>
    <w:p w14:paraId="350A3B0A" w14:textId="77777777" w:rsidR="00ED0B62" w:rsidRPr="00F90C25" w:rsidRDefault="00ED0B62" w:rsidP="00ED0B62">
      <w:pPr>
        <w:jc w:val="both"/>
        <w:rPr>
          <w:sz w:val="18"/>
          <w:szCs w:val="18"/>
        </w:rPr>
      </w:pPr>
      <w:r w:rsidRPr="00F90C25">
        <w:rPr>
          <w:sz w:val="18"/>
          <w:szCs w:val="18"/>
        </w:rPr>
        <w:t xml:space="preserve">ES fondu vadības sistēmas departamenta </w:t>
      </w:r>
    </w:p>
    <w:p w14:paraId="6487CA45" w14:textId="77777777" w:rsidR="00ED0B62" w:rsidRPr="00F90C25" w:rsidRDefault="00ED0B62" w:rsidP="00ED0B62">
      <w:pPr>
        <w:jc w:val="both"/>
        <w:rPr>
          <w:sz w:val="18"/>
          <w:szCs w:val="18"/>
        </w:rPr>
      </w:pPr>
      <w:r w:rsidRPr="00F90C25">
        <w:rPr>
          <w:sz w:val="18"/>
          <w:szCs w:val="18"/>
        </w:rPr>
        <w:t xml:space="preserve">Ieviešanas sistēmas nodaļas vecākā eksperte </w:t>
      </w:r>
    </w:p>
    <w:p w14:paraId="48679886" w14:textId="77777777" w:rsidR="00ED0B62" w:rsidRDefault="00ED0B62" w:rsidP="00ED0B62">
      <w:pPr>
        <w:jc w:val="both"/>
      </w:pPr>
      <w:r w:rsidRPr="00F90C25">
        <w:rPr>
          <w:sz w:val="18"/>
          <w:szCs w:val="18"/>
        </w:rPr>
        <w:t xml:space="preserve">67095529, fakss: 67095697, </w:t>
      </w:r>
      <w:hyperlink r:id="rId8" w:history="1">
        <w:r w:rsidRPr="00F90C25">
          <w:rPr>
            <w:color w:val="0000FF"/>
            <w:sz w:val="18"/>
            <w:szCs w:val="18"/>
            <w:u w:val="single"/>
          </w:rPr>
          <w:t>Liene.Vigule@fm.gov.lv</w:t>
        </w:r>
      </w:hyperlink>
      <w:r w:rsidRPr="00F90C25">
        <w:rPr>
          <w:sz w:val="18"/>
          <w:szCs w:val="18"/>
        </w:rPr>
        <w:t xml:space="preserve"> </w:t>
      </w:r>
    </w:p>
    <w:p w14:paraId="49533641" w14:textId="77777777" w:rsidR="003B53D8" w:rsidRDefault="003B53D8" w:rsidP="00F90C25">
      <w:pPr>
        <w:jc w:val="both"/>
        <w:rPr>
          <w:sz w:val="18"/>
          <w:szCs w:val="18"/>
        </w:rPr>
      </w:pPr>
    </w:p>
    <w:sectPr w:rsidR="003B53D8" w:rsidSect="00C052B2">
      <w:headerReference w:type="default" r:id="rId9"/>
      <w:footerReference w:type="default" r:id="rId10"/>
      <w:headerReference w:type="first" r:id="rId11"/>
      <w:footerReference w:type="first" r:id="rId12"/>
      <w:pgSz w:w="16838" w:h="11906" w:orient="landscape"/>
      <w:pgMar w:top="964" w:right="85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1248" w14:textId="77777777" w:rsidR="00AC2189" w:rsidRDefault="00AC2189" w:rsidP="00BD77FB">
      <w:r>
        <w:separator/>
      </w:r>
    </w:p>
  </w:endnote>
  <w:endnote w:type="continuationSeparator" w:id="0">
    <w:p w14:paraId="5E4C51CA" w14:textId="77777777" w:rsidR="00AC2189" w:rsidRDefault="00AC2189" w:rsidP="00BD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9A73" w14:textId="77777777" w:rsidR="00863F31" w:rsidRDefault="00863F31" w:rsidP="00B03C58">
    <w:pPr>
      <w:jc w:val="both"/>
    </w:pPr>
    <w:r>
      <w:rPr>
        <w:sz w:val="20"/>
      </w:rPr>
      <w:fldChar w:fldCharType="begin"/>
    </w:r>
    <w:r>
      <w:rPr>
        <w:sz w:val="20"/>
      </w:rPr>
      <w:instrText xml:space="preserve"> FILENAME   \* MERGEFORMAT </w:instrText>
    </w:r>
    <w:r>
      <w:rPr>
        <w:sz w:val="20"/>
      </w:rPr>
      <w:fldChar w:fldCharType="separate"/>
    </w:r>
    <w:r w:rsidR="00ED0B62">
      <w:rPr>
        <w:noProof/>
        <w:sz w:val="20"/>
      </w:rPr>
      <w:t>FM2piel_02082012_FI</w:t>
    </w:r>
    <w:r>
      <w:rPr>
        <w:sz w:val="20"/>
      </w:rPr>
      <w:fldChar w:fldCharType="end"/>
    </w:r>
    <w:r>
      <w:rPr>
        <w:sz w:val="20"/>
      </w:rPr>
      <w:t>; 2.pielikums „</w:t>
    </w:r>
    <w:r w:rsidR="00722EEB" w:rsidRPr="00722EEB">
      <w:rPr>
        <w:sz w:val="20"/>
      </w:rPr>
      <w:t>Informācija par Eiropas Komisijas Starpposma revīzijas ziņojuma projektā Nr.2011/LV/REGIO/J2/976/1 norādītajiem konstatējumiem, izdarītajiem secinājumiem, piedāvāto finanšu korekciju un iespējamo turpmāko rīcību</w:t>
    </w:r>
    <w:r>
      <w:rPr>
        <w:sz w:val="20"/>
      </w:rPr>
      <w:t>” pozīcijai p</w:t>
    </w:r>
    <w:r w:rsidRPr="00B03C58">
      <w:rPr>
        <w:sz w:val="20"/>
      </w:rPr>
      <w:t xml:space="preserve">ar Eiropas Komisijas Reģionālās politikas ģenerāldirektorāta 2011.gada oktobrī veiktās revīzijas rezultātā aprēķināto finanšu korekciju </w:t>
    </w:r>
    <w:r>
      <w:rPr>
        <w:sz w:val="20"/>
      </w:rPr>
      <w:t>par</w:t>
    </w:r>
    <w:r w:rsidRPr="00B03C58">
      <w:rPr>
        <w:sz w:val="20"/>
      </w:rPr>
      <w:t xml:space="preserve"> Eiropas Reģionālās attīstības fonda līdzfinansēto finanšu vadības instrumentu aktivitāšu īstenošanu Latvijā</w:t>
    </w:r>
  </w:p>
  <w:p w14:paraId="2BBC14BB" w14:textId="77777777" w:rsidR="001C2964" w:rsidRPr="00E90BE9" w:rsidRDefault="001C2964" w:rsidP="001C2964">
    <w:pPr>
      <w:jc w:val="center"/>
      <w:rPr>
        <w:sz w:val="28"/>
        <w:szCs w:val="28"/>
      </w:rPr>
    </w:pPr>
    <w:r w:rsidRPr="00E90BE9">
      <w:rPr>
        <w:strike/>
        <w:sz w:val="28"/>
        <w:szCs w:val="28"/>
      </w:rPr>
      <w:t>Ierobežota pieejamība</w:t>
    </w:r>
    <w:r>
      <w:rPr>
        <w:strike/>
        <w:sz w:val="28"/>
        <w:szCs w:val="28"/>
      </w:rPr>
      <w:t>s informācija</w:t>
    </w:r>
    <w:r w:rsidRPr="00E90BE9">
      <w:rPr>
        <w:sz w:val="28"/>
        <w:szCs w:val="28"/>
      </w:rPr>
      <w:t xml:space="preserve">  NAV  KLASIFICĒTS</w:t>
    </w:r>
  </w:p>
  <w:p w14:paraId="69741396" w14:textId="77777777" w:rsidR="00863F31" w:rsidRDefault="00863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0785" w14:textId="77777777" w:rsidR="00863F31" w:rsidRDefault="00863F31" w:rsidP="00C1118F">
    <w:pPr>
      <w:jc w:val="both"/>
    </w:pPr>
    <w:r>
      <w:rPr>
        <w:sz w:val="20"/>
      </w:rPr>
      <w:fldChar w:fldCharType="begin"/>
    </w:r>
    <w:r>
      <w:rPr>
        <w:sz w:val="20"/>
      </w:rPr>
      <w:instrText xml:space="preserve"> FILENAME   \* MERGEFORMAT </w:instrText>
    </w:r>
    <w:r>
      <w:rPr>
        <w:sz w:val="20"/>
      </w:rPr>
      <w:fldChar w:fldCharType="separate"/>
    </w:r>
    <w:r w:rsidR="00ED0B62">
      <w:rPr>
        <w:noProof/>
        <w:sz w:val="20"/>
      </w:rPr>
      <w:t>FM2piel_02082012_FI</w:t>
    </w:r>
    <w:r>
      <w:rPr>
        <w:sz w:val="20"/>
      </w:rPr>
      <w:fldChar w:fldCharType="end"/>
    </w:r>
    <w:r>
      <w:rPr>
        <w:sz w:val="20"/>
      </w:rPr>
      <w:t>; 2.pielikums „</w:t>
    </w:r>
    <w:r w:rsidR="00722EEB" w:rsidRPr="00722EEB">
      <w:rPr>
        <w:sz w:val="20"/>
      </w:rPr>
      <w:t>Informācija par Eiropas Komisijas Starpposma revīzijas ziņojuma projektā Nr.2011/LV/REGIO/J2/976/1 norādītajiem konstatējumiem, izdarītajiem secinājumiem, piedāvāto finanšu korekciju un iespējamo turpmāko rīcību</w:t>
    </w:r>
    <w:r>
      <w:rPr>
        <w:sz w:val="20"/>
      </w:rPr>
      <w:t>” pozīcijai p</w:t>
    </w:r>
    <w:r w:rsidRPr="00B03C58">
      <w:rPr>
        <w:sz w:val="20"/>
      </w:rPr>
      <w:t xml:space="preserve">ar Eiropas Komisijas Reģionālās politikas ģenerāldirektorāta 2011.gada oktobrī veiktās revīzijas rezultātā aprēķināto finanšu korekciju </w:t>
    </w:r>
    <w:r>
      <w:rPr>
        <w:sz w:val="20"/>
      </w:rPr>
      <w:t>par</w:t>
    </w:r>
    <w:r w:rsidRPr="00B03C58">
      <w:rPr>
        <w:sz w:val="20"/>
      </w:rPr>
      <w:t xml:space="preserve"> Eiropas Reģionālās attīstības fonda līdzfinansēto finanšu vadības instrumentu aktivitāšu īstenošanu Latvijā</w:t>
    </w:r>
  </w:p>
  <w:p w14:paraId="59974538" w14:textId="77777777" w:rsidR="00863F31" w:rsidRDefault="0086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0E63" w14:textId="77777777" w:rsidR="00AC2189" w:rsidRDefault="00AC2189" w:rsidP="00BD77FB">
      <w:r>
        <w:separator/>
      </w:r>
    </w:p>
  </w:footnote>
  <w:footnote w:type="continuationSeparator" w:id="0">
    <w:p w14:paraId="0FAEE42C" w14:textId="77777777" w:rsidR="00AC2189" w:rsidRDefault="00AC2189" w:rsidP="00BD77FB">
      <w:r>
        <w:continuationSeparator/>
      </w:r>
    </w:p>
  </w:footnote>
  <w:footnote w:id="1">
    <w:p w14:paraId="539ED5AA" w14:textId="77777777" w:rsidR="001C2964" w:rsidRPr="00E9292B" w:rsidRDefault="001C2964" w:rsidP="001C2964">
      <w:r>
        <w:rPr>
          <w:rStyle w:val="FootnoteReference"/>
        </w:rPr>
        <w:footnoteRef/>
      </w:r>
      <w:r>
        <w:t xml:space="preserve"> </w:t>
      </w:r>
      <w:bookmarkStart w:id="0" w:name="_Hlk133333869"/>
      <w:r w:rsidRPr="00E9292B">
        <w:t xml:space="preserve">Deklasificēšanas pamatojums: FM </w:t>
      </w:r>
      <w:bookmarkStart w:id="1" w:name="_Hlk133404022"/>
      <w:r w:rsidRPr="00E9292B">
        <w:t xml:space="preserve">04.04.2023. vēstule Nr. 1.2-2/1-1/1119 </w:t>
      </w:r>
      <w:bookmarkEnd w:id="1"/>
      <w:r w:rsidRPr="00E9292B">
        <w:t>(reģ. Nr. 2023-DOC-755)</w:t>
      </w:r>
    </w:p>
    <w:bookmarkEnd w:id="0"/>
    <w:p w14:paraId="0F77CFB9" w14:textId="77777777" w:rsidR="001C2964" w:rsidRDefault="001C2964">
      <w:pPr>
        <w:pStyle w:val="FootnoteText"/>
      </w:pPr>
    </w:p>
  </w:footnote>
  <w:footnote w:id="2">
    <w:p w14:paraId="0268B471" w14:textId="77777777" w:rsidR="00C24735" w:rsidRDefault="00C24735">
      <w:pPr>
        <w:pStyle w:val="FootnoteText"/>
      </w:pPr>
      <w:r>
        <w:rPr>
          <w:rStyle w:val="FootnoteReference"/>
        </w:rPr>
        <w:footnoteRef/>
      </w:r>
      <w:r>
        <w:t xml:space="preserve"> </w:t>
      </w:r>
      <w:r>
        <w:t xml:space="preserve">Eiropas Parlamenta un Padomes 2011.gada 13.decembra Regula (EK) Nr.1310/2011, ar ko groza Padomes Regulu (EK) Nr.1083/2006. </w:t>
      </w:r>
    </w:p>
  </w:footnote>
  <w:footnote w:id="3">
    <w:p w14:paraId="05DF0A6D" w14:textId="77777777" w:rsidR="00C24735" w:rsidRDefault="00C24735">
      <w:pPr>
        <w:pStyle w:val="FootnoteText"/>
      </w:pPr>
      <w:r>
        <w:rPr>
          <w:rStyle w:val="FootnoteReference"/>
        </w:rPr>
        <w:footnoteRef/>
      </w:r>
      <w:r>
        <w:t xml:space="preserve"> </w:t>
      </w:r>
      <w:r>
        <w:t xml:space="preserve">COCOF – ES fondu koordinācijas komiteja, kas izveidota saskaņā ar Padomes Regulas (EK) Nr.1083/2006 103.pantu. </w:t>
      </w:r>
    </w:p>
  </w:footnote>
  <w:footnote w:id="4">
    <w:p w14:paraId="589FB3FE" w14:textId="77777777" w:rsidR="00C24735" w:rsidRPr="00503F1B" w:rsidRDefault="00C24735" w:rsidP="00503F1B">
      <w:pPr>
        <w:pStyle w:val="FootnoteText"/>
        <w:rPr>
          <w:b/>
          <w:bCs/>
        </w:rPr>
      </w:pPr>
      <w:r>
        <w:rPr>
          <w:rStyle w:val="FootnoteReference"/>
        </w:rPr>
        <w:footnoteRef/>
      </w:r>
      <w:r>
        <w:t xml:space="preserve"> </w:t>
      </w:r>
      <w:r w:rsidRPr="00503F1B">
        <w:rPr>
          <w:bCs/>
        </w:rPr>
        <w:t xml:space="preserve">Guidance Note on Financial Engineering Instruments under Article 44 of Council Regulation (EC) No 1083/2006 </w:t>
      </w:r>
      <w:r>
        <w:t xml:space="preserve">(aktualizētā versija uz 21.02.2011.) </w:t>
      </w:r>
      <w:hyperlink r:id="rId1" w:history="1">
        <w:r w:rsidRPr="00684FA6">
          <w:rPr>
            <w:rStyle w:val="Hyperlink"/>
          </w:rPr>
          <w:t>http://ec.europa.eu/regional_policy/archive/funds/2007/jjj/doc/pdf/cocof_guidance_note3_en.pdf</w:t>
        </w:r>
      </w:hyperlink>
      <w:r>
        <w:t xml:space="preserve"> </w:t>
      </w:r>
    </w:p>
  </w:footnote>
  <w:footnote w:id="5">
    <w:p w14:paraId="01C8F12F" w14:textId="77777777" w:rsidR="00C24735" w:rsidRPr="00FD6C0F" w:rsidRDefault="00C24735" w:rsidP="00FD6C0F">
      <w:pPr>
        <w:pStyle w:val="FootnoteText"/>
        <w:jc w:val="both"/>
        <w:rPr>
          <w:i/>
        </w:rPr>
      </w:pPr>
      <w:r w:rsidRPr="00637498">
        <w:rPr>
          <w:rStyle w:val="FootnoteReference"/>
          <w:i/>
        </w:rPr>
        <w:footnoteRef/>
      </w:r>
      <w:r w:rsidRPr="00637498">
        <w:rPr>
          <w:i/>
        </w:rPr>
        <w:t xml:space="preserve"> </w:t>
      </w:r>
      <w:r w:rsidRPr="00637498">
        <w:rPr>
          <w:i/>
        </w:rPr>
        <w:t>Aprēķinātā summa var samazināties, ņemot vērā EK starpposma revīzijas ziņojuma projektā norādīto summu neprecizitāti.</w:t>
      </w:r>
      <w:r>
        <w:rPr>
          <w:i/>
        </w:rPr>
        <w:t xml:space="preserve"> Ņemot vērā, ka LHZB pamatkapitālā ir iemaksāti  </w:t>
      </w:r>
      <w:r w:rsidRPr="00FD6C0F">
        <w:rPr>
          <w:i/>
        </w:rPr>
        <w:t>38 399 336,14</w:t>
      </w:r>
      <w:r>
        <w:rPr>
          <w:i/>
        </w:rPr>
        <w:t xml:space="preserve"> lati, no tās 10% ir </w:t>
      </w:r>
      <w:r w:rsidRPr="00FD6C0F">
        <w:rPr>
          <w:i/>
        </w:rPr>
        <w:t>3 839 933,61</w:t>
      </w:r>
      <w:r>
        <w:rPr>
          <w:i/>
        </w:rPr>
        <w:t xml:space="preserve"> lati. </w:t>
      </w:r>
    </w:p>
    <w:p w14:paraId="14D93B12" w14:textId="77777777" w:rsidR="00C24735" w:rsidRDefault="00C24735" w:rsidP="00547362">
      <w:pPr>
        <w:pStyle w:val="FootnoteText"/>
        <w:jc w:val="both"/>
        <w:rPr>
          <w:i/>
        </w:rPr>
      </w:pPr>
    </w:p>
    <w:p w14:paraId="6CBBCE59" w14:textId="77777777" w:rsidR="00C24735" w:rsidRDefault="00C24735" w:rsidP="00547362">
      <w:pPr>
        <w:pStyle w:val="FootnoteText"/>
        <w:jc w:val="both"/>
      </w:pPr>
    </w:p>
  </w:footnote>
  <w:footnote w:id="6">
    <w:p w14:paraId="7BE80EA2" w14:textId="77777777" w:rsidR="00C24735" w:rsidRPr="00637498" w:rsidRDefault="00C24735" w:rsidP="00C24735">
      <w:pPr>
        <w:pStyle w:val="FootnoteText"/>
        <w:jc w:val="both"/>
        <w:rPr>
          <w:b/>
          <w:i/>
        </w:rPr>
      </w:pPr>
      <w:r w:rsidRPr="00637498">
        <w:rPr>
          <w:rStyle w:val="FootnoteReference"/>
          <w:i/>
        </w:rPr>
        <w:footnoteRef/>
      </w:r>
      <w:r w:rsidRPr="00637498">
        <w:rPr>
          <w:i/>
        </w:rPr>
        <w:t xml:space="preserve"> </w:t>
      </w:r>
      <w:r w:rsidRPr="00637498">
        <w:rPr>
          <w:i/>
        </w:rPr>
        <w:t xml:space="preserve">EK savus aprēķinus par finanšu korekciju apmēru balsta uz RI aprēķiniem. Tā kā RI turpina aprēķinus atsevišķiem EK norādītajiem pārkāpumiem, summa var attiecīgi palielināties. </w:t>
      </w:r>
      <w:r w:rsidRPr="00637498">
        <w:rPr>
          <w:b/>
          <w:i/>
        </w:rPr>
        <w:t xml:space="preserve">Papildus summa var palielināties par ~ 38 miljoniem latu, ja netiek panākta vienošanās ar EK par </w:t>
      </w:r>
      <w:r>
        <w:rPr>
          <w:b/>
          <w:i/>
        </w:rPr>
        <w:t>VAS „</w:t>
      </w:r>
      <w:r w:rsidRPr="00637498">
        <w:rPr>
          <w:b/>
          <w:i/>
        </w:rPr>
        <w:t>Latvijas Hipotēku un zemes banka</w:t>
      </w:r>
      <w:r>
        <w:rPr>
          <w:b/>
          <w:i/>
        </w:rPr>
        <w:t xml:space="preserve">” </w:t>
      </w:r>
      <w:r w:rsidRPr="00637498">
        <w:rPr>
          <w:b/>
          <w:i/>
        </w:rPr>
        <w:t>kapitalizāciju, izmantojot Eiropas Reģionālās attīstības fonda līdzekļus.</w:t>
      </w:r>
    </w:p>
    <w:p w14:paraId="1086690C" w14:textId="77777777" w:rsidR="00C24735" w:rsidRDefault="00C24735" w:rsidP="00C24735">
      <w:pPr>
        <w:pStyle w:val="FootnoteText"/>
        <w:jc w:val="both"/>
        <w:rPr>
          <w:i/>
        </w:rPr>
      </w:pPr>
      <w:r>
        <w:rPr>
          <w:i/>
        </w:rPr>
        <w:t>*</w:t>
      </w:r>
      <w:r w:rsidRPr="002D42B4">
        <w:rPr>
          <w:i/>
        </w:rPr>
        <w:t xml:space="preserve"> </w:t>
      </w:r>
      <w:r w:rsidRPr="00637498">
        <w:rPr>
          <w:i/>
        </w:rPr>
        <w:t>Atšķirīgu summu norādīšanas pamatā ir atšķirīgs aprēķinu periods: VI aprēķinus veikusi par periodu no aktivitātes sākuma līdz 2011.gada oktobrim, bet RI aprēķinus veikusi par periodu no aktivitātes sākuma līdz 2010.gada decembrim. RI turpina aprēķinus attiecībā uz periodu no 2010.gada decembra līdz 2011.gada decembrim.</w:t>
      </w:r>
    </w:p>
    <w:p w14:paraId="0F789F25" w14:textId="77777777" w:rsidR="00C24735" w:rsidRPr="00696DAD" w:rsidRDefault="00C24735" w:rsidP="00C24735">
      <w:pPr>
        <w:pStyle w:val="FootnoteText"/>
        <w:jc w:val="both"/>
        <w:rPr>
          <w:i/>
        </w:rPr>
      </w:pPr>
      <w:r w:rsidRPr="002D42B4">
        <w:rPr>
          <w:i/>
        </w:rPr>
        <w:t xml:space="preserve">** </w:t>
      </w:r>
      <w:r w:rsidRPr="00637498">
        <w:rPr>
          <w:i/>
        </w:rPr>
        <w:t>Tā kā RI turpina aprēķinus atsevišķiem EK norādītajiem pārkāpumiem, summa var palielināties att</w:t>
      </w:r>
      <w:r w:rsidR="00696DAD">
        <w:rPr>
          <w:i/>
        </w:rPr>
        <w:t>iecīgi par RI aprēķināto summu.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FF06" w14:textId="77777777" w:rsidR="00863F31" w:rsidRDefault="00863F31">
    <w:pPr>
      <w:pStyle w:val="Header"/>
      <w:jc w:val="center"/>
    </w:pPr>
    <w:r>
      <w:fldChar w:fldCharType="begin"/>
    </w:r>
    <w:r>
      <w:instrText xml:space="preserve"> PAGE   \* MERGEFORMAT </w:instrText>
    </w:r>
    <w:r>
      <w:fldChar w:fldCharType="separate"/>
    </w:r>
    <w:r w:rsidR="00D528E1">
      <w:rPr>
        <w:noProof/>
      </w:rPr>
      <w:t>4</w:t>
    </w:r>
    <w:r>
      <w:rPr>
        <w:noProof/>
      </w:rPr>
      <w:fldChar w:fldCharType="end"/>
    </w:r>
  </w:p>
  <w:p w14:paraId="466C73F4" w14:textId="77777777" w:rsidR="001C2964" w:rsidRPr="00E90BE9" w:rsidRDefault="001C2964" w:rsidP="001C2964">
    <w:pPr>
      <w:jc w:val="center"/>
      <w:rPr>
        <w:sz w:val="28"/>
        <w:szCs w:val="28"/>
      </w:rPr>
    </w:pPr>
    <w:r w:rsidRPr="00E90BE9">
      <w:rPr>
        <w:strike/>
        <w:sz w:val="28"/>
        <w:szCs w:val="28"/>
      </w:rPr>
      <w:t>Ierobežota pieejamība</w:t>
    </w:r>
    <w:r>
      <w:rPr>
        <w:strike/>
        <w:sz w:val="28"/>
        <w:szCs w:val="28"/>
      </w:rPr>
      <w:t>s informācija</w:t>
    </w:r>
    <w:r w:rsidRPr="00E90BE9">
      <w:rPr>
        <w:sz w:val="28"/>
        <w:szCs w:val="28"/>
      </w:rPr>
      <w:t xml:space="preserve">  NAV  KLASIFICĒTS</w:t>
    </w:r>
  </w:p>
  <w:p w14:paraId="49A92B56" w14:textId="77777777" w:rsidR="00863F31" w:rsidRPr="00FD4E44" w:rsidRDefault="00863F31" w:rsidP="00FD4E44">
    <w:pPr>
      <w:pStyle w:val="Footer"/>
      <w:jc w:val="center"/>
      <w:rPr>
        <w:smallCaps/>
      </w:rPr>
    </w:pPr>
  </w:p>
  <w:p w14:paraId="79F057F5" w14:textId="77777777" w:rsidR="00863F31" w:rsidRDefault="00863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78F3" w14:textId="77777777" w:rsidR="001C2964" w:rsidRPr="00E90BE9" w:rsidRDefault="001C2964" w:rsidP="001C2964">
    <w:pPr>
      <w:jc w:val="center"/>
      <w:rPr>
        <w:sz w:val="28"/>
        <w:szCs w:val="28"/>
      </w:rPr>
    </w:pPr>
    <w:bookmarkStart w:id="3" w:name="_Hlk132965133"/>
    <w:r w:rsidRPr="00E90BE9">
      <w:rPr>
        <w:strike/>
        <w:sz w:val="28"/>
        <w:szCs w:val="28"/>
      </w:rPr>
      <w:t>Ierobežota pieejamība</w:t>
    </w:r>
    <w:r>
      <w:rPr>
        <w:strike/>
        <w:sz w:val="28"/>
        <w:szCs w:val="28"/>
      </w:rPr>
      <w:t>s informācija</w:t>
    </w:r>
    <w:r w:rsidRPr="00E90BE9">
      <w:rPr>
        <w:sz w:val="28"/>
        <w:szCs w:val="28"/>
      </w:rPr>
      <w:t xml:space="preserve">  NAV  KLASIFICĒTS</w:t>
    </w:r>
  </w:p>
  <w:bookmarkEnd w:id="3"/>
  <w:p w14:paraId="1D32F2AC" w14:textId="77777777" w:rsidR="00863F31" w:rsidRDefault="00863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756FE"/>
    <w:multiLevelType w:val="hybridMultilevel"/>
    <w:tmpl w:val="1BAC19AE"/>
    <w:lvl w:ilvl="0" w:tplc="4D484B0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6F12572"/>
    <w:multiLevelType w:val="multilevel"/>
    <w:tmpl w:val="7A2C75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21883095">
    <w:abstractNumId w:val="1"/>
  </w:num>
  <w:num w:numId="2" w16cid:durableId="1031300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0B"/>
    <w:rsid w:val="00003BFB"/>
    <w:rsid w:val="000123FB"/>
    <w:rsid w:val="00037E8F"/>
    <w:rsid w:val="00050CB5"/>
    <w:rsid w:val="00067481"/>
    <w:rsid w:val="00084C8B"/>
    <w:rsid w:val="00093D92"/>
    <w:rsid w:val="0009734A"/>
    <w:rsid w:val="000A2B39"/>
    <w:rsid w:val="000C7A29"/>
    <w:rsid w:val="000D5FB5"/>
    <w:rsid w:val="000F0919"/>
    <w:rsid w:val="00113274"/>
    <w:rsid w:val="00127EAD"/>
    <w:rsid w:val="00131511"/>
    <w:rsid w:val="001320F9"/>
    <w:rsid w:val="001402E5"/>
    <w:rsid w:val="00154C09"/>
    <w:rsid w:val="001560A3"/>
    <w:rsid w:val="00174955"/>
    <w:rsid w:val="00175347"/>
    <w:rsid w:val="001918AB"/>
    <w:rsid w:val="001B3F28"/>
    <w:rsid w:val="001C2964"/>
    <w:rsid w:val="001E074C"/>
    <w:rsid w:val="001E5DB2"/>
    <w:rsid w:val="001F588F"/>
    <w:rsid w:val="001F65C1"/>
    <w:rsid w:val="00203B72"/>
    <w:rsid w:val="00206079"/>
    <w:rsid w:val="00212676"/>
    <w:rsid w:val="00216360"/>
    <w:rsid w:val="002644C5"/>
    <w:rsid w:val="00270B35"/>
    <w:rsid w:val="00276D39"/>
    <w:rsid w:val="002A2734"/>
    <w:rsid w:val="002A58EC"/>
    <w:rsid w:val="002D0FAB"/>
    <w:rsid w:val="002D42B4"/>
    <w:rsid w:val="002E0D35"/>
    <w:rsid w:val="002E1E2A"/>
    <w:rsid w:val="0030194F"/>
    <w:rsid w:val="003040CA"/>
    <w:rsid w:val="003062A8"/>
    <w:rsid w:val="00314B48"/>
    <w:rsid w:val="00333ED5"/>
    <w:rsid w:val="00335020"/>
    <w:rsid w:val="00336232"/>
    <w:rsid w:val="00337935"/>
    <w:rsid w:val="00352D0F"/>
    <w:rsid w:val="00371066"/>
    <w:rsid w:val="00374503"/>
    <w:rsid w:val="00382FFC"/>
    <w:rsid w:val="003B53D8"/>
    <w:rsid w:val="003F2562"/>
    <w:rsid w:val="0040164E"/>
    <w:rsid w:val="00422D6E"/>
    <w:rsid w:val="00431FB7"/>
    <w:rsid w:val="0044298F"/>
    <w:rsid w:val="004473CA"/>
    <w:rsid w:val="0046008F"/>
    <w:rsid w:val="00465BD9"/>
    <w:rsid w:val="004664BD"/>
    <w:rsid w:val="004C7325"/>
    <w:rsid w:val="004D2F0A"/>
    <w:rsid w:val="004D370B"/>
    <w:rsid w:val="004D7BC7"/>
    <w:rsid w:val="004E78C1"/>
    <w:rsid w:val="004F7645"/>
    <w:rsid w:val="00502FCD"/>
    <w:rsid w:val="00503F1B"/>
    <w:rsid w:val="00511F2B"/>
    <w:rsid w:val="00536CC4"/>
    <w:rsid w:val="00547362"/>
    <w:rsid w:val="005500A2"/>
    <w:rsid w:val="005655B8"/>
    <w:rsid w:val="00574288"/>
    <w:rsid w:val="00587359"/>
    <w:rsid w:val="00592AD3"/>
    <w:rsid w:val="005967E3"/>
    <w:rsid w:val="005A0314"/>
    <w:rsid w:val="005A365C"/>
    <w:rsid w:val="005D1D39"/>
    <w:rsid w:val="005E2DDF"/>
    <w:rsid w:val="005E5F61"/>
    <w:rsid w:val="00614638"/>
    <w:rsid w:val="00633704"/>
    <w:rsid w:val="00637498"/>
    <w:rsid w:val="00660D08"/>
    <w:rsid w:val="00664F05"/>
    <w:rsid w:val="0067450B"/>
    <w:rsid w:val="00694325"/>
    <w:rsid w:val="00696DAD"/>
    <w:rsid w:val="006C1D30"/>
    <w:rsid w:val="006C27A6"/>
    <w:rsid w:val="006D6A51"/>
    <w:rsid w:val="006D7C2A"/>
    <w:rsid w:val="006D7DE2"/>
    <w:rsid w:val="006E3C7D"/>
    <w:rsid w:val="006F6907"/>
    <w:rsid w:val="00702556"/>
    <w:rsid w:val="00715703"/>
    <w:rsid w:val="00722EEB"/>
    <w:rsid w:val="00733E7D"/>
    <w:rsid w:val="00735DE6"/>
    <w:rsid w:val="007645CA"/>
    <w:rsid w:val="007A7963"/>
    <w:rsid w:val="007B1BA9"/>
    <w:rsid w:val="007B56FB"/>
    <w:rsid w:val="007C44E2"/>
    <w:rsid w:val="007D6B0E"/>
    <w:rsid w:val="007F439A"/>
    <w:rsid w:val="00804262"/>
    <w:rsid w:val="00804B1D"/>
    <w:rsid w:val="00816BF4"/>
    <w:rsid w:val="00826F02"/>
    <w:rsid w:val="00832929"/>
    <w:rsid w:val="008533C3"/>
    <w:rsid w:val="0086270C"/>
    <w:rsid w:val="00862820"/>
    <w:rsid w:val="00863D16"/>
    <w:rsid w:val="00863F31"/>
    <w:rsid w:val="0086616F"/>
    <w:rsid w:val="00872A48"/>
    <w:rsid w:val="00885E91"/>
    <w:rsid w:val="008B141E"/>
    <w:rsid w:val="008B1E53"/>
    <w:rsid w:val="008C12FB"/>
    <w:rsid w:val="008D26DE"/>
    <w:rsid w:val="008E70E6"/>
    <w:rsid w:val="008F0F30"/>
    <w:rsid w:val="00916E3C"/>
    <w:rsid w:val="00925A38"/>
    <w:rsid w:val="00925F18"/>
    <w:rsid w:val="00950E5D"/>
    <w:rsid w:val="00961207"/>
    <w:rsid w:val="00981214"/>
    <w:rsid w:val="009912C0"/>
    <w:rsid w:val="009B25FF"/>
    <w:rsid w:val="009C5E13"/>
    <w:rsid w:val="009D5B7A"/>
    <w:rsid w:val="009D5EB0"/>
    <w:rsid w:val="009D7DB8"/>
    <w:rsid w:val="009E13D3"/>
    <w:rsid w:val="009F0512"/>
    <w:rsid w:val="009F14DF"/>
    <w:rsid w:val="009F65C0"/>
    <w:rsid w:val="00A00CE0"/>
    <w:rsid w:val="00A15808"/>
    <w:rsid w:val="00A26495"/>
    <w:rsid w:val="00A761EC"/>
    <w:rsid w:val="00A96472"/>
    <w:rsid w:val="00AA58A8"/>
    <w:rsid w:val="00AB2967"/>
    <w:rsid w:val="00AC1F9D"/>
    <w:rsid w:val="00AC2189"/>
    <w:rsid w:val="00AD4B30"/>
    <w:rsid w:val="00AE182B"/>
    <w:rsid w:val="00B019B2"/>
    <w:rsid w:val="00B03C58"/>
    <w:rsid w:val="00B77029"/>
    <w:rsid w:val="00B86EA2"/>
    <w:rsid w:val="00B967CD"/>
    <w:rsid w:val="00B97C67"/>
    <w:rsid w:val="00BA4E2C"/>
    <w:rsid w:val="00BC0D09"/>
    <w:rsid w:val="00BC134D"/>
    <w:rsid w:val="00BC7194"/>
    <w:rsid w:val="00BD2FFD"/>
    <w:rsid w:val="00BD77FB"/>
    <w:rsid w:val="00BE3B53"/>
    <w:rsid w:val="00BF1045"/>
    <w:rsid w:val="00BF112A"/>
    <w:rsid w:val="00C0210E"/>
    <w:rsid w:val="00C052B2"/>
    <w:rsid w:val="00C1118F"/>
    <w:rsid w:val="00C24735"/>
    <w:rsid w:val="00C366A0"/>
    <w:rsid w:val="00C42C32"/>
    <w:rsid w:val="00C474C8"/>
    <w:rsid w:val="00C6446C"/>
    <w:rsid w:val="00C646F7"/>
    <w:rsid w:val="00C72FAC"/>
    <w:rsid w:val="00CA6415"/>
    <w:rsid w:val="00CB1D93"/>
    <w:rsid w:val="00CB2092"/>
    <w:rsid w:val="00CE4025"/>
    <w:rsid w:val="00CE630E"/>
    <w:rsid w:val="00CF76A7"/>
    <w:rsid w:val="00D02479"/>
    <w:rsid w:val="00D04E30"/>
    <w:rsid w:val="00D07FE0"/>
    <w:rsid w:val="00D1404B"/>
    <w:rsid w:val="00D269C9"/>
    <w:rsid w:val="00D40BE9"/>
    <w:rsid w:val="00D4303F"/>
    <w:rsid w:val="00D476C8"/>
    <w:rsid w:val="00D528E1"/>
    <w:rsid w:val="00D533EC"/>
    <w:rsid w:val="00D567DE"/>
    <w:rsid w:val="00D6381A"/>
    <w:rsid w:val="00D66D8C"/>
    <w:rsid w:val="00D74F30"/>
    <w:rsid w:val="00D807FD"/>
    <w:rsid w:val="00DA254B"/>
    <w:rsid w:val="00DB0B86"/>
    <w:rsid w:val="00DB3495"/>
    <w:rsid w:val="00DB7BC3"/>
    <w:rsid w:val="00DC1C0F"/>
    <w:rsid w:val="00DD4C49"/>
    <w:rsid w:val="00DE25C2"/>
    <w:rsid w:val="00DF6AE8"/>
    <w:rsid w:val="00E01CBF"/>
    <w:rsid w:val="00E20226"/>
    <w:rsid w:val="00E202A0"/>
    <w:rsid w:val="00E372F4"/>
    <w:rsid w:val="00E765CE"/>
    <w:rsid w:val="00E77C4B"/>
    <w:rsid w:val="00E82B2F"/>
    <w:rsid w:val="00E86FD3"/>
    <w:rsid w:val="00E933D3"/>
    <w:rsid w:val="00EA49AE"/>
    <w:rsid w:val="00EB5F44"/>
    <w:rsid w:val="00EC3B07"/>
    <w:rsid w:val="00ED0B62"/>
    <w:rsid w:val="00ED5874"/>
    <w:rsid w:val="00F010CF"/>
    <w:rsid w:val="00F0271A"/>
    <w:rsid w:val="00F03D8B"/>
    <w:rsid w:val="00F1604B"/>
    <w:rsid w:val="00F17A04"/>
    <w:rsid w:val="00F211C3"/>
    <w:rsid w:val="00F27E71"/>
    <w:rsid w:val="00F35136"/>
    <w:rsid w:val="00F3579E"/>
    <w:rsid w:val="00F4125D"/>
    <w:rsid w:val="00F42F7B"/>
    <w:rsid w:val="00F53D3F"/>
    <w:rsid w:val="00F606BE"/>
    <w:rsid w:val="00F6303D"/>
    <w:rsid w:val="00F6654F"/>
    <w:rsid w:val="00F75C28"/>
    <w:rsid w:val="00F75D4F"/>
    <w:rsid w:val="00F76AA9"/>
    <w:rsid w:val="00F84E7E"/>
    <w:rsid w:val="00F863CD"/>
    <w:rsid w:val="00F90C25"/>
    <w:rsid w:val="00F96698"/>
    <w:rsid w:val="00FD4E44"/>
    <w:rsid w:val="00FD6559"/>
    <w:rsid w:val="00FD6C0F"/>
    <w:rsid w:val="00FE3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D45E"/>
  <w15:chartTrackingRefBased/>
  <w15:docId w15:val="{50952834-A035-4886-8696-4EC01D21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8C"/>
    <w:rPr>
      <w:sz w:val="24"/>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D77FB"/>
    <w:rPr>
      <w:sz w:val="20"/>
      <w:szCs w:val="20"/>
    </w:rPr>
  </w:style>
  <w:style w:type="character" w:customStyle="1" w:styleId="FootnoteTextChar">
    <w:name w:val="Footnote Text Char"/>
    <w:link w:val="FootnoteText"/>
    <w:uiPriority w:val="99"/>
    <w:semiHidden/>
    <w:rsid w:val="00BD77FB"/>
    <w:rPr>
      <w:sz w:val="20"/>
      <w:szCs w:val="20"/>
    </w:rPr>
  </w:style>
  <w:style w:type="character" w:styleId="FootnoteReference">
    <w:name w:val="footnote reference"/>
    <w:uiPriority w:val="99"/>
    <w:semiHidden/>
    <w:unhideWhenUsed/>
    <w:rsid w:val="00BD77FB"/>
    <w:rPr>
      <w:vertAlign w:val="superscript"/>
    </w:rPr>
  </w:style>
  <w:style w:type="paragraph" w:styleId="BalloonText">
    <w:name w:val="Balloon Text"/>
    <w:basedOn w:val="Normal"/>
    <w:link w:val="BalloonTextChar"/>
    <w:uiPriority w:val="99"/>
    <w:semiHidden/>
    <w:unhideWhenUsed/>
    <w:rsid w:val="00335020"/>
    <w:rPr>
      <w:rFonts w:ascii="Tahoma" w:hAnsi="Tahoma" w:cs="Tahoma"/>
      <w:sz w:val="16"/>
      <w:szCs w:val="16"/>
    </w:rPr>
  </w:style>
  <w:style w:type="character" w:customStyle="1" w:styleId="BalloonTextChar">
    <w:name w:val="Balloon Text Char"/>
    <w:link w:val="BalloonText"/>
    <w:uiPriority w:val="99"/>
    <w:semiHidden/>
    <w:rsid w:val="00335020"/>
    <w:rPr>
      <w:rFonts w:ascii="Tahoma" w:hAnsi="Tahoma" w:cs="Tahoma"/>
      <w:sz w:val="16"/>
      <w:szCs w:val="16"/>
    </w:rPr>
  </w:style>
  <w:style w:type="paragraph" w:styleId="Header">
    <w:name w:val="header"/>
    <w:basedOn w:val="Normal"/>
    <w:link w:val="HeaderChar"/>
    <w:uiPriority w:val="99"/>
    <w:unhideWhenUsed/>
    <w:rsid w:val="00037E8F"/>
    <w:pPr>
      <w:tabs>
        <w:tab w:val="center" w:pos="4153"/>
        <w:tab w:val="right" w:pos="8306"/>
      </w:tabs>
    </w:pPr>
  </w:style>
  <w:style w:type="character" w:customStyle="1" w:styleId="HeaderChar">
    <w:name w:val="Header Char"/>
    <w:basedOn w:val="DefaultParagraphFont"/>
    <w:link w:val="Header"/>
    <w:uiPriority w:val="99"/>
    <w:rsid w:val="00037E8F"/>
  </w:style>
  <w:style w:type="paragraph" w:styleId="Footer">
    <w:name w:val="footer"/>
    <w:basedOn w:val="Normal"/>
    <w:link w:val="FooterChar"/>
    <w:uiPriority w:val="99"/>
    <w:unhideWhenUsed/>
    <w:rsid w:val="00037E8F"/>
    <w:pPr>
      <w:tabs>
        <w:tab w:val="center" w:pos="4153"/>
        <w:tab w:val="right" w:pos="8306"/>
      </w:tabs>
    </w:pPr>
  </w:style>
  <w:style w:type="character" w:customStyle="1" w:styleId="FooterChar">
    <w:name w:val="Footer Char"/>
    <w:basedOn w:val="DefaultParagraphFont"/>
    <w:link w:val="Footer"/>
    <w:uiPriority w:val="99"/>
    <w:rsid w:val="00037E8F"/>
  </w:style>
  <w:style w:type="character" w:styleId="CommentReference">
    <w:name w:val="annotation reference"/>
    <w:uiPriority w:val="99"/>
    <w:semiHidden/>
    <w:unhideWhenUsed/>
    <w:rsid w:val="009D7DB8"/>
    <w:rPr>
      <w:sz w:val="16"/>
      <w:szCs w:val="16"/>
    </w:rPr>
  </w:style>
  <w:style w:type="paragraph" w:styleId="CommentText">
    <w:name w:val="annotation text"/>
    <w:basedOn w:val="Normal"/>
    <w:link w:val="CommentTextChar"/>
    <w:uiPriority w:val="99"/>
    <w:semiHidden/>
    <w:unhideWhenUsed/>
    <w:rsid w:val="009D7DB8"/>
    <w:rPr>
      <w:sz w:val="20"/>
      <w:szCs w:val="20"/>
    </w:rPr>
  </w:style>
  <w:style w:type="character" w:customStyle="1" w:styleId="CommentTextChar">
    <w:name w:val="Comment Text Char"/>
    <w:link w:val="CommentText"/>
    <w:uiPriority w:val="99"/>
    <w:semiHidden/>
    <w:rsid w:val="009D7DB8"/>
    <w:rPr>
      <w:sz w:val="20"/>
      <w:szCs w:val="20"/>
    </w:rPr>
  </w:style>
  <w:style w:type="paragraph" w:styleId="CommentSubject">
    <w:name w:val="annotation subject"/>
    <w:basedOn w:val="CommentText"/>
    <w:next w:val="CommentText"/>
    <w:link w:val="CommentSubjectChar"/>
    <w:uiPriority w:val="99"/>
    <w:semiHidden/>
    <w:unhideWhenUsed/>
    <w:rsid w:val="009D7DB8"/>
    <w:rPr>
      <w:b/>
      <w:bCs/>
    </w:rPr>
  </w:style>
  <w:style w:type="character" w:customStyle="1" w:styleId="CommentSubjectChar">
    <w:name w:val="Comment Subject Char"/>
    <w:link w:val="CommentSubject"/>
    <w:uiPriority w:val="99"/>
    <w:semiHidden/>
    <w:rsid w:val="009D7DB8"/>
    <w:rPr>
      <w:b/>
      <w:bCs/>
      <w:sz w:val="20"/>
      <w:szCs w:val="20"/>
    </w:rPr>
  </w:style>
  <w:style w:type="character" w:styleId="Hyperlink">
    <w:name w:val="Hyperlink"/>
    <w:uiPriority w:val="99"/>
    <w:unhideWhenUsed/>
    <w:rsid w:val="00503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303">
      <w:bodyDiv w:val="1"/>
      <w:marLeft w:val="0"/>
      <w:marRight w:val="0"/>
      <w:marTop w:val="0"/>
      <w:marBottom w:val="0"/>
      <w:divBdr>
        <w:top w:val="none" w:sz="0" w:space="0" w:color="auto"/>
        <w:left w:val="none" w:sz="0" w:space="0" w:color="auto"/>
        <w:bottom w:val="none" w:sz="0" w:space="0" w:color="auto"/>
        <w:right w:val="none" w:sz="0" w:space="0" w:color="auto"/>
      </w:divBdr>
    </w:div>
    <w:div w:id="580530955">
      <w:bodyDiv w:val="1"/>
      <w:marLeft w:val="0"/>
      <w:marRight w:val="0"/>
      <w:marTop w:val="0"/>
      <w:marBottom w:val="0"/>
      <w:divBdr>
        <w:top w:val="none" w:sz="0" w:space="0" w:color="auto"/>
        <w:left w:val="none" w:sz="0" w:space="0" w:color="auto"/>
        <w:bottom w:val="none" w:sz="0" w:space="0" w:color="auto"/>
        <w:right w:val="none" w:sz="0" w:space="0" w:color="auto"/>
      </w:divBdr>
    </w:div>
    <w:div w:id="1117681079">
      <w:bodyDiv w:val="1"/>
      <w:marLeft w:val="0"/>
      <w:marRight w:val="0"/>
      <w:marTop w:val="0"/>
      <w:marBottom w:val="0"/>
      <w:divBdr>
        <w:top w:val="none" w:sz="0" w:space="0" w:color="auto"/>
        <w:left w:val="none" w:sz="0" w:space="0" w:color="auto"/>
        <w:bottom w:val="none" w:sz="0" w:space="0" w:color="auto"/>
        <w:right w:val="none" w:sz="0" w:space="0" w:color="auto"/>
      </w:divBdr>
    </w:div>
    <w:div w:id="20250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Vigul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archive/funds/2007/jjj/doc/pdf/cocof_guidance_note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814E-5480-4E6F-BBC4-5BAC7639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4094</Words>
  <Characters>2335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2.Pielikums pozīcijai</vt:lpstr>
    </vt:vector>
  </TitlesOfParts>
  <Manager>ilze.abolina@fm.gov.lv</Manager>
  <Company>Finanšu ministrija</Company>
  <LinksUpToDate>false</LinksUpToDate>
  <CharactersWithSpaces>6417</CharactersWithSpaces>
  <SharedDoc>false</SharedDoc>
  <HLinks>
    <vt:vector size="12" baseType="variant">
      <vt:variant>
        <vt:i4>2293779</vt:i4>
      </vt:variant>
      <vt:variant>
        <vt:i4>0</vt:i4>
      </vt:variant>
      <vt:variant>
        <vt:i4>0</vt:i4>
      </vt:variant>
      <vt:variant>
        <vt:i4>5</vt:i4>
      </vt:variant>
      <vt:variant>
        <vt:lpwstr>mailto:Liene.Vigule@fm.gov.lv</vt:lpwstr>
      </vt:variant>
      <vt:variant>
        <vt:lpwstr/>
      </vt:variant>
      <vt:variant>
        <vt:i4>8126520</vt:i4>
      </vt:variant>
      <vt:variant>
        <vt:i4>0</vt:i4>
      </vt:variant>
      <vt:variant>
        <vt:i4>0</vt:i4>
      </vt:variant>
      <vt:variant>
        <vt:i4>5</vt:i4>
      </vt:variant>
      <vt:variant>
        <vt:lpwstr>http://ec.europa.eu/regional_policy/archive/funds/2007/jjj/doc/pdf/cocof_guidance_note3_en.pdf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pozīcijai</dc:title>
  <dc:subject>finanšu vadības instrumenti EK audita ziņojuma projekta konstatējumi</dc:subject>
  <dc:creator>liene.vigule@fm.gov.lv</dc:creator>
  <cp:keywords>Informācija par Eiropas Komisijas Starpposma revīzijas ziņojuma projektā Nr.2011/LV/REGIO/J2/976/1 norādītajiem konstatējumiem, izdarītajiem secinājumiem, piedāvāto finanšu korekciju un iespējamo turpmāko rīcību</cp:keywords>
  <dc:description>L.Vigule
67095529, fakss: 67095503, Liene.Vigule@fm.gov.lv</dc:description>
  <cp:lastModifiedBy>Iveta Stafecka</cp:lastModifiedBy>
  <cp:revision>2</cp:revision>
  <cp:lastPrinted>2012-07-20T07:08:00Z</cp:lastPrinted>
  <dcterms:created xsi:type="dcterms:W3CDTF">2023-04-26T11:07:00Z</dcterms:created>
  <dcterms:modified xsi:type="dcterms:W3CDTF">2023-04-26T11:07:00Z</dcterms:modified>
</cp:coreProperties>
</file>