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8" w:type="dxa"/>
        <w:tblLayout w:type="fixed"/>
        <w:tblLook w:val="0000" w:firstRow="0" w:lastRow="0" w:firstColumn="0" w:lastColumn="0" w:noHBand="0" w:noVBand="0"/>
      </w:tblPr>
      <w:tblGrid>
        <w:gridCol w:w="1088"/>
        <w:gridCol w:w="100"/>
        <w:gridCol w:w="120"/>
        <w:gridCol w:w="240"/>
        <w:gridCol w:w="181"/>
        <w:gridCol w:w="179"/>
        <w:gridCol w:w="120"/>
        <w:gridCol w:w="960"/>
        <w:gridCol w:w="1080"/>
        <w:gridCol w:w="740"/>
        <w:gridCol w:w="336"/>
        <w:gridCol w:w="375"/>
        <w:gridCol w:w="1185"/>
        <w:gridCol w:w="1144"/>
        <w:gridCol w:w="1500"/>
      </w:tblGrid>
      <w:tr w:rsidR="007478A7" w:rsidRPr="004C6D9A" w14:paraId="11AD75DE" w14:textId="77777777">
        <w:tc>
          <w:tcPr>
            <w:tcW w:w="1308" w:type="dxa"/>
            <w:gridSpan w:val="3"/>
          </w:tcPr>
          <w:p w14:paraId="3FEDFFB1" w14:textId="73E41020" w:rsidR="007478A7" w:rsidRPr="004C6D9A" w:rsidRDefault="00043F10" w:rsidP="001C3A9A">
            <w:pPr>
              <w:rPr>
                <w:sz w:val="22"/>
                <w:szCs w:val="22"/>
                <w:lang w:val="lv-LV"/>
              </w:rPr>
            </w:pPr>
            <w:r>
              <w:rPr>
                <w:rStyle w:val="FootnoteReference"/>
                <w:sz w:val="22"/>
                <w:szCs w:val="22"/>
                <w:lang w:val="lv-LV"/>
              </w:rPr>
              <w:footnoteReference w:customMarkFollows="1" w:id="1"/>
              <w:t/>
            </w:r>
            <w:r w:rsidR="007478A7" w:rsidRPr="004C6D9A">
              <w:rPr>
                <w:sz w:val="22"/>
                <w:szCs w:val="22"/>
                <w:lang w:val="lv-LV"/>
              </w:rPr>
              <w:t xml:space="preserve">Atbildīgais </w:t>
            </w:r>
          </w:p>
        </w:tc>
        <w:tc>
          <w:tcPr>
            <w:tcW w:w="2760" w:type="dxa"/>
            <w:gridSpan w:val="6"/>
            <w:tcBorders>
              <w:bottom w:val="single" w:sz="4" w:space="0" w:color="auto"/>
            </w:tcBorders>
          </w:tcPr>
          <w:p w14:paraId="28770CF5" w14:textId="77777777" w:rsidR="007478A7" w:rsidRPr="004C6D9A" w:rsidRDefault="00D22947" w:rsidP="00523187">
            <w:pPr>
              <w:pStyle w:val="Header"/>
              <w:tabs>
                <w:tab w:val="clear" w:pos="4153"/>
                <w:tab w:val="clear" w:pos="8306"/>
              </w:tabs>
              <w:rPr>
                <w:sz w:val="22"/>
                <w:szCs w:val="22"/>
                <w:lang w:val="lv-LV"/>
              </w:rPr>
            </w:pPr>
            <w:r>
              <w:rPr>
                <w:sz w:val="22"/>
                <w:szCs w:val="22"/>
                <w:lang w:val="lv-LV"/>
              </w:rPr>
              <w:t>Z</w:t>
            </w:r>
            <w:r w:rsidR="00012F3F">
              <w:rPr>
                <w:sz w:val="22"/>
                <w:szCs w:val="22"/>
                <w:lang w:val="lv-LV"/>
              </w:rPr>
              <w:t xml:space="preserve">emkopības </w:t>
            </w:r>
          </w:p>
        </w:tc>
        <w:tc>
          <w:tcPr>
            <w:tcW w:w="1076" w:type="dxa"/>
            <w:gridSpan w:val="2"/>
          </w:tcPr>
          <w:p w14:paraId="7A38DCCE" w14:textId="77777777" w:rsidR="007478A7" w:rsidRPr="004C6D9A" w:rsidRDefault="00523187" w:rsidP="001C3A9A">
            <w:pPr>
              <w:pStyle w:val="Header"/>
              <w:tabs>
                <w:tab w:val="clear" w:pos="4153"/>
                <w:tab w:val="clear" w:pos="8306"/>
              </w:tabs>
              <w:rPr>
                <w:sz w:val="22"/>
                <w:szCs w:val="22"/>
                <w:lang w:val="lv-LV"/>
              </w:rPr>
            </w:pPr>
            <w:r>
              <w:rPr>
                <w:sz w:val="22"/>
                <w:szCs w:val="22"/>
                <w:lang w:val="lv-LV"/>
              </w:rPr>
              <w:t>ministrs</w:t>
            </w:r>
          </w:p>
        </w:tc>
        <w:tc>
          <w:tcPr>
            <w:tcW w:w="4204" w:type="dxa"/>
            <w:gridSpan w:val="4"/>
            <w:tcBorders>
              <w:bottom w:val="single" w:sz="4" w:space="0" w:color="auto"/>
            </w:tcBorders>
          </w:tcPr>
          <w:p w14:paraId="727BC7D0" w14:textId="77777777" w:rsidR="007478A7" w:rsidRPr="004C6D9A" w:rsidRDefault="00815186" w:rsidP="001C3A9A">
            <w:pPr>
              <w:jc w:val="center"/>
              <w:rPr>
                <w:lang w:val="lv-LV"/>
              </w:rPr>
            </w:pPr>
            <w:r>
              <w:rPr>
                <w:lang w:val="lv-LV"/>
              </w:rPr>
              <w:t>Laimdota Straujuma</w:t>
            </w:r>
          </w:p>
        </w:tc>
      </w:tr>
      <w:tr w:rsidR="007478A7" w:rsidRPr="004C6D9A" w14:paraId="3D388CF3" w14:textId="77777777">
        <w:tc>
          <w:tcPr>
            <w:tcW w:w="1548" w:type="dxa"/>
            <w:gridSpan w:val="4"/>
          </w:tcPr>
          <w:p w14:paraId="468F9080" w14:textId="77777777" w:rsidR="007478A7" w:rsidRPr="004C6D9A" w:rsidRDefault="007478A7" w:rsidP="001C3A9A">
            <w:pPr>
              <w:rPr>
                <w:sz w:val="22"/>
                <w:szCs w:val="22"/>
                <w:lang w:val="lv-LV"/>
              </w:rPr>
            </w:pPr>
          </w:p>
        </w:tc>
        <w:tc>
          <w:tcPr>
            <w:tcW w:w="2520" w:type="dxa"/>
            <w:gridSpan w:val="5"/>
            <w:tcBorders>
              <w:top w:val="single" w:sz="4" w:space="0" w:color="auto"/>
            </w:tcBorders>
          </w:tcPr>
          <w:p w14:paraId="0CA769F3" w14:textId="77777777" w:rsidR="007478A7" w:rsidRPr="004C6D9A" w:rsidRDefault="007478A7" w:rsidP="001C3A9A">
            <w:pPr>
              <w:rPr>
                <w:sz w:val="22"/>
                <w:szCs w:val="22"/>
                <w:lang w:val="lv-LV"/>
              </w:rPr>
            </w:pPr>
          </w:p>
        </w:tc>
        <w:tc>
          <w:tcPr>
            <w:tcW w:w="1451" w:type="dxa"/>
            <w:gridSpan w:val="3"/>
          </w:tcPr>
          <w:p w14:paraId="0D9854E4" w14:textId="77777777" w:rsidR="007478A7" w:rsidRPr="004C6D9A" w:rsidRDefault="007478A7" w:rsidP="001C3A9A">
            <w:pPr>
              <w:jc w:val="center"/>
              <w:rPr>
                <w:sz w:val="22"/>
                <w:szCs w:val="22"/>
                <w:lang w:val="lv-LV"/>
              </w:rPr>
            </w:pPr>
          </w:p>
        </w:tc>
        <w:tc>
          <w:tcPr>
            <w:tcW w:w="3829" w:type="dxa"/>
            <w:gridSpan w:val="3"/>
            <w:tcBorders>
              <w:top w:val="single" w:sz="4" w:space="0" w:color="auto"/>
            </w:tcBorders>
          </w:tcPr>
          <w:p w14:paraId="27FD587D" w14:textId="77777777" w:rsidR="007478A7" w:rsidRPr="004C6D9A" w:rsidRDefault="007478A7" w:rsidP="001C3A9A">
            <w:pPr>
              <w:jc w:val="center"/>
              <w:rPr>
                <w:sz w:val="22"/>
                <w:szCs w:val="22"/>
                <w:lang w:val="lv-LV"/>
              </w:rPr>
            </w:pPr>
            <w:r w:rsidRPr="004C6D9A">
              <w:rPr>
                <w:sz w:val="22"/>
                <w:szCs w:val="22"/>
                <w:lang w:val="lv-LV"/>
              </w:rPr>
              <w:t>(vārds, uzvārds)</w:t>
            </w:r>
          </w:p>
        </w:tc>
      </w:tr>
      <w:tr w:rsidR="007478A7" w:rsidRPr="004C6D9A" w14:paraId="1530BD0B" w14:textId="77777777">
        <w:trPr>
          <w:gridAfter w:val="5"/>
          <w:wAfter w:w="4540" w:type="dxa"/>
          <w:cantSplit/>
        </w:trPr>
        <w:tc>
          <w:tcPr>
            <w:tcW w:w="1088" w:type="dxa"/>
          </w:tcPr>
          <w:p w14:paraId="3D842271" w14:textId="77777777" w:rsidR="007478A7" w:rsidRPr="003D69E8" w:rsidRDefault="007478A7" w:rsidP="001C3A9A">
            <w:pPr>
              <w:pStyle w:val="Heading3"/>
              <w:rPr>
                <w:sz w:val="22"/>
                <w:szCs w:val="22"/>
              </w:rPr>
            </w:pPr>
            <w:r w:rsidRPr="003D69E8">
              <w:rPr>
                <w:sz w:val="22"/>
                <w:szCs w:val="22"/>
              </w:rPr>
              <w:t>Datums</w:t>
            </w:r>
          </w:p>
        </w:tc>
        <w:tc>
          <w:tcPr>
            <w:tcW w:w="3720" w:type="dxa"/>
            <w:gridSpan w:val="9"/>
            <w:tcBorders>
              <w:bottom w:val="single" w:sz="4" w:space="0" w:color="auto"/>
            </w:tcBorders>
          </w:tcPr>
          <w:p w14:paraId="112A0C90" w14:textId="77777777" w:rsidR="007478A7" w:rsidRPr="003D69E8" w:rsidRDefault="005C7F6B" w:rsidP="002909E2">
            <w:pPr>
              <w:rPr>
                <w:lang w:val="lv-LV"/>
              </w:rPr>
            </w:pPr>
            <w:r>
              <w:rPr>
                <w:lang w:val="lv-LV"/>
              </w:rPr>
              <w:t>13</w:t>
            </w:r>
            <w:r w:rsidR="00D67FBA" w:rsidRPr="003D69E8">
              <w:rPr>
                <w:lang w:val="lv-LV"/>
              </w:rPr>
              <w:t>.</w:t>
            </w:r>
            <w:r w:rsidR="004E002D">
              <w:rPr>
                <w:lang w:val="lv-LV"/>
              </w:rPr>
              <w:t>01</w:t>
            </w:r>
            <w:r w:rsidR="00D67FBA" w:rsidRPr="003D69E8">
              <w:rPr>
                <w:lang w:val="lv-LV"/>
              </w:rPr>
              <w:t>.201</w:t>
            </w:r>
            <w:r w:rsidR="004E002D">
              <w:rPr>
                <w:lang w:val="lv-LV"/>
              </w:rPr>
              <w:t>2</w:t>
            </w:r>
            <w:r w:rsidR="00D67FBA" w:rsidRPr="003D69E8">
              <w:rPr>
                <w:lang w:val="lv-LV"/>
              </w:rPr>
              <w:t>.</w:t>
            </w:r>
          </w:p>
        </w:tc>
      </w:tr>
      <w:tr w:rsidR="007478A7" w:rsidRPr="004C6D9A" w14:paraId="06EBCFF8" w14:textId="77777777">
        <w:tc>
          <w:tcPr>
            <w:tcW w:w="1188" w:type="dxa"/>
            <w:gridSpan w:val="2"/>
          </w:tcPr>
          <w:p w14:paraId="09D1027A" w14:textId="77777777" w:rsidR="007478A7" w:rsidRPr="004C6D9A" w:rsidRDefault="007478A7" w:rsidP="001C3A9A">
            <w:pPr>
              <w:pStyle w:val="Header"/>
              <w:tabs>
                <w:tab w:val="clear" w:pos="4153"/>
                <w:tab w:val="clear" w:pos="8306"/>
              </w:tabs>
              <w:rPr>
                <w:sz w:val="22"/>
                <w:szCs w:val="22"/>
                <w:lang w:val="lv-LV"/>
              </w:rPr>
            </w:pPr>
            <w:r w:rsidRPr="004C6D9A">
              <w:rPr>
                <w:sz w:val="22"/>
                <w:szCs w:val="22"/>
                <w:lang w:val="lv-LV"/>
              </w:rPr>
              <w:t>Autors</w:t>
            </w:r>
          </w:p>
        </w:tc>
        <w:tc>
          <w:tcPr>
            <w:tcW w:w="5516" w:type="dxa"/>
            <w:gridSpan w:val="11"/>
            <w:tcBorders>
              <w:bottom w:val="single" w:sz="4" w:space="0" w:color="auto"/>
            </w:tcBorders>
          </w:tcPr>
          <w:p w14:paraId="3258ADA1" w14:textId="77777777" w:rsidR="007478A7" w:rsidRPr="004C6D9A" w:rsidRDefault="00012F3F" w:rsidP="00523187">
            <w:pPr>
              <w:jc w:val="center"/>
              <w:rPr>
                <w:lang w:val="lv-LV"/>
              </w:rPr>
            </w:pPr>
            <w:r>
              <w:rPr>
                <w:lang w:val="lv-LV"/>
              </w:rPr>
              <w:t>Zemkopības</w:t>
            </w:r>
          </w:p>
        </w:tc>
        <w:tc>
          <w:tcPr>
            <w:tcW w:w="2644" w:type="dxa"/>
            <w:gridSpan w:val="2"/>
          </w:tcPr>
          <w:p w14:paraId="0F09D2E2" w14:textId="77777777" w:rsidR="007478A7" w:rsidRPr="004C6D9A" w:rsidRDefault="007478A7" w:rsidP="001C3A9A">
            <w:pPr>
              <w:pStyle w:val="Header"/>
              <w:tabs>
                <w:tab w:val="clear" w:pos="4153"/>
                <w:tab w:val="clear" w:pos="8306"/>
              </w:tabs>
              <w:rPr>
                <w:lang w:val="lv-LV"/>
              </w:rPr>
            </w:pPr>
            <w:r w:rsidRPr="004C6D9A">
              <w:rPr>
                <w:lang w:val="lv-LV"/>
              </w:rPr>
              <w:t>ministrija</w:t>
            </w:r>
          </w:p>
        </w:tc>
      </w:tr>
      <w:tr w:rsidR="007478A7" w:rsidRPr="00316400" w14:paraId="3F8E299E" w14:textId="77777777">
        <w:trPr>
          <w:cantSplit/>
          <w:trHeight w:val="180"/>
        </w:trPr>
        <w:tc>
          <w:tcPr>
            <w:tcW w:w="2988" w:type="dxa"/>
            <w:gridSpan w:val="8"/>
          </w:tcPr>
          <w:p w14:paraId="1F96027C" w14:textId="77777777" w:rsidR="00523187" w:rsidRDefault="00523187" w:rsidP="001C3A9A">
            <w:pPr>
              <w:pStyle w:val="Header"/>
              <w:rPr>
                <w:sz w:val="22"/>
                <w:szCs w:val="22"/>
                <w:lang w:val="lv-LV"/>
              </w:rPr>
            </w:pPr>
          </w:p>
          <w:p w14:paraId="58EA1B06" w14:textId="77777777" w:rsidR="007478A7" w:rsidRPr="004C6D9A" w:rsidRDefault="007478A7" w:rsidP="001C3A9A">
            <w:pPr>
              <w:pStyle w:val="Header"/>
              <w:rPr>
                <w:sz w:val="22"/>
                <w:szCs w:val="22"/>
                <w:lang w:val="lv-LV"/>
              </w:rPr>
            </w:pPr>
            <w:r w:rsidRPr="004C6D9A">
              <w:rPr>
                <w:sz w:val="22"/>
                <w:szCs w:val="22"/>
                <w:lang w:val="lv-LV"/>
              </w:rPr>
              <w:t xml:space="preserve">Sagatavotājs, </w:t>
            </w:r>
          </w:p>
          <w:p w14:paraId="281B9610" w14:textId="77777777" w:rsidR="007478A7" w:rsidRPr="004C6D9A" w:rsidRDefault="007478A7" w:rsidP="001C3A9A">
            <w:pPr>
              <w:pStyle w:val="Header"/>
              <w:rPr>
                <w:sz w:val="22"/>
                <w:szCs w:val="22"/>
                <w:lang w:val="lv-LV"/>
              </w:rPr>
            </w:pPr>
            <w:r w:rsidRPr="004C6D9A">
              <w:rPr>
                <w:sz w:val="22"/>
                <w:szCs w:val="22"/>
                <w:lang w:val="lv-LV"/>
              </w:rPr>
              <w:t xml:space="preserve">Eiropas Savienības (ES) </w:t>
            </w:r>
            <w:r w:rsidR="003A656E" w:rsidRPr="004C6D9A">
              <w:rPr>
                <w:sz w:val="22"/>
                <w:szCs w:val="22"/>
                <w:lang w:val="lv-LV"/>
              </w:rPr>
              <w:t xml:space="preserve">lietu </w:t>
            </w:r>
            <w:r w:rsidRPr="004C6D9A">
              <w:rPr>
                <w:sz w:val="22"/>
                <w:szCs w:val="22"/>
                <w:lang w:val="lv-LV"/>
              </w:rPr>
              <w:t>koordinators</w:t>
            </w:r>
          </w:p>
        </w:tc>
        <w:tc>
          <w:tcPr>
            <w:tcW w:w="6360" w:type="dxa"/>
            <w:gridSpan w:val="7"/>
          </w:tcPr>
          <w:p w14:paraId="4558B855" w14:textId="77777777" w:rsidR="00523187" w:rsidRDefault="00523187" w:rsidP="001C3A9A">
            <w:pPr>
              <w:jc w:val="both"/>
              <w:rPr>
                <w:lang w:val="lv-LV"/>
              </w:rPr>
            </w:pPr>
          </w:p>
          <w:p w14:paraId="77A46A85" w14:textId="77777777" w:rsidR="007478A7" w:rsidRDefault="00012F3F" w:rsidP="001C3A9A">
            <w:pPr>
              <w:jc w:val="both"/>
              <w:rPr>
                <w:lang w:val="lv-LV"/>
              </w:rPr>
            </w:pPr>
            <w:r>
              <w:rPr>
                <w:lang w:val="lv-LV"/>
              </w:rPr>
              <w:t>Zivsaimniecības departamenta Zivsaimniecības atbalsta nodaļas vadītāja vietnieks Armands Stahovskis</w:t>
            </w:r>
          </w:p>
          <w:p w14:paraId="799761C1" w14:textId="77777777" w:rsidR="00523187" w:rsidRPr="00012F3F" w:rsidRDefault="00523187" w:rsidP="001C3A9A">
            <w:pPr>
              <w:jc w:val="both"/>
              <w:rPr>
                <w:lang w:val="lv-LV"/>
              </w:rPr>
            </w:pPr>
            <w:r>
              <w:rPr>
                <w:lang w:val="lv-LV"/>
              </w:rPr>
              <w:t>Starptautisko lietu un stratēģijas departamenta Eiropas Savienības lietu nodaļas vecākā referente Karīna Ārmane</w:t>
            </w:r>
          </w:p>
        </w:tc>
      </w:tr>
      <w:tr w:rsidR="007478A7" w:rsidRPr="004C6D9A" w14:paraId="7975FCE1" w14:textId="77777777">
        <w:trPr>
          <w:cantSplit/>
        </w:trPr>
        <w:tc>
          <w:tcPr>
            <w:tcW w:w="2028" w:type="dxa"/>
            <w:gridSpan w:val="7"/>
          </w:tcPr>
          <w:p w14:paraId="4BDF59A8" w14:textId="77777777" w:rsidR="007478A7" w:rsidRPr="004C6D9A" w:rsidRDefault="007478A7" w:rsidP="001C3A9A">
            <w:pPr>
              <w:rPr>
                <w:sz w:val="22"/>
                <w:szCs w:val="22"/>
                <w:lang w:val="lv-LV"/>
              </w:rPr>
            </w:pPr>
          </w:p>
        </w:tc>
        <w:tc>
          <w:tcPr>
            <w:tcW w:w="7320" w:type="dxa"/>
            <w:gridSpan w:val="8"/>
            <w:tcBorders>
              <w:top w:val="single" w:sz="4" w:space="0" w:color="auto"/>
            </w:tcBorders>
          </w:tcPr>
          <w:p w14:paraId="527F51E7" w14:textId="77777777" w:rsidR="007478A7" w:rsidRPr="004C6D9A" w:rsidRDefault="007478A7" w:rsidP="001C3A9A">
            <w:pPr>
              <w:jc w:val="center"/>
              <w:rPr>
                <w:sz w:val="22"/>
                <w:szCs w:val="22"/>
                <w:lang w:val="lv-LV"/>
              </w:rPr>
            </w:pPr>
            <w:r w:rsidRPr="004C6D9A">
              <w:rPr>
                <w:sz w:val="22"/>
                <w:szCs w:val="22"/>
                <w:lang w:val="lv-LV"/>
              </w:rPr>
              <w:t>(amats, vārds, uzvārds)</w:t>
            </w:r>
          </w:p>
        </w:tc>
      </w:tr>
      <w:tr w:rsidR="007478A7" w:rsidRPr="002034FB" w14:paraId="31FB5C7B" w14:textId="77777777">
        <w:tc>
          <w:tcPr>
            <w:tcW w:w="1729" w:type="dxa"/>
            <w:gridSpan w:val="5"/>
          </w:tcPr>
          <w:p w14:paraId="3E734E82" w14:textId="77777777" w:rsidR="007478A7" w:rsidRPr="005C4F66" w:rsidRDefault="007478A7" w:rsidP="001C3A9A">
            <w:pPr>
              <w:pStyle w:val="Header"/>
              <w:tabs>
                <w:tab w:val="clear" w:pos="4153"/>
                <w:tab w:val="clear" w:pos="8306"/>
              </w:tabs>
              <w:rPr>
                <w:sz w:val="22"/>
                <w:szCs w:val="22"/>
                <w:lang w:val="lv-LV"/>
              </w:rPr>
            </w:pPr>
            <w:r w:rsidRPr="005C4F66">
              <w:rPr>
                <w:sz w:val="22"/>
                <w:szCs w:val="22"/>
                <w:lang w:val="lv-LV"/>
              </w:rPr>
              <w:t>E-pasta adrese</w:t>
            </w:r>
          </w:p>
        </w:tc>
        <w:tc>
          <w:tcPr>
            <w:tcW w:w="6119" w:type="dxa"/>
            <w:gridSpan w:val="9"/>
            <w:tcBorders>
              <w:bottom w:val="single" w:sz="4" w:space="0" w:color="auto"/>
            </w:tcBorders>
          </w:tcPr>
          <w:p w14:paraId="689793FC" w14:textId="77777777" w:rsidR="00A969A8" w:rsidRPr="005C4F66" w:rsidRDefault="00B978C5" w:rsidP="001C3A9A">
            <w:pPr>
              <w:rPr>
                <w:lang w:val="lv-LV"/>
              </w:rPr>
            </w:pPr>
            <w:r w:rsidRPr="00633783">
              <w:rPr>
                <w:lang w:val="lv-LV"/>
              </w:rPr>
              <w:t>Armands.Stahovskis@zm.gov.lv</w:t>
            </w:r>
          </w:p>
          <w:p w14:paraId="1A1524AF" w14:textId="77777777" w:rsidR="00012F3F" w:rsidRPr="005C4F66" w:rsidRDefault="00D22947" w:rsidP="001C3A9A">
            <w:pPr>
              <w:rPr>
                <w:lang w:val="lv-LV"/>
              </w:rPr>
            </w:pPr>
            <w:r w:rsidRPr="00633783">
              <w:rPr>
                <w:lang w:val="lv-LV"/>
              </w:rPr>
              <w:t>Karīna.Armane@zm.gov.lv</w:t>
            </w:r>
            <w:r w:rsidRPr="005C4F66">
              <w:rPr>
                <w:lang w:val="lv-LV"/>
              </w:rPr>
              <w:t xml:space="preserve"> </w:t>
            </w:r>
          </w:p>
        </w:tc>
        <w:tc>
          <w:tcPr>
            <w:tcW w:w="1500" w:type="dxa"/>
          </w:tcPr>
          <w:p w14:paraId="382D03E6" w14:textId="77777777" w:rsidR="007478A7" w:rsidRPr="004C6D9A" w:rsidRDefault="007478A7" w:rsidP="001C3A9A">
            <w:pPr>
              <w:rPr>
                <w:sz w:val="22"/>
                <w:szCs w:val="22"/>
                <w:lang w:val="lv-LV"/>
              </w:rPr>
            </w:pPr>
          </w:p>
        </w:tc>
      </w:tr>
      <w:tr w:rsidR="007478A7" w:rsidRPr="004C6D9A" w14:paraId="65E83862" w14:textId="77777777">
        <w:tc>
          <w:tcPr>
            <w:tcW w:w="1908" w:type="dxa"/>
            <w:gridSpan w:val="6"/>
          </w:tcPr>
          <w:p w14:paraId="1317B0EE" w14:textId="77777777" w:rsidR="007478A7" w:rsidRPr="005C4F66" w:rsidRDefault="007478A7" w:rsidP="001C3A9A">
            <w:pPr>
              <w:rPr>
                <w:sz w:val="22"/>
                <w:szCs w:val="22"/>
                <w:lang w:val="lv-LV"/>
              </w:rPr>
            </w:pPr>
            <w:r w:rsidRPr="005C4F66">
              <w:rPr>
                <w:sz w:val="22"/>
                <w:szCs w:val="22"/>
                <w:lang w:val="lv-LV"/>
              </w:rPr>
              <w:t>Tālruņa numurs</w:t>
            </w:r>
          </w:p>
        </w:tc>
        <w:tc>
          <w:tcPr>
            <w:tcW w:w="5940" w:type="dxa"/>
            <w:gridSpan w:val="8"/>
            <w:tcBorders>
              <w:bottom w:val="single" w:sz="4" w:space="0" w:color="auto"/>
            </w:tcBorders>
          </w:tcPr>
          <w:p w14:paraId="0EEB5090" w14:textId="77777777" w:rsidR="007478A7" w:rsidRPr="005C4F66" w:rsidRDefault="00A969A8" w:rsidP="001C3A9A">
            <w:pPr>
              <w:rPr>
                <w:sz w:val="22"/>
                <w:szCs w:val="22"/>
                <w:lang w:val="lv-LV"/>
              </w:rPr>
            </w:pPr>
            <w:r w:rsidRPr="005C4F66">
              <w:rPr>
                <w:sz w:val="22"/>
                <w:szCs w:val="22"/>
                <w:lang w:val="lv-LV"/>
              </w:rPr>
              <w:t>67</w:t>
            </w:r>
            <w:r w:rsidR="00012F3F" w:rsidRPr="005C4F66">
              <w:rPr>
                <w:sz w:val="22"/>
                <w:szCs w:val="22"/>
                <w:lang w:val="lv-LV"/>
              </w:rPr>
              <w:t>878707</w:t>
            </w:r>
          </w:p>
          <w:p w14:paraId="747E5D54" w14:textId="77777777" w:rsidR="00AA1F7C" w:rsidRPr="005C4F66" w:rsidRDefault="00D22947" w:rsidP="001C3A9A">
            <w:pPr>
              <w:rPr>
                <w:sz w:val="22"/>
                <w:szCs w:val="22"/>
                <w:lang w:val="lv-LV"/>
              </w:rPr>
            </w:pPr>
            <w:r w:rsidRPr="005C4F66">
              <w:rPr>
                <w:sz w:val="22"/>
                <w:szCs w:val="22"/>
                <w:lang w:val="lv-LV"/>
              </w:rPr>
              <w:t>67027157</w:t>
            </w:r>
          </w:p>
        </w:tc>
        <w:tc>
          <w:tcPr>
            <w:tcW w:w="1500" w:type="dxa"/>
          </w:tcPr>
          <w:p w14:paraId="2ECF687C" w14:textId="77777777" w:rsidR="007478A7" w:rsidRPr="004C6D9A" w:rsidRDefault="007478A7" w:rsidP="001C3A9A">
            <w:pPr>
              <w:rPr>
                <w:sz w:val="22"/>
                <w:szCs w:val="22"/>
                <w:lang w:val="lv-LV"/>
              </w:rPr>
            </w:pPr>
          </w:p>
        </w:tc>
      </w:tr>
    </w:tbl>
    <w:p w14:paraId="18C7F18E" w14:textId="77777777" w:rsidR="007478A7" w:rsidRPr="004C6D9A" w:rsidRDefault="007478A7" w:rsidP="00877E60">
      <w:pPr>
        <w:rPr>
          <w:sz w:val="28"/>
          <w:lang w:val="lv-LV"/>
        </w:rPr>
      </w:pPr>
    </w:p>
    <w:p w14:paraId="498A81EB" w14:textId="77777777" w:rsidR="007478A7" w:rsidRPr="00D22947" w:rsidRDefault="00D67FBA" w:rsidP="00877E60">
      <w:pPr>
        <w:pStyle w:val="Heading4"/>
        <w:rPr>
          <w:szCs w:val="28"/>
        </w:rPr>
      </w:pPr>
      <w:r w:rsidRPr="00D22947">
        <w:rPr>
          <w:szCs w:val="28"/>
        </w:rPr>
        <w:t>Pozīcija Nr.1</w:t>
      </w:r>
    </w:p>
    <w:p w14:paraId="61A6EA16" w14:textId="77777777" w:rsidR="007478A7" w:rsidRPr="004C6D9A" w:rsidRDefault="007478A7" w:rsidP="00877E60">
      <w:pPr>
        <w:jc w:val="both"/>
        <w:rPr>
          <w:lang w:val="lv-LV"/>
        </w:rPr>
      </w:pPr>
    </w:p>
    <w:p w14:paraId="5B6F4667" w14:textId="77777777" w:rsidR="0032097F" w:rsidRPr="00865A03" w:rsidRDefault="00D829C8" w:rsidP="0032097F">
      <w:pPr>
        <w:jc w:val="center"/>
        <w:rPr>
          <w:b/>
          <w:lang w:val="lv-LV"/>
        </w:rPr>
      </w:pPr>
      <w:bookmarkStart w:id="0" w:name="OLE_LINK1"/>
      <w:bookmarkStart w:id="1" w:name="OLE_LINK2"/>
      <w:r w:rsidRPr="00865A03">
        <w:rPr>
          <w:b/>
          <w:lang w:val="lv-LV"/>
        </w:rPr>
        <w:t>Par p</w:t>
      </w:r>
      <w:r w:rsidR="0032097F" w:rsidRPr="00865A03">
        <w:rPr>
          <w:b/>
          <w:lang w:val="lv-LV"/>
        </w:rPr>
        <w:t>riekšlikum</w:t>
      </w:r>
      <w:r w:rsidRPr="00865A03">
        <w:rPr>
          <w:b/>
          <w:lang w:val="lv-LV"/>
        </w:rPr>
        <w:t>u</w:t>
      </w:r>
      <w:r w:rsidR="0032097F" w:rsidRPr="00865A03">
        <w:rPr>
          <w:b/>
          <w:lang w:val="lv-LV"/>
        </w:rPr>
        <w:t xml:space="preserve"> </w:t>
      </w:r>
      <w:r w:rsidR="00E97214" w:rsidRPr="00865A03">
        <w:rPr>
          <w:b/>
          <w:lang w:val="lv-LV"/>
        </w:rPr>
        <w:t>E</w:t>
      </w:r>
      <w:r w:rsidR="00865A03" w:rsidRPr="00865A03">
        <w:rPr>
          <w:b/>
          <w:lang w:val="lv-LV"/>
        </w:rPr>
        <w:t>iropas</w:t>
      </w:r>
      <w:r w:rsidR="00E97214" w:rsidRPr="00865A03">
        <w:rPr>
          <w:b/>
          <w:lang w:val="lv-LV"/>
        </w:rPr>
        <w:t xml:space="preserve"> </w:t>
      </w:r>
      <w:r w:rsidR="00865A03" w:rsidRPr="00865A03">
        <w:rPr>
          <w:b/>
          <w:lang w:val="lv-LV"/>
        </w:rPr>
        <w:t xml:space="preserve">Parlamenta un Padomes </w:t>
      </w:r>
      <w:r w:rsidR="006F5443">
        <w:rPr>
          <w:b/>
          <w:lang w:val="lv-LV"/>
        </w:rPr>
        <w:t>r</w:t>
      </w:r>
      <w:r w:rsidR="00865A03" w:rsidRPr="00865A03">
        <w:rPr>
          <w:b/>
          <w:lang w:val="lv-LV"/>
        </w:rPr>
        <w:t>egulai</w:t>
      </w:r>
      <w:r w:rsidR="00523187">
        <w:rPr>
          <w:b/>
          <w:lang w:val="lv-LV"/>
        </w:rPr>
        <w:t xml:space="preserve"> </w:t>
      </w:r>
      <w:r w:rsidR="008E54AE">
        <w:rPr>
          <w:b/>
          <w:lang w:val="lv-LV"/>
        </w:rPr>
        <w:t xml:space="preserve">par Eiropas Jūrlietu un </w:t>
      </w:r>
      <w:r w:rsidR="006F5443">
        <w:rPr>
          <w:b/>
          <w:lang w:val="lv-LV"/>
        </w:rPr>
        <w:t>z</w:t>
      </w:r>
      <w:r w:rsidR="008E54AE">
        <w:rPr>
          <w:b/>
          <w:lang w:val="lv-LV"/>
        </w:rPr>
        <w:t>ivsaimniecības fondu</w:t>
      </w:r>
      <w:bookmarkEnd w:id="0"/>
      <w:bookmarkEnd w:id="1"/>
      <w:r w:rsidR="00E000BD">
        <w:rPr>
          <w:b/>
          <w:lang w:val="lv-LV"/>
        </w:rPr>
        <w:t xml:space="preserve"> (EJZF)</w:t>
      </w:r>
    </w:p>
    <w:p w14:paraId="56ECB349" w14:textId="77777777" w:rsidR="00D67FBA" w:rsidRPr="004C6D9A" w:rsidRDefault="00D67FBA" w:rsidP="00877E60">
      <w:pPr>
        <w:jc w:val="center"/>
        <w:rPr>
          <w:b/>
          <w:lang w:val="lv-LV"/>
        </w:rPr>
      </w:pPr>
    </w:p>
    <w:p w14:paraId="51A6D780" w14:textId="77777777" w:rsidR="007478A7" w:rsidRDefault="0032097F" w:rsidP="00523187">
      <w:pPr>
        <w:ind w:left="567" w:hanging="567"/>
        <w:jc w:val="center"/>
        <w:rPr>
          <w:i/>
        </w:rPr>
      </w:pPr>
      <w:r w:rsidRPr="00523187">
        <w:rPr>
          <w:i/>
        </w:rPr>
        <w:t xml:space="preserve">Proposal for a </w:t>
      </w:r>
      <w:r w:rsidR="00865A03" w:rsidRPr="00523187">
        <w:rPr>
          <w:i/>
        </w:rPr>
        <w:t xml:space="preserve">Regulation of the </w:t>
      </w:r>
      <w:r w:rsidR="008E54AE">
        <w:rPr>
          <w:i/>
        </w:rPr>
        <w:t xml:space="preserve">European </w:t>
      </w:r>
      <w:r w:rsidR="00865A03" w:rsidRPr="00523187">
        <w:rPr>
          <w:i/>
        </w:rPr>
        <w:t xml:space="preserve">Parliament and of the Council </w:t>
      </w:r>
      <w:r w:rsidR="008E54AE">
        <w:rPr>
          <w:i/>
        </w:rPr>
        <w:t>on the European Maritime and Fisheries Fund</w:t>
      </w:r>
      <w:r w:rsidR="00E000BD">
        <w:rPr>
          <w:i/>
        </w:rPr>
        <w:t xml:space="preserve"> (EMFF)</w:t>
      </w:r>
    </w:p>
    <w:p w14:paraId="08A63D7E" w14:textId="77777777" w:rsidR="005C4F66" w:rsidRDefault="005C4F66" w:rsidP="00523187">
      <w:pPr>
        <w:ind w:left="567" w:hanging="567"/>
        <w:jc w:val="center"/>
        <w:rPr>
          <w:i/>
        </w:rPr>
      </w:pPr>
    </w:p>
    <w:tbl>
      <w:tblPr>
        <w:tblW w:w="9356" w:type="dxa"/>
        <w:tblInd w:w="-34" w:type="dxa"/>
        <w:tblLayout w:type="fixed"/>
        <w:tblLook w:val="0000" w:firstRow="0" w:lastRow="0" w:firstColumn="0" w:lastColumn="0" w:noHBand="0" w:noVBand="0"/>
      </w:tblPr>
      <w:tblGrid>
        <w:gridCol w:w="1106"/>
        <w:gridCol w:w="2036"/>
        <w:gridCol w:w="6072"/>
        <w:gridCol w:w="142"/>
      </w:tblGrid>
      <w:tr w:rsidR="007478A7" w:rsidRPr="004C6D9A" w14:paraId="00C63B38" w14:textId="77777777" w:rsidTr="00E71BB1">
        <w:tc>
          <w:tcPr>
            <w:tcW w:w="1106" w:type="dxa"/>
          </w:tcPr>
          <w:p w14:paraId="6C91C524" w14:textId="77777777" w:rsidR="007478A7" w:rsidRPr="00102447" w:rsidRDefault="007478A7" w:rsidP="001C3A9A">
            <w:pPr>
              <w:jc w:val="both"/>
              <w:rPr>
                <w:lang w:val="lv-LV"/>
              </w:rPr>
            </w:pPr>
            <w:r w:rsidRPr="00102447">
              <w:rPr>
                <w:lang w:val="lv-LV"/>
              </w:rPr>
              <w:t>Stadija</w:t>
            </w:r>
          </w:p>
        </w:tc>
        <w:tc>
          <w:tcPr>
            <w:tcW w:w="8250" w:type="dxa"/>
            <w:gridSpan w:val="3"/>
            <w:tcBorders>
              <w:top w:val="nil"/>
              <w:left w:val="nil"/>
              <w:bottom w:val="single" w:sz="4" w:space="0" w:color="auto"/>
              <w:right w:val="nil"/>
            </w:tcBorders>
          </w:tcPr>
          <w:p w14:paraId="2F44E306" w14:textId="77777777" w:rsidR="007478A7" w:rsidRPr="00474DEF" w:rsidRDefault="00D67FBA" w:rsidP="005C4F66">
            <w:pPr>
              <w:jc w:val="both"/>
              <w:rPr>
                <w:lang w:val="lv-LV"/>
              </w:rPr>
            </w:pPr>
            <w:r w:rsidRPr="00474DEF">
              <w:rPr>
                <w:lang w:val="lv-LV"/>
              </w:rPr>
              <w:t>S</w:t>
            </w:r>
            <w:r w:rsidR="00D05033" w:rsidRPr="00474DEF">
              <w:rPr>
                <w:lang w:val="lv-LV"/>
              </w:rPr>
              <w:t>ākotnējā pozīcija</w:t>
            </w:r>
          </w:p>
        </w:tc>
      </w:tr>
      <w:tr w:rsidR="007478A7" w:rsidRPr="004C6D9A" w14:paraId="02D8CD85" w14:textId="77777777" w:rsidTr="00E71BB1">
        <w:trPr>
          <w:gridAfter w:val="1"/>
          <w:wAfter w:w="142" w:type="dxa"/>
        </w:trPr>
        <w:tc>
          <w:tcPr>
            <w:tcW w:w="3142" w:type="dxa"/>
            <w:gridSpan w:val="2"/>
          </w:tcPr>
          <w:p w14:paraId="4FDA853F" w14:textId="77777777" w:rsidR="007478A7" w:rsidRPr="004C6D9A" w:rsidRDefault="007478A7" w:rsidP="001C3A9A">
            <w:pPr>
              <w:jc w:val="both"/>
              <w:rPr>
                <w:lang w:val="lv-LV"/>
              </w:rPr>
            </w:pPr>
            <w:r w:rsidRPr="004C6D9A">
              <w:rPr>
                <w:lang w:val="lv-LV"/>
              </w:rPr>
              <w:t>Atsauces uz ES dokumentiem</w:t>
            </w:r>
            <w:r w:rsidRPr="004C6D9A">
              <w:rPr>
                <w:color w:val="000000"/>
                <w:lang w:val="lv-LV"/>
              </w:rPr>
              <w:t xml:space="preserve"> </w:t>
            </w:r>
          </w:p>
        </w:tc>
        <w:tc>
          <w:tcPr>
            <w:tcW w:w="6072" w:type="dxa"/>
            <w:tcBorders>
              <w:bottom w:val="single" w:sz="4" w:space="0" w:color="auto"/>
            </w:tcBorders>
          </w:tcPr>
          <w:p w14:paraId="0D369AAE" w14:textId="77777777" w:rsidR="007478A7" w:rsidRPr="004C6D9A" w:rsidRDefault="003E3640" w:rsidP="001B1410">
            <w:pPr>
              <w:rPr>
                <w:lang w:val="lv-LV"/>
              </w:rPr>
            </w:pPr>
            <w:r w:rsidRPr="003E3640">
              <w:rPr>
                <w:lang w:val="lv-LV" w:eastAsia="lv-LV"/>
              </w:rPr>
              <w:t>COM(2011) 804 final</w:t>
            </w:r>
          </w:p>
        </w:tc>
      </w:tr>
      <w:tr w:rsidR="007478A7" w:rsidRPr="004C6D9A" w14:paraId="42A18669" w14:textId="77777777" w:rsidTr="00E71BB1">
        <w:trPr>
          <w:gridAfter w:val="1"/>
          <w:wAfter w:w="142" w:type="dxa"/>
        </w:trPr>
        <w:tc>
          <w:tcPr>
            <w:tcW w:w="3142" w:type="dxa"/>
            <w:gridSpan w:val="2"/>
          </w:tcPr>
          <w:p w14:paraId="525125A8" w14:textId="77777777" w:rsidR="007478A7" w:rsidRPr="004C6D9A" w:rsidRDefault="007478A7" w:rsidP="001C3A9A">
            <w:pPr>
              <w:jc w:val="both"/>
              <w:rPr>
                <w:lang w:val="lv-LV"/>
              </w:rPr>
            </w:pPr>
          </w:p>
        </w:tc>
        <w:tc>
          <w:tcPr>
            <w:tcW w:w="6072" w:type="dxa"/>
            <w:tcBorders>
              <w:bottom w:val="single" w:sz="4" w:space="0" w:color="auto"/>
            </w:tcBorders>
          </w:tcPr>
          <w:p w14:paraId="0E1E7CAC" w14:textId="77777777" w:rsidR="007478A7" w:rsidRPr="004C6D9A" w:rsidRDefault="007478A7" w:rsidP="001C3A9A">
            <w:pPr>
              <w:jc w:val="both"/>
              <w:rPr>
                <w:lang w:val="lv-LV"/>
              </w:rPr>
            </w:pPr>
          </w:p>
        </w:tc>
      </w:tr>
      <w:tr w:rsidR="007478A7" w:rsidRPr="004C6D9A" w14:paraId="3CBDD45E" w14:textId="77777777" w:rsidTr="00E71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9214" w:type="dxa"/>
            <w:gridSpan w:val="3"/>
          </w:tcPr>
          <w:p w14:paraId="49AE3F43" w14:textId="77777777" w:rsidR="007478A7" w:rsidRPr="004C6D9A" w:rsidRDefault="007478A7" w:rsidP="001C3A9A">
            <w:pPr>
              <w:jc w:val="center"/>
              <w:rPr>
                <w:b/>
                <w:lang w:val="lv-LV"/>
              </w:rPr>
            </w:pPr>
            <w:r w:rsidRPr="004C6D9A">
              <w:rPr>
                <w:b/>
                <w:lang w:val="lv-LV"/>
              </w:rPr>
              <w:t xml:space="preserve">1. ES tiesību </w:t>
            </w:r>
            <w:smartTag w:uri="schemas-tilde-lv/tildestengine" w:element="veidnes">
              <w:smartTagPr>
                <w:attr w:name="text" w:val="akta"/>
                <w:attr w:name="id" w:val="-1"/>
                <w:attr w:name="baseform" w:val="akt|s"/>
              </w:smartTagPr>
              <w:r w:rsidRPr="004C6D9A">
                <w:rPr>
                  <w:b/>
                  <w:lang w:val="lv-LV"/>
                </w:rPr>
                <w:t>akta</w:t>
              </w:r>
            </w:smartTag>
            <w:r w:rsidRPr="004C6D9A">
              <w:rPr>
                <w:b/>
                <w:lang w:val="lv-LV"/>
              </w:rPr>
              <w:t xml:space="preserve"> projekta/izskatāmā jautājuma īss apraksts</w:t>
            </w:r>
          </w:p>
        </w:tc>
      </w:tr>
      <w:tr w:rsidR="007478A7" w:rsidRPr="002034FB" w14:paraId="591F9428" w14:textId="77777777" w:rsidTr="00E71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9214" w:type="dxa"/>
            <w:gridSpan w:val="3"/>
          </w:tcPr>
          <w:p w14:paraId="5988EA9F" w14:textId="77777777" w:rsidR="00633783" w:rsidRDefault="00633783" w:rsidP="00855FC1">
            <w:pPr>
              <w:jc w:val="both"/>
              <w:rPr>
                <w:lang w:val="lv-LV"/>
              </w:rPr>
            </w:pPr>
          </w:p>
          <w:p w14:paraId="749DB2BF" w14:textId="77777777" w:rsidR="003426E1" w:rsidRDefault="00EF7851" w:rsidP="00855FC1">
            <w:pPr>
              <w:jc w:val="both"/>
              <w:rPr>
                <w:lang w:val="lv-LV"/>
              </w:rPr>
            </w:pPr>
            <w:r>
              <w:rPr>
                <w:lang w:val="lv-LV"/>
              </w:rPr>
              <w:t xml:space="preserve">2011.gada 2.decembrī Eiropas Komisija </w:t>
            </w:r>
            <w:r w:rsidR="003426E1">
              <w:rPr>
                <w:lang w:val="lv-LV"/>
              </w:rPr>
              <w:t xml:space="preserve">(turpmāk – Komisija) </w:t>
            </w:r>
            <w:r w:rsidR="007F7FD1">
              <w:rPr>
                <w:lang w:val="lv-LV"/>
              </w:rPr>
              <w:t xml:space="preserve">publicēja </w:t>
            </w:r>
            <w:r w:rsidR="007F7FD1" w:rsidRPr="00853DDF">
              <w:rPr>
                <w:b/>
                <w:lang w:val="lv-LV"/>
              </w:rPr>
              <w:t>priekšlikumu</w:t>
            </w:r>
            <w:r w:rsidR="007F7FD1">
              <w:rPr>
                <w:lang w:val="lv-LV"/>
              </w:rPr>
              <w:t xml:space="preserve"> </w:t>
            </w:r>
            <w:r w:rsidR="007F7FD1" w:rsidRPr="00853DDF">
              <w:rPr>
                <w:b/>
                <w:lang w:val="lv-LV"/>
              </w:rPr>
              <w:t>Eiropas Parlamenta un Padomes regulai par Eiropas Jūrlietu un zivsaimniecības fondu</w:t>
            </w:r>
            <w:r w:rsidR="00633783">
              <w:rPr>
                <w:lang w:val="lv-LV"/>
              </w:rPr>
              <w:t>.</w:t>
            </w:r>
            <w:r w:rsidR="007F7FD1" w:rsidRPr="00EF7851">
              <w:rPr>
                <w:lang w:val="lv-LV"/>
              </w:rPr>
              <w:t xml:space="preserve"> </w:t>
            </w:r>
            <w:r w:rsidR="007F05CC">
              <w:rPr>
                <w:lang w:val="lv-LV"/>
              </w:rPr>
              <w:t>E</w:t>
            </w:r>
            <w:r w:rsidR="003426E1">
              <w:rPr>
                <w:lang w:val="lv-LV"/>
              </w:rPr>
              <w:t xml:space="preserve">iropas </w:t>
            </w:r>
            <w:r w:rsidR="007F05CC">
              <w:rPr>
                <w:lang w:val="lv-LV"/>
              </w:rPr>
              <w:t>J</w:t>
            </w:r>
            <w:r w:rsidR="003426E1">
              <w:rPr>
                <w:lang w:val="lv-LV"/>
              </w:rPr>
              <w:t xml:space="preserve">ūrlietu un zivsaimniecības fonds (turpmāk – EJZF) </w:t>
            </w:r>
            <w:r w:rsidR="007F05CC">
              <w:rPr>
                <w:lang w:val="lv-LV"/>
              </w:rPr>
              <w:t>paredzēts</w:t>
            </w:r>
            <w:r w:rsidR="007F7FD1">
              <w:rPr>
                <w:lang w:val="lv-LV"/>
              </w:rPr>
              <w:t xml:space="preserve"> </w:t>
            </w:r>
            <w:r w:rsidRPr="00EF7851">
              <w:rPr>
                <w:lang w:val="lv-LV"/>
              </w:rPr>
              <w:t xml:space="preserve">ES </w:t>
            </w:r>
            <w:r w:rsidR="00790E64">
              <w:rPr>
                <w:lang w:val="lv-LV"/>
              </w:rPr>
              <w:t xml:space="preserve">Integrētās </w:t>
            </w:r>
            <w:r w:rsidRPr="00EF7851">
              <w:rPr>
                <w:lang w:val="lv-LV"/>
              </w:rPr>
              <w:t xml:space="preserve">jūrlietu </w:t>
            </w:r>
            <w:r w:rsidR="00790E64">
              <w:rPr>
                <w:lang w:val="lv-LV"/>
              </w:rPr>
              <w:t xml:space="preserve">politikas </w:t>
            </w:r>
            <w:r w:rsidRPr="00EF7851">
              <w:rPr>
                <w:lang w:val="lv-LV"/>
              </w:rPr>
              <w:t xml:space="preserve">un </w:t>
            </w:r>
            <w:r w:rsidR="007F05CC">
              <w:rPr>
                <w:lang w:val="lv-LV"/>
              </w:rPr>
              <w:t xml:space="preserve">Kopējās </w:t>
            </w:r>
            <w:r w:rsidRPr="00EF7851">
              <w:rPr>
                <w:lang w:val="lv-LV"/>
              </w:rPr>
              <w:t>zivsaimniecības politikas</w:t>
            </w:r>
            <w:r w:rsidR="003426E1">
              <w:rPr>
                <w:lang w:val="lv-LV"/>
              </w:rPr>
              <w:t xml:space="preserve"> (turpmāk- KZP)</w:t>
            </w:r>
            <w:r w:rsidRPr="00EF7851">
              <w:rPr>
                <w:lang w:val="lv-LV"/>
              </w:rPr>
              <w:t xml:space="preserve"> finansēšanai </w:t>
            </w:r>
            <w:r w:rsidR="007F05CC">
              <w:rPr>
                <w:lang w:val="lv-LV"/>
              </w:rPr>
              <w:t xml:space="preserve">no </w:t>
            </w:r>
            <w:r w:rsidRPr="00EF7851">
              <w:rPr>
                <w:lang w:val="lv-LV"/>
              </w:rPr>
              <w:t>2014.–2020.</w:t>
            </w:r>
            <w:r>
              <w:rPr>
                <w:lang w:val="lv-LV"/>
              </w:rPr>
              <w:t>g</w:t>
            </w:r>
            <w:r w:rsidR="007F05CC">
              <w:rPr>
                <w:lang w:val="lv-LV"/>
              </w:rPr>
              <w:t>adam</w:t>
            </w:r>
            <w:r w:rsidR="003426E1">
              <w:rPr>
                <w:lang w:val="lv-LV"/>
              </w:rPr>
              <w:t>.</w:t>
            </w:r>
          </w:p>
          <w:p w14:paraId="60DF332F" w14:textId="77777777" w:rsidR="00633783" w:rsidRDefault="00633783" w:rsidP="00855FC1">
            <w:pPr>
              <w:jc w:val="both"/>
              <w:rPr>
                <w:lang w:val="lv-LV"/>
              </w:rPr>
            </w:pPr>
          </w:p>
          <w:p w14:paraId="6DBB7E31" w14:textId="77777777" w:rsidR="00855FC1" w:rsidRPr="00855FC1" w:rsidRDefault="003426E1" w:rsidP="00855FC1">
            <w:pPr>
              <w:jc w:val="both"/>
              <w:rPr>
                <w:lang w:val="lv-LV"/>
              </w:rPr>
            </w:pPr>
            <w:r w:rsidRPr="00853DDF">
              <w:rPr>
                <w:b/>
                <w:lang w:val="lv-LV"/>
              </w:rPr>
              <w:t xml:space="preserve">EJZF </w:t>
            </w:r>
            <w:r w:rsidR="00855FC1" w:rsidRPr="00853DDF">
              <w:rPr>
                <w:b/>
                <w:lang w:val="lv-LV"/>
              </w:rPr>
              <w:t>galvenie mērķi ir</w:t>
            </w:r>
            <w:r w:rsidR="00855FC1" w:rsidRPr="00855FC1">
              <w:rPr>
                <w:lang w:val="lv-LV"/>
              </w:rPr>
              <w:t>:</w:t>
            </w:r>
          </w:p>
          <w:p w14:paraId="4CE52220" w14:textId="77777777" w:rsidR="00855FC1" w:rsidRPr="00855FC1" w:rsidRDefault="000F48BD" w:rsidP="00855FC1">
            <w:pPr>
              <w:jc w:val="both"/>
              <w:rPr>
                <w:lang w:val="lv-LV"/>
              </w:rPr>
            </w:pPr>
            <w:r>
              <w:rPr>
                <w:lang w:val="lv-LV"/>
              </w:rPr>
              <w:t xml:space="preserve">1. </w:t>
            </w:r>
            <w:r w:rsidR="006A65B0" w:rsidRPr="006A65B0">
              <w:rPr>
                <w:lang w:val="lv-LV"/>
              </w:rPr>
              <w:t>veicināt ilgtspējīgu un konkurētspējīgu zvejniecību un akvakultūru</w:t>
            </w:r>
            <w:r w:rsidR="00855FC1" w:rsidRPr="00855FC1">
              <w:rPr>
                <w:lang w:val="lv-LV"/>
              </w:rPr>
              <w:t>;</w:t>
            </w:r>
          </w:p>
          <w:p w14:paraId="0D5AF713" w14:textId="77777777" w:rsidR="00855FC1" w:rsidRDefault="000F48BD" w:rsidP="00855FC1">
            <w:pPr>
              <w:jc w:val="both"/>
              <w:rPr>
                <w:lang w:val="lv-LV"/>
              </w:rPr>
            </w:pPr>
            <w:r>
              <w:rPr>
                <w:lang w:val="lv-LV"/>
              </w:rPr>
              <w:t xml:space="preserve">2. </w:t>
            </w:r>
            <w:r w:rsidR="006A65B0" w:rsidRPr="006A65B0">
              <w:rPr>
                <w:lang w:val="lv-LV"/>
              </w:rPr>
              <w:t>sekmēt Savienības integrētās jūrlietu politikas izstrādi un īstenošanu, tādējādi papildinot kohēzijas politiku un KZP</w:t>
            </w:r>
            <w:r w:rsidR="00855FC1" w:rsidRPr="00855FC1">
              <w:rPr>
                <w:lang w:val="lv-LV"/>
              </w:rPr>
              <w:t>;</w:t>
            </w:r>
          </w:p>
          <w:p w14:paraId="75C55862" w14:textId="77777777" w:rsidR="00790E64" w:rsidRDefault="00790E64" w:rsidP="00855FC1">
            <w:pPr>
              <w:jc w:val="both"/>
              <w:rPr>
                <w:lang w:val="lv-LV"/>
              </w:rPr>
            </w:pPr>
            <w:r>
              <w:rPr>
                <w:lang w:val="lv-LV"/>
              </w:rPr>
              <w:t xml:space="preserve">3. </w:t>
            </w:r>
            <w:r w:rsidR="006A65B0" w:rsidRPr="006A65B0">
              <w:rPr>
                <w:lang w:val="lv-LV"/>
              </w:rPr>
              <w:t>veicināt zivsaimniecības reģionu (ieskaitot akvakultūru un zveju iekšējos ūdeņos) līdzsvarotu un iekļaujošu teritoriālo attīstību</w:t>
            </w:r>
            <w:r w:rsidR="0084712B">
              <w:rPr>
                <w:lang w:val="lv-LV"/>
              </w:rPr>
              <w:t>;</w:t>
            </w:r>
          </w:p>
          <w:p w14:paraId="2EDCA88E" w14:textId="77777777" w:rsidR="0084712B" w:rsidRDefault="0084712B" w:rsidP="00855FC1">
            <w:pPr>
              <w:jc w:val="both"/>
              <w:rPr>
                <w:lang w:val="lv-LV"/>
              </w:rPr>
            </w:pPr>
            <w:r>
              <w:rPr>
                <w:lang w:val="lv-LV"/>
              </w:rPr>
              <w:t xml:space="preserve">4. </w:t>
            </w:r>
            <w:r w:rsidR="00860342">
              <w:rPr>
                <w:lang w:val="lv-LV"/>
              </w:rPr>
              <w:t>palīdzēt</w:t>
            </w:r>
            <w:r w:rsidR="000F48BD">
              <w:rPr>
                <w:lang w:val="lv-LV"/>
              </w:rPr>
              <w:t xml:space="preserve"> K</w:t>
            </w:r>
            <w:r w:rsidR="003426E1">
              <w:rPr>
                <w:lang w:val="lv-LV"/>
              </w:rPr>
              <w:t xml:space="preserve">ZP </w:t>
            </w:r>
            <w:r w:rsidR="000F48BD">
              <w:rPr>
                <w:lang w:val="lv-LV"/>
              </w:rPr>
              <w:t>īstenošanā.</w:t>
            </w:r>
          </w:p>
          <w:p w14:paraId="623B1A4A" w14:textId="77777777" w:rsidR="00207710" w:rsidRDefault="00207710" w:rsidP="00855FC1">
            <w:pPr>
              <w:jc w:val="both"/>
              <w:rPr>
                <w:lang w:val="lv-LV"/>
              </w:rPr>
            </w:pPr>
          </w:p>
          <w:p w14:paraId="106C6666" w14:textId="77777777" w:rsidR="006524D8" w:rsidRPr="006524D8" w:rsidRDefault="00FD0011" w:rsidP="006524D8">
            <w:pPr>
              <w:jc w:val="both"/>
              <w:rPr>
                <w:lang w:val="lv-LV"/>
              </w:rPr>
            </w:pPr>
            <w:r w:rsidRPr="00FD0011">
              <w:rPr>
                <w:lang w:val="lv-LV"/>
              </w:rPr>
              <w:t>EJZF pārvaldības noteikumi tiks saskaņoti ar citu ES fondu attiecīgajiem noteikumiem</w:t>
            </w:r>
            <w:r w:rsidR="00315FDB">
              <w:rPr>
                <w:lang w:val="lv-LV"/>
              </w:rPr>
              <w:t xml:space="preserve">, kā to paredz </w:t>
            </w:r>
            <w:r w:rsidR="00315FDB" w:rsidRPr="00315FDB">
              <w:rPr>
                <w:lang w:val="lv-LV"/>
              </w:rPr>
              <w:t xml:space="preserve">2011.gada 6.oktobrī </w:t>
            </w:r>
            <w:r w:rsidR="003426E1">
              <w:rPr>
                <w:lang w:val="lv-LV"/>
              </w:rPr>
              <w:t>Komisijas</w:t>
            </w:r>
            <w:r w:rsidR="003426E1" w:rsidRPr="00315FDB">
              <w:rPr>
                <w:lang w:val="lv-LV"/>
              </w:rPr>
              <w:t xml:space="preserve"> </w:t>
            </w:r>
            <w:r w:rsidR="00315FDB">
              <w:rPr>
                <w:lang w:val="lv-LV"/>
              </w:rPr>
              <w:t>publiskotais</w:t>
            </w:r>
            <w:r w:rsidR="00315FDB" w:rsidRPr="00315FDB">
              <w:rPr>
                <w:lang w:val="lv-LV"/>
              </w:rPr>
              <w:t xml:space="preserve"> </w:t>
            </w:r>
            <w:r w:rsidR="00315FDB" w:rsidRPr="003426E1">
              <w:rPr>
                <w:i/>
                <w:lang w:val="lv-LV"/>
              </w:rPr>
              <w:t>priekšlikums regulai, kas nosaka kopējus noteikumus Eiropas Reģionālās attīstības fondam, Eiropas Sociālajam fondam</w:t>
            </w:r>
            <w:r w:rsidR="00D80D69" w:rsidRPr="003426E1">
              <w:rPr>
                <w:i/>
                <w:lang w:val="lv-LV"/>
              </w:rPr>
              <w:t>, Kohēzijas fondam</w:t>
            </w:r>
            <w:r w:rsidR="00315FDB" w:rsidRPr="003426E1">
              <w:rPr>
                <w:i/>
                <w:lang w:val="lv-LV"/>
              </w:rPr>
              <w:t>, Eiropas Lauksaimniecības fondam lauku attīstībai un EJZF</w:t>
            </w:r>
            <w:r w:rsidRPr="00FD0011">
              <w:rPr>
                <w:lang w:val="lv-LV"/>
              </w:rPr>
              <w:t xml:space="preserve">. EJZF būs daļa no </w:t>
            </w:r>
            <w:r w:rsidR="007C5331">
              <w:rPr>
                <w:lang w:val="lv-LV"/>
              </w:rPr>
              <w:t>k</w:t>
            </w:r>
            <w:r w:rsidR="007C5331" w:rsidRPr="007C5331">
              <w:rPr>
                <w:lang w:val="lv-LV"/>
              </w:rPr>
              <w:t>o</w:t>
            </w:r>
            <w:r w:rsidR="007C5331">
              <w:rPr>
                <w:lang w:val="lv-LV"/>
              </w:rPr>
              <w:t>pējā stratēģiskā ietvardokumenta</w:t>
            </w:r>
            <w:r w:rsidR="007C5331" w:rsidRPr="007C5331">
              <w:rPr>
                <w:lang w:val="lv-LV"/>
              </w:rPr>
              <w:t xml:space="preserve"> (</w:t>
            </w:r>
            <w:r w:rsidR="003426E1">
              <w:rPr>
                <w:lang w:val="lv-LV"/>
              </w:rPr>
              <w:t xml:space="preserve">turpmāk - </w:t>
            </w:r>
            <w:r w:rsidR="007C5331" w:rsidRPr="007C5331">
              <w:rPr>
                <w:lang w:val="lv-LV"/>
              </w:rPr>
              <w:t>KSF)</w:t>
            </w:r>
            <w:r w:rsidRPr="00FD0011">
              <w:rPr>
                <w:lang w:val="lv-LV"/>
              </w:rPr>
              <w:t xml:space="preserve">, kas nodrošinās to, ka visi izveidotie ES </w:t>
            </w:r>
            <w:r w:rsidRPr="00FD0011">
              <w:rPr>
                <w:lang w:val="lv-LV"/>
              </w:rPr>
              <w:lastRenderedPageBreak/>
              <w:t>fondi darbojas saskaņ</w:t>
            </w:r>
            <w:r w:rsidR="003426E1">
              <w:rPr>
                <w:lang w:val="lv-LV"/>
              </w:rPr>
              <w:t>oti</w:t>
            </w:r>
            <w:r w:rsidRPr="00FD0011">
              <w:rPr>
                <w:lang w:val="lv-LV"/>
              </w:rPr>
              <w:t>,</w:t>
            </w:r>
            <w:r w:rsidR="0089011D">
              <w:rPr>
                <w:lang w:val="lv-LV"/>
              </w:rPr>
              <w:t xml:space="preserve"> novēršot pārklāšanos un dublē</w:t>
            </w:r>
            <w:r w:rsidRPr="00FD0011">
              <w:rPr>
                <w:lang w:val="lv-LV"/>
              </w:rPr>
              <w:t>šanos.</w:t>
            </w:r>
            <w:r w:rsidR="0084763C" w:rsidRPr="00FD0011">
              <w:rPr>
                <w:lang w:val="lv-LV"/>
              </w:rPr>
              <w:t xml:space="preserve"> Tas atvieglos </w:t>
            </w:r>
            <w:r w:rsidR="0084763C">
              <w:rPr>
                <w:lang w:val="lv-LV"/>
              </w:rPr>
              <w:t>darbu</w:t>
            </w:r>
            <w:r w:rsidR="0084763C" w:rsidRPr="00FD0011">
              <w:rPr>
                <w:lang w:val="lv-LV"/>
              </w:rPr>
              <w:t xml:space="preserve"> gan </w:t>
            </w:r>
            <w:r w:rsidR="0084763C">
              <w:rPr>
                <w:lang w:val="lv-LV"/>
              </w:rPr>
              <w:t xml:space="preserve">atbalsta </w:t>
            </w:r>
            <w:r w:rsidR="0084763C" w:rsidRPr="00FD0011">
              <w:rPr>
                <w:lang w:val="lv-LV"/>
              </w:rPr>
              <w:t>saņēmējiem, gan valsts iestādēm.</w:t>
            </w:r>
            <w:r w:rsidR="00F14D83">
              <w:rPr>
                <w:lang w:val="lv-LV"/>
              </w:rPr>
              <w:t xml:space="preserve"> </w:t>
            </w:r>
            <w:r w:rsidR="00C61FFF">
              <w:rPr>
                <w:lang w:val="lv-LV"/>
              </w:rPr>
              <w:t>EJZF</w:t>
            </w:r>
            <w:r w:rsidR="004F08F5" w:rsidRPr="006524D8">
              <w:rPr>
                <w:lang w:val="lv-LV"/>
              </w:rPr>
              <w:t xml:space="preserve"> satur arī tematisko mērķu sarakstu, kas atvasināts no stratēģijas “Eiropa 2020”</w:t>
            </w:r>
            <w:r w:rsidR="00C61FFF">
              <w:rPr>
                <w:lang w:val="lv-LV"/>
              </w:rPr>
              <w:t>,</w:t>
            </w:r>
            <w:r w:rsidR="004F08F5">
              <w:rPr>
                <w:lang w:val="lv-LV"/>
              </w:rPr>
              <w:t xml:space="preserve"> un</w:t>
            </w:r>
            <w:r w:rsidR="004F08F5" w:rsidRPr="006524D8">
              <w:rPr>
                <w:lang w:val="lv-LV"/>
              </w:rPr>
              <w:t xml:space="preserve"> noteikumus par partnerības līgumiem, kas jānoslēdz ar katru dalībvalsti.</w:t>
            </w:r>
          </w:p>
          <w:p w14:paraId="29A0FE8B" w14:textId="77777777" w:rsidR="000A3387" w:rsidRDefault="000A3387" w:rsidP="00855FC1">
            <w:pPr>
              <w:jc w:val="both"/>
              <w:rPr>
                <w:lang w:val="lv-LV"/>
              </w:rPr>
            </w:pPr>
          </w:p>
          <w:p w14:paraId="2051E9C6" w14:textId="77777777" w:rsidR="003426E1" w:rsidRDefault="003426E1" w:rsidP="003426E1">
            <w:pPr>
              <w:jc w:val="both"/>
              <w:rPr>
                <w:lang w:val="lv-LV"/>
              </w:rPr>
            </w:pPr>
            <w:r>
              <w:rPr>
                <w:lang w:val="lv-LV"/>
              </w:rPr>
              <w:t xml:space="preserve">Pamatā </w:t>
            </w:r>
            <w:r w:rsidRPr="00442D78">
              <w:rPr>
                <w:lang w:val="lv-LV"/>
              </w:rPr>
              <w:t xml:space="preserve">EJZF ir strukturēts </w:t>
            </w:r>
            <w:r w:rsidRPr="00853DDF">
              <w:rPr>
                <w:b/>
                <w:lang w:val="lv-LV"/>
              </w:rPr>
              <w:t>4 pīlāros</w:t>
            </w:r>
            <w:r w:rsidRPr="00442D78">
              <w:rPr>
                <w:lang w:val="lv-LV"/>
              </w:rPr>
              <w:t xml:space="preserve"> - </w:t>
            </w:r>
            <w:r w:rsidR="000F62CD">
              <w:rPr>
                <w:lang w:val="lv-LV"/>
              </w:rPr>
              <w:t>pārdomāta, videi nekaitīga zvejniecība</w:t>
            </w:r>
            <w:r w:rsidRPr="00442D78">
              <w:rPr>
                <w:lang w:val="lv-LV"/>
              </w:rPr>
              <w:t xml:space="preserve">, </w:t>
            </w:r>
            <w:r w:rsidR="000F62CD">
              <w:rPr>
                <w:lang w:val="lv-LV"/>
              </w:rPr>
              <w:t>pārdomāta, videi nekaitīga</w:t>
            </w:r>
            <w:r w:rsidRPr="00442D78">
              <w:rPr>
                <w:lang w:val="lv-LV"/>
              </w:rPr>
              <w:t xml:space="preserve"> akvakultūra, ilgtspējīga un </w:t>
            </w:r>
            <w:r w:rsidR="000F62CD">
              <w:rPr>
                <w:lang w:val="lv-LV"/>
              </w:rPr>
              <w:t xml:space="preserve">iekļaujoša </w:t>
            </w:r>
            <w:r w:rsidRPr="00442D78">
              <w:rPr>
                <w:lang w:val="lv-LV"/>
              </w:rPr>
              <w:t>teritoriālā attīstība un integrēta jūrlietu politika.</w:t>
            </w:r>
          </w:p>
          <w:p w14:paraId="01820B27" w14:textId="77777777" w:rsidR="003426E1" w:rsidRDefault="003426E1" w:rsidP="003426E1">
            <w:pPr>
              <w:jc w:val="both"/>
              <w:rPr>
                <w:lang w:val="lv-LV"/>
              </w:rPr>
            </w:pPr>
          </w:p>
          <w:p w14:paraId="74F28FD0" w14:textId="77777777" w:rsidR="003426E1" w:rsidRDefault="00207710" w:rsidP="00207710">
            <w:pPr>
              <w:jc w:val="both"/>
              <w:rPr>
                <w:lang w:val="lv-LV"/>
              </w:rPr>
            </w:pPr>
            <w:r>
              <w:rPr>
                <w:lang w:val="lv-LV"/>
              </w:rPr>
              <w:t xml:space="preserve">EJZF </w:t>
            </w:r>
            <w:r w:rsidRPr="00207710">
              <w:rPr>
                <w:lang w:val="lv-LV"/>
              </w:rPr>
              <w:t>aizstās pašreizējo Eirop</w:t>
            </w:r>
            <w:r w:rsidR="00A969D7">
              <w:rPr>
                <w:lang w:val="lv-LV"/>
              </w:rPr>
              <w:t>as Zivsaimniecības fondu (</w:t>
            </w:r>
            <w:r w:rsidR="003426E1">
              <w:rPr>
                <w:lang w:val="lv-LV"/>
              </w:rPr>
              <w:t xml:space="preserve">turpmāk - </w:t>
            </w:r>
            <w:r w:rsidR="00A969D7">
              <w:rPr>
                <w:lang w:val="lv-LV"/>
              </w:rPr>
              <w:t>EZF),</w:t>
            </w:r>
            <w:r w:rsidR="00D20C21">
              <w:rPr>
                <w:lang w:val="lv-LV"/>
              </w:rPr>
              <w:t xml:space="preserve"> kā arī </w:t>
            </w:r>
            <w:r w:rsidR="00B24B45">
              <w:rPr>
                <w:lang w:val="lv-LV"/>
              </w:rPr>
              <w:t xml:space="preserve">dažus citus ES finanšu instrumentus, kā, piemēram, </w:t>
            </w:r>
            <w:r w:rsidR="00F26793">
              <w:rPr>
                <w:lang w:val="lv-LV"/>
              </w:rPr>
              <w:t xml:space="preserve">atbalstu </w:t>
            </w:r>
            <w:r w:rsidR="00D20C21">
              <w:rPr>
                <w:lang w:val="lv-LV"/>
              </w:rPr>
              <w:t>integrēt</w:t>
            </w:r>
            <w:r w:rsidR="00F26793">
              <w:rPr>
                <w:lang w:val="lv-LV"/>
              </w:rPr>
              <w:t>ai</w:t>
            </w:r>
            <w:r w:rsidR="00D20C21">
              <w:rPr>
                <w:lang w:val="lv-LV"/>
              </w:rPr>
              <w:t xml:space="preserve"> jūrlietu politik</w:t>
            </w:r>
            <w:r w:rsidR="00F26793">
              <w:rPr>
                <w:lang w:val="lv-LV"/>
              </w:rPr>
              <w:t>ai</w:t>
            </w:r>
            <w:r w:rsidR="00D20C21">
              <w:rPr>
                <w:lang w:val="lv-LV"/>
              </w:rPr>
              <w:t>, datu vākšan</w:t>
            </w:r>
            <w:r w:rsidR="00F26793">
              <w:rPr>
                <w:lang w:val="lv-LV"/>
              </w:rPr>
              <w:t>ai un zinātniskiem ieteikumiem</w:t>
            </w:r>
            <w:r w:rsidR="00D20C21">
              <w:rPr>
                <w:lang w:val="lv-LV"/>
              </w:rPr>
              <w:t>, kontrol</w:t>
            </w:r>
            <w:r w:rsidR="00F26793">
              <w:rPr>
                <w:lang w:val="lv-LV"/>
              </w:rPr>
              <w:t>e</w:t>
            </w:r>
            <w:r w:rsidR="00D20C21">
              <w:rPr>
                <w:lang w:val="lv-LV"/>
              </w:rPr>
              <w:t>i, pārvaldīb</w:t>
            </w:r>
            <w:r w:rsidR="00F26793">
              <w:rPr>
                <w:lang w:val="lv-LV"/>
              </w:rPr>
              <w:t>ai</w:t>
            </w:r>
            <w:r w:rsidR="00D20C21">
              <w:rPr>
                <w:lang w:val="lv-LV"/>
              </w:rPr>
              <w:t>, zivsaimniecības</w:t>
            </w:r>
            <w:r w:rsidR="00F26793">
              <w:rPr>
                <w:lang w:val="lv-LV"/>
              </w:rPr>
              <w:t xml:space="preserve"> produktu tirgiem, brīvprātīgiem maksājumiem </w:t>
            </w:r>
            <w:r w:rsidR="00FE04B3">
              <w:rPr>
                <w:lang w:val="lv-LV"/>
              </w:rPr>
              <w:t>r</w:t>
            </w:r>
            <w:r w:rsidR="00FE04B3" w:rsidRPr="0094183A">
              <w:rPr>
                <w:lang w:val="lv-LV"/>
              </w:rPr>
              <w:t>eģionālās zvejni</w:t>
            </w:r>
            <w:r w:rsidR="00FE04B3">
              <w:rPr>
                <w:lang w:val="lv-LV"/>
              </w:rPr>
              <w:t xml:space="preserve">ecības pārvaldības organizācijām </w:t>
            </w:r>
            <w:r w:rsidR="00881805">
              <w:rPr>
                <w:lang w:val="lv-LV"/>
              </w:rPr>
              <w:t>(RZPO)</w:t>
            </w:r>
            <w:r w:rsidRPr="00207710">
              <w:rPr>
                <w:lang w:val="lv-LV"/>
              </w:rPr>
              <w:t xml:space="preserve">. </w:t>
            </w:r>
            <w:r w:rsidR="00140B99">
              <w:rPr>
                <w:lang w:val="lv-LV"/>
              </w:rPr>
              <w:t>EJZF n</w:t>
            </w:r>
            <w:r w:rsidR="00A969D7">
              <w:rPr>
                <w:lang w:val="lv-LV"/>
              </w:rPr>
              <w:t>o 2014.–2020.</w:t>
            </w:r>
            <w:r w:rsidR="00E63844">
              <w:rPr>
                <w:lang w:val="lv-LV"/>
              </w:rPr>
              <w:t xml:space="preserve">gadam </w:t>
            </w:r>
            <w:r w:rsidRPr="00207710">
              <w:rPr>
                <w:lang w:val="lv-LV"/>
              </w:rPr>
              <w:t xml:space="preserve">ierosinātais finansējums ir </w:t>
            </w:r>
            <w:r w:rsidR="00E63844">
              <w:rPr>
                <w:lang w:val="lv-LV"/>
              </w:rPr>
              <w:t xml:space="preserve">paredzēts </w:t>
            </w:r>
            <w:r w:rsidR="00CA12D4">
              <w:rPr>
                <w:lang w:val="lv-LV"/>
              </w:rPr>
              <w:t xml:space="preserve">kopā </w:t>
            </w:r>
            <w:r w:rsidRPr="00207710">
              <w:rPr>
                <w:lang w:val="lv-LV"/>
              </w:rPr>
              <w:t>6,5</w:t>
            </w:r>
            <w:r w:rsidR="001571FA">
              <w:rPr>
                <w:lang w:val="lv-LV"/>
              </w:rPr>
              <w:t>7</w:t>
            </w:r>
            <w:r w:rsidRPr="00207710">
              <w:rPr>
                <w:lang w:val="lv-LV"/>
              </w:rPr>
              <w:t xml:space="preserve"> miljardi eiro</w:t>
            </w:r>
            <w:r w:rsidR="00E63844">
              <w:rPr>
                <w:lang w:val="lv-LV"/>
              </w:rPr>
              <w:t xml:space="preserve"> </w:t>
            </w:r>
            <w:r w:rsidR="001571FA">
              <w:rPr>
                <w:lang w:val="lv-LV"/>
              </w:rPr>
              <w:t>(kopā ar finansējumu tiešai pārvaldībai</w:t>
            </w:r>
            <w:r w:rsidR="003426E1">
              <w:rPr>
                <w:lang w:val="lv-LV"/>
              </w:rPr>
              <w:t xml:space="preserve"> (integrētas jūrlietu politikas pīlāram)</w:t>
            </w:r>
            <w:r w:rsidR="001571FA">
              <w:rPr>
                <w:lang w:val="lv-LV"/>
              </w:rPr>
              <w:t xml:space="preserve"> </w:t>
            </w:r>
            <w:r w:rsidR="005828A6">
              <w:rPr>
                <w:lang w:val="lv-LV"/>
              </w:rPr>
              <w:t>– 7,5 miljardi eiro</w:t>
            </w:r>
            <w:r w:rsidR="001571FA">
              <w:rPr>
                <w:lang w:val="lv-LV"/>
              </w:rPr>
              <w:t>)</w:t>
            </w:r>
            <w:r w:rsidRPr="00207710">
              <w:rPr>
                <w:lang w:val="lv-LV"/>
              </w:rPr>
              <w:t>.</w:t>
            </w:r>
            <w:r>
              <w:rPr>
                <w:lang w:val="lv-LV"/>
              </w:rPr>
              <w:t xml:space="preserve"> </w:t>
            </w:r>
            <w:r w:rsidRPr="00207710">
              <w:rPr>
                <w:lang w:val="lv-LV"/>
              </w:rPr>
              <w:t>Kopējo</w:t>
            </w:r>
            <w:r w:rsidR="00202F43">
              <w:rPr>
                <w:lang w:val="lv-LV"/>
              </w:rPr>
              <w:t xml:space="preserve"> EJZF</w:t>
            </w:r>
            <w:r w:rsidRPr="00207710">
              <w:rPr>
                <w:lang w:val="lv-LV"/>
              </w:rPr>
              <w:t xml:space="preserve"> budžetu </w:t>
            </w:r>
            <w:r w:rsidR="00F01A30">
              <w:rPr>
                <w:lang w:val="lv-LV"/>
              </w:rPr>
              <w:t xml:space="preserve">sadalījumā pa </w:t>
            </w:r>
            <w:r w:rsidRPr="00207710">
              <w:rPr>
                <w:lang w:val="lv-LV"/>
              </w:rPr>
              <w:t xml:space="preserve">dalībvalstīm </w:t>
            </w:r>
            <w:r w:rsidR="00F01A30">
              <w:rPr>
                <w:lang w:val="lv-LV"/>
              </w:rPr>
              <w:t>aprēķinās</w:t>
            </w:r>
            <w:r w:rsidRPr="00207710">
              <w:rPr>
                <w:lang w:val="lv-LV"/>
              </w:rPr>
              <w:t xml:space="preserve"> pamatojoties uz</w:t>
            </w:r>
            <w:r w:rsidR="00426DF1">
              <w:rPr>
                <w:lang w:val="lv-LV"/>
              </w:rPr>
              <w:t xml:space="preserve"> zvejniecībā un akvakultūrā nodarbināto īpatsvaru</w:t>
            </w:r>
            <w:r w:rsidR="00A5109B">
              <w:rPr>
                <w:lang w:val="lv-LV"/>
              </w:rPr>
              <w:t xml:space="preserve">, </w:t>
            </w:r>
            <w:r w:rsidR="005A58EA">
              <w:rPr>
                <w:lang w:val="lv-LV"/>
              </w:rPr>
              <w:t xml:space="preserve">zvejniecības un akvakultūras </w:t>
            </w:r>
            <w:r w:rsidR="00426DF1">
              <w:rPr>
                <w:lang w:val="lv-LV"/>
              </w:rPr>
              <w:t>produkcijas apjomu, piekrastes zvejas flotes daļu zvejas flotē</w:t>
            </w:r>
            <w:r w:rsidR="00F01A30">
              <w:rPr>
                <w:lang w:val="lv-LV"/>
              </w:rPr>
              <w:t>, kontroles uzdevumu un datu vākšanas uzdevumu apjomu, kā arī ņemot vērā vēsturisko</w:t>
            </w:r>
            <w:r w:rsidR="00A5109B">
              <w:rPr>
                <w:lang w:val="lv-LV"/>
              </w:rPr>
              <w:t>s piešķīrumus EZF ietvaros un vēsturisko līdzekļu izmantojumu saskaņā ar Padomes Regulu (EK) Nr.861/2006</w:t>
            </w:r>
            <w:r w:rsidRPr="00207710">
              <w:rPr>
                <w:lang w:val="lv-LV"/>
              </w:rPr>
              <w:t xml:space="preserve">. </w:t>
            </w:r>
            <w:r w:rsidR="00A969D7">
              <w:rPr>
                <w:lang w:val="lv-LV"/>
              </w:rPr>
              <w:t>EJZF īstenošanā t</w:t>
            </w:r>
            <w:r w:rsidRPr="00207710">
              <w:rPr>
                <w:lang w:val="lv-LV"/>
              </w:rPr>
              <w:t xml:space="preserve">iks piemērots </w:t>
            </w:r>
            <w:r w:rsidR="003426E1">
              <w:rPr>
                <w:lang w:val="lv-LV"/>
              </w:rPr>
              <w:t>Komisijas</w:t>
            </w:r>
            <w:r w:rsidR="003426E1" w:rsidRPr="00207710">
              <w:rPr>
                <w:lang w:val="lv-LV"/>
              </w:rPr>
              <w:t xml:space="preserve"> </w:t>
            </w:r>
            <w:r w:rsidRPr="00207710">
              <w:rPr>
                <w:lang w:val="lv-LV"/>
              </w:rPr>
              <w:t>un dalībvalstu dalīta</w:t>
            </w:r>
            <w:r w:rsidR="00FC5560">
              <w:rPr>
                <w:lang w:val="lv-LV"/>
              </w:rPr>
              <w:t>i</w:t>
            </w:r>
            <w:r w:rsidRPr="00207710">
              <w:rPr>
                <w:lang w:val="lv-LV"/>
              </w:rPr>
              <w:t>s pārvaldības princips</w:t>
            </w:r>
            <w:r w:rsidR="009E5764">
              <w:rPr>
                <w:lang w:val="lv-LV"/>
              </w:rPr>
              <w:t xml:space="preserve"> (pirmie trīs pīlāri)</w:t>
            </w:r>
            <w:r w:rsidR="00F254F3">
              <w:rPr>
                <w:lang w:val="lv-LV"/>
              </w:rPr>
              <w:t>, izņemot Integrēto jūrlietu politiku, kurai būs tiešā centralizētā pārvaldība</w:t>
            </w:r>
            <w:r w:rsidR="00606051">
              <w:rPr>
                <w:lang w:val="lv-LV"/>
              </w:rPr>
              <w:t>, ar īstenošanas aktiem pieņemtu gada darba programmu ietvaros.</w:t>
            </w:r>
          </w:p>
          <w:p w14:paraId="188404B2" w14:textId="77777777" w:rsidR="003426E1" w:rsidRDefault="003426E1" w:rsidP="00207710">
            <w:pPr>
              <w:jc w:val="both"/>
              <w:rPr>
                <w:lang w:val="lv-LV"/>
              </w:rPr>
            </w:pPr>
          </w:p>
          <w:p w14:paraId="1BB4CF7F" w14:textId="77777777" w:rsidR="00442D78" w:rsidRDefault="00207710" w:rsidP="00207710">
            <w:pPr>
              <w:jc w:val="both"/>
              <w:rPr>
                <w:lang w:val="lv-LV"/>
              </w:rPr>
            </w:pPr>
            <w:r w:rsidRPr="00207710">
              <w:rPr>
                <w:lang w:val="lv-LV"/>
              </w:rPr>
              <w:t xml:space="preserve"> Katra</w:t>
            </w:r>
            <w:r w:rsidR="00880028">
              <w:rPr>
                <w:lang w:val="lv-LV"/>
              </w:rPr>
              <w:t>i dalībvalstij būs</w:t>
            </w:r>
            <w:r w:rsidRPr="00207710">
              <w:rPr>
                <w:lang w:val="lv-LV"/>
              </w:rPr>
              <w:t xml:space="preserve"> </w:t>
            </w:r>
            <w:r w:rsidR="00880028">
              <w:rPr>
                <w:lang w:val="lv-LV"/>
              </w:rPr>
              <w:t xml:space="preserve">jāizstrādā </w:t>
            </w:r>
            <w:r w:rsidR="00C97803">
              <w:rPr>
                <w:lang w:val="lv-LV"/>
              </w:rPr>
              <w:t xml:space="preserve">detalizēta </w:t>
            </w:r>
            <w:r w:rsidR="00F06546">
              <w:rPr>
                <w:lang w:val="lv-LV"/>
              </w:rPr>
              <w:t xml:space="preserve">rīcības </w:t>
            </w:r>
            <w:r w:rsidR="00880028">
              <w:rPr>
                <w:lang w:val="lv-LV"/>
              </w:rPr>
              <w:t>programma</w:t>
            </w:r>
            <w:r w:rsidRPr="00207710">
              <w:rPr>
                <w:lang w:val="lv-LV"/>
              </w:rPr>
              <w:t xml:space="preserve"> </w:t>
            </w:r>
            <w:r w:rsidR="00A969D7">
              <w:rPr>
                <w:lang w:val="lv-LV"/>
              </w:rPr>
              <w:t>2014-2020.gadam</w:t>
            </w:r>
            <w:r w:rsidR="003426E1">
              <w:rPr>
                <w:lang w:val="lv-LV"/>
              </w:rPr>
              <w:t>, kas būs jāiesniedz Komisijai apstiprināšanai</w:t>
            </w:r>
            <w:r w:rsidRPr="00207710">
              <w:rPr>
                <w:lang w:val="lv-LV"/>
              </w:rPr>
              <w:t>.</w:t>
            </w:r>
            <w:r w:rsidR="0093203B">
              <w:rPr>
                <w:lang w:val="lv-LV"/>
              </w:rPr>
              <w:t xml:space="preserve"> Pēc programmas apstiprināšanas</w:t>
            </w:r>
            <w:r w:rsidRPr="00207710">
              <w:rPr>
                <w:lang w:val="lv-LV"/>
              </w:rPr>
              <w:t xml:space="preserve"> </w:t>
            </w:r>
            <w:r w:rsidR="005B28F8">
              <w:rPr>
                <w:lang w:val="lv-LV"/>
              </w:rPr>
              <w:t>dalībvalstu</w:t>
            </w:r>
            <w:r w:rsidRPr="00207710">
              <w:rPr>
                <w:lang w:val="lv-LV"/>
              </w:rPr>
              <w:t xml:space="preserve"> ziņā būs </w:t>
            </w:r>
            <w:r w:rsidR="005B28F8">
              <w:rPr>
                <w:lang w:val="lv-LV"/>
              </w:rPr>
              <w:t>vērtēt</w:t>
            </w:r>
            <w:r w:rsidRPr="00207710">
              <w:rPr>
                <w:lang w:val="lv-LV"/>
              </w:rPr>
              <w:t xml:space="preserve">, </w:t>
            </w:r>
            <w:r w:rsidR="005B28F8">
              <w:rPr>
                <w:lang w:val="lv-LV"/>
              </w:rPr>
              <w:t>kādiem</w:t>
            </w:r>
            <w:r w:rsidRPr="00207710">
              <w:rPr>
                <w:lang w:val="lv-LV"/>
              </w:rPr>
              <w:t xml:space="preserve"> projekti</w:t>
            </w:r>
            <w:r w:rsidR="005B28F8">
              <w:rPr>
                <w:lang w:val="lv-LV"/>
              </w:rPr>
              <w:t>em</w:t>
            </w:r>
            <w:r w:rsidRPr="00207710">
              <w:rPr>
                <w:lang w:val="lv-LV"/>
              </w:rPr>
              <w:t xml:space="preserve"> </w:t>
            </w:r>
            <w:r w:rsidR="0093203B">
              <w:rPr>
                <w:lang w:val="lv-LV"/>
              </w:rPr>
              <w:t xml:space="preserve">finansējums ir </w:t>
            </w:r>
            <w:r w:rsidR="005B28F8">
              <w:rPr>
                <w:lang w:val="lv-LV"/>
              </w:rPr>
              <w:t>piešķirams.</w:t>
            </w:r>
            <w:r w:rsidR="000B2D32">
              <w:rPr>
                <w:lang w:val="lv-LV"/>
              </w:rPr>
              <w:t xml:space="preserve"> Atšķirīgi no EZF, nākamajam plānošanas periodam dalībvalstīm</w:t>
            </w:r>
            <w:r w:rsidR="00DA6C4B">
              <w:rPr>
                <w:lang w:val="lv-LV"/>
              </w:rPr>
              <w:t xml:space="preserve"> vairs nav jāizstrādā nacionālais stratēģis</w:t>
            </w:r>
            <w:r w:rsidR="0052615C">
              <w:rPr>
                <w:lang w:val="lv-LV"/>
              </w:rPr>
              <w:t>kais plāns, taču būs jāizstrādā daudzgadu s</w:t>
            </w:r>
            <w:r w:rsidR="00101959">
              <w:rPr>
                <w:lang w:val="lv-LV"/>
              </w:rPr>
              <w:t>tratēģiskais plā</w:t>
            </w:r>
            <w:r w:rsidR="005D31C0">
              <w:rPr>
                <w:lang w:val="lv-LV"/>
              </w:rPr>
              <w:t>ns akvakultūrai, kā arī ikgadējs</w:t>
            </w:r>
            <w:r w:rsidR="00101959">
              <w:rPr>
                <w:lang w:val="lv-LV"/>
              </w:rPr>
              <w:t xml:space="preserve"> datu vākšanas </w:t>
            </w:r>
            <w:r w:rsidR="005D31C0">
              <w:rPr>
                <w:lang w:val="lv-LV"/>
              </w:rPr>
              <w:t>darba plāns</w:t>
            </w:r>
            <w:r w:rsidR="00101959">
              <w:rPr>
                <w:lang w:val="lv-LV"/>
              </w:rPr>
              <w:t>.</w:t>
            </w:r>
          </w:p>
          <w:p w14:paraId="028902C6" w14:textId="77777777" w:rsidR="00207710" w:rsidRDefault="00207710" w:rsidP="00855FC1">
            <w:pPr>
              <w:jc w:val="both"/>
              <w:rPr>
                <w:lang w:val="lv-LV"/>
              </w:rPr>
            </w:pPr>
          </w:p>
          <w:p w14:paraId="5D3C0BEB" w14:textId="77777777" w:rsidR="0093203B" w:rsidRDefault="0093203B" w:rsidP="00855FC1">
            <w:pPr>
              <w:jc w:val="both"/>
              <w:rPr>
                <w:lang w:val="lv-LV"/>
              </w:rPr>
            </w:pPr>
            <w:r>
              <w:rPr>
                <w:bCs/>
                <w:lang w:val="lv-LV"/>
              </w:rPr>
              <w:t>F</w:t>
            </w:r>
            <w:r w:rsidRPr="00C5369E">
              <w:rPr>
                <w:bCs/>
                <w:lang w:val="lv-LV"/>
              </w:rPr>
              <w:t xml:space="preserve">inanšu atbalsts, kas jaunajā plānošanas periodā tiks sniegts </w:t>
            </w:r>
            <w:r>
              <w:rPr>
                <w:bCs/>
                <w:lang w:val="lv-LV"/>
              </w:rPr>
              <w:t xml:space="preserve">EJZF ietvaros </w:t>
            </w:r>
            <w:r w:rsidRPr="00C5369E">
              <w:rPr>
                <w:bCs/>
                <w:lang w:val="lv-LV"/>
              </w:rPr>
              <w:t xml:space="preserve">būs būtisks </w:t>
            </w:r>
            <w:r>
              <w:rPr>
                <w:bCs/>
                <w:lang w:val="lv-LV"/>
              </w:rPr>
              <w:t>KZP</w:t>
            </w:r>
            <w:r w:rsidRPr="00C5369E">
              <w:rPr>
                <w:bCs/>
                <w:lang w:val="lv-LV"/>
              </w:rPr>
              <w:t xml:space="preserve"> reformas</w:t>
            </w:r>
            <w:r>
              <w:rPr>
                <w:bCs/>
                <w:lang w:val="lv-LV"/>
              </w:rPr>
              <w:t xml:space="preserve"> (publicēts 2011.gada 13.jūlijā)</w:t>
            </w:r>
            <w:r w:rsidRPr="00C5369E">
              <w:rPr>
                <w:bCs/>
                <w:lang w:val="lv-LV"/>
              </w:rPr>
              <w:t xml:space="preserve"> ieviešanas instruments. </w:t>
            </w:r>
          </w:p>
          <w:p w14:paraId="63A213BB" w14:textId="77777777" w:rsidR="000A3387" w:rsidRPr="00BE3923" w:rsidRDefault="0093203B" w:rsidP="00855FC1">
            <w:pPr>
              <w:jc w:val="both"/>
              <w:rPr>
                <w:lang w:val="lv-LV"/>
              </w:rPr>
            </w:pPr>
            <w:r>
              <w:rPr>
                <w:lang w:val="lv-LV"/>
              </w:rPr>
              <w:t>Lai nodrošinātu p</w:t>
            </w:r>
            <w:r w:rsidR="000A3387" w:rsidRPr="000A3387">
              <w:rPr>
                <w:lang w:val="lv-LV"/>
              </w:rPr>
              <w:t>ārej</w:t>
            </w:r>
            <w:r>
              <w:rPr>
                <w:lang w:val="lv-LV"/>
              </w:rPr>
              <w:t>u</w:t>
            </w:r>
            <w:r w:rsidR="000A3387" w:rsidRPr="000A3387">
              <w:rPr>
                <w:lang w:val="lv-LV"/>
              </w:rPr>
              <w:t xml:space="preserve"> uz ilgtspējī</w:t>
            </w:r>
            <w:r>
              <w:rPr>
                <w:lang w:val="lv-LV"/>
              </w:rPr>
              <w:t>g</w:t>
            </w:r>
            <w:r w:rsidR="000A3387" w:rsidRPr="000A3387">
              <w:rPr>
                <w:lang w:val="lv-LV"/>
              </w:rPr>
              <w:t xml:space="preserve">u </w:t>
            </w:r>
            <w:r>
              <w:rPr>
                <w:lang w:val="lv-LV"/>
              </w:rPr>
              <w:t>zvejniecību,</w:t>
            </w:r>
            <w:r w:rsidRPr="000A3387">
              <w:rPr>
                <w:lang w:val="lv-LV"/>
              </w:rPr>
              <w:t xml:space="preserve"> </w:t>
            </w:r>
            <w:r w:rsidR="000A3387" w:rsidRPr="000A3387">
              <w:rPr>
                <w:lang w:val="lv-LV"/>
              </w:rPr>
              <w:t xml:space="preserve">ir </w:t>
            </w:r>
            <w:r>
              <w:rPr>
                <w:lang w:val="lv-LV"/>
              </w:rPr>
              <w:t>nepieciešamas</w:t>
            </w:r>
            <w:r w:rsidRPr="000A3387">
              <w:rPr>
                <w:lang w:val="lv-LV"/>
              </w:rPr>
              <w:t xml:space="preserve"> </w:t>
            </w:r>
            <w:r w:rsidR="000A3387" w:rsidRPr="000A3387">
              <w:rPr>
                <w:lang w:val="lv-LV"/>
              </w:rPr>
              <w:t>radikālas pārmaiņas zvejas metodēs</w:t>
            </w:r>
            <w:r>
              <w:rPr>
                <w:lang w:val="lv-LV"/>
              </w:rPr>
              <w:t>.</w:t>
            </w:r>
            <w:r w:rsidR="000A3387" w:rsidRPr="000A3387">
              <w:rPr>
                <w:lang w:val="lv-LV"/>
              </w:rPr>
              <w:t xml:space="preserve"> </w:t>
            </w:r>
            <w:r w:rsidR="000058CC" w:rsidRPr="00BE3923">
              <w:rPr>
                <w:lang w:val="lv-LV"/>
              </w:rPr>
              <w:t>EJZF stimulēs zvejniekus nodarīt mazāku kaitējumu jūras ekosistēmām</w:t>
            </w:r>
            <w:r w:rsidR="000A3387" w:rsidRPr="00BE3923">
              <w:rPr>
                <w:lang w:val="lv-LV"/>
              </w:rPr>
              <w:t xml:space="preserve">, </w:t>
            </w:r>
            <w:r w:rsidR="00DA68E0" w:rsidRPr="00BE3923">
              <w:rPr>
                <w:lang w:val="lv-LV"/>
              </w:rPr>
              <w:t xml:space="preserve">lai </w:t>
            </w:r>
            <w:r w:rsidR="000A3387" w:rsidRPr="00BE3923">
              <w:rPr>
                <w:lang w:val="lv-LV"/>
              </w:rPr>
              <w:t>pielikt</w:t>
            </w:r>
            <w:r w:rsidR="00DA68E0" w:rsidRPr="00BE3923">
              <w:rPr>
                <w:lang w:val="lv-LV"/>
              </w:rPr>
              <w:t>u</w:t>
            </w:r>
            <w:r w:rsidR="000A3387" w:rsidRPr="00BE3923">
              <w:rPr>
                <w:lang w:val="lv-LV"/>
              </w:rPr>
              <w:t xml:space="preserve"> punktu resursu pārmērīgai izmantošanai un apturēt</w:t>
            </w:r>
            <w:r w:rsidR="00DA68E0" w:rsidRPr="00BE3923">
              <w:rPr>
                <w:lang w:val="lv-LV"/>
              </w:rPr>
              <w:t>u</w:t>
            </w:r>
            <w:r w:rsidR="000A3387" w:rsidRPr="00BE3923">
              <w:rPr>
                <w:lang w:val="lv-LV"/>
              </w:rPr>
              <w:t xml:space="preserve"> zivju krājumu noplicināšanos. </w:t>
            </w:r>
            <w:r w:rsidR="000058CC" w:rsidRPr="00BE3923">
              <w:rPr>
                <w:lang w:val="lv-LV"/>
              </w:rPr>
              <w:t>EJZF palīdzēs rast novatoriskus veidus, kā palielināt nozvejoto zivju vērtību un dažādot saimniecisko darbību</w:t>
            </w:r>
            <w:r w:rsidR="000A3387" w:rsidRPr="00BE3923">
              <w:rPr>
                <w:lang w:val="lv-LV"/>
              </w:rPr>
              <w:t>.</w:t>
            </w:r>
            <w:r w:rsidR="00F74251" w:rsidRPr="00BE3923">
              <w:rPr>
                <w:lang w:val="lv-LV"/>
              </w:rPr>
              <w:t xml:space="preserve"> Ražotāju organizācijas saņems </w:t>
            </w:r>
            <w:r w:rsidR="000058CC" w:rsidRPr="00BE3923">
              <w:rPr>
                <w:lang w:val="lv-LV"/>
              </w:rPr>
              <w:t>palīdzību, lai plānotu ražošanu atbilstoši tirgus pieprasījumam</w:t>
            </w:r>
            <w:r w:rsidR="00F74251" w:rsidRPr="00BE3923">
              <w:rPr>
                <w:lang w:val="lv-LV"/>
              </w:rPr>
              <w:t xml:space="preserve"> un tirgotu produktus, </w:t>
            </w:r>
            <w:r w:rsidR="00AC5516" w:rsidRPr="00BE3923">
              <w:rPr>
                <w:lang w:val="lv-LV"/>
              </w:rPr>
              <w:t>kas apmierinātu</w:t>
            </w:r>
            <w:r w:rsidR="00F74251" w:rsidRPr="00BE3923">
              <w:rPr>
                <w:lang w:val="lv-LV"/>
              </w:rPr>
              <w:t xml:space="preserve"> patērētāju vēlmes.</w:t>
            </w:r>
          </w:p>
          <w:p w14:paraId="5BDBEA36" w14:textId="77777777" w:rsidR="00AF31CA" w:rsidRPr="00AF31CA" w:rsidRDefault="00AF31CA" w:rsidP="00AF31CA">
            <w:pPr>
              <w:jc w:val="both"/>
              <w:rPr>
                <w:lang w:val="lv-LV"/>
              </w:rPr>
            </w:pPr>
            <w:r w:rsidRPr="00AF31CA">
              <w:rPr>
                <w:lang w:val="lv-LV"/>
              </w:rPr>
              <w:t xml:space="preserve">Neraugoties uz to, ka </w:t>
            </w:r>
            <w:r w:rsidR="00D97C5F">
              <w:rPr>
                <w:lang w:val="lv-LV"/>
              </w:rPr>
              <w:t>ES ir intensīvi veicinājusi zvejas kuģu sadalīšanu</w:t>
            </w:r>
            <w:r w:rsidRPr="00AF31CA">
              <w:rPr>
                <w:lang w:val="lv-LV"/>
              </w:rPr>
              <w:t xml:space="preserve">, ES </w:t>
            </w:r>
            <w:r w:rsidR="003B1AC1">
              <w:rPr>
                <w:lang w:val="lv-LV"/>
              </w:rPr>
              <w:t xml:space="preserve">zvejas </w:t>
            </w:r>
            <w:r w:rsidRPr="00AF31CA">
              <w:rPr>
                <w:lang w:val="lv-LV"/>
              </w:rPr>
              <w:t>flotes kapacitāte</w:t>
            </w:r>
            <w:r w:rsidR="00924389">
              <w:rPr>
                <w:lang w:val="lv-LV"/>
              </w:rPr>
              <w:t>, salīdzinoši ar pieejamiem zivju resursiem,</w:t>
            </w:r>
            <w:r w:rsidRPr="00AF31CA">
              <w:rPr>
                <w:lang w:val="lv-LV"/>
              </w:rPr>
              <w:t xml:space="preserve"> joprojām ir pārāk liela, </w:t>
            </w:r>
            <w:r w:rsidR="0093203B">
              <w:rPr>
                <w:lang w:val="lv-LV"/>
              </w:rPr>
              <w:t>ņemot vērā, ka</w:t>
            </w:r>
            <w:r w:rsidRPr="00AF31CA">
              <w:rPr>
                <w:lang w:val="lv-LV"/>
              </w:rPr>
              <w:t xml:space="preserve"> kuģu ekspluatācijas pārtraukšanu kompensē atlikušās flotes tehnoloģiskā modernizācija. </w:t>
            </w:r>
            <w:r w:rsidR="00581441" w:rsidRPr="00AF31CA">
              <w:rPr>
                <w:lang w:val="lv-LV"/>
              </w:rPr>
              <w:t>Tā</w:t>
            </w:r>
            <w:r w:rsidR="00581441">
              <w:rPr>
                <w:lang w:val="lv-LV"/>
              </w:rPr>
              <w:t xml:space="preserve"> rezultātā</w:t>
            </w:r>
            <w:r w:rsidR="00581441" w:rsidRPr="00AF31CA">
              <w:rPr>
                <w:lang w:val="lv-LV"/>
              </w:rPr>
              <w:t xml:space="preserve"> </w:t>
            </w:r>
            <w:r w:rsidRPr="00AF31CA">
              <w:rPr>
                <w:lang w:val="lv-LV"/>
              </w:rPr>
              <w:t xml:space="preserve">kuģu </w:t>
            </w:r>
            <w:r w:rsidR="00581441" w:rsidRPr="00AF31CA">
              <w:rPr>
                <w:lang w:val="lv-LV"/>
              </w:rPr>
              <w:t>nodošan</w:t>
            </w:r>
            <w:r w:rsidR="00581441">
              <w:rPr>
                <w:lang w:val="lv-LV"/>
              </w:rPr>
              <w:t>a</w:t>
            </w:r>
            <w:r w:rsidR="00581441" w:rsidRPr="00AF31CA">
              <w:rPr>
                <w:lang w:val="lv-LV"/>
              </w:rPr>
              <w:t xml:space="preserve"> </w:t>
            </w:r>
            <w:r w:rsidRPr="00AF31CA">
              <w:rPr>
                <w:lang w:val="lv-LV"/>
              </w:rPr>
              <w:t xml:space="preserve">sadalīšanai vairs </w:t>
            </w:r>
            <w:r w:rsidR="00581441">
              <w:rPr>
                <w:lang w:val="lv-LV"/>
              </w:rPr>
              <w:t xml:space="preserve">netiks </w:t>
            </w:r>
            <w:r w:rsidRPr="00AF31CA">
              <w:rPr>
                <w:lang w:val="lv-LV"/>
              </w:rPr>
              <w:t>finansē</w:t>
            </w:r>
            <w:r w:rsidR="00581441">
              <w:rPr>
                <w:lang w:val="lv-LV"/>
              </w:rPr>
              <w:t>ta</w:t>
            </w:r>
            <w:r w:rsidRPr="00AF31CA">
              <w:rPr>
                <w:lang w:val="lv-LV"/>
              </w:rPr>
              <w:t xml:space="preserve">, un </w:t>
            </w:r>
            <w:r w:rsidR="00581441" w:rsidRPr="00AF31CA">
              <w:rPr>
                <w:lang w:val="lv-LV"/>
              </w:rPr>
              <w:t>naud</w:t>
            </w:r>
            <w:r w:rsidR="00581441">
              <w:rPr>
                <w:lang w:val="lv-LV"/>
              </w:rPr>
              <w:t>a tiks</w:t>
            </w:r>
            <w:r w:rsidR="00581441" w:rsidRPr="00AF31CA">
              <w:rPr>
                <w:lang w:val="lv-LV"/>
              </w:rPr>
              <w:t xml:space="preserve"> novirzī</w:t>
            </w:r>
            <w:r w:rsidR="00581441">
              <w:rPr>
                <w:lang w:val="lv-LV"/>
              </w:rPr>
              <w:t>ta</w:t>
            </w:r>
            <w:r w:rsidR="00581441" w:rsidRPr="00AF31CA">
              <w:rPr>
                <w:lang w:val="lv-LV"/>
              </w:rPr>
              <w:t xml:space="preserve"> </w:t>
            </w:r>
            <w:r w:rsidR="00581441">
              <w:rPr>
                <w:lang w:val="lv-LV"/>
              </w:rPr>
              <w:t xml:space="preserve">citiem, </w:t>
            </w:r>
            <w:r w:rsidRPr="00AF31CA">
              <w:rPr>
                <w:lang w:val="lv-LV"/>
              </w:rPr>
              <w:t>ekonomiski</w:t>
            </w:r>
            <w:r w:rsidR="00D26BB8">
              <w:rPr>
                <w:lang w:val="lv-LV"/>
              </w:rPr>
              <w:t>em</w:t>
            </w:r>
            <w:r w:rsidRPr="00AF31CA">
              <w:rPr>
                <w:lang w:val="lv-LV"/>
              </w:rPr>
              <w:t xml:space="preserve"> un sociāli</w:t>
            </w:r>
            <w:r w:rsidR="00D26BB8">
              <w:rPr>
                <w:lang w:val="lv-LV"/>
              </w:rPr>
              <w:t>em</w:t>
            </w:r>
            <w:r w:rsidR="00581441">
              <w:rPr>
                <w:lang w:val="lv-LV"/>
              </w:rPr>
              <w:t>,</w:t>
            </w:r>
            <w:r w:rsidRPr="00AF31CA">
              <w:rPr>
                <w:lang w:val="lv-LV"/>
              </w:rPr>
              <w:t xml:space="preserve"> pasākumiem</w:t>
            </w:r>
            <w:r w:rsidR="00B55F88">
              <w:rPr>
                <w:lang w:val="lv-LV"/>
              </w:rPr>
              <w:t>, piemēram,</w:t>
            </w:r>
            <w:r w:rsidRPr="00AF31CA">
              <w:rPr>
                <w:lang w:val="lv-LV"/>
              </w:rPr>
              <w:t xml:space="preserve"> </w:t>
            </w:r>
            <w:r w:rsidR="009C3E65">
              <w:rPr>
                <w:lang w:val="lv-LV"/>
              </w:rPr>
              <w:t xml:space="preserve">zivsaimniecības </w:t>
            </w:r>
            <w:r w:rsidR="00D26BB8">
              <w:rPr>
                <w:lang w:val="lv-LV"/>
              </w:rPr>
              <w:t>darbību</w:t>
            </w:r>
            <w:r w:rsidR="00581441">
              <w:rPr>
                <w:lang w:val="lv-LV"/>
              </w:rPr>
              <w:t xml:space="preserve"> </w:t>
            </w:r>
            <w:r w:rsidRPr="00AF31CA">
              <w:rPr>
                <w:lang w:val="lv-LV"/>
              </w:rPr>
              <w:t>dažādošana</w:t>
            </w:r>
            <w:r w:rsidR="00B55F88">
              <w:rPr>
                <w:lang w:val="lv-LV"/>
              </w:rPr>
              <w:t>i</w:t>
            </w:r>
            <w:r w:rsidR="004C3072">
              <w:rPr>
                <w:lang w:val="lv-LV"/>
              </w:rPr>
              <w:t xml:space="preserve"> un</w:t>
            </w:r>
            <w:r w:rsidR="00A810E2">
              <w:rPr>
                <w:lang w:val="lv-LV"/>
              </w:rPr>
              <w:t xml:space="preserve"> nododamu</w:t>
            </w:r>
            <w:r w:rsidR="004C3072">
              <w:rPr>
                <w:lang w:val="lv-LV"/>
              </w:rPr>
              <w:t xml:space="preserve"> zvejas koncesiju </w:t>
            </w:r>
            <w:r w:rsidR="00677438">
              <w:rPr>
                <w:lang w:val="lv-LV"/>
              </w:rPr>
              <w:t>s</w:t>
            </w:r>
            <w:r w:rsidR="004C3072">
              <w:rPr>
                <w:lang w:val="lv-LV"/>
              </w:rPr>
              <w:t>i</w:t>
            </w:r>
            <w:r w:rsidR="00677438">
              <w:rPr>
                <w:lang w:val="lv-LV"/>
              </w:rPr>
              <w:t>stēmas veidošanai</w:t>
            </w:r>
            <w:r w:rsidRPr="00AF31CA">
              <w:rPr>
                <w:lang w:val="lv-LV"/>
              </w:rPr>
              <w:t xml:space="preserve">. EJZF pastiprinās </w:t>
            </w:r>
            <w:r w:rsidR="00B55F88">
              <w:rPr>
                <w:lang w:val="lv-LV"/>
              </w:rPr>
              <w:t xml:space="preserve">atbalstu </w:t>
            </w:r>
            <w:r w:rsidR="00D26BB8">
              <w:rPr>
                <w:lang w:val="lv-LV"/>
              </w:rPr>
              <w:t xml:space="preserve">uz </w:t>
            </w:r>
            <w:r w:rsidR="00581441" w:rsidRPr="00AF31CA">
              <w:rPr>
                <w:lang w:val="lv-LV"/>
              </w:rPr>
              <w:t>sabiedrības</w:t>
            </w:r>
            <w:r w:rsidR="00581441">
              <w:rPr>
                <w:lang w:val="lv-LV"/>
              </w:rPr>
              <w:t xml:space="preserve"> augšupēju iniciatīvu</w:t>
            </w:r>
            <w:r w:rsidR="00581441" w:rsidRPr="00AF31CA">
              <w:rPr>
                <w:lang w:val="lv-LV"/>
              </w:rPr>
              <w:t xml:space="preserve"> </w:t>
            </w:r>
            <w:r w:rsidR="00581441">
              <w:rPr>
                <w:lang w:val="lv-LV"/>
              </w:rPr>
              <w:t xml:space="preserve">(bottom up) </w:t>
            </w:r>
            <w:r w:rsidR="00B55F88">
              <w:rPr>
                <w:lang w:val="lv-LV"/>
              </w:rPr>
              <w:t>rosinātām</w:t>
            </w:r>
            <w:r w:rsidRPr="00AF31CA">
              <w:rPr>
                <w:lang w:val="lv-LV"/>
              </w:rPr>
              <w:t xml:space="preserve"> inovāc</w:t>
            </w:r>
            <w:r w:rsidR="00B55F88">
              <w:rPr>
                <w:lang w:val="lv-LV"/>
              </w:rPr>
              <w:t>ijām</w:t>
            </w:r>
            <w:r w:rsidR="00C94E06">
              <w:rPr>
                <w:lang w:val="lv-LV"/>
              </w:rPr>
              <w:t xml:space="preserve">. </w:t>
            </w:r>
            <w:r w:rsidR="00B551EF">
              <w:rPr>
                <w:lang w:val="lv-LV"/>
              </w:rPr>
              <w:t>Tā kā p</w:t>
            </w:r>
            <w:r w:rsidR="00C94E06">
              <w:rPr>
                <w:lang w:val="lv-LV"/>
              </w:rPr>
              <w:t>iekrastes flote</w:t>
            </w:r>
            <w:r w:rsidRPr="00AF31CA">
              <w:rPr>
                <w:lang w:val="lv-LV"/>
              </w:rPr>
              <w:t xml:space="preserve"> ir daudzu piekrastes kopienu ekonomikas pamats, </w:t>
            </w:r>
            <w:r w:rsidR="00B36F7B">
              <w:rPr>
                <w:lang w:val="lv-LV"/>
              </w:rPr>
              <w:t xml:space="preserve">piekrastei </w:t>
            </w:r>
            <w:r w:rsidR="00EF6573">
              <w:rPr>
                <w:lang w:val="lv-LV"/>
              </w:rPr>
              <w:t>tiks</w:t>
            </w:r>
            <w:r w:rsidRPr="00AF31CA">
              <w:rPr>
                <w:lang w:val="lv-LV"/>
              </w:rPr>
              <w:t xml:space="preserve"> palielināta</w:t>
            </w:r>
            <w:r w:rsidR="00B36F7B">
              <w:rPr>
                <w:lang w:val="lv-LV"/>
              </w:rPr>
              <w:t xml:space="preserve"> </w:t>
            </w:r>
            <w:r w:rsidRPr="00AF31CA">
              <w:rPr>
                <w:lang w:val="lv-LV"/>
              </w:rPr>
              <w:t>atbalsta intensitāte.</w:t>
            </w:r>
          </w:p>
          <w:p w14:paraId="1EB50E6F" w14:textId="77777777" w:rsidR="00AF31CA" w:rsidRDefault="00AF31CA" w:rsidP="00AF31CA">
            <w:pPr>
              <w:jc w:val="both"/>
              <w:rPr>
                <w:lang w:val="lv-LV"/>
              </w:rPr>
            </w:pPr>
            <w:r w:rsidRPr="00AF31CA">
              <w:rPr>
                <w:lang w:val="lv-LV"/>
              </w:rPr>
              <w:t>Jaunais fonds atbalstīs arī novatoriskus projektus, piemēram, zvejas rīku aizstāšanu ar selektīvākiem rīkiem, lai mazinātu izmetumus, vai jaunu tehnoloģiju izstrādi ar mērķi mazināt zvejas un zivkopības ietekmi uz vidi.</w:t>
            </w:r>
          </w:p>
          <w:p w14:paraId="22F7729F" w14:textId="77777777" w:rsidR="00D97C5F" w:rsidRDefault="00D97C5F" w:rsidP="00AF31CA">
            <w:pPr>
              <w:jc w:val="both"/>
              <w:rPr>
                <w:lang w:val="lv-LV"/>
              </w:rPr>
            </w:pPr>
            <w:r w:rsidRPr="00D97C5F">
              <w:rPr>
                <w:lang w:val="lv-LV"/>
              </w:rPr>
              <w:t xml:space="preserve">Tā </w:t>
            </w:r>
            <w:r w:rsidR="0057032E">
              <w:rPr>
                <w:lang w:val="lv-LV"/>
              </w:rPr>
              <w:t xml:space="preserve">kā akvakultūra </w:t>
            </w:r>
            <w:r w:rsidRPr="00D97C5F">
              <w:rPr>
                <w:lang w:val="lv-LV"/>
              </w:rPr>
              <w:t>nodrošina kvalitatīvi augstvērtīgas darbvietas lauku apvidos</w:t>
            </w:r>
            <w:r w:rsidR="006F1310">
              <w:rPr>
                <w:lang w:val="lv-LV"/>
              </w:rPr>
              <w:t>,</w:t>
            </w:r>
            <w:r w:rsidRPr="00D97C5F">
              <w:rPr>
                <w:lang w:val="lv-LV"/>
              </w:rPr>
              <w:t xml:space="preserve"> </w:t>
            </w:r>
            <w:r w:rsidR="001465C4">
              <w:rPr>
                <w:lang w:val="lv-LV"/>
              </w:rPr>
              <w:t xml:space="preserve">mazina </w:t>
            </w:r>
            <w:r w:rsidR="001465C4">
              <w:rPr>
                <w:lang w:val="lv-LV"/>
              </w:rPr>
              <w:lastRenderedPageBreak/>
              <w:t>importu</w:t>
            </w:r>
            <w:r w:rsidR="001465C4" w:rsidRPr="00D97C5F">
              <w:rPr>
                <w:lang w:val="lv-LV"/>
              </w:rPr>
              <w:t xml:space="preserve"> </w:t>
            </w:r>
            <w:r w:rsidR="001465C4">
              <w:rPr>
                <w:lang w:val="lv-LV"/>
              </w:rPr>
              <w:t xml:space="preserve">un nodrošina </w:t>
            </w:r>
            <w:r w:rsidRPr="00D97C5F">
              <w:rPr>
                <w:lang w:val="lv-LV"/>
              </w:rPr>
              <w:t>veselīgu pārtiku</w:t>
            </w:r>
            <w:r w:rsidR="0057032E">
              <w:rPr>
                <w:lang w:val="lv-LV"/>
              </w:rPr>
              <w:t>,</w:t>
            </w:r>
            <w:r w:rsidRPr="00D97C5F">
              <w:rPr>
                <w:lang w:val="lv-LV"/>
              </w:rPr>
              <w:t xml:space="preserve"> </w:t>
            </w:r>
            <w:r w:rsidR="0057032E">
              <w:rPr>
                <w:lang w:val="lv-LV"/>
              </w:rPr>
              <w:t>EJZF</w:t>
            </w:r>
            <w:r w:rsidRPr="00D97C5F">
              <w:rPr>
                <w:lang w:val="lv-LV"/>
              </w:rPr>
              <w:t xml:space="preserve"> </w:t>
            </w:r>
            <w:r w:rsidR="0057032E">
              <w:rPr>
                <w:lang w:val="lv-LV"/>
              </w:rPr>
              <w:t>veicinās</w:t>
            </w:r>
            <w:r w:rsidRPr="00D97C5F">
              <w:rPr>
                <w:lang w:val="lv-LV"/>
              </w:rPr>
              <w:t xml:space="preserve"> ilgtspējīgu </w:t>
            </w:r>
            <w:r w:rsidR="00A2682B">
              <w:rPr>
                <w:lang w:val="lv-LV"/>
              </w:rPr>
              <w:t>akvakultūras</w:t>
            </w:r>
            <w:r w:rsidRPr="00D97C5F">
              <w:rPr>
                <w:lang w:val="lv-LV"/>
              </w:rPr>
              <w:t xml:space="preserve"> izaugsmi, sekmējot inovāciju un atbalstot jaunus akvakultūras virzienus</w:t>
            </w:r>
            <w:r w:rsidR="00084FDE" w:rsidRPr="00084FDE">
              <w:rPr>
                <w:lang w:val="lv-LV"/>
              </w:rPr>
              <w:t>.</w:t>
            </w:r>
          </w:p>
          <w:p w14:paraId="09F4FD61" w14:textId="77777777" w:rsidR="006F1310" w:rsidRDefault="00564A6B" w:rsidP="00AF31CA">
            <w:pPr>
              <w:jc w:val="both"/>
              <w:rPr>
                <w:lang w:val="lv-LV"/>
              </w:rPr>
            </w:pPr>
            <w:r>
              <w:rPr>
                <w:lang w:val="lv-LV"/>
              </w:rPr>
              <w:t>Ņemot vērā, ka p</w:t>
            </w:r>
            <w:r w:rsidR="006F1310" w:rsidRPr="006F1310">
              <w:rPr>
                <w:lang w:val="lv-LV"/>
              </w:rPr>
              <w:t xml:space="preserve">areiziem datiem par zivju krājumu un jūras vides stāvokli ir svarīga nozīme </w:t>
            </w:r>
            <w:r w:rsidR="006F1310">
              <w:rPr>
                <w:lang w:val="lv-LV"/>
              </w:rPr>
              <w:t xml:space="preserve">KZP reformā, </w:t>
            </w:r>
            <w:r w:rsidR="006F1310" w:rsidRPr="006F1310">
              <w:rPr>
                <w:lang w:val="lv-LV"/>
              </w:rPr>
              <w:t xml:space="preserve">EJZF </w:t>
            </w:r>
            <w:r w:rsidR="006F1310">
              <w:rPr>
                <w:lang w:val="lv-LV"/>
              </w:rPr>
              <w:t>finansēs datu vākšanu, uzraudzību</w:t>
            </w:r>
            <w:r w:rsidR="006F1310" w:rsidRPr="006F1310">
              <w:rPr>
                <w:lang w:val="lv-LV"/>
              </w:rPr>
              <w:t xml:space="preserve"> un kontroli</w:t>
            </w:r>
            <w:r>
              <w:rPr>
                <w:lang w:val="lv-LV"/>
              </w:rPr>
              <w:t>, kā arī</w:t>
            </w:r>
            <w:r w:rsidR="00D26BB8">
              <w:rPr>
                <w:lang w:val="lv-LV"/>
              </w:rPr>
              <w:t xml:space="preserve"> </w:t>
            </w:r>
            <w:r w:rsidR="006F1310">
              <w:rPr>
                <w:lang w:val="lv-LV"/>
              </w:rPr>
              <w:t>veicinās zvejnieku un zinātnieku partnerību.</w:t>
            </w:r>
          </w:p>
          <w:p w14:paraId="16A92DE2" w14:textId="77777777" w:rsidR="00961C1F" w:rsidRDefault="00961C1F" w:rsidP="00AF31CA">
            <w:pPr>
              <w:jc w:val="both"/>
              <w:rPr>
                <w:lang w:val="lv-LV"/>
              </w:rPr>
            </w:pPr>
          </w:p>
          <w:p w14:paraId="7352010E" w14:textId="77777777" w:rsidR="008448AA" w:rsidRPr="00633783" w:rsidRDefault="00C52FF0" w:rsidP="00AF31CA">
            <w:pPr>
              <w:jc w:val="both"/>
              <w:rPr>
                <w:lang w:val="lv-LV"/>
              </w:rPr>
            </w:pPr>
            <w:r w:rsidRPr="00C52FF0">
              <w:rPr>
                <w:lang w:val="lv-LV"/>
              </w:rPr>
              <w:t xml:space="preserve">Integrētās jūrlietu politikas īstenošanai </w:t>
            </w:r>
            <w:r w:rsidR="008448AA" w:rsidRPr="00C52FF0">
              <w:rPr>
                <w:lang w:val="lv-LV"/>
              </w:rPr>
              <w:t>EJZF sniegs atbalstu</w:t>
            </w:r>
            <w:r w:rsidR="00A33DA6" w:rsidRPr="00C52FF0">
              <w:rPr>
                <w:lang w:val="lv-LV"/>
              </w:rPr>
              <w:t xml:space="preserve"> arī</w:t>
            </w:r>
            <w:r w:rsidR="008448AA" w:rsidRPr="00C52FF0">
              <w:rPr>
                <w:lang w:val="lv-LV"/>
              </w:rPr>
              <w:t xml:space="preserve"> </w:t>
            </w:r>
            <w:r w:rsidR="00961C1F" w:rsidRPr="00C52FF0">
              <w:rPr>
                <w:lang w:val="lv-LV"/>
              </w:rPr>
              <w:t>jūras telpiskai</w:t>
            </w:r>
            <w:r w:rsidR="008448AA" w:rsidRPr="00C52FF0">
              <w:rPr>
                <w:lang w:val="lv-LV"/>
              </w:rPr>
              <w:t xml:space="preserve"> plānošana</w:t>
            </w:r>
            <w:r w:rsidR="00961C1F" w:rsidRPr="00C52FF0">
              <w:rPr>
                <w:lang w:val="lv-LV"/>
              </w:rPr>
              <w:t>i</w:t>
            </w:r>
            <w:r w:rsidR="008448AA" w:rsidRPr="00C52FF0">
              <w:rPr>
                <w:lang w:val="lv-LV"/>
              </w:rPr>
              <w:t xml:space="preserve">, </w:t>
            </w:r>
            <w:r w:rsidR="00961C1F" w:rsidRPr="00C52FF0">
              <w:rPr>
                <w:lang w:val="lv-LV"/>
              </w:rPr>
              <w:t>zināšanām</w:t>
            </w:r>
            <w:r w:rsidR="008448AA" w:rsidRPr="00C52FF0">
              <w:rPr>
                <w:lang w:val="lv-LV"/>
              </w:rPr>
              <w:t xml:space="preserve"> par jūru</w:t>
            </w:r>
            <w:r w:rsidRPr="00C52FF0">
              <w:rPr>
                <w:lang w:val="lv-LV"/>
              </w:rPr>
              <w:t>, integrētai jūras uzraudzībai un</w:t>
            </w:r>
            <w:r w:rsidRPr="00C52FF0">
              <w:rPr>
                <w:rFonts w:ascii="TimesNewRoman" w:hAnsi="TimesNewRoman" w:cs="TimesNewRoman"/>
                <w:lang w:val="lv-LV" w:eastAsia="lv-LV"/>
              </w:rPr>
              <w:t xml:space="preserve"> integrētai piekrastes zonas pārvaldībai, jūras vides, jo īpaši tās bioloģiskās daudzveidības, aizsardzībai kā to nosaka </w:t>
            </w:r>
            <w:r w:rsidRPr="00C61FFF">
              <w:rPr>
                <w:lang w:val="lv-LV" w:eastAsia="lv-LV"/>
              </w:rPr>
              <w:t xml:space="preserve">Eiropas Parlamenta un Padomes 2008. gada 17. jūnija Direktīvā 2008/56/EK, ar ko izveido sistēmu Kopienas rīcībai jūras vides politikas jomā (Jūras stratēģijas pamatdirektīva), kas ir ES integrētās jūrlietu politikas vides pīlārs </w:t>
            </w:r>
            <w:r w:rsidRPr="00C52FF0">
              <w:rPr>
                <w:lang w:val="lv-LV" w:eastAsia="lv-LV"/>
              </w:rPr>
              <w:t xml:space="preserve">un </w:t>
            </w:r>
            <w:r w:rsidRPr="00C52FF0">
              <w:rPr>
                <w:noProof/>
                <w:lang w:val="lv-LV"/>
              </w:rPr>
              <w:t>paredz piemērot ekosistēmas pieeju cilvēka darbību pārvaldībai, aptverot visas nozares, kas ietekmē jūras vidi.</w:t>
            </w:r>
            <w:r w:rsidR="008448AA" w:rsidRPr="00C52FF0">
              <w:rPr>
                <w:lang w:val="lv-LV"/>
              </w:rPr>
              <w:t xml:space="preserve"> Iekļaujot </w:t>
            </w:r>
            <w:r w:rsidR="008448AA" w:rsidRPr="008448AA">
              <w:rPr>
                <w:lang w:val="lv-LV"/>
              </w:rPr>
              <w:t xml:space="preserve">jūrlietu politiku EJZF darbības jomā, tiks panākta lielāka saskanība un sinerģija </w:t>
            </w:r>
            <w:r w:rsidR="008448AA" w:rsidRPr="00633783">
              <w:rPr>
                <w:lang w:val="lv-LV"/>
              </w:rPr>
              <w:t>starp abiem politikas virzieniem.</w:t>
            </w:r>
          </w:p>
          <w:p w14:paraId="2BFF5AA4" w14:textId="77777777" w:rsidR="002C46E1" w:rsidRPr="00633783" w:rsidRDefault="002C46E1" w:rsidP="00AF31CA">
            <w:pPr>
              <w:jc w:val="both"/>
              <w:rPr>
                <w:lang w:val="lv-LV"/>
              </w:rPr>
            </w:pPr>
          </w:p>
          <w:p w14:paraId="7E45166C" w14:textId="77777777" w:rsidR="000F028B" w:rsidRDefault="000F028B" w:rsidP="000F028B">
            <w:pPr>
              <w:jc w:val="both"/>
              <w:rPr>
                <w:lang w:val="lv-LV"/>
              </w:rPr>
            </w:pPr>
            <w:r w:rsidRPr="00633783">
              <w:rPr>
                <w:lang w:val="lv-LV"/>
              </w:rPr>
              <w:t xml:space="preserve">Komisija </w:t>
            </w:r>
            <w:r w:rsidR="00904EBF" w:rsidRPr="00633783">
              <w:rPr>
                <w:lang w:val="lv-LV"/>
              </w:rPr>
              <w:t>EJZF</w:t>
            </w:r>
            <w:r w:rsidRPr="00633783">
              <w:rPr>
                <w:lang w:val="lv-LV"/>
              </w:rPr>
              <w:t xml:space="preserve"> ir paredzējusi dubulto valsts atbalsta skaņošanas procedūru</w:t>
            </w:r>
            <w:r w:rsidR="00904EBF" w:rsidRPr="00633783">
              <w:rPr>
                <w:lang w:val="lv-LV"/>
              </w:rPr>
              <w:t xml:space="preserve">, tādējādi </w:t>
            </w:r>
            <w:r w:rsidR="004C061D" w:rsidRPr="00633783">
              <w:rPr>
                <w:lang w:val="lv-LV"/>
              </w:rPr>
              <w:t>sarežģī</w:t>
            </w:r>
            <w:r w:rsidR="00904EBF" w:rsidRPr="00633783">
              <w:rPr>
                <w:lang w:val="lv-LV"/>
              </w:rPr>
              <w:t>jot</w:t>
            </w:r>
            <w:r w:rsidRPr="00633783">
              <w:rPr>
                <w:lang w:val="lv-LV"/>
              </w:rPr>
              <w:t xml:space="preserve"> līdzšinēj</w:t>
            </w:r>
            <w:r w:rsidR="00904EBF" w:rsidRPr="00633783">
              <w:rPr>
                <w:lang w:val="lv-LV"/>
              </w:rPr>
              <w:t>o</w:t>
            </w:r>
            <w:r w:rsidRPr="00633783">
              <w:rPr>
                <w:lang w:val="lv-LV"/>
              </w:rPr>
              <w:t xml:space="preserve"> kārtīb</w:t>
            </w:r>
            <w:r w:rsidR="00904EBF" w:rsidRPr="00633783">
              <w:rPr>
                <w:lang w:val="lv-LV"/>
              </w:rPr>
              <w:t xml:space="preserve">u, </w:t>
            </w:r>
            <w:r w:rsidR="009224D5" w:rsidRPr="00633783">
              <w:rPr>
                <w:lang w:val="lv-LV"/>
              </w:rPr>
              <w:t>kas paredz</w:t>
            </w:r>
            <w:r w:rsidR="00904EBF" w:rsidRPr="00633783">
              <w:rPr>
                <w:lang w:val="lv-LV"/>
              </w:rPr>
              <w:t xml:space="preserve"> attiecīgo atbalstu ar Komisiju saskaņot tikai vienu reizi</w:t>
            </w:r>
            <w:r w:rsidRPr="00633783">
              <w:rPr>
                <w:lang w:val="lv-LV"/>
              </w:rPr>
              <w:t>, dalībvalstij apstiprinot rīcības programmu 2007.-2013.gadam.</w:t>
            </w:r>
          </w:p>
          <w:p w14:paraId="3B7A2D10" w14:textId="77777777" w:rsidR="00FA6193" w:rsidRPr="003B76F6" w:rsidRDefault="00FA6193" w:rsidP="000F028B">
            <w:pPr>
              <w:jc w:val="both"/>
              <w:rPr>
                <w:color w:val="31859C"/>
                <w:sz w:val="14"/>
                <w:szCs w:val="14"/>
                <w:lang w:val="lv-LV" w:eastAsia="lv-LV"/>
              </w:rPr>
            </w:pPr>
          </w:p>
        </w:tc>
      </w:tr>
      <w:tr w:rsidR="007478A7" w:rsidRPr="002034FB" w14:paraId="726EE18D" w14:textId="77777777" w:rsidTr="00E71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334"/>
        </w:trPr>
        <w:tc>
          <w:tcPr>
            <w:tcW w:w="9214" w:type="dxa"/>
            <w:gridSpan w:val="3"/>
          </w:tcPr>
          <w:p w14:paraId="2B83981A" w14:textId="77777777" w:rsidR="007478A7" w:rsidRPr="00BA48CA" w:rsidRDefault="007478A7" w:rsidP="004C061D">
            <w:pPr>
              <w:pStyle w:val="Header"/>
              <w:tabs>
                <w:tab w:val="clear" w:pos="4153"/>
                <w:tab w:val="clear" w:pos="8306"/>
              </w:tabs>
              <w:jc w:val="both"/>
              <w:rPr>
                <w:b/>
                <w:lang w:val="lv-LV"/>
              </w:rPr>
            </w:pPr>
            <w:r w:rsidRPr="00BA48CA">
              <w:rPr>
                <w:b/>
                <w:lang w:val="lv-LV"/>
              </w:rPr>
              <w:lastRenderedPageBreak/>
              <w:t xml:space="preserve">Balsošanas kārtība. ES tiesību </w:t>
            </w:r>
            <w:smartTag w:uri="schemas-tilde-lv/tildestengine" w:element="veidnes">
              <w:smartTagPr>
                <w:attr w:name="text" w:val="akta"/>
                <w:attr w:name="id" w:val="-1"/>
                <w:attr w:name="baseform" w:val="akt|s"/>
              </w:smartTagPr>
              <w:r w:rsidRPr="00BA48CA">
                <w:rPr>
                  <w:b/>
                  <w:lang w:val="lv-LV"/>
                </w:rPr>
                <w:t>akta</w:t>
              </w:r>
            </w:smartTag>
            <w:r w:rsidRPr="00BA48CA">
              <w:rPr>
                <w:b/>
                <w:lang w:val="lv-LV"/>
              </w:rPr>
              <w:t xml:space="preserve"> izdošanas/jautājuma izskatīšanas juridiskais pamatojums </w:t>
            </w:r>
          </w:p>
        </w:tc>
      </w:tr>
      <w:tr w:rsidR="007478A7" w:rsidRPr="004C061D" w14:paraId="44413D39" w14:textId="77777777" w:rsidTr="00C6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894"/>
        </w:trPr>
        <w:tc>
          <w:tcPr>
            <w:tcW w:w="9214" w:type="dxa"/>
            <w:gridSpan w:val="3"/>
          </w:tcPr>
          <w:p w14:paraId="22CFE2B3" w14:textId="77777777" w:rsidR="00564A6B" w:rsidRPr="004C061D" w:rsidRDefault="001A1662" w:rsidP="00564A6B">
            <w:pPr>
              <w:jc w:val="both"/>
              <w:rPr>
                <w:noProof/>
                <w:lang w:val="lv-LV"/>
              </w:rPr>
            </w:pPr>
            <w:r w:rsidRPr="00F335CE">
              <w:rPr>
                <w:rFonts w:ascii="TimesNewRoman" w:hAnsi="TimesNewRoman"/>
                <w:lang w:val="lv-LV"/>
              </w:rPr>
              <w:t xml:space="preserve">Līgums par Eiropas Savienības darbību un jo īpaši tā </w:t>
            </w:r>
            <w:r w:rsidR="00564A6B">
              <w:rPr>
                <w:rFonts w:ascii="TimesNewRoman" w:hAnsi="TimesNewRoman"/>
                <w:lang w:val="lv-LV"/>
              </w:rPr>
              <w:t xml:space="preserve">43.pants, </w:t>
            </w:r>
            <w:r w:rsidRPr="00F335CE">
              <w:rPr>
                <w:rFonts w:ascii="TimesNewRoman" w:hAnsi="TimesNewRoman"/>
                <w:lang w:val="lv-LV"/>
              </w:rPr>
              <w:t xml:space="preserve">43. panta 2. </w:t>
            </w:r>
            <w:r w:rsidR="00AE6C2A">
              <w:rPr>
                <w:rFonts w:ascii="TimesNewRoman" w:hAnsi="TimesNewRoman"/>
                <w:lang w:val="lv-LV"/>
              </w:rPr>
              <w:t>p</w:t>
            </w:r>
            <w:r w:rsidR="00AE6C2A" w:rsidRPr="00F335CE">
              <w:rPr>
                <w:rFonts w:ascii="TimesNewRoman" w:hAnsi="TimesNewRoman"/>
                <w:lang w:val="lv-LV"/>
              </w:rPr>
              <w:t>unkts</w:t>
            </w:r>
            <w:r w:rsidR="00564A6B">
              <w:rPr>
                <w:rFonts w:ascii="TimesNewRoman" w:hAnsi="TimesNewRoman"/>
                <w:lang w:val="lv-LV"/>
              </w:rPr>
              <w:t>, 91.</w:t>
            </w:r>
            <w:r w:rsidR="004C061D">
              <w:rPr>
                <w:rFonts w:ascii="TimesNewRoman" w:hAnsi="TimesNewRoman"/>
                <w:lang w:val="lv-LV"/>
              </w:rPr>
              <w:t>p</w:t>
            </w:r>
            <w:r w:rsidR="00564A6B">
              <w:rPr>
                <w:rFonts w:ascii="TimesNewRoman" w:hAnsi="TimesNewRoman"/>
                <w:lang w:val="lv-LV"/>
              </w:rPr>
              <w:t>anta 1</w:t>
            </w:r>
            <w:r w:rsidR="004C061D">
              <w:rPr>
                <w:rFonts w:ascii="TimesNewRoman" w:hAnsi="TimesNewRoman"/>
                <w:lang w:val="lv-LV"/>
              </w:rPr>
              <w:t>.</w:t>
            </w:r>
            <w:r w:rsidR="00564A6B">
              <w:rPr>
                <w:rFonts w:ascii="TimesNewRoman" w:hAnsi="TimesNewRoman"/>
                <w:lang w:val="lv-LV"/>
              </w:rPr>
              <w:t xml:space="preserve"> </w:t>
            </w:r>
            <w:r w:rsidR="004C061D">
              <w:rPr>
                <w:rFonts w:ascii="TimesNewRoman" w:hAnsi="TimesNewRoman"/>
                <w:lang w:val="lv-LV"/>
              </w:rPr>
              <w:t>p</w:t>
            </w:r>
            <w:r w:rsidR="00564A6B">
              <w:rPr>
                <w:rFonts w:ascii="TimesNewRoman" w:hAnsi="TimesNewRoman"/>
                <w:lang w:val="lv-LV"/>
              </w:rPr>
              <w:t>unkts, 100.</w:t>
            </w:r>
            <w:r w:rsidR="004C061D">
              <w:rPr>
                <w:rFonts w:ascii="TimesNewRoman" w:hAnsi="TimesNewRoman"/>
                <w:lang w:val="lv-LV"/>
              </w:rPr>
              <w:t>p</w:t>
            </w:r>
            <w:r w:rsidR="00564A6B">
              <w:rPr>
                <w:rFonts w:ascii="TimesNewRoman" w:hAnsi="TimesNewRoman"/>
                <w:lang w:val="lv-LV"/>
              </w:rPr>
              <w:t>anta 2.</w:t>
            </w:r>
            <w:r w:rsidR="004C061D">
              <w:rPr>
                <w:rFonts w:ascii="TimesNewRoman" w:hAnsi="TimesNewRoman"/>
                <w:lang w:val="lv-LV"/>
              </w:rPr>
              <w:t>p</w:t>
            </w:r>
            <w:r w:rsidR="00564A6B">
              <w:rPr>
                <w:rFonts w:ascii="TimesNewRoman" w:hAnsi="TimesNewRoman"/>
                <w:lang w:val="lv-LV"/>
              </w:rPr>
              <w:t>unkts, 173 panta 3.</w:t>
            </w:r>
            <w:r w:rsidR="004C061D">
              <w:rPr>
                <w:rFonts w:ascii="TimesNewRoman" w:hAnsi="TimesNewRoman"/>
                <w:lang w:val="lv-LV"/>
              </w:rPr>
              <w:t>p</w:t>
            </w:r>
            <w:r w:rsidR="00564A6B">
              <w:rPr>
                <w:rFonts w:ascii="TimesNewRoman" w:hAnsi="TimesNewRoman"/>
                <w:lang w:val="lv-LV"/>
              </w:rPr>
              <w:t>unkts, 175 pants, 188.</w:t>
            </w:r>
            <w:r w:rsidR="004C061D">
              <w:rPr>
                <w:rFonts w:ascii="TimesNewRoman" w:hAnsi="TimesNewRoman"/>
                <w:lang w:val="lv-LV"/>
              </w:rPr>
              <w:t>p</w:t>
            </w:r>
            <w:r w:rsidR="00564A6B">
              <w:rPr>
                <w:rFonts w:ascii="TimesNewRoman" w:hAnsi="TimesNewRoman"/>
                <w:lang w:val="lv-LV"/>
              </w:rPr>
              <w:t>ants, 192.</w:t>
            </w:r>
            <w:r w:rsidR="004C061D">
              <w:rPr>
                <w:rFonts w:ascii="TimesNewRoman" w:hAnsi="TimesNewRoman"/>
                <w:lang w:val="lv-LV"/>
              </w:rPr>
              <w:t>p</w:t>
            </w:r>
            <w:r w:rsidR="00564A6B">
              <w:rPr>
                <w:rFonts w:ascii="TimesNewRoman" w:hAnsi="TimesNewRoman"/>
                <w:lang w:val="lv-LV"/>
              </w:rPr>
              <w:t>anta 1.</w:t>
            </w:r>
            <w:r w:rsidR="004C061D">
              <w:rPr>
                <w:rFonts w:ascii="TimesNewRoman" w:hAnsi="TimesNewRoman"/>
                <w:lang w:val="lv-LV"/>
              </w:rPr>
              <w:t>p</w:t>
            </w:r>
            <w:r w:rsidR="00564A6B">
              <w:rPr>
                <w:rFonts w:ascii="TimesNewRoman" w:hAnsi="TimesNewRoman"/>
                <w:lang w:val="lv-LV"/>
              </w:rPr>
              <w:t>unkts, 194.</w:t>
            </w:r>
            <w:r w:rsidR="004C061D">
              <w:rPr>
                <w:rFonts w:ascii="TimesNewRoman" w:hAnsi="TimesNewRoman"/>
                <w:lang w:val="lv-LV"/>
              </w:rPr>
              <w:t>p</w:t>
            </w:r>
            <w:r w:rsidR="00564A6B">
              <w:rPr>
                <w:rFonts w:ascii="TimesNewRoman" w:hAnsi="TimesNewRoman"/>
                <w:lang w:val="lv-LV"/>
              </w:rPr>
              <w:t>anta 2.</w:t>
            </w:r>
            <w:r w:rsidR="004C061D">
              <w:rPr>
                <w:rFonts w:ascii="TimesNewRoman" w:hAnsi="TimesNewRoman"/>
                <w:lang w:val="lv-LV"/>
              </w:rPr>
              <w:t>p</w:t>
            </w:r>
            <w:r w:rsidR="00564A6B">
              <w:rPr>
                <w:rFonts w:ascii="TimesNewRoman" w:hAnsi="TimesNewRoman"/>
                <w:lang w:val="lv-LV"/>
              </w:rPr>
              <w:t xml:space="preserve">unkts un 195 panta 2. </w:t>
            </w:r>
            <w:r w:rsidR="004C061D">
              <w:rPr>
                <w:rFonts w:ascii="TimesNewRoman" w:hAnsi="TimesNewRoman"/>
                <w:lang w:val="lv-LV"/>
              </w:rPr>
              <w:t>p</w:t>
            </w:r>
            <w:r w:rsidR="00564A6B">
              <w:rPr>
                <w:rFonts w:ascii="TimesNewRoman" w:hAnsi="TimesNewRoman"/>
                <w:lang w:val="lv-LV"/>
              </w:rPr>
              <w:t>unkts</w:t>
            </w:r>
            <w:r w:rsidR="004C061D" w:rsidRPr="004C061D">
              <w:rPr>
                <w:noProof/>
                <w:lang w:val="lv-LV"/>
              </w:rPr>
              <w:t>.</w:t>
            </w:r>
          </w:p>
          <w:p w14:paraId="1C38A5E7" w14:textId="77777777" w:rsidR="00E71BB1" w:rsidRPr="00E71BB1" w:rsidRDefault="00E71BB1" w:rsidP="003B76F6">
            <w:pPr>
              <w:jc w:val="both"/>
              <w:rPr>
                <w:rFonts w:ascii="TimesNewRoman" w:hAnsi="TimesNewRoman"/>
                <w:lang w:val="lv-LV"/>
              </w:rPr>
            </w:pPr>
          </w:p>
        </w:tc>
      </w:tr>
      <w:tr w:rsidR="007478A7" w:rsidRPr="004C6D9A" w14:paraId="6476B4B8" w14:textId="77777777" w:rsidTr="00E71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9214" w:type="dxa"/>
            <w:gridSpan w:val="3"/>
          </w:tcPr>
          <w:p w14:paraId="15D6974A" w14:textId="77777777" w:rsidR="007478A7" w:rsidRPr="004C6D9A" w:rsidRDefault="007478A7" w:rsidP="001C3A9A">
            <w:pPr>
              <w:jc w:val="center"/>
              <w:rPr>
                <w:b/>
                <w:lang w:val="lv-LV"/>
              </w:rPr>
            </w:pPr>
            <w:r w:rsidRPr="004C6D9A">
              <w:rPr>
                <w:b/>
                <w:lang w:val="lv-LV"/>
              </w:rPr>
              <w:t xml:space="preserve">2. Situācija Latvijā </w:t>
            </w:r>
          </w:p>
        </w:tc>
      </w:tr>
      <w:tr w:rsidR="005A7FC1" w:rsidRPr="003079C2" w14:paraId="3B8FC0E4" w14:textId="77777777" w:rsidTr="00E71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277"/>
        </w:trPr>
        <w:tc>
          <w:tcPr>
            <w:tcW w:w="9214" w:type="dxa"/>
            <w:gridSpan w:val="3"/>
          </w:tcPr>
          <w:p w14:paraId="38FFD195" w14:textId="77777777" w:rsidR="00E71BB1" w:rsidRDefault="00E71BB1" w:rsidP="00823324">
            <w:pPr>
              <w:autoSpaceDE w:val="0"/>
              <w:autoSpaceDN w:val="0"/>
              <w:adjustRightInd w:val="0"/>
              <w:jc w:val="both"/>
              <w:rPr>
                <w:bCs/>
                <w:color w:val="000000"/>
                <w:lang w:val="lv-LV"/>
              </w:rPr>
            </w:pPr>
          </w:p>
          <w:p w14:paraId="491819B2" w14:textId="77777777" w:rsidR="001573F5" w:rsidRPr="001573F5" w:rsidRDefault="001573F5" w:rsidP="00823324">
            <w:pPr>
              <w:autoSpaceDE w:val="0"/>
              <w:autoSpaceDN w:val="0"/>
              <w:adjustRightInd w:val="0"/>
              <w:jc w:val="both"/>
              <w:rPr>
                <w:b/>
                <w:bCs/>
                <w:color w:val="000000"/>
                <w:lang w:val="lv-LV"/>
              </w:rPr>
            </w:pPr>
            <w:r w:rsidRPr="001573F5">
              <w:rPr>
                <w:b/>
                <w:bCs/>
                <w:color w:val="000000"/>
                <w:lang w:val="lv-LV"/>
              </w:rPr>
              <w:t>Eiropas Zivsaimniecības fonds</w:t>
            </w:r>
          </w:p>
          <w:p w14:paraId="3C9E8FF7" w14:textId="77777777" w:rsidR="005A7FC1" w:rsidRPr="005C1970" w:rsidRDefault="005A7FC1" w:rsidP="00823324">
            <w:pPr>
              <w:autoSpaceDE w:val="0"/>
              <w:autoSpaceDN w:val="0"/>
              <w:adjustRightInd w:val="0"/>
              <w:jc w:val="both"/>
              <w:rPr>
                <w:color w:val="000000"/>
                <w:lang w:val="lv-LV"/>
              </w:rPr>
            </w:pPr>
            <w:r w:rsidRPr="005C1970">
              <w:rPr>
                <w:bCs/>
                <w:color w:val="000000"/>
                <w:lang w:val="lv-LV"/>
              </w:rPr>
              <w:t>Latvijai pieejamais</w:t>
            </w:r>
            <w:r w:rsidRPr="00C66E23">
              <w:rPr>
                <w:bCs/>
                <w:color w:val="000000"/>
                <w:lang w:val="lv-LV"/>
              </w:rPr>
              <w:t xml:space="preserve"> </w:t>
            </w:r>
            <w:r w:rsidR="00C66E23" w:rsidRPr="00084FDE">
              <w:rPr>
                <w:lang w:val="lv-LV"/>
              </w:rPr>
              <w:t xml:space="preserve">ES līdzfinansējums </w:t>
            </w:r>
            <w:r w:rsidRPr="00084FDE">
              <w:rPr>
                <w:lang w:val="lv-LV"/>
              </w:rPr>
              <w:t>Rīcīb</w:t>
            </w:r>
            <w:r w:rsidRPr="00490AAC">
              <w:rPr>
                <w:color w:val="000000"/>
                <w:lang w:val="lv-LV"/>
              </w:rPr>
              <w:t>as programma</w:t>
            </w:r>
            <w:r>
              <w:rPr>
                <w:color w:val="000000"/>
                <w:lang w:val="lv-LV"/>
              </w:rPr>
              <w:t xml:space="preserve">s </w:t>
            </w:r>
            <w:r w:rsidR="00564A6B">
              <w:rPr>
                <w:color w:val="000000"/>
                <w:lang w:val="lv-LV"/>
              </w:rPr>
              <w:t>EZF</w:t>
            </w:r>
            <w:r w:rsidRPr="00490AAC">
              <w:rPr>
                <w:color w:val="000000"/>
                <w:lang w:val="lv-LV"/>
              </w:rPr>
              <w:t xml:space="preserve"> atbalsta ieviešanai Latvijā</w:t>
            </w:r>
            <w:r>
              <w:rPr>
                <w:color w:val="000000"/>
                <w:lang w:val="lv-LV"/>
              </w:rPr>
              <w:t xml:space="preserve"> </w:t>
            </w:r>
            <w:r w:rsidRPr="00490AAC">
              <w:rPr>
                <w:color w:val="000000"/>
                <w:lang w:val="lv-LV"/>
              </w:rPr>
              <w:t>2007. – 2013.gadam</w:t>
            </w:r>
            <w:r>
              <w:rPr>
                <w:color w:val="000000"/>
                <w:lang w:val="lv-LV"/>
              </w:rPr>
              <w:t xml:space="preserve"> (turpmāk – Rīcības programma)</w:t>
            </w:r>
            <w:r w:rsidRPr="005C1970">
              <w:rPr>
                <w:color w:val="000000"/>
                <w:lang w:val="lv-LV"/>
              </w:rPr>
              <w:t xml:space="preserve"> Finanšu perspe</w:t>
            </w:r>
            <w:r>
              <w:rPr>
                <w:color w:val="000000"/>
                <w:lang w:val="lv-LV"/>
              </w:rPr>
              <w:t>ktīvas ietvaros</w:t>
            </w:r>
            <w:r w:rsidR="001F1611" w:rsidRPr="00C66E23">
              <w:rPr>
                <w:color w:val="00B050"/>
                <w:lang w:val="lv-LV"/>
              </w:rPr>
              <w:t xml:space="preserve"> </w:t>
            </w:r>
            <w:r>
              <w:rPr>
                <w:color w:val="000000"/>
                <w:lang w:val="lv-LV"/>
              </w:rPr>
              <w:t>ir 87,9 miljoni</w:t>
            </w:r>
            <w:r w:rsidRPr="005C1970">
              <w:rPr>
                <w:color w:val="000000"/>
                <w:lang w:val="lv-LV"/>
              </w:rPr>
              <w:t xml:space="preserve"> </w:t>
            </w:r>
            <w:r>
              <w:rPr>
                <w:color w:val="000000"/>
                <w:lang w:val="lv-LV"/>
              </w:rPr>
              <w:t>latu</w:t>
            </w:r>
            <w:r w:rsidRPr="005C1970">
              <w:rPr>
                <w:color w:val="000000"/>
                <w:lang w:val="lv-LV"/>
              </w:rPr>
              <w:t xml:space="preserve"> un kopā ar Latvijas līdzfinansējumu tas sastāda </w:t>
            </w:r>
            <w:r>
              <w:rPr>
                <w:color w:val="000000"/>
                <w:lang w:val="lv-LV"/>
              </w:rPr>
              <w:t xml:space="preserve">publisko </w:t>
            </w:r>
            <w:r w:rsidRPr="005C1970">
              <w:rPr>
                <w:color w:val="000000"/>
                <w:lang w:val="lv-LV"/>
              </w:rPr>
              <w:t>finansējum</w:t>
            </w:r>
            <w:r>
              <w:rPr>
                <w:color w:val="000000"/>
                <w:lang w:val="lv-LV"/>
              </w:rPr>
              <w:t>u 117,1</w:t>
            </w:r>
            <w:r w:rsidRPr="005C1970">
              <w:rPr>
                <w:color w:val="000000"/>
                <w:lang w:val="lv-LV"/>
              </w:rPr>
              <w:t xml:space="preserve"> mi</w:t>
            </w:r>
            <w:r>
              <w:rPr>
                <w:color w:val="000000"/>
                <w:lang w:val="lv-LV"/>
              </w:rPr>
              <w:t>ljonu</w:t>
            </w:r>
            <w:r w:rsidRPr="005C1970">
              <w:rPr>
                <w:color w:val="000000"/>
                <w:lang w:val="lv-LV"/>
              </w:rPr>
              <w:t xml:space="preserve"> </w:t>
            </w:r>
            <w:r>
              <w:rPr>
                <w:color w:val="000000"/>
                <w:lang w:val="lv-LV"/>
              </w:rPr>
              <w:t>latu apmērā</w:t>
            </w:r>
            <w:r w:rsidRPr="005C1970">
              <w:rPr>
                <w:color w:val="000000"/>
                <w:lang w:val="lv-LV"/>
              </w:rPr>
              <w:t xml:space="preserve">. </w:t>
            </w:r>
            <w:r w:rsidRPr="005C65BD">
              <w:rPr>
                <w:color w:val="000000"/>
                <w:lang w:val="lv-LV"/>
              </w:rPr>
              <w:t xml:space="preserve">Finansējuma apjoms dalībvalstu zivsaimniecības atbalsta programmām </w:t>
            </w:r>
            <w:r w:rsidRPr="005C65BD">
              <w:rPr>
                <w:bCs/>
                <w:lang w:val="lv-LV"/>
              </w:rPr>
              <w:t xml:space="preserve">laikposmam no 2007. gada 1. janvāra līdz 2013. gada 31. decembrim </w:t>
            </w:r>
            <w:r w:rsidRPr="005C65BD">
              <w:rPr>
                <w:color w:val="000000"/>
                <w:lang w:val="lv-LV"/>
              </w:rPr>
              <w:t xml:space="preserve">tika noteikts ar </w:t>
            </w:r>
            <w:bookmarkStart w:id="2" w:name="OLE_LINK11"/>
            <w:bookmarkStart w:id="3" w:name="OLE_LINK12"/>
            <w:r w:rsidR="00564A6B">
              <w:rPr>
                <w:color w:val="000000"/>
                <w:lang w:val="lv-LV"/>
              </w:rPr>
              <w:t>Komisijas</w:t>
            </w:r>
            <w:r w:rsidR="00564A6B" w:rsidRPr="005C65BD">
              <w:rPr>
                <w:color w:val="000000"/>
                <w:lang w:val="lv-LV"/>
              </w:rPr>
              <w:t xml:space="preserve"> </w:t>
            </w:r>
            <w:r w:rsidRPr="005C65BD">
              <w:rPr>
                <w:color w:val="000000"/>
                <w:lang w:val="lv-LV"/>
              </w:rPr>
              <w:t xml:space="preserve">2008.gada 13.augusta Lēmumu </w:t>
            </w:r>
            <w:r w:rsidR="00650C3F">
              <w:rPr>
                <w:color w:val="000000"/>
                <w:lang w:val="lv-LV"/>
              </w:rPr>
              <w:t>E</w:t>
            </w:r>
            <w:r w:rsidRPr="005C65BD">
              <w:rPr>
                <w:color w:val="000000"/>
                <w:lang w:val="lv-LV"/>
              </w:rPr>
              <w:t>K(2008) 4358</w:t>
            </w:r>
            <w:bookmarkEnd w:id="2"/>
            <w:bookmarkEnd w:id="3"/>
            <w:r>
              <w:rPr>
                <w:color w:val="000000"/>
                <w:lang w:val="lv-LV"/>
              </w:rPr>
              <w:t>.</w:t>
            </w:r>
          </w:p>
          <w:p w14:paraId="2A05C974" w14:textId="77777777" w:rsidR="005A7FC1" w:rsidRDefault="005A7FC1" w:rsidP="00823324">
            <w:pPr>
              <w:spacing w:before="120" w:after="120"/>
              <w:jc w:val="both"/>
              <w:rPr>
                <w:color w:val="000000"/>
                <w:lang w:val="lv-LV"/>
              </w:rPr>
            </w:pPr>
            <w:r w:rsidRPr="00490AAC">
              <w:rPr>
                <w:color w:val="000000"/>
                <w:lang w:val="lv-LV"/>
              </w:rPr>
              <w:t>Rīcības programma</w:t>
            </w:r>
            <w:r>
              <w:rPr>
                <w:color w:val="000000"/>
                <w:lang w:val="lv-LV"/>
              </w:rPr>
              <w:t xml:space="preserve">s </w:t>
            </w:r>
            <w:r w:rsidRPr="005C1970">
              <w:rPr>
                <w:color w:val="000000"/>
                <w:lang w:val="lv-LV"/>
              </w:rPr>
              <w:t>ietvaros pieejamie finanšu līdzekļi Latvijā novirzīti šādiem pasākumiem:</w:t>
            </w:r>
          </w:p>
          <w:p w14:paraId="3B0E2EFF" w14:textId="77777777" w:rsidR="002A08EC" w:rsidRDefault="002A08EC" w:rsidP="00121582">
            <w:pPr>
              <w:spacing w:before="120"/>
              <w:jc w:val="both"/>
              <w:rPr>
                <w:color w:val="000000"/>
                <w:lang w:val="lv-LV"/>
              </w:rPr>
            </w:pP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5"/>
              <w:gridCol w:w="1418"/>
              <w:gridCol w:w="1701"/>
              <w:gridCol w:w="1701"/>
            </w:tblGrid>
            <w:tr w:rsidR="00E71BB1" w:rsidRPr="004C061D" w14:paraId="01327010" w14:textId="77777777" w:rsidTr="00E71BB1">
              <w:trPr>
                <w:trHeight w:val="190"/>
                <w:jc w:val="center"/>
              </w:trPr>
              <w:tc>
                <w:tcPr>
                  <w:tcW w:w="4065" w:type="dxa"/>
                  <w:vMerge w:val="restart"/>
                  <w:tcBorders>
                    <w:top w:val="single" w:sz="4" w:space="0" w:color="auto"/>
                  </w:tcBorders>
                  <w:vAlign w:val="center"/>
                </w:tcPr>
                <w:p w14:paraId="2A2DCDE5" w14:textId="77777777" w:rsidR="005A7FC1" w:rsidRPr="004C061D" w:rsidRDefault="005A7FC1" w:rsidP="004C061D">
                  <w:pPr>
                    <w:jc w:val="center"/>
                    <w:rPr>
                      <w:b/>
                      <w:color w:val="000000"/>
                      <w:sz w:val="20"/>
                      <w:szCs w:val="20"/>
                      <w:lang w:val="lv-LV"/>
                    </w:rPr>
                  </w:pPr>
                  <w:r w:rsidRPr="004C061D">
                    <w:rPr>
                      <w:b/>
                      <w:color w:val="000000"/>
                      <w:sz w:val="20"/>
                      <w:szCs w:val="20"/>
                      <w:lang w:val="lv-LV"/>
                    </w:rPr>
                    <w:t>Rīcības programmas (RP) prioritārie</w:t>
                  </w:r>
                  <w:r w:rsidR="004C061D" w:rsidRPr="004C061D">
                    <w:rPr>
                      <w:b/>
                      <w:color w:val="000000"/>
                      <w:sz w:val="20"/>
                      <w:szCs w:val="20"/>
                      <w:lang w:val="lv-LV"/>
                    </w:rPr>
                    <w:t xml:space="preserve"> </w:t>
                  </w:r>
                  <w:r w:rsidR="005A34A9">
                    <w:rPr>
                      <w:b/>
                      <w:color w:val="000000"/>
                      <w:sz w:val="20"/>
                      <w:szCs w:val="20"/>
                      <w:lang w:val="lv-LV"/>
                    </w:rPr>
                    <w:t>virz</w:t>
                  </w:r>
                  <w:r w:rsidR="00E05130">
                    <w:rPr>
                      <w:b/>
                      <w:color w:val="000000"/>
                      <w:sz w:val="20"/>
                      <w:szCs w:val="20"/>
                      <w:lang w:val="lv-LV"/>
                    </w:rPr>
                    <w:t>i</w:t>
                  </w:r>
                  <w:r w:rsidRPr="004C061D">
                    <w:rPr>
                      <w:b/>
                      <w:color w:val="000000"/>
                      <w:sz w:val="20"/>
                      <w:szCs w:val="20"/>
                      <w:lang w:val="lv-LV"/>
                    </w:rPr>
                    <w:t>eni</w:t>
                  </w:r>
                </w:p>
              </w:tc>
              <w:tc>
                <w:tcPr>
                  <w:tcW w:w="3119" w:type="dxa"/>
                  <w:gridSpan w:val="2"/>
                  <w:vAlign w:val="center"/>
                </w:tcPr>
                <w:p w14:paraId="3A409B31" w14:textId="77777777" w:rsidR="005A7FC1" w:rsidRPr="004C061D" w:rsidRDefault="005A7FC1" w:rsidP="00E71BB1">
                  <w:pPr>
                    <w:jc w:val="center"/>
                    <w:rPr>
                      <w:b/>
                      <w:color w:val="000000"/>
                      <w:sz w:val="20"/>
                      <w:szCs w:val="20"/>
                      <w:lang w:val="lv-LV"/>
                    </w:rPr>
                  </w:pPr>
                  <w:r w:rsidRPr="004C061D">
                    <w:rPr>
                      <w:b/>
                      <w:color w:val="000000"/>
                      <w:sz w:val="20"/>
                      <w:szCs w:val="20"/>
                      <w:lang w:val="lv-LV"/>
                    </w:rPr>
                    <w:t>Miljoni LVL</w:t>
                  </w:r>
                </w:p>
              </w:tc>
              <w:tc>
                <w:tcPr>
                  <w:tcW w:w="1701" w:type="dxa"/>
                  <w:vAlign w:val="center"/>
                </w:tcPr>
                <w:p w14:paraId="5B8E67D6" w14:textId="77777777" w:rsidR="005A7FC1" w:rsidRPr="004C061D" w:rsidRDefault="005A7FC1" w:rsidP="00E71BB1">
                  <w:pPr>
                    <w:jc w:val="center"/>
                    <w:rPr>
                      <w:b/>
                      <w:color w:val="000000"/>
                      <w:sz w:val="20"/>
                      <w:szCs w:val="20"/>
                    </w:rPr>
                  </w:pPr>
                  <w:r w:rsidRPr="004C061D">
                    <w:rPr>
                      <w:b/>
                      <w:color w:val="000000"/>
                      <w:sz w:val="20"/>
                      <w:szCs w:val="20"/>
                    </w:rPr>
                    <w:t>%</w:t>
                  </w:r>
                </w:p>
              </w:tc>
            </w:tr>
            <w:tr w:rsidR="00E71BB1" w:rsidRPr="004C061D" w14:paraId="65D9736A" w14:textId="77777777" w:rsidTr="00E71BB1">
              <w:trPr>
                <w:trHeight w:val="268"/>
                <w:jc w:val="center"/>
              </w:trPr>
              <w:tc>
                <w:tcPr>
                  <w:tcW w:w="4065" w:type="dxa"/>
                  <w:vMerge/>
                  <w:vAlign w:val="center"/>
                </w:tcPr>
                <w:p w14:paraId="0701B7D5" w14:textId="77777777" w:rsidR="005A7FC1" w:rsidRPr="004C061D" w:rsidRDefault="005A7FC1" w:rsidP="00E71BB1">
                  <w:pPr>
                    <w:jc w:val="center"/>
                    <w:rPr>
                      <w:b/>
                      <w:color w:val="000000"/>
                      <w:sz w:val="20"/>
                      <w:szCs w:val="20"/>
                    </w:rPr>
                  </w:pPr>
                </w:p>
              </w:tc>
              <w:tc>
                <w:tcPr>
                  <w:tcW w:w="1418" w:type="dxa"/>
                  <w:vAlign w:val="center"/>
                </w:tcPr>
                <w:p w14:paraId="67F62BB0" w14:textId="77777777" w:rsidR="005A7FC1" w:rsidRPr="004C061D" w:rsidRDefault="005A7FC1" w:rsidP="00E71BB1">
                  <w:pPr>
                    <w:jc w:val="center"/>
                    <w:rPr>
                      <w:b/>
                      <w:color w:val="000000"/>
                      <w:sz w:val="20"/>
                      <w:szCs w:val="20"/>
                      <w:lang w:val="lv-LV"/>
                    </w:rPr>
                  </w:pPr>
                  <w:r w:rsidRPr="004C061D">
                    <w:rPr>
                      <w:b/>
                      <w:color w:val="000000"/>
                      <w:sz w:val="20"/>
                      <w:szCs w:val="20"/>
                      <w:lang w:val="lv-LV"/>
                    </w:rPr>
                    <w:t>Publiskais finansē</w:t>
                  </w:r>
                  <w:r w:rsidR="00C61FFF">
                    <w:rPr>
                      <w:b/>
                      <w:color w:val="000000"/>
                      <w:sz w:val="20"/>
                      <w:szCs w:val="20"/>
                      <w:lang w:val="lv-LV"/>
                    </w:rPr>
                    <w:t>j</w:t>
                  </w:r>
                  <w:r w:rsidRPr="004C061D">
                    <w:rPr>
                      <w:b/>
                      <w:color w:val="000000"/>
                      <w:sz w:val="20"/>
                      <w:szCs w:val="20"/>
                      <w:lang w:val="lv-LV"/>
                    </w:rPr>
                    <w:t>ums</w:t>
                  </w:r>
                </w:p>
              </w:tc>
              <w:tc>
                <w:tcPr>
                  <w:tcW w:w="1701" w:type="dxa"/>
                  <w:noWrap/>
                  <w:vAlign w:val="center"/>
                </w:tcPr>
                <w:p w14:paraId="69F6E4F3" w14:textId="77777777" w:rsidR="005A7FC1" w:rsidRPr="004C061D" w:rsidRDefault="005A7FC1" w:rsidP="00E71BB1">
                  <w:pPr>
                    <w:jc w:val="center"/>
                    <w:rPr>
                      <w:b/>
                      <w:color w:val="000000"/>
                      <w:sz w:val="20"/>
                      <w:szCs w:val="20"/>
                      <w:lang w:val="lv-LV"/>
                    </w:rPr>
                  </w:pPr>
                  <w:r w:rsidRPr="004C061D">
                    <w:rPr>
                      <w:b/>
                      <w:color w:val="000000"/>
                      <w:sz w:val="20"/>
                      <w:szCs w:val="20"/>
                      <w:lang w:val="lv-LV"/>
                    </w:rPr>
                    <w:t>ES līdzfinansējums</w:t>
                  </w:r>
                </w:p>
              </w:tc>
              <w:tc>
                <w:tcPr>
                  <w:tcW w:w="1701" w:type="dxa"/>
                  <w:vAlign w:val="center"/>
                </w:tcPr>
                <w:p w14:paraId="3FBA36EA" w14:textId="77777777" w:rsidR="005A7FC1" w:rsidRPr="004C061D" w:rsidRDefault="005A7FC1" w:rsidP="00E71BB1">
                  <w:pPr>
                    <w:jc w:val="center"/>
                    <w:rPr>
                      <w:b/>
                      <w:color w:val="000000"/>
                      <w:sz w:val="20"/>
                      <w:szCs w:val="20"/>
                      <w:lang w:val="lv-LV"/>
                    </w:rPr>
                  </w:pPr>
                  <w:r w:rsidRPr="004C061D">
                    <w:rPr>
                      <w:b/>
                      <w:color w:val="000000"/>
                      <w:sz w:val="20"/>
                      <w:szCs w:val="20"/>
                      <w:lang w:val="lv-LV"/>
                    </w:rPr>
                    <w:t>ES līdzfinansējuma likme</w:t>
                  </w:r>
                </w:p>
              </w:tc>
            </w:tr>
            <w:tr w:rsidR="00E71BB1" w:rsidRPr="004C061D" w14:paraId="227E42A9" w14:textId="77777777" w:rsidTr="00E71BB1">
              <w:trPr>
                <w:trHeight w:val="593"/>
                <w:jc w:val="center"/>
              </w:trPr>
              <w:tc>
                <w:tcPr>
                  <w:tcW w:w="4065" w:type="dxa"/>
                  <w:tcBorders>
                    <w:top w:val="single" w:sz="4" w:space="0" w:color="auto"/>
                  </w:tcBorders>
                  <w:vAlign w:val="center"/>
                </w:tcPr>
                <w:p w14:paraId="622DA37D" w14:textId="77777777" w:rsidR="005A7FC1" w:rsidRPr="004C061D" w:rsidRDefault="005A7FC1" w:rsidP="004822D9">
                  <w:pPr>
                    <w:jc w:val="center"/>
                    <w:rPr>
                      <w:color w:val="000000"/>
                      <w:sz w:val="20"/>
                      <w:szCs w:val="20"/>
                      <w:lang w:val="lv-LV"/>
                    </w:rPr>
                  </w:pPr>
                  <w:r w:rsidRPr="004C061D">
                    <w:rPr>
                      <w:color w:val="000000"/>
                      <w:sz w:val="20"/>
                      <w:szCs w:val="20"/>
                      <w:lang w:val="lv-LV"/>
                    </w:rPr>
                    <w:t>1.prioritārais virziens „Pasākumi Kopienas zvejas flotes sabalansē</w:t>
                  </w:r>
                  <w:r w:rsidR="004822D9">
                    <w:rPr>
                      <w:color w:val="000000"/>
                      <w:sz w:val="20"/>
                      <w:szCs w:val="20"/>
                      <w:lang w:val="lv-LV"/>
                    </w:rPr>
                    <w:t>š</w:t>
                  </w:r>
                  <w:r w:rsidRPr="004C061D">
                    <w:rPr>
                      <w:color w:val="000000"/>
                      <w:sz w:val="20"/>
                      <w:szCs w:val="20"/>
                      <w:lang w:val="lv-LV"/>
                    </w:rPr>
                    <w:t>anai”</w:t>
                  </w:r>
                </w:p>
              </w:tc>
              <w:tc>
                <w:tcPr>
                  <w:tcW w:w="1418" w:type="dxa"/>
                  <w:vAlign w:val="center"/>
                </w:tcPr>
                <w:p w14:paraId="0BE5E787" w14:textId="77777777" w:rsidR="005A7FC1" w:rsidRPr="004C061D" w:rsidRDefault="005A7FC1" w:rsidP="00E71BB1">
                  <w:pPr>
                    <w:tabs>
                      <w:tab w:val="left" w:pos="285"/>
                      <w:tab w:val="center" w:pos="622"/>
                    </w:tabs>
                    <w:jc w:val="center"/>
                    <w:rPr>
                      <w:color w:val="000000"/>
                      <w:sz w:val="20"/>
                      <w:szCs w:val="20"/>
                    </w:rPr>
                  </w:pPr>
                  <w:r w:rsidRPr="004C061D">
                    <w:rPr>
                      <w:color w:val="000000"/>
                      <w:sz w:val="20"/>
                      <w:szCs w:val="20"/>
                    </w:rPr>
                    <w:t>24,5</w:t>
                  </w:r>
                </w:p>
              </w:tc>
              <w:tc>
                <w:tcPr>
                  <w:tcW w:w="1701" w:type="dxa"/>
                  <w:noWrap/>
                  <w:vAlign w:val="center"/>
                </w:tcPr>
                <w:p w14:paraId="0DEFD5DA" w14:textId="77777777" w:rsidR="005A7FC1" w:rsidRPr="004C061D" w:rsidRDefault="005A7FC1" w:rsidP="00E71BB1">
                  <w:pPr>
                    <w:jc w:val="center"/>
                    <w:rPr>
                      <w:color w:val="000000"/>
                      <w:sz w:val="20"/>
                      <w:szCs w:val="20"/>
                    </w:rPr>
                  </w:pPr>
                  <w:r w:rsidRPr="004C061D">
                    <w:rPr>
                      <w:color w:val="000000"/>
                      <w:sz w:val="20"/>
                      <w:szCs w:val="20"/>
                    </w:rPr>
                    <w:t>18,4</w:t>
                  </w:r>
                </w:p>
              </w:tc>
              <w:tc>
                <w:tcPr>
                  <w:tcW w:w="1701" w:type="dxa"/>
                  <w:vAlign w:val="center"/>
                </w:tcPr>
                <w:p w14:paraId="44EBBB53" w14:textId="77777777" w:rsidR="005A7FC1" w:rsidRPr="004C061D" w:rsidRDefault="005A7FC1" w:rsidP="00E71BB1">
                  <w:pPr>
                    <w:jc w:val="center"/>
                    <w:rPr>
                      <w:color w:val="000000"/>
                      <w:sz w:val="20"/>
                      <w:szCs w:val="20"/>
                    </w:rPr>
                  </w:pPr>
                  <w:r w:rsidRPr="004C061D">
                    <w:rPr>
                      <w:color w:val="000000"/>
                      <w:sz w:val="20"/>
                      <w:szCs w:val="20"/>
                    </w:rPr>
                    <w:t>75</w:t>
                  </w:r>
                </w:p>
              </w:tc>
            </w:tr>
            <w:tr w:rsidR="00E71BB1" w:rsidRPr="004C061D" w14:paraId="343CF716" w14:textId="77777777" w:rsidTr="00E71BB1">
              <w:trPr>
                <w:trHeight w:val="372"/>
                <w:jc w:val="center"/>
              </w:trPr>
              <w:tc>
                <w:tcPr>
                  <w:tcW w:w="4065" w:type="dxa"/>
                  <w:vAlign w:val="center"/>
                </w:tcPr>
                <w:p w14:paraId="60D00943" w14:textId="77777777" w:rsidR="005A7FC1" w:rsidRPr="004C061D" w:rsidRDefault="005A7FC1" w:rsidP="0085612C">
                  <w:pPr>
                    <w:jc w:val="center"/>
                    <w:rPr>
                      <w:color w:val="000000"/>
                      <w:sz w:val="20"/>
                      <w:szCs w:val="20"/>
                      <w:lang w:val="lv-LV"/>
                    </w:rPr>
                  </w:pPr>
                  <w:r w:rsidRPr="004C061D">
                    <w:rPr>
                      <w:color w:val="000000"/>
                      <w:sz w:val="20"/>
                      <w:szCs w:val="20"/>
                      <w:lang w:val="lv-LV"/>
                    </w:rPr>
                    <w:t xml:space="preserve">2.prioritārais virziens „Akvakultūra, zveja iekšējos ūdeņos, zivsaimniecības un </w:t>
                  </w:r>
                  <w:r w:rsidR="005A34A9">
                    <w:rPr>
                      <w:color w:val="000000"/>
                      <w:sz w:val="20"/>
                      <w:szCs w:val="20"/>
                      <w:lang w:val="lv-LV"/>
                    </w:rPr>
                    <w:t>akvakultūras produktu aps</w:t>
                  </w:r>
                  <w:r w:rsidRPr="004C061D">
                    <w:rPr>
                      <w:color w:val="000000"/>
                      <w:sz w:val="20"/>
                      <w:szCs w:val="20"/>
                      <w:lang w:val="lv-LV"/>
                    </w:rPr>
                    <w:t>trāde</w:t>
                  </w:r>
                  <w:r w:rsidR="0085612C">
                    <w:rPr>
                      <w:color w:val="000000"/>
                      <w:sz w:val="20"/>
                      <w:szCs w:val="20"/>
                      <w:lang w:val="lv-LV"/>
                    </w:rPr>
                    <w:t xml:space="preserve"> </w:t>
                  </w:r>
                  <w:r w:rsidRPr="004C061D">
                    <w:rPr>
                      <w:color w:val="000000"/>
                      <w:sz w:val="20"/>
                      <w:szCs w:val="20"/>
                      <w:lang w:val="lv-LV"/>
                    </w:rPr>
                    <w:t>un mārke</w:t>
                  </w:r>
                  <w:r w:rsidR="00C61FFF">
                    <w:rPr>
                      <w:color w:val="000000"/>
                      <w:sz w:val="20"/>
                      <w:szCs w:val="20"/>
                      <w:lang w:val="lv-LV"/>
                    </w:rPr>
                    <w:t>t</w:t>
                  </w:r>
                  <w:r w:rsidRPr="004C061D">
                    <w:rPr>
                      <w:color w:val="000000"/>
                      <w:sz w:val="20"/>
                      <w:szCs w:val="20"/>
                      <w:lang w:val="lv-LV"/>
                    </w:rPr>
                    <w:t>ings”</w:t>
                  </w:r>
                </w:p>
              </w:tc>
              <w:tc>
                <w:tcPr>
                  <w:tcW w:w="1418" w:type="dxa"/>
                  <w:vAlign w:val="center"/>
                </w:tcPr>
                <w:p w14:paraId="28002E33" w14:textId="77777777" w:rsidR="005A7FC1" w:rsidRPr="004C061D" w:rsidRDefault="005A7FC1" w:rsidP="00E71BB1">
                  <w:pPr>
                    <w:jc w:val="center"/>
                    <w:rPr>
                      <w:color w:val="000000"/>
                      <w:sz w:val="20"/>
                      <w:szCs w:val="20"/>
                    </w:rPr>
                  </w:pPr>
                  <w:r w:rsidRPr="004C061D">
                    <w:rPr>
                      <w:color w:val="000000"/>
                      <w:sz w:val="20"/>
                      <w:szCs w:val="20"/>
                    </w:rPr>
                    <w:t>46,2</w:t>
                  </w:r>
                </w:p>
              </w:tc>
              <w:tc>
                <w:tcPr>
                  <w:tcW w:w="1701" w:type="dxa"/>
                  <w:noWrap/>
                  <w:vAlign w:val="center"/>
                </w:tcPr>
                <w:p w14:paraId="29F932B8" w14:textId="77777777" w:rsidR="005A7FC1" w:rsidRPr="004C061D" w:rsidRDefault="005A7FC1" w:rsidP="00E71BB1">
                  <w:pPr>
                    <w:jc w:val="center"/>
                    <w:rPr>
                      <w:color w:val="000000"/>
                      <w:sz w:val="20"/>
                      <w:szCs w:val="20"/>
                    </w:rPr>
                  </w:pPr>
                  <w:r w:rsidRPr="004C061D">
                    <w:rPr>
                      <w:color w:val="000000"/>
                      <w:sz w:val="20"/>
                      <w:szCs w:val="20"/>
                    </w:rPr>
                    <w:t>34,7</w:t>
                  </w:r>
                </w:p>
              </w:tc>
              <w:tc>
                <w:tcPr>
                  <w:tcW w:w="1701" w:type="dxa"/>
                  <w:vAlign w:val="center"/>
                </w:tcPr>
                <w:p w14:paraId="581B8EAA" w14:textId="77777777" w:rsidR="005A7FC1" w:rsidRPr="004C061D" w:rsidRDefault="005A7FC1" w:rsidP="00E71BB1">
                  <w:pPr>
                    <w:jc w:val="center"/>
                    <w:rPr>
                      <w:color w:val="000000"/>
                      <w:sz w:val="20"/>
                      <w:szCs w:val="20"/>
                    </w:rPr>
                  </w:pPr>
                  <w:r w:rsidRPr="004C061D">
                    <w:rPr>
                      <w:color w:val="000000"/>
                      <w:sz w:val="20"/>
                      <w:szCs w:val="20"/>
                    </w:rPr>
                    <w:t>75</w:t>
                  </w:r>
                </w:p>
              </w:tc>
            </w:tr>
            <w:tr w:rsidR="00E71BB1" w:rsidRPr="004C061D" w14:paraId="7C319EE1" w14:textId="77777777" w:rsidTr="00E71BB1">
              <w:trPr>
                <w:trHeight w:val="389"/>
                <w:jc w:val="center"/>
              </w:trPr>
              <w:tc>
                <w:tcPr>
                  <w:tcW w:w="4065" w:type="dxa"/>
                  <w:vAlign w:val="center"/>
                </w:tcPr>
                <w:p w14:paraId="21DFCCFA" w14:textId="77777777" w:rsidR="005A7FC1" w:rsidRPr="004C061D" w:rsidRDefault="005A7FC1" w:rsidP="00E71BB1">
                  <w:pPr>
                    <w:jc w:val="center"/>
                    <w:rPr>
                      <w:color w:val="000000"/>
                      <w:sz w:val="20"/>
                      <w:szCs w:val="20"/>
                      <w:lang w:val="lv-LV"/>
                    </w:rPr>
                  </w:pPr>
                  <w:r w:rsidRPr="004C061D">
                    <w:rPr>
                      <w:color w:val="000000"/>
                      <w:sz w:val="20"/>
                      <w:szCs w:val="20"/>
                      <w:lang w:val="lv-LV"/>
                    </w:rPr>
                    <w:t>3.prioritārais virziens „Kopējās ieinteresētības pasākumi</w:t>
                  </w:r>
                  <w:r w:rsidR="0029306D">
                    <w:rPr>
                      <w:color w:val="000000"/>
                      <w:sz w:val="20"/>
                      <w:szCs w:val="20"/>
                      <w:lang w:val="lv-LV"/>
                    </w:rPr>
                    <w:t>”</w:t>
                  </w:r>
                </w:p>
              </w:tc>
              <w:tc>
                <w:tcPr>
                  <w:tcW w:w="1418" w:type="dxa"/>
                  <w:vAlign w:val="center"/>
                </w:tcPr>
                <w:p w14:paraId="21C75F53" w14:textId="77777777" w:rsidR="005A7FC1" w:rsidRPr="004C061D" w:rsidRDefault="005A7FC1" w:rsidP="00E71BB1">
                  <w:pPr>
                    <w:jc w:val="center"/>
                    <w:rPr>
                      <w:color w:val="000000"/>
                      <w:sz w:val="20"/>
                      <w:szCs w:val="20"/>
                    </w:rPr>
                  </w:pPr>
                  <w:r w:rsidRPr="004C061D">
                    <w:rPr>
                      <w:color w:val="000000"/>
                      <w:sz w:val="20"/>
                      <w:szCs w:val="20"/>
                    </w:rPr>
                    <w:t>25,6</w:t>
                  </w:r>
                </w:p>
              </w:tc>
              <w:tc>
                <w:tcPr>
                  <w:tcW w:w="1701" w:type="dxa"/>
                  <w:noWrap/>
                  <w:vAlign w:val="center"/>
                </w:tcPr>
                <w:p w14:paraId="78A0B815" w14:textId="77777777" w:rsidR="005A7FC1" w:rsidRPr="004C061D" w:rsidRDefault="00E83D16" w:rsidP="00E71BB1">
                  <w:pPr>
                    <w:jc w:val="center"/>
                    <w:rPr>
                      <w:color w:val="000000"/>
                      <w:sz w:val="20"/>
                      <w:szCs w:val="20"/>
                    </w:rPr>
                  </w:pPr>
                  <w:r>
                    <w:rPr>
                      <w:color w:val="000000"/>
                      <w:sz w:val="20"/>
                      <w:szCs w:val="20"/>
                    </w:rPr>
                    <w:t>19,</w:t>
                  </w:r>
                  <w:r w:rsidR="005A7FC1" w:rsidRPr="004C061D">
                    <w:rPr>
                      <w:color w:val="000000"/>
                      <w:sz w:val="20"/>
                      <w:szCs w:val="20"/>
                    </w:rPr>
                    <w:t>2</w:t>
                  </w:r>
                </w:p>
              </w:tc>
              <w:tc>
                <w:tcPr>
                  <w:tcW w:w="1701" w:type="dxa"/>
                  <w:vAlign w:val="center"/>
                </w:tcPr>
                <w:p w14:paraId="48C30207" w14:textId="77777777" w:rsidR="005A7FC1" w:rsidRPr="004C061D" w:rsidRDefault="005A7FC1" w:rsidP="00E71BB1">
                  <w:pPr>
                    <w:jc w:val="center"/>
                    <w:rPr>
                      <w:color w:val="000000"/>
                      <w:sz w:val="20"/>
                      <w:szCs w:val="20"/>
                    </w:rPr>
                  </w:pPr>
                  <w:r w:rsidRPr="004C061D">
                    <w:rPr>
                      <w:color w:val="000000"/>
                      <w:sz w:val="20"/>
                      <w:szCs w:val="20"/>
                    </w:rPr>
                    <w:t>75</w:t>
                  </w:r>
                </w:p>
              </w:tc>
            </w:tr>
            <w:tr w:rsidR="00E71BB1" w:rsidRPr="004C061D" w14:paraId="0C528DC1" w14:textId="77777777" w:rsidTr="00E71BB1">
              <w:trPr>
                <w:trHeight w:val="343"/>
                <w:jc w:val="center"/>
              </w:trPr>
              <w:tc>
                <w:tcPr>
                  <w:tcW w:w="4065" w:type="dxa"/>
                  <w:noWrap/>
                  <w:vAlign w:val="center"/>
                </w:tcPr>
                <w:p w14:paraId="16A923DD" w14:textId="77777777" w:rsidR="005A7FC1" w:rsidRPr="004C061D" w:rsidRDefault="005A7FC1" w:rsidP="00E71BB1">
                  <w:pPr>
                    <w:jc w:val="center"/>
                    <w:rPr>
                      <w:color w:val="000000"/>
                      <w:sz w:val="20"/>
                      <w:szCs w:val="20"/>
                      <w:lang w:val="lv-LV"/>
                    </w:rPr>
                  </w:pPr>
                  <w:r w:rsidRPr="004C061D">
                    <w:rPr>
                      <w:color w:val="000000"/>
                      <w:sz w:val="20"/>
                      <w:szCs w:val="20"/>
                      <w:lang w:val="lv-LV"/>
                    </w:rPr>
                    <w:t>4.prioritā</w:t>
                  </w:r>
                  <w:r w:rsidR="00B24B45">
                    <w:rPr>
                      <w:color w:val="000000"/>
                      <w:sz w:val="20"/>
                      <w:szCs w:val="20"/>
                      <w:lang w:val="lv-LV"/>
                    </w:rPr>
                    <w:t>r</w:t>
                  </w:r>
                  <w:r w:rsidRPr="004C061D">
                    <w:rPr>
                      <w:color w:val="000000"/>
                      <w:sz w:val="20"/>
                      <w:szCs w:val="20"/>
                      <w:lang w:val="lv-LV"/>
                    </w:rPr>
                    <w:t>ais virziens „Zivsaimnie</w:t>
                  </w:r>
                  <w:r w:rsidR="00B24B45">
                    <w:rPr>
                      <w:color w:val="000000"/>
                      <w:sz w:val="20"/>
                      <w:szCs w:val="20"/>
                      <w:lang w:val="lv-LV"/>
                    </w:rPr>
                    <w:t>c</w:t>
                  </w:r>
                  <w:r w:rsidRPr="004C061D">
                    <w:rPr>
                      <w:color w:val="000000"/>
                      <w:sz w:val="20"/>
                      <w:szCs w:val="20"/>
                      <w:lang w:val="lv-LV"/>
                    </w:rPr>
                    <w:t>ības reģionu ilgtspējīga attīstība”</w:t>
                  </w:r>
                </w:p>
              </w:tc>
              <w:tc>
                <w:tcPr>
                  <w:tcW w:w="1418" w:type="dxa"/>
                  <w:vAlign w:val="center"/>
                </w:tcPr>
                <w:p w14:paraId="71D18E27" w14:textId="77777777" w:rsidR="005A7FC1" w:rsidRPr="004C061D" w:rsidRDefault="005A7FC1" w:rsidP="00E71BB1">
                  <w:pPr>
                    <w:jc w:val="center"/>
                    <w:rPr>
                      <w:color w:val="000000"/>
                      <w:sz w:val="20"/>
                      <w:szCs w:val="20"/>
                      <w:lang w:val="lv-LV"/>
                    </w:rPr>
                  </w:pPr>
                  <w:r w:rsidRPr="004C061D">
                    <w:rPr>
                      <w:color w:val="000000"/>
                      <w:sz w:val="20"/>
                      <w:szCs w:val="20"/>
                      <w:lang w:val="lv-LV"/>
                    </w:rPr>
                    <w:t>16,1</w:t>
                  </w:r>
                </w:p>
              </w:tc>
              <w:tc>
                <w:tcPr>
                  <w:tcW w:w="1701" w:type="dxa"/>
                  <w:noWrap/>
                  <w:vAlign w:val="center"/>
                </w:tcPr>
                <w:p w14:paraId="0F476934" w14:textId="77777777" w:rsidR="005A7FC1" w:rsidRPr="004C061D" w:rsidRDefault="005A7FC1" w:rsidP="00E71BB1">
                  <w:pPr>
                    <w:jc w:val="center"/>
                    <w:rPr>
                      <w:color w:val="000000"/>
                      <w:sz w:val="20"/>
                      <w:szCs w:val="20"/>
                      <w:lang w:val="lv-LV"/>
                    </w:rPr>
                  </w:pPr>
                  <w:r w:rsidRPr="004C061D">
                    <w:rPr>
                      <w:color w:val="000000"/>
                      <w:sz w:val="20"/>
                      <w:szCs w:val="20"/>
                      <w:lang w:val="lv-LV"/>
                    </w:rPr>
                    <w:t>12,1</w:t>
                  </w:r>
                </w:p>
              </w:tc>
              <w:tc>
                <w:tcPr>
                  <w:tcW w:w="1701" w:type="dxa"/>
                  <w:vAlign w:val="center"/>
                </w:tcPr>
                <w:p w14:paraId="419BAD42" w14:textId="77777777" w:rsidR="005A7FC1" w:rsidRPr="004C061D" w:rsidRDefault="005A7FC1" w:rsidP="00E71BB1">
                  <w:pPr>
                    <w:jc w:val="center"/>
                    <w:rPr>
                      <w:color w:val="000000"/>
                      <w:sz w:val="20"/>
                      <w:szCs w:val="20"/>
                      <w:lang w:val="lv-LV"/>
                    </w:rPr>
                  </w:pPr>
                  <w:r w:rsidRPr="004C061D">
                    <w:rPr>
                      <w:color w:val="000000"/>
                      <w:sz w:val="20"/>
                      <w:szCs w:val="20"/>
                      <w:lang w:val="lv-LV"/>
                    </w:rPr>
                    <w:t>75</w:t>
                  </w:r>
                </w:p>
              </w:tc>
            </w:tr>
            <w:tr w:rsidR="00E71BB1" w:rsidRPr="004C061D" w14:paraId="474E50AF" w14:textId="77777777" w:rsidTr="00E71BB1">
              <w:trPr>
                <w:trHeight w:val="343"/>
                <w:jc w:val="center"/>
              </w:trPr>
              <w:tc>
                <w:tcPr>
                  <w:tcW w:w="4065" w:type="dxa"/>
                  <w:noWrap/>
                  <w:vAlign w:val="center"/>
                </w:tcPr>
                <w:p w14:paraId="5614D13F" w14:textId="77777777" w:rsidR="005A7FC1" w:rsidRPr="004C061D" w:rsidRDefault="005A7FC1" w:rsidP="00E71BB1">
                  <w:pPr>
                    <w:jc w:val="center"/>
                    <w:rPr>
                      <w:color w:val="000000"/>
                      <w:sz w:val="20"/>
                      <w:szCs w:val="20"/>
                      <w:lang w:val="lv-LV"/>
                    </w:rPr>
                  </w:pPr>
                  <w:r w:rsidRPr="004C061D">
                    <w:rPr>
                      <w:color w:val="000000"/>
                      <w:sz w:val="20"/>
                      <w:szCs w:val="20"/>
                      <w:lang w:val="lv-LV"/>
                    </w:rPr>
                    <w:t>5.prioritārais virziens „Tehniskā p</w:t>
                  </w:r>
                  <w:r w:rsidR="004C061D" w:rsidRPr="004C061D">
                    <w:rPr>
                      <w:color w:val="000000"/>
                      <w:sz w:val="20"/>
                      <w:szCs w:val="20"/>
                      <w:lang w:val="lv-LV"/>
                    </w:rPr>
                    <w:t>a</w:t>
                  </w:r>
                  <w:r w:rsidRPr="004C061D">
                    <w:rPr>
                      <w:color w:val="000000"/>
                      <w:sz w:val="20"/>
                      <w:szCs w:val="20"/>
                      <w:lang w:val="lv-LV"/>
                    </w:rPr>
                    <w:t>lī</w:t>
                  </w:r>
                  <w:r w:rsidR="00296F37">
                    <w:rPr>
                      <w:color w:val="000000"/>
                      <w:sz w:val="20"/>
                      <w:szCs w:val="20"/>
                      <w:lang w:val="lv-LV"/>
                    </w:rPr>
                    <w:t>d</w:t>
                  </w:r>
                  <w:r w:rsidRPr="004C061D">
                    <w:rPr>
                      <w:color w:val="000000"/>
                      <w:sz w:val="20"/>
                      <w:szCs w:val="20"/>
                      <w:lang w:val="lv-LV"/>
                    </w:rPr>
                    <w:t>zība”</w:t>
                  </w:r>
                </w:p>
              </w:tc>
              <w:tc>
                <w:tcPr>
                  <w:tcW w:w="1418" w:type="dxa"/>
                  <w:vAlign w:val="center"/>
                </w:tcPr>
                <w:p w14:paraId="77AC3733" w14:textId="77777777" w:rsidR="005A7FC1" w:rsidRPr="004C061D" w:rsidRDefault="005A7FC1" w:rsidP="00E71BB1">
                  <w:pPr>
                    <w:jc w:val="center"/>
                    <w:rPr>
                      <w:color w:val="000000"/>
                      <w:sz w:val="20"/>
                      <w:szCs w:val="20"/>
                      <w:lang w:val="lv-LV"/>
                    </w:rPr>
                  </w:pPr>
                  <w:r w:rsidRPr="004C061D">
                    <w:rPr>
                      <w:color w:val="000000"/>
                      <w:sz w:val="20"/>
                      <w:szCs w:val="20"/>
                      <w:lang w:val="lv-LV"/>
                    </w:rPr>
                    <w:t>4,7</w:t>
                  </w:r>
                </w:p>
              </w:tc>
              <w:tc>
                <w:tcPr>
                  <w:tcW w:w="1701" w:type="dxa"/>
                  <w:noWrap/>
                  <w:vAlign w:val="center"/>
                </w:tcPr>
                <w:p w14:paraId="24CE8D26" w14:textId="77777777" w:rsidR="005A7FC1" w:rsidRPr="004C061D" w:rsidRDefault="005A7FC1" w:rsidP="00E71BB1">
                  <w:pPr>
                    <w:jc w:val="center"/>
                    <w:rPr>
                      <w:color w:val="000000"/>
                      <w:sz w:val="20"/>
                      <w:szCs w:val="20"/>
                      <w:lang w:val="lv-LV"/>
                    </w:rPr>
                  </w:pPr>
                  <w:r w:rsidRPr="004C061D">
                    <w:rPr>
                      <w:color w:val="000000"/>
                      <w:sz w:val="20"/>
                      <w:szCs w:val="20"/>
                      <w:lang w:val="lv-LV"/>
                    </w:rPr>
                    <w:t>3,5</w:t>
                  </w:r>
                </w:p>
              </w:tc>
              <w:tc>
                <w:tcPr>
                  <w:tcW w:w="1701" w:type="dxa"/>
                  <w:vAlign w:val="center"/>
                </w:tcPr>
                <w:p w14:paraId="2309BAC1" w14:textId="77777777" w:rsidR="005A7FC1" w:rsidRPr="004C061D" w:rsidRDefault="005A7FC1" w:rsidP="00E71BB1">
                  <w:pPr>
                    <w:jc w:val="center"/>
                    <w:rPr>
                      <w:color w:val="000000"/>
                      <w:sz w:val="20"/>
                      <w:szCs w:val="20"/>
                      <w:lang w:val="lv-LV"/>
                    </w:rPr>
                  </w:pPr>
                  <w:r w:rsidRPr="004C061D">
                    <w:rPr>
                      <w:color w:val="000000"/>
                      <w:sz w:val="20"/>
                      <w:szCs w:val="20"/>
                      <w:lang w:val="lv-LV"/>
                    </w:rPr>
                    <w:t>75</w:t>
                  </w:r>
                </w:p>
              </w:tc>
            </w:tr>
            <w:tr w:rsidR="00E71BB1" w:rsidRPr="004C061D" w14:paraId="369337F9" w14:textId="77777777" w:rsidTr="00E71BB1">
              <w:trPr>
                <w:trHeight w:val="341"/>
                <w:jc w:val="center"/>
              </w:trPr>
              <w:tc>
                <w:tcPr>
                  <w:tcW w:w="4065" w:type="dxa"/>
                  <w:noWrap/>
                  <w:vAlign w:val="center"/>
                </w:tcPr>
                <w:p w14:paraId="227A29DC" w14:textId="77777777" w:rsidR="005A7FC1" w:rsidRPr="004C061D" w:rsidRDefault="005A7FC1" w:rsidP="00E71BB1">
                  <w:pPr>
                    <w:jc w:val="center"/>
                    <w:rPr>
                      <w:b/>
                      <w:color w:val="000000"/>
                      <w:sz w:val="20"/>
                      <w:szCs w:val="20"/>
                      <w:lang w:val="lv-LV"/>
                    </w:rPr>
                  </w:pPr>
                  <w:r w:rsidRPr="004C061D">
                    <w:rPr>
                      <w:b/>
                      <w:color w:val="000000"/>
                      <w:sz w:val="20"/>
                      <w:szCs w:val="20"/>
                      <w:lang w:val="lv-LV"/>
                    </w:rPr>
                    <w:lastRenderedPageBreak/>
                    <w:t>Kopā</w:t>
                  </w:r>
                </w:p>
              </w:tc>
              <w:tc>
                <w:tcPr>
                  <w:tcW w:w="1418" w:type="dxa"/>
                  <w:vAlign w:val="center"/>
                </w:tcPr>
                <w:p w14:paraId="43A4A00F" w14:textId="77777777" w:rsidR="005A7FC1" w:rsidRPr="004C061D" w:rsidRDefault="005A7FC1" w:rsidP="00E71BB1">
                  <w:pPr>
                    <w:jc w:val="center"/>
                    <w:rPr>
                      <w:b/>
                      <w:color w:val="000000"/>
                      <w:sz w:val="20"/>
                      <w:szCs w:val="20"/>
                      <w:lang w:val="lv-LV"/>
                    </w:rPr>
                  </w:pPr>
                  <w:r w:rsidRPr="004C061D">
                    <w:rPr>
                      <w:b/>
                      <w:color w:val="000000"/>
                      <w:sz w:val="20"/>
                      <w:szCs w:val="20"/>
                      <w:lang w:val="lv-LV"/>
                    </w:rPr>
                    <w:t>11</w:t>
                  </w:r>
                  <w:r w:rsidR="00B24B45">
                    <w:rPr>
                      <w:b/>
                      <w:color w:val="000000"/>
                      <w:sz w:val="20"/>
                      <w:szCs w:val="20"/>
                      <w:lang w:val="lv-LV"/>
                    </w:rPr>
                    <w:t>7</w:t>
                  </w:r>
                  <w:r w:rsidRPr="004C061D">
                    <w:rPr>
                      <w:b/>
                      <w:color w:val="000000"/>
                      <w:sz w:val="20"/>
                      <w:szCs w:val="20"/>
                      <w:lang w:val="lv-LV"/>
                    </w:rPr>
                    <w:t>,1</w:t>
                  </w:r>
                </w:p>
              </w:tc>
              <w:tc>
                <w:tcPr>
                  <w:tcW w:w="1701" w:type="dxa"/>
                  <w:noWrap/>
                  <w:vAlign w:val="center"/>
                </w:tcPr>
                <w:p w14:paraId="1D9D2FB3" w14:textId="77777777" w:rsidR="005A7FC1" w:rsidRPr="004C061D" w:rsidRDefault="005A7FC1" w:rsidP="00E71BB1">
                  <w:pPr>
                    <w:jc w:val="center"/>
                    <w:rPr>
                      <w:b/>
                      <w:color w:val="000000"/>
                      <w:sz w:val="20"/>
                      <w:szCs w:val="20"/>
                      <w:lang w:val="lv-LV"/>
                    </w:rPr>
                  </w:pPr>
                  <w:r w:rsidRPr="004C061D">
                    <w:rPr>
                      <w:b/>
                      <w:color w:val="000000"/>
                      <w:sz w:val="20"/>
                      <w:szCs w:val="20"/>
                      <w:lang w:val="lv-LV"/>
                    </w:rPr>
                    <w:t>87,9</w:t>
                  </w:r>
                </w:p>
              </w:tc>
              <w:tc>
                <w:tcPr>
                  <w:tcW w:w="1701" w:type="dxa"/>
                  <w:vAlign w:val="center"/>
                </w:tcPr>
                <w:p w14:paraId="323BAE1C" w14:textId="77777777" w:rsidR="005A7FC1" w:rsidRPr="004C061D" w:rsidRDefault="005A7FC1" w:rsidP="00E71BB1">
                  <w:pPr>
                    <w:jc w:val="center"/>
                    <w:rPr>
                      <w:b/>
                      <w:color w:val="000000"/>
                      <w:sz w:val="20"/>
                      <w:szCs w:val="20"/>
                      <w:lang w:val="lv-LV"/>
                    </w:rPr>
                  </w:pPr>
                  <w:r w:rsidRPr="004C061D">
                    <w:rPr>
                      <w:b/>
                      <w:color w:val="000000"/>
                      <w:sz w:val="20"/>
                      <w:szCs w:val="20"/>
                      <w:lang w:val="lv-LV"/>
                    </w:rPr>
                    <w:t>75</w:t>
                  </w:r>
                </w:p>
              </w:tc>
            </w:tr>
          </w:tbl>
          <w:p w14:paraId="48D71017" w14:textId="77777777" w:rsidR="005A7FC1" w:rsidRPr="00084FDE" w:rsidRDefault="005A7FC1" w:rsidP="00823324">
            <w:pPr>
              <w:autoSpaceDE w:val="0"/>
              <w:autoSpaceDN w:val="0"/>
              <w:adjustRightInd w:val="0"/>
              <w:spacing w:before="120" w:after="120"/>
              <w:jc w:val="both"/>
              <w:rPr>
                <w:b/>
                <w:bCs/>
                <w:u w:val="single"/>
                <w:lang w:val="lv-LV"/>
              </w:rPr>
            </w:pPr>
            <w:r w:rsidRPr="00644378">
              <w:rPr>
                <w:rFonts w:eastAsia="Calibri"/>
                <w:color w:val="000000"/>
                <w:lang w:val="lv-LV"/>
              </w:rPr>
              <w:t>Rīcības programmas pasākumu ietvaros finansējums pārsvarā ir novirzīts ekonomika</w:t>
            </w:r>
            <w:r w:rsidR="00B56F52">
              <w:rPr>
                <w:rFonts w:eastAsia="Calibri"/>
                <w:color w:val="000000"/>
                <w:lang w:val="lv-LV"/>
              </w:rPr>
              <w:t xml:space="preserve">s stimulēšanai, īpaši atbalstot </w:t>
            </w:r>
            <w:r w:rsidRPr="00644378">
              <w:rPr>
                <w:rFonts w:eastAsia="Calibri"/>
                <w:color w:val="000000"/>
                <w:lang w:val="lv-LV"/>
              </w:rPr>
              <w:t>akvakultūras</w:t>
            </w:r>
            <w:r w:rsidR="00B56F52">
              <w:rPr>
                <w:rFonts w:eastAsia="Calibri"/>
                <w:color w:val="000000"/>
                <w:lang w:val="lv-LV"/>
              </w:rPr>
              <w:t xml:space="preserve"> un</w:t>
            </w:r>
            <w:r w:rsidRPr="00644378">
              <w:rPr>
                <w:rFonts w:eastAsia="Calibri"/>
                <w:color w:val="000000"/>
                <w:lang w:val="lv-LV"/>
              </w:rPr>
              <w:t xml:space="preserve"> apstrādes </w:t>
            </w:r>
            <w:r w:rsidRPr="00084FDE">
              <w:rPr>
                <w:rFonts w:eastAsia="Calibri"/>
                <w:lang w:val="lv-LV"/>
              </w:rPr>
              <w:t>sektorus</w:t>
            </w:r>
            <w:r w:rsidR="00C66E23" w:rsidRPr="00084FDE">
              <w:rPr>
                <w:rFonts w:eastAsia="Calibri"/>
                <w:lang w:val="lv-LV"/>
              </w:rPr>
              <w:t>, kā arī ostu infrastruktūras pilnveidošanai</w:t>
            </w:r>
            <w:r w:rsidR="001F1611" w:rsidRPr="00084FDE">
              <w:rPr>
                <w:rFonts w:eastAsia="Calibri"/>
                <w:lang w:val="lv-LV"/>
              </w:rPr>
              <w:t>, kas nepieciešama</w:t>
            </w:r>
            <w:r w:rsidR="00C66E23" w:rsidRPr="00084FDE">
              <w:rPr>
                <w:rFonts w:eastAsia="Calibri"/>
                <w:lang w:val="lv-LV"/>
              </w:rPr>
              <w:t xml:space="preserve"> </w:t>
            </w:r>
            <w:r w:rsidR="001F1611" w:rsidRPr="00084FDE">
              <w:rPr>
                <w:rFonts w:eastAsia="Calibri"/>
                <w:lang w:val="lv-LV"/>
              </w:rPr>
              <w:t>nozvejoto zivju izkraušanas, uzglabāšanas un sākotnējās apstrādes vajadzībām</w:t>
            </w:r>
            <w:r w:rsidRPr="00084FDE">
              <w:rPr>
                <w:rFonts w:eastAsia="Calibri"/>
                <w:lang w:val="lv-LV"/>
              </w:rPr>
              <w:t>.</w:t>
            </w:r>
          </w:p>
          <w:p w14:paraId="7D912AE1" w14:textId="77777777" w:rsidR="005A34A9" w:rsidRDefault="005A7FC1" w:rsidP="00AC17D5">
            <w:pPr>
              <w:spacing w:before="120" w:after="120"/>
              <w:jc w:val="both"/>
              <w:rPr>
                <w:b/>
                <w:bCs/>
                <w:color w:val="000000"/>
                <w:lang w:val="lv-LV"/>
              </w:rPr>
            </w:pPr>
            <w:r w:rsidRPr="00191946">
              <w:rPr>
                <w:lang w:val="lv-LV"/>
              </w:rPr>
              <w:t xml:space="preserve">Kopš </w:t>
            </w:r>
            <w:r>
              <w:rPr>
                <w:lang w:val="lv-LV"/>
              </w:rPr>
              <w:t>Rīcības programmas</w:t>
            </w:r>
            <w:r w:rsidRPr="00191946">
              <w:rPr>
                <w:lang w:val="lv-LV"/>
              </w:rPr>
              <w:t xml:space="preserve"> īs</w:t>
            </w:r>
            <w:r>
              <w:rPr>
                <w:lang w:val="lv-LV"/>
              </w:rPr>
              <w:t>tenošanas uzsākšanas brīža (uz 01</w:t>
            </w:r>
            <w:r w:rsidRPr="00191946">
              <w:rPr>
                <w:lang w:val="lv-LV"/>
              </w:rPr>
              <w:t>.</w:t>
            </w:r>
            <w:r>
              <w:rPr>
                <w:lang w:val="lv-LV"/>
              </w:rPr>
              <w:t>11</w:t>
            </w:r>
            <w:r w:rsidRPr="00191946">
              <w:rPr>
                <w:lang w:val="lv-LV"/>
              </w:rPr>
              <w:t>.2011) izsludinātajās iesniegumu kārtās kopējais iesniegto iesniegumu</w:t>
            </w:r>
            <w:r>
              <w:rPr>
                <w:lang w:val="lv-LV"/>
              </w:rPr>
              <w:t xml:space="preserve"> reģistrētais</w:t>
            </w:r>
            <w:r w:rsidRPr="00191946">
              <w:rPr>
                <w:lang w:val="lv-LV"/>
              </w:rPr>
              <w:t xml:space="preserve"> publisk</w:t>
            </w:r>
            <w:r>
              <w:rPr>
                <w:lang w:val="lv-LV"/>
              </w:rPr>
              <w:t>ais finansējums</w:t>
            </w:r>
            <w:r w:rsidR="000B4233">
              <w:rPr>
                <w:lang w:val="lv-LV"/>
              </w:rPr>
              <w:t xml:space="preserve"> (iesniegtie projektu iesniegumi Lauku atbalsta dienestā)</w:t>
            </w:r>
            <w:r>
              <w:rPr>
                <w:lang w:val="lv-LV"/>
              </w:rPr>
              <w:t xml:space="preserve"> ir sasniedzis 131,2</w:t>
            </w:r>
            <w:r w:rsidRPr="00191946">
              <w:rPr>
                <w:lang w:val="lv-LV"/>
              </w:rPr>
              <w:t xml:space="preserve"> milj. latus, kas ir 1</w:t>
            </w:r>
            <w:r>
              <w:rPr>
                <w:lang w:val="lv-LV"/>
              </w:rPr>
              <w:t>15</w:t>
            </w:r>
            <w:r w:rsidRPr="00191946">
              <w:rPr>
                <w:lang w:val="lv-LV"/>
              </w:rPr>
              <w:t xml:space="preserve"> % no kopējā </w:t>
            </w:r>
            <w:r>
              <w:rPr>
                <w:lang w:val="lv-LV"/>
              </w:rPr>
              <w:t>Rīcības programmā</w:t>
            </w:r>
            <w:r w:rsidRPr="00191946">
              <w:rPr>
                <w:lang w:val="lv-LV"/>
              </w:rPr>
              <w:t xml:space="preserve"> pieejamā publiskā finansējuma. Apstiprināto iesniegumu kopējais</w:t>
            </w:r>
            <w:r w:rsidRPr="005C1970">
              <w:rPr>
                <w:lang w:val="lv-LV"/>
              </w:rPr>
              <w:t xml:space="preserve"> publiskais finansējums</w:t>
            </w:r>
            <w:r w:rsidR="00282360">
              <w:rPr>
                <w:lang w:val="lv-LV"/>
              </w:rPr>
              <w:t xml:space="preserve"> (projekti, kas ir apstiprināti, ieskaitot daļēji vai pilnībā īstenotos projektus)</w:t>
            </w:r>
            <w:r w:rsidRPr="005C1970">
              <w:rPr>
                <w:lang w:val="lv-LV"/>
              </w:rPr>
              <w:t xml:space="preserve"> ir </w:t>
            </w:r>
            <w:r>
              <w:rPr>
                <w:lang w:val="lv-LV"/>
              </w:rPr>
              <w:t>91</w:t>
            </w:r>
            <w:r w:rsidRPr="005C1970">
              <w:rPr>
                <w:lang w:val="lv-LV"/>
              </w:rPr>
              <w:t xml:space="preserve">,2 milj. latu jeb </w:t>
            </w:r>
            <w:r>
              <w:rPr>
                <w:lang w:val="lv-LV"/>
              </w:rPr>
              <w:t>78</w:t>
            </w:r>
            <w:r w:rsidRPr="005C1970">
              <w:rPr>
                <w:lang w:val="lv-LV"/>
              </w:rPr>
              <w:t xml:space="preserve"> % no kopējā </w:t>
            </w:r>
            <w:r>
              <w:rPr>
                <w:lang w:val="lv-LV"/>
              </w:rPr>
              <w:t>Rīcības programmā</w:t>
            </w:r>
            <w:r w:rsidRPr="005C1970">
              <w:rPr>
                <w:lang w:val="lv-LV"/>
              </w:rPr>
              <w:t xml:space="preserve"> pieejamā publiskā finansējuma. Savukārt kopā izmaksātais publiskais finansējums</w:t>
            </w:r>
            <w:r w:rsidR="00282360">
              <w:rPr>
                <w:lang w:val="lv-LV"/>
              </w:rPr>
              <w:t xml:space="preserve"> </w:t>
            </w:r>
            <w:r w:rsidRPr="005C1970">
              <w:rPr>
                <w:lang w:val="lv-LV"/>
              </w:rPr>
              <w:t>jau sasniedz</w:t>
            </w:r>
            <w:r>
              <w:rPr>
                <w:lang w:val="lv-LV"/>
              </w:rPr>
              <w:t>is 4</w:t>
            </w:r>
            <w:r w:rsidRPr="005C1970">
              <w:rPr>
                <w:lang w:val="lv-LV"/>
              </w:rPr>
              <w:t>8,</w:t>
            </w:r>
            <w:r>
              <w:rPr>
                <w:lang w:val="lv-LV"/>
              </w:rPr>
              <w:t>4</w:t>
            </w:r>
            <w:r w:rsidRPr="005C1970">
              <w:rPr>
                <w:lang w:val="lv-LV"/>
              </w:rPr>
              <w:t xml:space="preserve"> milj. latus jeb 41% no kopējā pieejamā publiskā finansējuma.</w:t>
            </w:r>
          </w:p>
          <w:p w14:paraId="4526E27D" w14:textId="77777777" w:rsidR="00CE0B9E" w:rsidRDefault="00CE0B9E" w:rsidP="00823324">
            <w:pPr>
              <w:spacing w:before="120" w:after="120"/>
              <w:jc w:val="center"/>
              <w:rPr>
                <w:b/>
                <w:bCs/>
                <w:color w:val="000000"/>
                <w:sz w:val="28"/>
                <w:lang w:val="lv-LV"/>
              </w:rPr>
            </w:pPr>
          </w:p>
          <w:p w14:paraId="7FCBACD9" w14:textId="77777777" w:rsidR="002F7CA4" w:rsidRDefault="005A7FC1" w:rsidP="00823324">
            <w:pPr>
              <w:spacing w:before="120" w:after="120"/>
              <w:jc w:val="center"/>
              <w:rPr>
                <w:b/>
                <w:bCs/>
                <w:color w:val="000000"/>
                <w:sz w:val="28"/>
                <w:lang w:val="lv-LV"/>
              </w:rPr>
            </w:pPr>
            <w:r w:rsidRPr="002F7CA4">
              <w:rPr>
                <w:b/>
                <w:bCs/>
                <w:color w:val="000000"/>
                <w:sz w:val="28"/>
                <w:lang w:val="lv-LV"/>
              </w:rPr>
              <w:t xml:space="preserve">Eiropas Zivsaimniecības fonda finansējuma apguve pa prioritātēm, </w:t>
            </w:r>
          </w:p>
          <w:p w14:paraId="43B3000F" w14:textId="77777777" w:rsidR="005A7FC1" w:rsidRDefault="005A7FC1" w:rsidP="00823324">
            <w:pPr>
              <w:spacing w:before="120" w:after="120"/>
              <w:jc w:val="center"/>
              <w:rPr>
                <w:b/>
                <w:bCs/>
                <w:color w:val="000000"/>
                <w:sz w:val="28"/>
                <w:lang w:val="lv-LV"/>
              </w:rPr>
            </w:pPr>
            <w:r w:rsidRPr="002F7CA4">
              <w:rPr>
                <w:b/>
                <w:bCs/>
                <w:color w:val="000000"/>
                <w:sz w:val="28"/>
                <w:lang w:val="lv-LV"/>
              </w:rPr>
              <w:t>milj. LVL uz 01.11.2011.</w:t>
            </w:r>
          </w:p>
          <w:p w14:paraId="451629C6" w14:textId="77777777" w:rsidR="00684DEC" w:rsidRPr="002F7CA4" w:rsidRDefault="00684DEC" w:rsidP="00823324">
            <w:pPr>
              <w:spacing w:before="120" w:after="120"/>
              <w:jc w:val="center"/>
              <w:rPr>
                <w:color w:val="000000"/>
                <w:sz w:val="28"/>
                <w:lang w:val="lv-LV"/>
              </w:rPr>
            </w:pPr>
          </w:p>
          <w:p w14:paraId="7E4D6119" w14:textId="7851D808" w:rsidR="005A7FC1" w:rsidRDefault="004024CB" w:rsidP="00CB5A48">
            <w:pPr>
              <w:spacing w:before="120" w:after="120"/>
              <w:jc w:val="center"/>
              <w:rPr>
                <w:noProof/>
                <w:color w:val="000000"/>
                <w:lang w:val="lv-LV" w:eastAsia="lv-LV"/>
              </w:rPr>
            </w:pPr>
            <w:r w:rsidRPr="00736F2A">
              <w:rPr>
                <w:noProof/>
                <w:color w:val="000000"/>
                <w:lang w:val="lv-LV" w:eastAsia="lv-LV"/>
              </w:rPr>
              <w:drawing>
                <wp:inline distT="0" distB="0" distL="0" distR="0" wp14:anchorId="1AD7DEE2" wp14:editId="442270E5">
                  <wp:extent cx="4973320" cy="3480435"/>
                  <wp:effectExtent l="0" t="0" r="0" b="0"/>
                  <wp:docPr id="1" name="Diagramma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9309EB" w14:textId="77777777" w:rsidR="00650983" w:rsidRDefault="00650983" w:rsidP="002F7CA4">
            <w:pPr>
              <w:jc w:val="center"/>
              <w:rPr>
                <w:b/>
                <w:bCs/>
                <w:color w:val="000000"/>
                <w:sz w:val="28"/>
                <w:lang w:val="lv-LV"/>
              </w:rPr>
            </w:pPr>
          </w:p>
          <w:p w14:paraId="18F076BB" w14:textId="77777777" w:rsidR="00650983" w:rsidRDefault="00650983" w:rsidP="002F7CA4">
            <w:pPr>
              <w:jc w:val="center"/>
              <w:rPr>
                <w:b/>
                <w:bCs/>
                <w:color w:val="000000"/>
                <w:sz w:val="28"/>
                <w:lang w:val="lv-LV"/>
              </w:rPr>
            </w:pPr>
          </w:p>
          <w:p w14:paraId="5C07AF3C" w14:textId="77777777" w:rsidR="00650983" w:rsidRDefault="00650983" w:rsidP="002F7CA4">
            <w:pPr>
              <w:jc w:val="center"/>
              <w:rPr>
                <w:b/>
                <w:bCs/>
                <w:color w:val="000000"/>
                <w:sz w:val="28"/>
                <w:lang w:val="lv-LV"/>
              </w:rPr>
            </w:pPr>
          </w:p>
          <w:p w14:paraId="2DDA7FB1" w14:textId="77777777" w:rsidR="00650983" w:rsidRDefault="00650983" w:rsidP="002F7CA4">
            <w:pPr>
              <w:jc w:val="center"/>
              <w:rPr>
                <w:b/>
                <w:bCs/>
                <w:color w:val="000000"/>
                <w:sz w:val="28"/>
                <w:lang w:val="lv-LV"/>
              </w:rPr>
            </w:pPr>
          </w:p>
          <w:p w14:paraId="32617C8C" w14:textId="77777777" w:rsidR="00650983" w:rsidRDefault="00650983" w:rsidP="002F7CA4">
            <w:pPr>
              <w:jc w:val="center"/>
              <w:rPr>
                <w:b/>
                <w:bCs/>
                <w:color w:val="000000"/>
                <w:sz w:val="28"/>
                <w:lang w:val="lv-LV"/>
              </w:rPr>
            </w:pPr>
          </w:p>
          <w:p w14:paraId="60F3D921" w14:textId="77777777" w:rsidR="00650983" w:rsidRDefault="00650983" w:rsidP="002F7CA4">
            <w:pPr>
              <w:jc w:val="center"/>
              <w:rPr>
                <w:b/>
                <w:bCs/>
                <w:color w:val="000000"/>
                <w:sz w:val="28"/>
                <w:lang w:val="lv-LV"/>
              </w:rPr>
            </w:pPr>
          </w:p>
          <w:p w14:paraId="05DDB1C4" w14:textId="77777777" w:rsidR="00650983" w:rsidRDefault="00650983" w:rsidP="002F7CA4">
            <w:pPr>
              <w:jc w:val="center"/>
              <w:rPr>
                <w:b/>
                <w:bCs/>
                <w:color w:val="000000"/>
                <w:sz w:val="28"/>
                <w:lang w:val="lv-LV"/>
              </w:rPr>
            </w:pPr>
          </w:p>
          <w:p w14:paraId="24F95976" w14:textId="77777777" w:rsidR="00650983" w:rsidRDefault="00650983" w:rsidP="002F7CA4">
            <w:pPr>
              <w:jc w:val="center"/>
              <w:rPr>
                <w:b/>
                <w:bCs/>
                <w:color w:val="000000"/>
                <w:sz w:val="28"/>
                <w:lang w:val="lv-LV"/>
              </w:rPr>
            </w:pPr>
          </w:p>
          <w:p w14:paraId="0CE9D29F" w14:textId="77777777" w:rsidR="00650983" w:rsidRDefault="00650983" w:rsidP="002F7CA4">
            <w:pPr>
              <w:jc w:val="center"/>
              <w:rPr>
                <w:b/>
                <w:bCs/>
                <w:color w:val="000000"/>
                <w:sz w:val="28"/>
                <w:lang w:val="lv-LV"/>
              </w:rPr>
            </w:pPr>
          </w:p>
          <w:p w14:paraId="0141CD92" w14:textId="77777777" w:rsidR="00650983" w:rsidRDefault="00650983" w:rsidP="002F7CA4">
            <w:pPr>
              <w:jc w:val="center"/>
              <w:rPr>
                <w:b/>
                <w:bCs/>
                <w:color w:val="000000"/>
                <w:sz w:val="28"/>
                <w:lang w:val="lv-LV"/>
              </w:rPr>
            </w:pPr>
          </w:p>
          <w:p w14:paraId="5478092B" w14:textId="77777777" w:rsidR="00650983" w:rsidRDefault="00650983" w:rsidP="002F7CA4">
            <w:pPr>
              <w:jc w:val="center"/>
              <w:rPr>
                <w:b/>
                <w:bCs/>
                <w:color w:val="000000"/>
                <w:sz w:val="28"/>
                <w:lang w:val="lv-LV"/>
              </w:rPr>
            </w:pPr>
          </w:p>
          <w:p w14:paraId="1C049A21" w14:textId="77777777" w:rsidR="00650983" w:rsidRDefault="00650983" w:rsidP="00374AAC">
            <w:pPr>
              <w:rPr>
                <w:b/>
                <w:bCs/>
                <w:color w:val="000000"/>
                <w:sz w:val="28"/>
                <w:lang w:val="lv-LV"/>
              </w:rPr>
            </w:pPr>
          </w:p>
          <w:p w14:paraId="7799AB51" w14:textId="77777777" w:rsidR="00650983" w:rsidRDefault="00650983" w:rsidP="002F7CA4">
            <w:pPr>
              <w:jc w:val="center"/>
              <w:rPr>
                <w:b/>
                <w:bCs/>
                <w:color w:val="000000"/>
                <w:sz w:val="28"/>
                <w:lang w:val="lv-LV"/>
              </w:rPr>
            </w:pPr>
          </w:p>
          <w:p w14:paraId="5D4E3FA1" w14:textId="77777777" w:rsidR="002F7CA4" w:rsidRDefault="005A7FC1" w:rsidP="002F7CA4">
            <w:pPr>
              <w:jc w:val="center"/>
              <w:rPr>
                <w:b/>
                <w:bCs/>
                <w:color w:val="000000"/>
                <w:sz w:val="28"/>
                <w:lang w:val="lv-LV"/>
              </w:rPr>
            </w:pPr>
            <w:r w:rsidRPr="002F7CA4">
              <w:rPr>
                <w:b/>
                <w:bCs/>
                <w:color w:val="000000"/>
                <w:sz w:val="28"/>
                <w:lang w:val="lv-LV"/>
              </w:rPr>
              <w:t xml:space="preserve">Eiropas Zivsaimniecības fonda finansējuma apguve pa prioritātēm, </w:t>
            </w:r>
          </w:p>
          <w:p w14:paraId="1DEBF169" w14:textId="77777777" w:rsidR="00976B1D" w:rsidRPr="002F7CA4" w:rsidRDefault="005A7FC1" w:rsidP="002F7CA4">
            <w:pPr>
              <w:jc w:val="center"/>
              <w:rPr>
                <w:b/>
                <w:bCs/>
                <w:color w:val="000000"/>
                <w:sz w:val="28"/>
                <w:lang w:val="lv-LV"/>
              </w:rPr>
            </w:pPr>
            <w:r w:rsidRPr="002F7CA4">
              <w:rPr>
                <w:b/>
                <w:bCs/>
                <w:color w:val="000000"/>
                <w:sz w:val="28"/>
                <w:lang w:val="lv-LV"/>
              </w:rPr>
              <w:t>% uz 01.11.2011.</w:t>
            </w:r>
          </w:p>
          <w:p w14:paraId="7F990E86" w14:textId="47A4CABF" w:rsidR="00CB5A48" w:rsidRDefault="004024CB" w:rsidP="00D61534">
            <w:pPr>
              <w:jc w:val="center"/>
              <w:rPr>
                <w:noProof/>
                <w:lang w:val="lv-LV" w:eastAsia="lv-LV"/>
              </w:rPr>
            </w:pPr>
            <w:r w:rsidRPr="00736F2A">
              <w:rPr>
                <w:noProof/>
                <w:lang w:val="lv-LV" w:eastAsia="lv-LV"/>
              </w:rPr>
              <w:drawing>
                <wp:inline distT="0" distB="0" distL="0" distR="0" wp14:anchorId="668E3314" wp14:editId="58DA3EB7">
                  <wp:extent cx="4988560" cy="3676650"/>
                  <wp:effectExtent l="0" t="0" r="0" b="0"/>
                  <wp:docPr id="2" name="Diagramma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CF3287" w14:textId="77777777" w:rsidR="00A14E78" w:rsidRDefault="003079C2" w:rsidP="00600B30">
            <w:pPr>
              <w:jc w:val="both"/>
              <w:rPr>
                <w:lang w:val="lv-LV"/>
              </w:rPr>
            </w:pPr>
            <w:r>
              <w:rPr>
                <w:lang w:val="lv-LV"/>
              </w:rPr>
              <w:t>       </w:t>
            </w:r>
          </w:p>
          <w:p w14:paraId="00D224A9" w14:textId="77777777" w:rsidR="00BC5D6C" w:rsidRDefault="00BC5D6C" w:rsidP="001573F5">
            <w:pPr>
              <w:jc w:val="both"/>
              <w:rPr>
                <w:b/>
                <w:lang w:val="lv-LV"/>
              </w:rPr>
            </w:pPr>
          </w:p>
          <w:p w14:paraId="18D5230A" w14:textId="77777777" w:rsidR="00AC17D5" w:rsidRDefault="001573F5" w:rsidP="001573F5">
            <w:pPr>
              <w:jc w:val="both"/>
              <w:rPr>
                <w:lang w:val="lv-LV"/>
              </w:rPr>
            </w:pPr>
            <w:r w:rsidRPr="001573F5">
              <w:rPr>
                <w:b/>
                <w:lang w:val="lv-LV"/>
              </w:rPr>
              <w:t>Zvejas kontrole un uzraudzība</w:t>
            </w:r>
            <w:r w:rsidR="002B5BA2">
              <w:rPr>
                <w:b/>
                <w:lang w:val="lv-LV"/>
              </w:rPr>
              <w:t xml:space="preserve">. </w:t>
            </w:r>
            <w:r w:rsidR="003079C2" w:rsidRPr="001573F5">
              <w:rPr>
                <w:lang w:val="lv-LV"/>
              </w:rPr>
              <w:t>Latvijā zvejas kontroli un uzraudzību</w:t>
            </w:r>
            <w:r w:rsidR="003079C2" w:rsidRPr="003079C2">
              <w:rPr>
                <w:lang w:val="lv-LV"/>
              </w:rPr>
              <w:t xml:space="preserve"> nodrošina Valsts vides dienesta Jūras un iekšējo ūdeņu pārvalde (turpmāk- JIŪP). JIŪP 2009.gadā izstrādāja zvejas kontroles nacionālo programmu Kopienas finanšu pasākuma ietvaros saistībā ar zvejas darbību elektroniskās reģistrācijas un ziņošanas sistēmas, kā arī zivju pirmās pirkšanas darījumu elektroniskās reģistrēšanas ieviešanu. Projekta apmērs bija 15 652 </w:t>
            </w:r>
            <w:r w:rsidR="009E5D26">
              <w:rPr>
                <w:lang w:val="lv-LV"/>
              </w:rPr>
              <w:t>eiro</w:t>
            </w:r>
            <w:r w:rsidR="003079C2" w:rsidRPr="003079C2">
              <w:rPr>
                <w:lang w:val="lv-LV"/>
              </w:rPr>
              <w:t xml:space="preserve">, no kuriem Kopienas ieguldījums veidoja 14 869 </w:t>
            </w:r>
            <w:r w:rsidR="009E5D26">
              <w:rPr>
                <w:lang w:val="lv-LV"/>
              </w:rPr>
              <w:t>eiro</w:t>
            </w:r>
            <w:r w:rsidR="003079C2" w:rsidRPr="003079C2">
              <w:rPr>
                <w:lang w:val="lv-LV"/>
              </w:rPr>
              <w:t>.</w:t>
            </w:r>
            <w:r w:rsidR="003079C2">
              <w:rPr>
                <w:lang w:val="lv-LV"/>
              </w:rPr>
              <w:t xml:space="preserve"> Papildus </w:t>
            </w:r>
            <w:r w:rsidR="003079C2" w:rsidRPr="003079C2">
              <w:rPr>
                <w:lang w:val="lv-LV"/>
              </w:rPr>
              <w:t xml:space="preserve">2011.gadam ar </w:t>
            </w:r>
            <w:r w:rsidR="00F07ADC">
              <w:rPr>
                <w:lang w:val="lv-LV"/>
              </w:rPr>
              <w:t>Komisijas</w:t>
            </w:r>
            <w:r w:rsidR="00F07ADC" w:rsidRPr="003079C2">
              <w:rPr>
                <w:lang w:val="lv-LV"/>
              </w:rPr>
              <w:t xml:space="preserve"> </w:t>
            </w:r>
            <w:r w:rsidR="003079C2" w:rsidRPr="003079C2">
              <w:rPr>
                <w:lang w:val="lv-LV"/>
              </w:rPr>
              <w:t xml:space="preserve">lēmumu </w:t>
            </w:r>
            <w:r w:rsidR="00600B30">
              <w:rPr>
                <w:lang w:val="lv-LV"/>
              </w:rPr>
              <w:t xml:space="preserve">tika </w:t>
            </w:r>
            <w:r w:rsidR="003079C2" w:rsidRPr="003079C2">
              <w:rPr>
                <w:lang w:val="lv-LV"/>
              </w:rPr>
              <w:t>apstiprināts finansējums L</w:t>
            </w:r>
            <w:r w:rsidR="00F07ADC">
              <w:rPr>
                <w:lang w:val="lv-LV"/>
              </w:rPr>
              <w:t>atvijas</w:t>
            </w:r>
            <w:r w:rsidR="003079C2" w:rsidRPr="003079C2">
              <w:rPr>
                <w:lang w:val="lv-LV"/>
              </w:rPr>
              <w:t xml:space="preserve"> kontroles programmas realizācijai 140 994 </w:t>
            </w:r>
            <w:r w:rsidR="009E5D26">
              <w:rPr>
                <w:lang w:val="lv-LV"/>
              </w:rPr>
              <w:t>eiro</w:t>
            </w:r>
            <w:r w:rsidR="009E5D26" w:rsidRPr="003079C2">
              <w:rPr>
                <w:lang w:val="lv-LV"/>
              </w:rPr>
              <w:t xml:space="preserve"> </w:t>
            </w:r>
            <w:r w:rsidR="003079C2" w:rsidRPr="003079C2">
              <w:rPr>
                <w:lang w:val="lv-LV"/>
              </w:rPr>
              <w:t>apmērā, kur L</w:t>
            </w:r>
            <w:r w:rsidR="00F07ADC">
              <w:rPr>
                <w:lang w:val="lv-LV"/>
              </w:rPr>
              <w:t>atvijas</w:t>
            </w:r>
            <w:r w:rsidR="003079C2" w:rsidRPr="003079C2">
              <w:rPr>
                <w:lang w:val="lv-LV"/>
              </w:rPr>
              <w:t xml:space="preserve"> lī</w:t>
            </w:r>
            <w:r w:rsidR="00600B30">
              <w:rPr>
                <w:lang w:val="lv-LV"/>
              </w:rPr>
              <w:t xml:space="preserve">dzfinansējums ir 126 850 </w:t>
            </w:r>
            <w:r w:rsidR="009E5D26">
              <w:rPr>
                <w:lang w:val="lv-LV"/>
              </w:rPr>
              <w:t>eiro</w:t>
            </w:r>
            <w:r w:rsidR="00600B30">
              <w:rPr>
                <w:lang w:val="lv-LV"/>
              </w:rPr>
              <w:t>. Šis</w:t>
            </w:r>
            <w:r w:rsidR="003079C2" w:rsidRPr="003079C2">
              <w:rPr>
                <w:lang w:val="lv-LV"/>
              </w:rPr>
              <w:t xml:space="preserve"> </w:t>
            </w:r>
            <w:r w:rsidR="00600B30">
              <w:rPr>
                <w:lang w:val="lv-LV"/>
              </w:rPr>
              <w:t>finansējums</w:t>
            </w:r>
            <w:r w:rsidR="003079C2" w:rsidRPr="003079C2">
              <w:rPr>
                <w:lang w:val="lv-LV"/>
              </w:rPr>
              <w:t xml:space="preserve"> paredzēt</w:t>
            </w:r>
            <w:r w:rsidR="00600B30">
              <w:rPr>
                <w:lang w:val="lv-LV"/>
              </w:rPr>
              <w:t>s</w:t>
            </w:r>
            <w:r w:rsidR="003079C2" w:rsidRPr="003079C2">
              <w:rPr>
                <w:lang w:val="lv-LV"/>
              </w:rPr>
              <w:t xml:space="preserve"> zvejas darbību elektroniskās ziņošanas sistēmas pilnveidei.</w:t>
            </w:r>
          </w:p>
          <w:p w14:paraId="43AE0097" w14:textId="77777777" w:rsidR="00600B30" w:rsidRDefault="00600B30" w:rsidP="00600B30">
            <w:pPr>
              <w:jc w:val="both"/>
              <w:rPr>
                <w:lang w:val="lv-LV"/>
              </w:rPr>
            </w:pPr>
          </w:p>
          <w:p w14:paraId="05596A8D" w14:textId="77777777" w:rsidR="00600B30" w:rsidRDefault="001573F5" w:rsidP="001573F5">
            <w:pPr>
              <w:jc w:val="both"/>
              <w:rPr>
                <w:noProof/>
                <w:lang w:val="lv-LV" w:eastAsia="lv-LV"/>
              </w:rPr>
            </w:pPr>
            <w:r w:rsidRPr="00B7491C">
              <w:rPr>
                <w:b/>
                <w:lang w:val="lv-LV"/>
              </w:rPr>
              <w:t>Zivsaimniecības datu vākšana</w:t>
            </w:r>
            <w:r>
              <w:rPr>
                <w:b/>
                <w:lang w:val="lv-LV"/>
              </w:rPr>
              <w:t>, pārvaldība</w:t>
            </w:r>
            <w:r w:rsidRPr="00B7491C">
              <w:rPr>
                <w:b/>
                <w:lang w:val="lv-LV"/>
              </w:rPr>
              <w:t xml:space="preserve"> un izmantošana</w:t>
            </w:r>
            <w:r w:rsidR="002B5BA2">
              <w:rPr>
                <w:b/>
                <w:lang w:val="lv-LV"/>
              </w:rPr>
              <w:t xml:space="preserve"> </w:t>
            </w:r>
            <w:r w:rsidR="00600B30" w:rsidRPr="00600B30">
              <w:rPr>
                <w:lang w:val="lv-LV"/>
              </w:rPr>
              <w:t>joma Latvijā ir valsts institūta „P</w:t>
            </w:r>
            <w:r w:rsidR="00600B30" w:rsidRPr="00600B30">
              <w:rPr>
                <w:color w:val="000000"/>
                <w:lang w:val="lv-LV"/>
              </w:rPr>
              <w:t>ārtikas drošības, dzīvnieku veselības un vides zinātniskais institūts” (turpmāk- BIOR) kompetencē. BIOR un iepriekš v/a „Latvijas Zivju resursu aģentūra” saskaņā ar ES tiesību aktu prasībām izstrādā un realizē nacionālās zivsaimniecības datu vākšanas programmas kopš  Latvijas iestāšanās ES. Šo programmu ietvaros tiek vākti dati par zivju krājumu stāvokli un zvejniecību Baltijas jūrā gan aiz piekrastes joslas, gan piekrastē. Būtiska programmas sastāvdaļa ir arī nozares ekonomisk</w:t>
            </w:r>
            <w:r w:rsidR="00F07ADC">
              <w:rPr>
                <w:color w:val="000000"/>
                <w:lang w:val="lv-LV"/>
              </w:rPr>
              <w:t>o</w:t>
            </w:r>
            <w:r w:rsidR="00600B30" w:rsidRPr="00600B30">
              <w:rPr>
                <w:color w:val="000000"/>
                <w:lang w:val="lv-LV"/>
              </w:rPr>
              <w:t xml:space="preserve"> datu sagatavošana atbilstoši regulu prasībām. Tāpat šīs programmas ietvaros tiek nodrošināta Latvijas zivsaimniecības nozares zinātnieku dalība dažādu starptautisku organizāciju sanāksmēs, piemēram, Starptautiskās jūras pētniecības padomē (ICES) u.c., kura nepieciešama kopīgai datu apstrādei un sagatavošanai. </w:t>
            </w:r>
            <w:r w:rsidR="00805239">
              <w:rPr>
                <w:color w:val="000000"/>
                <w:lang w:val="lv-LV"/>
              </w:rPr>
              <w:t>P</w:t>
            </w:r>
            <w:r w:rsidR="008538AC">
              <w:rPr>
                <w:color w:val="000000"/>
                <w:lang w:val="lv-LV"/>
              </w:rPr>
              <w:t xml:space="preserve">rogrammas īstenošanai </w:t>
            </w:r>
            <w:r w:rsidR="00B7491C">
              <w:rPr>
                <w:color w:val="000000"/>
                <w:lang w:val="lv-LV"/>
              </w:rPr>
              <w:t xml:space="preserve">2010.gadā </w:t>
            </w:r>
            <w:r w:rsidR="00F07ADC">
              <w:rPr>
                <w:color w:val="000000"/>
                <w:lang w:val="lv-LV"/>
              </w:rPr>
              <w:t xml:space="preserve">kopā tika atvēlēti </w:t>
            </w:r>
            <w:r w:rsidR="00B7491C">
              <w:rPr>
                <w:color w:val="000000"/>
                <w:lang w:val="lv-LV"/>
              </w:rPr>
              <w:t>311 592 lati, savukārt</w:t>
            </w:r>
            <w:r w:rsidR="008538AC" w:rsidRPr="008538AC">
              <w:rPr>
                <w:color w:val="000000"/>
                <w:lang w:val="lv-LV"/>
              </w:rPr>
              <w:t xml:space="preserve"> </w:t>
            </w:r>
            <w:r w:rsidR="008538AC" w:rsidRPr="008538AC">
              <w:rPr>
                <w:color w:val="000000"/>
                <w:lang w:val="lv-LV"/>
              </w:rPr>
              <w:lastRenderedPageBreak/>
              <w:t xml:space="preserve">2011.gadā </w:t>
            </w:r>
            <w:r w:rsidR="00B7491C">
              <w:rPr>
                <w:color w:val="000000"/>
                <w:lang w:val="lv-LV"/>
              </w:rPr>
              <w:t>prognozētie</w:t>
            </w:r>
            <w:r w:rsidR="008538AC" w:rsidRPr="008538AC">
              <w:rPr>
                <w:color w:val="000000"/>
                <w:lang w:val="lv-LV"/>
              </w:rPr>
              <w:t xml:space="preserve"> izdevumi </w:t>
            </w:r>
            <w:r w:rsidR="00B7491C">
              <w:rPr>
                <w:color w:val="000000"/>
                <w:lang w:val="lv-LV"/>
              </w:rPr>
              <w:t xml:space="preserve">ir </w:t>
            </w:r>
            <w:r w:rsidR="008538AC" w:rsidRPr="008538AC">
              <w:rPr>
                <w:color w:val="000000"/>
                <w:lang w:val="lv-LV"/>
              </w:rPr>
              <w:t>213 962,81 lati.</w:t>
            </w:r>
            <w:r w:rsidR="00E10730" w:rsidRPr="003079C2">
              <w:rPr>
                <w:noProof/>
                <w:lang w:val="lv-LV" w:eastAsia="lv-LV"/>
              </w:rPr>
              <w:t xml:space="preserve"> </w:t>
            </w:r>
          </w:p>
          <w:p w14:paraId="52595C2B" w14:textId="77777777" w:rsidR="001573F5" w:rsidRDefault="001573F5" w:rsidP="00E10730">
            <w:pPr>
              <w:ind w:firstLine="460"/>
              <w:jc w:val="both"/>
              <w:rPr>
                <w:noProof/>
                <w:lang w:val="lv-LV" w:eastAsia="lv-LV"/>
              </w:rPr>
            </w:pPr>
          </w:p>
          <w:p w14:paraId="4931B942" w14:textId="77777777" w:rsidR="00F84A48" w:rsidRPr="00C61FFF" w:rsidRDefault="001573F5" w:rsidP="002800A0">
            <w:pPr>
              <w:jc w:val="both"/>
              <w:rPr>
                <w:lang w:val="lv-LV"/>
              </w:rPr>
            </w:pPr>
            <w:r w:rsidRPr="001573F5">
              <w:rPr>
                <w:b/>
                <w:bCs/>
                <w:lang w:val="lv-LV"/>
              </w:rPr>
              <w:t>Piekrastes telpiskā attīstība</w:t>
            </w:r>
            <w:r w:rsidR="002B5BA2">
              <w:rPr>
                <w:b/>
                <w:bCs/>
                <w:lang w:val="lv-LV"/>
              </w:rPr>
              <w:t xml:space="preserve">. </w:t>
            </w:r>
            <w:r w:rsidRPr="002B5BA2">
              <w:rPr>
                <w:bCs/>
                <w:lang w:val="lv-LV"/>
              </w:rPr>
              <w:t>Latvijas ilgtspējīgas attīstības stratēģijā līdz 2030. gadam „Latvija 2030”</w:t>
            </w:r>
            <w:r w:rsidRPr="001573F5">
              <w:rPr>
                <w:lang w:val="lv-LV"/>
              </w:rPr>
              <w:t xml:space="preserve">  Baltijas jūras piekraste ir definēta kā viena no </w:t>
            </w:r>
            <w:r w:rsidRPr="00C61FFF">
              <w:rPr>
                <w:lang w:val="lv-LV"/>
              </w:rPr>
              <w:t>nacionālo interešu telpām</w:t>
            </w:r>
            <w:r w:rsidRPr="001573F5">
              <w:rPr>
                <w:lang w:val="lv-LV"/>
              </w:rPr>
              <w:t xml:space="preserve"> un noteikts, ka</w:t>
            </w:r>
            <w:r w:rsidRPr="001573F5">
              <w:rPr>
                <w:b/>
                <w:bCs/>
                <w:lang w:val="lv-LV"/>
              </w:rPr>
              <w:t xml:space="preserve"> </w:t>
            </w:r>
            <w:r w:rsidRPr="001573F5">
              <w:rPr>
                <w:lang w:val="lv-LV"/>
              </w:rPr>
              <w:t>tā</w:t>
            </w:r>
            <w:r w:rsidRPr="001573F5">
              <w:rPr>
                <w:b/>
                <w:bCs/>
                <w:lang w:val="lv-LV"/>
              </w:rPr>
              <w:t xml:space="preserve"> </w:t>
            </w:r>
            <w:r w:rsidRPr="001573F5">
              <w:rPr>
                <w:lang w:val="lv-LV"/>
              </w:rPr>
              <w:t>ir viena no Latvijas lielākajām vērtībām, kur dabas un kultūras mantojuma saglabāšana jālīdzsvaro ar ekonomiskās attīstības veicināšanu.</w:t>
            </w:r>
            <w:r w:rsidR="002800A0">
              <w:rPr>
                <w:lang w:val="lv-LV"/>
              </w:rPr>
              <w:t xml:space="preserve"> V</w:t>
            </w:r>
            <w:r w:rsidR="00F84A48" w:rsidRPr="00F84A48">
              <w:rPr>
                <w:lang w:val="lv-LV"/>
              </w:rPr>
              <w:t xml:space="preserve">alsts politika par piekrastes telpisko attīstību ir definēta </w:t>
            </w:r>
            <w:r w:rsidR="00F84A48" w:rsidRPr="009E5D26">
              <w:rPr>
                <w:bCs/>
                <w:lang w:val="lv-LV"/>
              </w:rPr>
              <w:t>“Piekrastes telpiskās attīstības pamatnostādnēs 2011.-2017.gadam”</w:t>
            </w:r>
            <w:r w:rsidR="00F84A48" w:rsidRPr="00F84A48">
              <w:rPr>
                <w:b/>
                <w:bCs/>
                <w:lang w:val="lv-LV"/>
              </w:rPr>
              <w:t xml:space="preserve"> </w:t>
            </w:r>
            <w:r w:rsidR="00F84A48" w:rsidRPr="00F84A48">
              <w:rPr>
                <w:lang w:val="lv-LV"/>
              </w:rPr>
              <w:t>(</w:t>
            </w:r>
            <w:r w:rsidR="00333853">
              <w:rPr>
                <w:lang w:val="lv-LV"/>
              </w:rPr>
              <w:t>MK</w:t>
            </w:r>
            <w:r w:rsidR="00F84A48" w:rsidRPr="00F84A48">
              <w:rPr>
                <w:lang w:val="lv-LV"/>
              </w:rPr>
              <w:t xml:space="preserve">  apstiprinātas  </w:t>
            </w:r>
            <w:r w:rsidR="009E5D26">
              <w:rPr>
                <w:lang w:val="lv-LV"/>
              </w:rPr>
              <w:t>20.04.</w:t>
            </w:r>
            <w:r w:rsidR="00F84A48" w:rsidRPr="00F84A48">
              <w:rPr>
                <w:lang w:val="lv-LV"/>
              </w:rPr>
              <w:t xml:space="preserve">2011.). Pamatnostādnes nosaka, ka piekrastes nozīmīgākā vērtība un attīstības resurss ir </w:t>
            </w:r>
            <w:r w:rsidR="00F84A48" w:rsidRPr="00C61FFF">
              <w:rPr>
                <w:lang w:val="lv-LV"/>
              </w:rPr>
              <w:t>vienotais piekrastes dabas un kultūras mantojums</w:t>
            </w:r>
            <w:r w:rsidR="00F84A48" w:rsidRPr="00F84A48">
              <w:rPr>
                <w:lang w:val="lv-LV"/>
              </w:rPr>
              <w:t xml:space="preserve">, kas ietver gan dabas un kultūras vērtības, gan piekrastei raksturīgo dzīvesveidu -zvejniecību, to pavadošās nodarbes, darbu ostās, kūrortpakalpojumu sniegšanu. </w:t>
            </w:r>
          </w:p>
          <w:p w14:paraId="139CF870" w14:textId="77777777" w:rsidR="00333853" w:rsidRDefault="00333853" w:rsidP="00F84A48">
            <w:pPr>
              <w:shd w:val="clear" w:color="auto" w:fill="FFFFFF"/>
              <w:autoSpaceDE w:val="0"/>
              <w:autoSpaceDN w:val="0"/>
              <w:jc w:val="both"/>
              <w:rPr>
                <w:b/>
                <w:bCs/>
                <w:lang w:val="lv-LV"/>
              </w:rPr>
            </w:pPr>
          </w:p>
          <w:p w14:paraId="07F3A3E7" w14:textId="77777777" w:rsidR="00C52FF0" w:rsidRDefault="00F84A48" w:rsidP="002B5BA2">
            <w:pPr>
              <w:shd w:val="clear" w:color="auto" w:fill="FFFFFF"/>
              <w:autoSpaceDE w:val="0"/>
              <w:autoSpaceDN w:val="0"/>
              <w:jc w:val="both"/>
              <w:rPr>
                <w:color w:val="1F497D"/>
                <w:lang w:val="lv-LV"/>
              </w:rPr>
            </w:pPr>
            <w:r w:rsidRPr="00F84A48">
              <w:rPr>
                <w:b/>
                <w:bCs/>
                <w:lang w:val="lv-LV"/>
              </w:rPr>
              <w:t>Jūras telpiskā plānošana</w:t>
            </w:r>
            <w:r w:rsidR="002B5BA2">
              <w:rPr>
                <w:b/>
                <w:bCs/>
                <w:lang w:val="lv-LV"/>
              </w:rPr>
              <w:t xml:space="preserve">. </w:t>
            </w:r>
            <w:r w:rsidRPr="00F84A48">
              <w:rPr>
                <w:lang w:val="lv-LV"/>
              </w:rPr>
              <w:t>Pieaugot jūras izmantošanas intensitātei un parādoties jaunām tās izmantošanas iespējām, visā pasaulē ir aktualizējies jautājums par integrētu pieeju jūras izmantošanai, t.i. integrētu jūrlietu politiku. Viens no nozīmīgākajiem šādas politikas veidošanas un īstenošanas instrumentiem ir  jūras telpiskā plānošana, kuras loma ilgtspējīgas piekrastes un jūras akvatorijas izmantošanas nodrošināšanā ir uzsvērta arī  Latvijas Ilgtspējīgas attīstības stratēģijā līdz 2030.gadam „Latvija 2030”. Jūras telpiskās</w:t>
            </w:r>
            <w:r w:rsidRPr="00F84A48">
              <w:rPr>
                <w:color w:val="1F497D"/>
                <w:lang w:val="lv-LV"/>
              </w:rPr>
              <w:t xml:space="preserve"> </w:t>
            </w:r>
            <w:r w:rsidRPr="00F84A48">
              <w:rPr>
                <w:lang w:val="lv-LV"/>
              </w:rPr>
              <w:t>plānošanas jēdziens ir ietverts arī   „Telpiskās plānošanas sistēmas attīstības koncepcijā” (MK</w:t>
            </w:r>
            <w:r w:rsidR="009E5D26">
              <w:rPr>
                <w:lang w:val="lv-LV"/>
              </w:rPr>
              <w:t xml:space="preserve"> apstiprināts</w:t>
            </w:r>
            <w:r w:rsidRPr="00F84A48">
              <w:rPr>
                <w:lang w:val="lv-LV"/>
              </w:rPr>
              <w:t xml:space="preserve"> </w:t>
            </w:r>
            <w:r w:rsidR="009E5D26">
              <w:rPr>
                <w:lang w:val="lv-LV"/>
              </w:rPr>
              <w:t>15.07.</w:t>
            </w:r>
            <w:r w:rsidRPr="00F84A48">
              <w:rPr>
                <w:lang w:val="lv-LV"/>
              </w:rPr>
              <w:t xml:space="preserve">2009.) un Jūras vides aizsardzības un pārvaldības likumā (stājās spēkā </w:t>
            </w:r>
            <w:r w:rsidR="009E5D26">
              <w:rPr>
                <w:lang w:val="lv-LV"/>
              </w:rPr>
              <w:t>18.11.</w:t>
            </w:r>
            <w:r w:rsidRPr="00F84A48">
              <w:rPr>
                <w:lang w:val="lv-LV"/>
              </w:rPr>
              <w:t>2010.).  Teritorijas attīstības plānošanas likums (apstiprināts Saeimā 2011.</w:t>
            </w:r>
            <w:r w:rsidR="009E5D26">
              <w:rPr>
                <w:lang w:val="lv-LV"/>
              </w:rPr>
              <w:t>13.10.</w:t>
            </w:r>
            <w:r w:rsidRPr="00F84A48">
              <w:rPr>
                <w:lang w:val="lv-LV"/>
              </w:rPr>
              <w:t xml:space="preserve">) nosaka, </w:t>
            </w:r>
            <w:r w:rsidRPr="00C61FFF">
              <w:rPr>
                <w:lang w:val="lv-LV"/>
              </w:rPr>
              <w:t>ka jūras plānojuma izstrāde Latvijā jāuzsāk līdz 2014.gada 1.janvārim, taču jau pašlaik notiek aktīvs darbs, lai jūras telpiskajā plānošanā nodrošinātu visu ieinteresēto pušu līdzdalību un</w:t>
            </w:r>
            <w:r w:rsidRPr="00C61FFF">
              <w:rPr>
                <w:color w:val="1F497D"/>
                <w:lang w:val="lv-LV"/>
              </w:rPr>
              <w:t xml:space="preserve"> </w:t>
            </w:r>
            <w:r w:rsidRPr="00C61FFF">
              <w:rPr>
                <w:lang w:val="lv-LV"/>
              </w:rPr>
              <w:t>nepieciešamās informācijas sagatavošanu.</w:t>
            </w:r>
            <w:r w:rsidRPr="00F84A48">
              <w:rPr>
                <w:color w:val="1F497D"/>
                <w:lang w:val="lv-LV"/>
              </w:rPr>
              <w:t xml:space="preserve"> </w:t>
            </w:r>
            <w:r w:rsidRPr="00F84A48">
              <w:rPr>
                <w:lang w:val="lv-LV"/>
              </w:rPr>
              <w:t> </w:t>
            </w:r>
          </w:p>
          <w:p w14:paraId="28E385C6" w14:textId="77777777" w:rsidR="00C52FF0" w:rsidRPr="003079C2" w:rsidRDefault="00C52FF0" w:rsidP="00374AAC">
            <w:pPr>
              <w:autoSpaceDE w:val="0"/>
              <w:autoSpaceDN w:val="0"/>
              <w:adjustRightInd w:val="0"/>
              <w:jc w:val="both"/>
              <w:rPr>
                <w:lang w:val="lv-LV"/>
              </w:rPr>
            </w:pPr>
            <w:r w:rsidRPr="00C52FF0">
              <w:rPr>
                <w:b/>
                <w:lang w:val="lv-LV" w:eastAsia="lv-LV"/>
              </w:rPr>
              <w:t>Jūras vides aizsardzība.</w:t>
            </w:r>
            <w:r w:rsidRPr="00C52FF0">
              <w:rPr>
                <w:lang w:val="lv-LV" w:eastAsia="lv-LV"/>
              </w:rPr>
              <w:t xml:space="preserve"> Komisijas </w:t>
            </w:r>
            <w:r w:rsidRPr="00C52FF0">
              <w:rPr>
                <w:rFonts w:ascii="TimesNewRoman" w:hAnsi="TimesNewRoman" w:cs="TimesNewRoman"/>
                <w:lang w:val="lv-LV" w:eastAsia="lv-LV"/>
              </w:rPr>
              <w:t>2011.</w:t>
            </w:r>
            <w:r w:rsidR="004C7126">
              <w:rPr>
                <w:rFonts w:ascii="TimesNewRoman" w:hAnsi="TimesNewRoman" w:cs="TimesNewRoman"/>
                <w:lang w:val="lv-LV" w:eastAsia="lv-LV"/>
              </w:rPr>
              <w:t xml:space="preserve"> gada 13. jūlija</w:t>
            </w:r>
            <w:r w:rsidRPr="00C52FF0">
              <w:rPr>
                <w:rFonts w:ascii="TimesNewRoman" w:hAnsi="TimesNewRoman" w:cs="TimesNewRoman"/>
                <w:lang w:val="lv-LV" w:eastAsia="lv-LV"/>
              </w:rPr>
              <w:t xml:space="preserve"> priekšlikumā par KZP </w:t>
            </w:r>
            <w:r w:rsidRPr="00C52FF0">
              <w:rPr>
                <w:noProof/>
                <w:lang w:val="lv-LV"/>
              </w:rPr>
              <w:t>reformu (COM (2011) 4</w:t>
            </w:r>
            <w:r w:rsidR="00FF1E79">
              <w:rPr>
                <w:noProof/>
                <w:lang w:val="lv-LV"/>
              </w:rPr>
              <w:t>25</w:t>
            </w:r>
            <w:r w:rsidRPr="00C52FF0">
              <w:rPr>
                <w:noProof/>
                <w:lang w:val="lv-LV"/>
              </w:rPr>
              <w:t>) norādīts, ka ar jauno KZP zvejniecības pārvaldībā tiks ieviesta piesardzības un ekosistēmu pieeja.</w:t>
            </w:r>
            <w:r w:rsidRPr="00C52FF0">
              <w:rPr>
                <w:lang w:val="lv-LV" w:eastAsia="lv-LV"/>
              </w:rPr>
              <w:t xml:space="preserve"> EJZF būtu jāveicina arī jūras vides aizsardzība atbilstoši </w:t>
            </w:r>
            <w:r w:rsidRPr="00CE0B9E">
              <w:rPr>
                <w:lang w:val="lv-LV" w:eastAsia="lv-LV"/>
              </w:rPr>
              <w:t>Jūras stratēģijas pamatdirektīvai 2008/56/EK</w:t>
            </w:r>
            <w:r w:rsidRPr="00C52FF0">
              <w:rPr>
                <w:lang w:val="lv-LV" w:eastAsia="lv-LV"/>
              </w:rPr>
              <w:t xml:space="preserve"> (turpmāk – JSD), kas Latvijā ir pārņemta ar </w:t>
            </w:r>
            <w:r w:rsidRPr="00C52FF0">
              <w:rPr>
                <w:lang w:val="lv-LV"/>
              </w:rPr>
              <w:t xml:space="preserve">Jūras vides aizsardzības un pārvaldības likumu (turpmāk - likums). Atbilstoši JSD un likuma prasībām Latvijai jāizstrādā un jāīsteno </w:t>
            </w:r>
            <w:r w:rsidRPr="00CE0B9E">
              <w:rPr>
                <w:lang w:val="lv-LV"/>
              </w:rPr>
              <w:t>jūras stratēģija,</w:t>
            </w:r>
            <w:r w:rsidRPr="00C52FF0">
              <w:rPr>
                <w:lang w:val="lv-LV"/>
              </w:rPr>
              <w:t xml:space="preserve"> tai skaitā</w:t>
            </w:r>
            <w:r w:rsidRPr="00C52FF0">
              <w:rPr>
                <w:bCs/>
                <w:lang w:val="lv-LV"/>
              </w:rPr>
              <w:t xml:space="preserve"> izstrādājot jūras vides stāvokļa sākotnējo novērtējumu, tostarp jūras izmantošanas sociālo un ekonomisko analīzi, uz kā pamata izstrādās jaunu jūras vides monitoringa programmu (jāuzsāk īstenot ne vēlāk kā </w:t>
            </w:r>
            <w:r w:rsidR="009E5D26">
              <w:rPr>
                <w:bCs/>
                <w:lang w:val="lv-LV"/>
              </w:rPr>
              <w:t>01.01.</w:t>
            </w:r>
            <w:r w:rsidRPr="00C52FF0">
              <w:rPr>
                <w:bCs/>
                <w:lang w:val="lv-LV"/>
              </w:rPr>
              <w:t>2014.) un</w:t>
            </w:r>
            <w:r w:rsidRPr="00C52FF0">
              <w:rPr>
                <w:lang w:val="lv-LV"/>
              </w:rPr>
              <w:t xml:space="preserve"> </w:t>
            </w:r>
            <w:r w:rsidRPr="00CE0B9E">
              <w:rPr>
                <w:lang w:val="lv-LV"/>
              </w:rPr>
              <w:t>pasākumu programmu</w:t>
            </w:r>
            <w:r w:rsidRPr="00C52FF0">
              <w:rPr>
                <w:u w:val="single"/>
                <w:lang w:val="lv-LV"/>
              </w:rPr>
              <w:t>,</w:t>
            </w:r>
            <w:r w:rsidRPr="00C52FF0">
              <w:rPr>
                <w:lang w:val="lv-LV"/>
              </w:rPr>
              <w:t xml:space="preserve"> </w:t>
            </w:r>
            <w:r w:rsidRPr="00C52FF0">
              <w:rPr>
                <w:bCs/>
                <w:lang w:val="lv-LV"/>
              </w:rPr>
              <w:t>la</w:t>
            </w:r>
            <w:r w:rsidRPr="00C52FF0">
              <w:rPr>
                <w:lang w:val="lv-LV"/>
              </w:rPr>
              <w:t xml:space="preserve">i līdz 2020.gadam sasniegtu labu jūras vides stāvokli. Lai ieviestu JSD, nepieciešama </w:t>
            </w:r>
            <w:r w:rsidRPr="00C52FF0">
              <w:rPr>
                <w:bCs/>
                <w:iCs/>
                <w:lang w:val="lv-LV"/>
              </w:rPr>
              <w:t xml:space="preserve">augstas kvalitātes </w:t>
            </w:r>
            <w:r w:rsidRPr="00CE0B9E">
              <w:rPr>
                <w:bCs/>
                <w:iCs/>
                <w:lang w:val="lv-LV"/>
              </w:rPr>
              <w:t>zinātniskā informācija</w:t>
            </w:r>
            <w:r w:rsidRPr="00C52FF0">
              <w:rPr>
                <w:bCs/>
                <w:iCs/>
                <w:lang w:val="lv-LV"/>
              </w:rPr>
              <w:t xml:space="preserve">, ko var nodrošināt efektīvs jūras monitorings un novērtējums, jūras </w:t>
            </w:r>
            <w:r w:rsidRPr="00C52FF0">
              <w:rPr>
                <w:lang w:val="lv-LV"/>
              </w:rPr>
              <w:t xml:space="preserve">zinātniskā </w:t>
            </w:r>
            <w:r w:rsidRPr="00C52FF0">
              <w:rPr>
                <w:bCs/>
                <w:iCs/>
                <w:lang w:val="lv-LV"/>
              </w:rPr>
              <w:t xml:space="preserve">pētniecība atbilstoši </w:t>
            </w:r>
            <w:r w:rsidRPr="00C52FF0">
              <w:rPr>
                <w:lang w:val="lv-LV"/>
              </w:rPr>
              <w:t>ES stratēģiskajām nostādnēm (COM(2008) 534</w:t>
            </w:r>
            <w:r w:rsidRPr="00C52FF0">
              <w:rPr>
                <w:bCs/>
                <w:iCs/>
                <w:snapToGrid w:val="0"/>
                <w:lang w:val="lv-LV"/>
              </w:rPr>
              <w:t>,.</w:t>
            </w:r>
            <w:r w:rsidR="00B22C1E">
              <w:rPr>
                <w:bCs/>
                <w:iCs/>
                <w:snapToGrid w:val="0"/>
                <w:lang w:val="lv-LV"/>
              </w:rPr>
              <w:t>3.09.2008.</w:t>
            </w:r>
            <w:r w:rsidRPr="00C52FF0">
              <w:rPr>
                <w:lang w:val="lv-LV"/>
              </w:rPr>
              <w:t xml:space="preserve">). Saskaņā ar JSD noteikto un atbilstoši deleģējumam likumā Latvijas Hidroekoloģijas institūts (LHEI) izstrādā </w:t>
            </w:r>
            <w:r w:rsidRPr="00C52FF0">
              <w:rPr>
                <w:bCs/>
                <w:lang w:val="lv-LV"/>
              </w:rPr>
              <w:t xml:space="preserve">jūras vides stāvokļa novērtējumu, nosaka </w:t>
            </w:r>
            <w:r w:rsidRPr="00C52FF0">
              <w:rPr>
                <w:lang w:val="lv-LV"/>
              </w:rPr>
              <w:t xml:space="preserve">laba jūras vides stāvokļa kritērijus un jūras vides mērķus. Minēto uzdevumu veikšanai LHEI sadarbojas ar </w:t>
            </w:r>
            <w:r w:rsidRPr="00C52FF0">
              <w:rPr>
                <w:bCs/>
                <w:iCs/>
                <w:snapToGrid w:val="0"/>
                <w:lang w:val="lv-LV"/>
              </w:rPr>
              <w:t xml:space="preserve">BIOR, kura kompetencē ir no JSD un </w:t>
            </w:r>
            <w:r w:rsidR="004C7126">
              <w:rPr>
                <w:bCs/>
                <w:iCs/>
                <w:snapToGrid w:val="0"/>
                <w:lang w:val="lv-LV"/>
              </w:rPr>
              <w:t>Komisijas</w:t>
            </w:r>
            <w:r w:rsidRPr="00C52FF0">
              <w:rPr>
                <w:bCs/>
                <w:iCs/>
                <w:snapToGrid w:val="0"/>
                <w:lang w:val="lv-LV"/>
              </w:rPr>
              <w:t xml:space="preserve"> „Lēmuma par laba jūras vides stāvokļa kritērijiem un metodiskajiem standartiem”(</w:t>
            </w:r>
            <w:r w:rsidR="00CE0B9E" w:rsidRPr="00C52FF0" w:rsidDel="00CE0B9E">
              <w:rPr>
                <w:bCs/>
                <w:iCs/>
                <w:snapToGrid w:val="0"/>
                <w:lang w:val="lv-LV"/>
              </w:rPr>
              <w:t xml:space="preserve"> </w:t>
            </w:r>
            <w:r w:rsidR="009E5D26" w:rsidRPr="00C52FF0">
              <w:rPr>
                <w:bCs/>
                <w:iCs/>
                <w:snapToGrid w:val="0"/>
                <w:lang w:val="lv-LV"/>
              </w:rPr>
              <w:t>C</w:t>
            </w:r>
            <w:r w:rsidR="009E5D26">
              <w:rPr>
                <w:bCs/>
                <w:iCs/>
                <w:snapToGrid w:val="0"/>
                <w:lang w:val="lv-LV"/>
              </w:rPr>
              <w:t>OM</w:t>
            </w:r>
            <w:r w:rsidR="009E5D26" w:rsidRPr="00C52FF0">
              <w:rPr>
                <w:bCs/>
                <w:iCs/>
                <w:snapToGrid w:val="0"/>
                <w:lang w:val="lv-LV"/>
              </w:rPr>
              <w:t>(2010) 5956</w:t>
            </w:r>
            <w:r w:rsidR="009E5D26">
              <w:rPr>
                <w:bCs/>
                <w:iCs/>
                <w:snapToGrid w:val="0"/>
                <w:lang w:val="lv-LV"/>
              </w:rPr>
              <w:t xml:space="preserve">, </w:t>
            </w:r>
            <w:r w:rsidR="00B22C1E">
              <w:rPr>
                <w:bCs/>
                <w:iCs/>
                <w:snapToGrid w:val="0"/>
                <w:lang w:val="lv-LV"/>
              </w:rPr>
              <w:t>01.09.2010.</w:t>
            </w:r>
            <w:r w:rsidRPr="00C52FF0">
              <w:rPr>
                <w:bCs/>
                <w:iCs/>
                <w:snapToGrid w:val="0"/>
                <w:lang w:val="lv-LV"/>
              </w:rPr>
              <w:t>) izrietošie uzdevumi attiecībā uz zivju resursiem</w:t>
            </w:r>
            <w:r w:rsidR="009E5D26">
              <w:rPr>
                <w:bCs/>
                <w:iCs/>
                <w:snapToGrid w:val="0"/>
                <w:lang w:val="lv-LV"/>
              </w:rPr>
              <w:t xml:space="preserve">, </w:t>
            </w:r>
            <w:r w:rsidRPr="00C52FF0">
              <w:rPr>
                <w:bCs/>
                <w:iCs/>
                <w:snapToGrid w:val="0"/>
                <w:lang w:val="lv-LV"/>
              </w:rPr>
              <w:t>kas būs jāņem vērā arī jūras monitoringa programmā</w:t>
            </w:r>
            <w:r w:rsidRPr="00C52FF0">
              <w:rPr>
                <w:lang w:val="lv-LV"/>
              </w:rPr>
              <w:t xml:space="preserve"> atbilstoši ES tiesību </w:t>
            </w:r>
            <w:smartTag w:uri="schemas-tilde-lv/tildestengine" w:element="veidnes">
              <w:smartTagPr>
                <w:attr w:name="text" w:val="aktu"/>
                <w:attr w:name="id" w:val="-1"/>
                <w:attr w:name="baseform" w:val="akt|s"/>
              </w:smartTagPr>
              <w:r w:rsidRPr="00C52FF0">
                <w:rPr>
                  <w:lang w:val="lv-LV"/>
                </w:rPr>
                <w:t>aktu</w:t>
              </w:r>
            </w:smartTag>
            <w:r w:rsidRPr="00C52FF0">
              <w:rPr>
                <w:lang w:val="lv-LV"/>
              </w:rPr>
              <w:t xml:space="preserve"> un starptautisko </w:t>
            </w:r>
            <w:smartTag w:uri="schemas-tilde-lv/tildestengine" w:element="veidnes">
              <w:smartTagPr>
                <w:attr w:name="text" w:val="līgumu"/>
                <w:attr w:name="id" w:val="-1"/>
                <w:attr w:name="baseform" w:val="līgum|s"/>
              </w:smartTagPr>
              <w:r w:rsidRPr="00C52FF0">
                <w:rPr>
                  <w:lang w:val="lv-LV"/>
                </w:rPr>
                <w:t>līgumu</w:t>
              </w:r>
            </w:smartTag>
            <w:r w:rsidRPr="00C52FF0">
              <w:rPr>
                <w:lang w:val="lv-LV"/>
              </w:rPr>
              <w:t xml:space="preserve"> prasībām.</w:t>
            </w:r>
            <w:r w:rsidRPr="00C52FF0">
              <w:rPr>
                <w:bCs/>
                <w:iCs/>
                <w:snapToGrid w:val="0"/>
                <w:lang w:val="lv-LV"/>
              </w:rPr>
              <w:t xml:space="preserve"> </w:t>
            </w:r>
          </w:p>
        </w:tc>
      </w:tr>
      <w:tr w:rsidR="005A7FC1" w:rsidRPr="004C6D9A" w14:paraId="18FDD67B" w14:textId="77777777" w:rsidTr="00BF5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350"/>
        </w:trPr>
        <w:tc>
          <w:tcPr>
            <w:tcW w:w="9214" w:type="dxa"/>
            <w:gridSpan w:val="3"/>
          </w:tcPr>
          <w:p w14:paraId="14E7BB01" w14:textId="77777777" w:rsidR="005A7FC1" w:rsidRPr="00E40523" w:rsidRDefault="005A7FC1" w:rsidP="00BF5F77">
            <w:pPr>
              <w:rPr>
                <w:lang w:val="lv-LV"/>
              </w:rPr>
            </w:pPr>
            <w:r w:rsidRPr="004C6D9A">
              <w:rPr>
                <w:lang w:val="lv-LV"/>
              </w:rPr>
              <w:lastRenderedPageBreak/>
              <w:br w:type="page"/>
            </w:r>
            <w:r w:rsidRPr="00E40523">
              <w:rPr>
                <w:lang w:val="lv-LV"/>
              </w:rPr>
              <w:t xml:space="preserve">Ietekme uz budžetu </w:t>
            </w:r>
          </w:p>
        </w:tc>
      </w:tr>
      <w:tr w:rsidR="005A7FC1" w:rsidRPr="004C061D" w14:paraId="43D640C9" w14:textId="77777777" w:rsidTr="00633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984"/>
        </w:trPr>
        <w:tc>
          <w:tcPr>
            <w:tcW w:w="9214" w:type="dxa"/>
            <w:gridSpan w:val="3"/>
          </w:tcPr>
          <w:p w14:paraId="5D19DA3D" w14:textId="77777777" w:rsidR="004C061D" w:rsidRDefault="004C061D">
            <w:pPr>
              <w:jc w:val="both"/>
              <w:rPr>
                <w:lang w:val="lv-LV"/>
              </w:rPr>
            </w:pPr>
            <w:r>
              <w:rPr>
                <w:lang w:val="lv-LV"/>
              </w:rPr>
              <w:t>No lēmumiem un sarunu rezultātiem par ES daudzgadu budžetu būs atkarīgs Latvijai piešķirtais finansējums zivsaimniecības un jūrniecības politiku īstenošanai, kā arī nepieciešamais līdzfinansējums programmu ieviešanai</w:t>
            </w:r>
            <w:r w:rsidR="00593C5A">
              <w:rPr>
                <w:lang w:val="lv-LV"/>
              </w:rPr>
              <w:t xml:space="preserve"> un Latvijas iemaksas ES budžetā</w:t>
            </w:r>
            <w:r>
              <w:rPr>
                <w:lang w:val="lv-LV"/>
              </w:rPr>
              <w:t>.</w:t>
            </w:r>
            <w:r w:rsidRPr="00FF52E5">
              <w:rPr>
                <w:highlight w:val="yellow"/>
                <w:lang w:val="lv-LV"/>
              </w:rPr>
              <w:t xml:space="preserve"> </w:t>
            </w:r>
          </w:p>
        </w:tc>
      </w:tr>
      <w:tr w:rsidR="003D2E95" w:rsidRPr="004C061D" w14:paraId="080CE463" w14:textId="77777777" w:rsidTr="003D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402"/>
        </w:trPr>
        <w:tc>
          <w:tcPr>
            <w:tcW w:w="9214" w:type="dxa"/>
            <w:gridSpan w:val="3"/>
          </w:tcPr>
          <w:p w14:paraId="0D8024B5" w14:textId="77777777" w:rsidR="003D2E95" w:rsidRDefault="003D2E95" w:rsidP="00316400">
            <w:pPr>
              <w:keepNext/>
              <w:keepLines/>
              <w:jc w:val="center"/>
              <w:outlineLvl w:val="0"/>
              <w:rPr>
                <w:lang w:val="lv-LV"/>
              </w:rPr>
            </w:pPr>
            <w:r w:rsidRPr="004C6D9A">
              <w:rPr>
                <w:b/>
                <w:lang w:val="lv-LV"/>
              </w:rPr>
              <w:lastRenderedPageBreak/>
              <w:t>3. Latvijas Republikas pozīcija</w:t>
            </w:r>
          </w:p>
        </w:tc>
      </w:tr>
      <w:tr w:rsidR="005A7FC1" w:rsidRPr="002034FB" w14:paraId="7C0A6BCC" w14:textId="77777777" w:rsidTr="00E71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9214" w:type="dxa"/>
            <w:gridSpan w:val="3"/>
          </w:tcPr>
          <w:p w14:paraId="71A25904" w14:textId="77777777" w:rsidR="00904EBF" w:rsidRDefault="00316400" w:rsidP="004C061D">
            <w:pPr>
              <w:keepNext/>
              <w:keepLines/>
              <w:spacing w:after="120"/>
              <w:jc w:val="both"/>
              <w:outlineLvl w:val="0"/>
              <w:rPr>
                <w:b/>
                <w:color w:val="000000"/>
                <w:lang w:val="lv-LV"/>
              </w:rPr>
            </w:pPr>
            <w:r w:rsidRPr="00ED26F7">
              <w:rPr>
                <w:b/>
                <w:color w:val="000000"/>
                <w:lang w:val="lv-LV"/>
              </w:rPr>
              <w:t>Latvija atzinīgi novērtē</w:t>
            </w:r>
            <w:r w:rsidRPr="00ED26F7">
              <w:rPr>
                <w:color w:val="000000"/>
                <w:lang w:val="lv-LV"/>
              </w:rPr>
              <w:t xml:space="preserve"> Eiropas Jūrlietu un zivsaimniecības atbalsta politikas likumdošanas aktu, tomēr, izvērtējot Regulas priekšlikumu, </w:t>
            </w:r>
            <w:r w:rsidRPr="00ED26F7">
              <w:rPr>
                <w:b/>
                <w:color w:val="000000"/>
                <w:lang w:val="lv-LV"/>
              </w:rPr>
              <w:t xml:space="preserve">Latvija </w:t>
            </w:r>
            <w:r w:rsidRPr="00BA7C37">
              <w:rPr>
                <w:b/>
                <w:color w:val="000000"/>
                <w:lang w:val="lv-LV"/>
              </w:rPr>
              <w:t>saskata</w:t>
            </w:r>
            <w:r w:rsidRPr="000058CC">
              <w:rPr>
                <w:b/>
                <w:color w:val="000000"/>
                <w:lang w:val="lv-LV"/>
              </w:rPr>
              <w:t xml:space="preserve"> </w:t>
            </w:r>
            <w:r w:rsidR="00700AE3">
              <w:rPr>
                <w:b/>
                <w:color w:val="000000"/>
                <w:lang w:val="lv-LV"/>
              </w:rPr>
              <w:t>iespējas to pilnveidot</w:t>
            </w:r>
            <w:r w:rsidR="00904EBF">
              <w:rPr>
                <w:b/>
                <w:color w:val="000000"/>
                <w:lang w:val="lv-LV"/>
              </w:rPr>
              <w:t>.</w:t>
            </w:r>
          </w:p>
          <w:p w14:paraId="7C3DF159" w14:textId="77777777" w:rsidR="00316400" w:rsidRPr="00BA7C37" w:rsidRDefault="00BB703C" w:rsidP="004C061D">
            <w:pPr>
              <w:keepNext/>
              <w:keepLines/>
              <w:spacing w:after="120"/>
              <w:jc w:val="both"/>
              <w:outlineLvl w:val="0"/>
              <w:rPr>
                <w:b/>
                <w:color w:val="000000"/>
                <w:lang w:val="lv-LV"/>
              </w:rPr>
            </w:pPr>
            <w:r>
              <w:rPr>
                <w:b/>
                <w:color w:val="000000"/>
                <w:lang w:val="lv-LV"/>
              </w:rPr>
              <w:t xml:space="preserve">I </w:t>
            </w:r>
            <w:r w:rsidR="00904EBF">
              <w:rPr>
                <w:b/>
                <w:color w:val="000000"/>
                <w:lang w:val="lv-LV"/>
              </w:rPr>
              <w:t>Latvijai būtiskākie jautājumi</w:t>
            </w:r>
            <w:r w:rsidR="00316400" w:rsidRPr="000058CC">
              <w:rPr>
                <w:b/>
                <w:color w:val="000000"/>
                <w:lang w:val="lv-LV"/>
              </w:rPr>
              <w:t>:</w:t>
            </w:r>
          </w:p>
          <w:p w14:paraId="6F60F01F" w14:textId="77777777" w:rsidR="00700AE3" w:rsidRDefault="00751142" w:rsidP="004C061D">
            <w:pPr>
              <w:spacing w:after="120"/>
              <w:jc w:val="both"/>
              <w:rPr>
                <w:lang w:val="lv-LV" w:eastAsia="en-GB"/>
              </w:rPr>
            </w:pPr>
            <w:r>
              <w:rPr>
                <w:lang w:val="lv-LV" w:eastAsia="en-GB"/>
              </w:rPr>
              <w:t xml:space="preserve">- </w:t>
            </w:r>
            <w:r w:rsidR="00316400" w:rsidRPr="00ED26F7">
              <w:rPr>
                <w:b/>
                <w:lang w:val="lv-LV" w:eastAsia="en-GB"/>
              </w:rPr>
              <w:t xml:space="preserve">Latvija </w:t>
            </w:r>
            <w:r w:rsidR="00700AE3">
              <w:rPr>
                <w:b/>
                <w:lang w:val="lv-LV" w:eastAsia="en-GB"/>
              </w:rPr>
              <w:t>uzskata, ka</w:t>
            </w:r>
            <w:r w:rsidR="00316400" w:rsidRPr="00724842">
              <w:rPr>
                <w:b/>
                <w:lang w:val="lv-LV" w:eastAsia="en-GB"/>
              </w:rPr>
              <w:t xml:space="preserve"> pa</w:t>
            </w:r>
            <w:r w:rsidR="00316400" w:rsidRPr="00ED26F7">
              <w:rPr>
                <w:b/>
                <w:lang w:val="lv-LV" w:eastAsia="en-GB"/>
              </w:rPr>
              <w:t>r 20% samazināt</w:t>
            </w:r>
            <w:r w:rsidR="00700AE3">
              <w:rPr>
                <w:b/>
                <w:lang w:val="lv-LV" w:eastAsia="en-GB"/>
              </w:rPr>
              <w:t>a</w:t>
            </w:r>
            <w:r w:rsidR="00316400" w:rsidRPr="00ED26F7">
              <w:rPr>
                <w:b/>
                <w:lang w:val="lv-LV" w:eastAsia="en-GB"/>
              </w:rPr>
              <w:t xml:space="preserve"> atbalsta intensitāt</w:t>
            </w:r>
            <w:r w:rsidR="00700AE3">
              <w:rPr>
                <w:b/>
                <w:lang w:val="lv-LV" w:eastAsia="en-GB"/>
              </w:rPr>
              <w:t>e piemērojama</w:t>
            </w:r>
            <w:r w:rsidR="00316400" w:rsidRPr="00ED26F7">
              <w:rPr>
                <w:b/>
                <w:lang w:val="lv-LV" w:eastAsia="en-GB"/>
              </w:rPr>
              <w:t xml:space="preserve"> </w:t>
            </w:r>
            <w:r w:rsidR="00700AE3">
              <w:rPr>
                <w:b/>
                <w:lang w:val="lv-LV" w:eastAsia="en-GB"/>
              </w:rPr>
              <w:t xml:space="preserve">tikai </w:t>
            </w:r>
            <w:r w:rsidR="00316400" w:rsidRPr="00ED26F7">
              <w:rPr>
                <w:b/>
                <w:lang w:val="lv-LV" w:eastAsia="en-GB"/>
              </w:rPr>
              <w:t xml:space="preserve">uzņēmumiem, kas neatbilst mazo un vidējo uzņēmumu (MVU) </w:t>
            </w:r>
            <w:r w:rsidR="00316400" w:rsidRPr="00724842">
              <w:rPr>
                <w:b/>
                <w:lang w:val="lv-LV" w:eastAsia="en-GB"/>
              </w:rPr>
              <w:t>statusam</w:t>
            </w:r>
            <w:r w:rsidR="00316400">
              <w:rPr>
                <w:b/>
                <w:lang w:val="lv-LV" w:eastAsia="en-GB"/>
              </w:rPr>
              <w:t xml:space="preserve"> </w:t>
            </w:r>
            <w:r w:rsidR="00700AE3">
              <w:rPr>
                <w:b/>
                <w:lang w:val="lv-LV" w:eastAsia="en-GB"/>
              </w:rPr>
              <w:t>pēc apgrozījuma nevis pēc nodarbināto skaita</w:t>
            </w:r>
            <w:r w:rsidR="00316400" w:rsidRPr="00724842">
              <w:rPr>
                <w:b/>
                <w:lang w:val="lv-LV" w:eastAsia="en-GB"/>
              </w:rPr>
              <w:t>.</w:t>
            </w:r>
            <w:r w:rsidR="00316400" w:rsidRPr="00724842">
              <w:rPr>
                <w:lang w:val="lv-LV" w:eastAsia="en-GB"/>
              </w:rPr>
              <w:t xml:space="preserve"> </w:t>
            </w:r>
            <w:r w:rsidR="00700AE3">
              <w:rPr>
                <w:lang w:val="lv-LV" w:eastAsia="en-GB"/>
              </w:rPr>
              <w:t xml:space="preserve">Ja uzņēmuma apgrozījums atbilst MVU definīcijai, tad atbalsta intensitāte jāsaglabā nemainīga. </w:t>
            </w:r>
          </w:p>
          <w:p w14:paraId="74E8BAC9" w14:textId="77777777" w:rsidR="00316400" w:rsidRDefault="00316400" w:rsidP="004C061D">
            <w:pPr>
              <w:spacing w:after="120"/>
              <w:jc w:val="both"/>
              <w:rPr>
                <w:lang w:val="lv-LV" w:eastAsia="en-GB"/>
              </w:rPr>
            </w:pPr>
            <w:r w:rsidRPr="00724842">
              <w:rPr>
                <w:lang w:val="lv-LV" w:eastAsia="en-GB"/>
              </w:rPr>
              <w:t>Latvija jau vairākkārt ir norādījusi un stingri uzskata, ka arī lielajiem</w:t>
            </w:r>
            <w:r w:rsidRPr="00ED26F7">
              <w:rPr>
                <w:lang w:val="lv-LV" w:eastAsia="en-GB"/>
              </w:rPr>
              <w:t xml:space="preserve"> zvejas un akvakultūras produktu apstrādes uzņēmumiem, kas ražošanas procesā izmanto lielu roku darba apjomu, bet kuru uzņēmuma apgrozījums </w:t>
            </w:r>
            <w:r w:rsidRPr="00724842">
              <w:rPr>
                <w:lang w:val="lv-LV" w:eastAsia="en-GB"/>
              </w:rPr>
              <w:t>nepārsniedz vidēja lieluma uzņēmumu rādītājus saskaņā ar MVU definīciju, ir pielietojama tāda pati atbalsta intensitāte kā MVU. Latvijā zivju apstrādes uzņēmumi, kas pārsvarā ražo zivju</w:t>
            </w:r>
            <w:r w:rsidRPr="00ED26F7">
              <w:rPr>
                <w:lang w:val="lv-LV" w:eastAsia="en-GB"/>
              </w:rPr>
              <w:t xml:space="preserve"> konservus (tostarp tādu nišas produktu kā Rīgas šprotes) un par izejvielām līdz pat 67 % apstrādei izmanto tieši Baltijas jūrā nozvejoto mazo pelaģisko sugu zivis (reņģes, brētliņas), ražošanas procesā galvenokārt izmanto roku darbu, jo ražošanas specifikas dēļ šī procesa mehanizācija nav iespējama. Līdz ar to nepieciešams liels nodarbināto skaits, kas atsevišķos zivju apstrādes uzņēmumos pārsniedz 250, tomēr to apgrozījuma amplitūda ir no 5,7-17 </w:t>
            </w:r>
            <w:r w:rsidR="00BB703C">
              <w:rPr>
                <w:lang w:val="lv-LV" w:eastAsia="en-GB"/>
              </w:rPr>
              <w:t xml:space="preserve">miljoni </w:t>
            </w:r>
            <w:r w:rsidRPr="00ED26F7">
              <w:rPr>
                <w:lang w:val="lv-LV" w:eastAsia="en-GB"/>
              </w:rPr>
              <w:t xml:space="preserve">EUR gadā. Pēc nodarbināto skaita šie uzņēmumi tiek ierindoti lielo uzņēmumu grupā, bet salīdzinājumā ar citiem lielajiem uzņēmumiem Eiropas Savienības līmenī pēc apgrozījuma apjoma tie atbilst mazo vai vidējo uzņēmumu definīcijai. Liela daļa minēto uzņēmumu nodrošina ar darba vietām vietējos iedzīvotājus tieši </w:t>
            </w:r>
            <w:r w:rsidRPr="00724842">
              <w:rPr>
                <w:lang w:val="lv-LV" w:eastAsia="en-GB"/>
              </w:rPr>
              <w:t>piekrastes rajonos un ir ļoti lielā mērā atkarīgi no zivsaimniecības nozares attīstības iespējām tajos.</w:t>
            </w:r>
            <w:r w:rsidRPr="00ED26F7">
              <w:rPr>
                <w:lang w:val="lv-LV" w:eastAsia="en-GB"/>
              </w:rPr>
              <w:t xml:space="preserve"> </w:t>
            </w:r>
          </w:p>
          <w:p w14:paraId="1F52B605" w14:textId="77777777" w:rsidR="00BB703C" w:rsidRDefault="00751142" w:rsidP="004C061D">
            <w:pPr>
              <w:spacing w:after="120"/>
              <w:jc w:val="both"/>
              <w:rPr>
                <w:lang w:val="lv-LV"/>
              </w:rPr>
            </w:pPr>
            <w:r>
              <w:rPr>
                <w:b/>
                <w:lang w:val="lv-LV"/>
              </w:rPr>
              <w:t xml:space="preserve">- </w:t>
            </w:r>
            <w:r w:rsidR="004A58F4" w:rsidRPr="00724842">
              <w:rPr>
                <w:lang w:val="lv-LV"/>
              </w:rPr>
              <w:t>Atbalsts atsevišķām</w:t>
            </w:r>
            <w:r w:rsidR="004A58F4" w:rsidRPr="00ED26F7">
              <w:rPr>
                <w:lang w:val="lv-LV"/>
              </w:rPr>
              <w:t xml:space="preserve"> investīcijām uz zvejas kuģiem Regulas priekšlikumā paredzēts vairā</w:t>
            </w:r>
            <w:r w:rsidR="004A58F4">
              <w:rPr>
                <w:lang w:val="lv-LV"/>
              </w:rPr>
              <w:t>ku pasākumu ietvaros</w:t>
            </w:r>
            <w:r w:rsidR="00557D7D">
              <w:rPr>
                <w:lang w:val="lv-LV"/>
              </w:rPr>
              <w:t>,</w:t>
            </w:r>
            <w:r w:rsidR="004A58F4">
              <w:rPr>
                <w:lang w:val="lv-LV"/>
              </w:rPr>
              <w:t xml:space="preserve"> </w:t>
            </w:r>
            <w:r w:rsidR="00557D7D">
              <w:rPr>
                <w:lang w:val="lv-LV"/>
              </w:rPr>
              <w:t>t</w:t>
            </w:r>
            <w:r w:rsidR="004A58F4" w:rsidRPr="00ED26F7">
              <w:rPr>
                <w:lang w:val="lv-LV"/>
              </w:rPr>
              <w:t xml:space="preserve">omēr </w:t>
            </w:r>
            <w:r w:rsidR="004A58F4" w:rsidRPr="00724842">
              <w:rPr>
                <w:lang w:val="lv-LV"/>
              </w:rPr>
              <w:t>Latvija ir stingri pārliecināta un uzs</w:t>
            </w:r>
            <w:r w:rsidR="004A58F4" w:rsidRPr="00ED26F7">
              <w:rPr>
                <w:lang w:val="lv-LV"/>
              </w:rPr>
              <w:t xml:space="preserve">kata, ka </w:t>
            </w:r>
            <w:r w:rsidR="004A58F4" w:rsidRPr="00ED26F7">
              <w:rPr>
                <w:b/>
                <w:lang w:val="lv-LV"/>
              </w:rPr>
              <w:t>nepieciešams atbalsts arī citiem zvejas kuģu modernizācijas pasākumiem</w:t>
            </w:r>
            <w:r w:rsidR="004A58F4" w:rsidRPr="00ED26F7">
              <w:rPr>
                <w:lang w:val="lv-LV"/>
              </w:rPr>
              <w:t xml:space="preserve">, </w:t>
            </w:r>
            <w:r w:rsidR="004A58F4" w:rsidRPr="00ED26F7">
              <w:rPr>
                <w:b/>
                <w:lang w:val="lv-LV"/>
              </w:rPr>
              <w:t>lai nodrošinātu kuģošanas drošību un to energoefektīvu darbību, piemēram, zvejas kuģu dzinēju nomaiņai pret energoefektīvākiem un videi draudzīgākiem</w:t>
            </w:r>
            <w:r w:rsidR="004A58F4">
              <w:rPr>
                <w:lang w:val="lv-LV"/>
              </w:rPr>
              <w:t>,</w:t>
            </w:r>
            <w:r w:rsidR="004A58F4" w:rsidRPr="0094223B">
              <w:rPr>
                <w:lang w:val="lv-LV"/>
              </w:rPr>
              <w:t xml:space="preserve"> nenosakot ierobežojumus attiecīgā kuģa dzinēja jaudai</w:t>
            </w:r>
            <w:r w:rsidR="004A58F4">
              <w:rPr>
                <w:lang w:val="lv-LV"/>
              </w:rPr>
              <w:t>, bet veicot to</w:t>
            </w:r>
            <w:r w:rsidR="004A58F4" w:rsidRPr="00ED26F7">
              <w:rPr>
                <w:lang w:val="lv-LV"/>
              </w:rPr>
              <w:t xml:space="preserve"> </w:t>
            </w:r>
            <w:r w:rsidR="004A58F4">
              <w:rPr>
                <w:lang w:val="lv-LV"/>
              </w:rPr>
              <w:t>dalībvalstij pieejamās kopējās kapacitātes ietvaros</w:t>
            </w:r>
            <w:r w:rsidR="00BB703C">
              <w:rPr>
                <w:lang w:val="lv-LV"/>
              </w:rPr>
              <w:t>.</w:t>
            </w:r>
            <w:r w:rsidR="00557D7D">
              <w:rPr>
                <w:lang w:val="lv-LV"/>
              </w:rPr>
              <w:t xml:space="preserve"> </w:t>
            </w:r>
            <w:r w:rsidR="004A58F4" w:rsidRPr="00ED26F7">
              <w:rPr>
                <w:lang w:val="lv-LV"/>
              </w:rPr>
              <w:t xml:space="preserve">Tādējādi tiktu sekmētas regulā noteiktās prioritātes vides un konkurētspējas jomā zvejniecībā. </w:t>
            </w:r>
          </w:p>
          <w:p w14:paraId="431DA12D" w14:textId="77777777" w:rsidR="00D62484" w:rsidRDefault="00DD0711" w:rsidP="00B46774">
            <w:pPr>
              <w:spacing w:after="120"/>
              <w:jc w:val="both"/>
              <w:rPr>
                <w:lang w:val="lv-LV"/>
              </w:rPr>
            </w:pPr>
            <w:r>
              <w:rPr>
                <w:lang w:val="lv-LV"/>
              </w:rPr>
              <w:t>Latvija u</w:t>
            </w:r>
            <w:r w:rsidR="004A58F4" w:rsidRPr="00ED26F7">
              <w:rPr>
                <w:lang w:val="lv-LV"/>
              </w:rPr>
              <w:t>zskat</w:t>
            </w:r>
            <w:r>
              <w:rPr>
                <w:lang w:val="lv-LV"/>
              </w:rPr>
              <w:t xml:space="preserve">a, </w:t>
            </w:r>
            <w:r w:rsidR="004A58F4" w:rsidRPr="00ED26F7">
              <w:rPr>
                <w:lang w:val="lv-LV"/>
              </w:rPr>
              <w:t>ka noteiktais ierobežojums, ka ar publisko atbalstu nevar veikt zvejas kuģu dzinēju nomaiņu vai modernizāciju, ir pretrunā ar attiecīgā pasākuma mērķi – samazināt zvejas kuģu ietekmi uz vidi un palielināt to energoefektivitāti. Ņemot vērā, ka daudzu dalībvalstu zvejas flotes ir novecojušas, kuģu novecojušie dzinēji ir viens no galvenajiem attiecīgo risku veidotājiem. Turklāt nosacījumiem atbalsta saņemšanai šādu pasākumu veikšanai vajadzētu būt motivējošiem, lai nozares pārstāvji būtu ieinteresēti veikt attiecīgās investīcijas.</w:t>
            </w:r>
          </w:p>
          <w:p w14:paraId="62BD2080" w14:textId="77777777" w:rsidR="00BB703C" w:rsidRDefault="00BB703C" w:rsidP="004C061D">
            <w:pPr>
              <w:spacing w:after="120"/>
              <w:jc w:val="both"/>
              <w:rPr>
                <w:lang w:val="lv-LV"/>
              </w:rPr>
            </w:pPr>
            <w:r w:rsidRPr="00FA54CF">
              <w:rPr>
                <w:b/>
                <w:lang w:val="lv-LV"/>
              </w:rPr>
              <w:t xml:space="preserve">II </w:t>
            </w:r>
            <w:r w:rsidR="00FA54CF">
              <w:rPr>
                <w:b/>
                <w:lang w:val="lv-LV"/>
              </w:rPr>
              <w:t>Pašreizējā plānošanas perioda</w:t>
            </w:r>
            <w:r w:rsidRPr="00FA54CF">
              <w:rPr>
                <w:b/>
                <w:lang w:val="lv-LV"/>
              </w:rPr>
              <w:t xml:space="preserve"> principu saglabāšana nākotnes EJZF</w:t>
            </w:r>
          </w:p>
          <w:p w14:paraId="0C94B096" w14:textId="77777777" w:rsidR="00211EE2" w:rsidRDefault="000006A4" w:rsidP="004C061D">
            <w:pPr>
              <w:spacing w:after="120"/>
              <w:jc w:val="both"/>
              <w:rPr>
                <w:lang w:val="lv-LV"/>
              </w:rPr>
            </w:pPr>
            <w:r>
              <w:rPr>
                <w:lang w:val="lv-LV"/>
              </w:rPr>
              <w:t xml:space="preserve"> </w:t>
            </w:r>
            <w:r w:rsidR="00833EC8" w:rsidRPr="00ED26F7">
              <w:rPr>
                <w:lang w:val="lv-LV"/>
              </w:rPr>
              <w:t xml:space="preserve">Latvija </w:t>
            </w:r>
            <w:r w:rsidR="002B5F9F" w:rsidRPr="00210921">
              <w:rPr>
                <w:lang w:val="lv-LV"/>
              </w:rPr>
              <w:t xml:space="preserve">pozitīvi vērtē </w:t>
            </w:r>
            <w:r w:rsidR="00403BE4" w:rsidRPr="00210921">
              <w:rPr>
                <w:lang w:val="lv-LV"/>
              </w:rPr>
              <w:t xml:space="preserve">EJZF kā instrumentu </w:t>
            </w:r>
            <w:r w:rsidR="002B5F9F" w:rsidRPr="00210921">
              <w:rPr>
                <w:lang w:val="lv-LV"/>
              </w:rPr>
              <w:t xml:space="preserve">reformētās </w:t>
            </w:r>
            <w:r w:rsidR="00833EC8" w:rsidRPr="00210921">
              <w:rPr>
                <w:lang w:val="lv-LV"/>
              </w:rPr>
              <w:t>KZP</w:t>
            </w:r>
            <w:r w:rsidR="00833EC8">
              <w:rPr>
                <w:lang w:val="lv-LV"/>
              </w:rPr>
              <w:t xml:space="preserve"> </w:t>
            </w:r>
            <w:r w:rsidR="002B5F9F">
              <w:rPr>
                <w:lang w:val="lv-LV"/>
              </w:rPr>
              <w:t>īstenošan</w:t>
            </w:r>
            <w:r w:rsidR="008D2C58">
              <w:rPr>
                <w:lang w:val="lv-LV"/>
              </w:rPr>
              <w:t>ai</w:t>
            </w:r>
            <w:r w:rsidR="00AE1D44">
              <w:rPr>
                <w:lang w:val="lv-LV"/>
              </w:rPr>
              <w:t xml:space="preserve"> un atzīst nepieciešamību pilnveidot mehānismus izvirzīto mērķu sasniegšanai, t</w:t>
            </w:r>
            <w:r w:rsidR="00833EC8">
              <w:rPr>
                <w:lang w:val="lv-LV"/>
              </w:rPr>
              <w:t xml:space="preserve">omēr </w:t>
            </w:r>
            <w:r w:rsidR="002B5F9F">
              <w:rPr>
                <w:lang w:val="lv-LV"/>
              </w:rPr>
              <w:t xml:space="preserve">ne visās dalībvalstīs situācija zivsaimniecības nozarē ir vienāda, tādēļ </w:t>
            </w:r>
            <w:r w:rsidR="002B5F9F" w:rsidRPr="00BB703C">
              <w:rPr>
                <w:b/>
                <w:lang w:val="lv-LV"/>
              </w:rPr>
              <w:t xml:space="preserve">Latvija uzskata, ka ir jāsaglabā iespēja atbalstīt zivsaimniecības jomas, nodrošinot </w:t>
            </w:r>
            <w:r w:rsidR="008D2C58" w:rsidRPr="00BB703C">
              <w:rPr>
                <w:b/>
                <w:lang w:val="lv-LV"/>
              </w:rPr>
              <w:t xml:space="preserve">esošā perioda </w:t>
            </w:r>
            <w:r w:rsidR="002B5F9F" w:rsidRPr="00BB703C">
              <w:rPr>
                <w:b/>
                <w:lang w:val="lv-LV"/>
              </w:rPr>
              <w:t>EZF pasākumu pēctecību arī nākamajā plānošanas periodā</w:t>
            </w:r>
            <w:r w:rsidR="00BB703C">
              <w:rPr>
                <w:lang w:val="lv-LV"/>
              </w:rPr>
              <w:t>, konkrētās jomās nosacījumus kardināli nema</w:t>
            </w:r>
            <w:r w:rsidR="00700AE3">
              <w:rPr>
                <w:lang w:val="lv-LV"/>
              </w:rPr>
              <w:t>i</w:t>
            </w:r>
            <w:r w:rsidR="00BB703C">
              <w:rPr>
                <w:lang w:val="lv-LV"/>
              </w:rPr>
              <w:t>not.</w:t>
            </w:r>
            <w:r w:rsidR="002214B5">
              <w:rPr>
                <w:lang w:val="lv-LV"/>
              </w:rPr>
              <w:t xml:space="preserve"> </w:t>
            </w:r>
            <w:r w:rsidR="00FA54CF">
              <w:rPr>
                <w:lang w:val="lv-LV"/>
              </w:rPr>
              <w:t>Piemēram:</w:t>
            </w:r>
          </w:p>
          <w:p w14:paraId="3F47150D" w14:textId="77777777" w:rsidR="00211EE2" w:rsidRDefault="002B5F9F" w:rsidP="00BB703C">
            <w:pPr>
              <w:numPr>
                <w:ilvl w:val="0"/>
                <w:numId w:val="15"/>
              </w:numPr>
              <w:spacing w:after="120"/>
              <w:jc w:val="both"/>
              <w:rPr>
                <w:rFonts w:ascii="Cambria" w:hAnsi="Cambria"/>
                <w:b/>
                <w:bCs/>
                <w:color w:val="365F91"/>
                <w:sz w:val="28"/>
                <w:szCs w:val="28"/>
                <w:lang w:val="lv-LV" w:eastAsia="de-DE"/>
              </w:rPr>
            </w:pPr>
            <w:r w:rsidRPr="00ED26F7">
              <w:rPr>
                <w:b/>
                <w:lang w:val="lv-LV" w:eastAsia="de-DE"/>
              </w:rPr>
              <w:t>Latvija uzskata, ka atbalstam zvejas un akvakultūras produktu apstrādes jomā jāaptver arī investīcijas ražošanas proc</w:t>
            </w:r>
            <w:r w:rsidRPr="00724842">
              <w:rPr>
                <w:b/>
                <w:lang w:val="lv-LV" w:eastAsia="de-DE"/>
              </w:rPr>
              <w:t>esam</w:t>
            </w:r>
            <w:r w:rsidRPr="00ED26F7">
              <w:rPr>
                <w:b/>
                <w:lang w:val="lv-LV" w:eastAsia="de-DE"/>
              </w:rPr>
              <w:t xml:space="preserve"> augstākas pievienotās vērtības radīšanai</w:t>
            </w:r>
            <w:r>
              <w:rPr>
                <w:b/>
                <w:lang w:val="lv-LV" w:eastAsia="de-DE"/>
              </w:rPr>
              <w:t xml:space="preserve"> </w:t>
            </w:r>
            <w:r w:rsidRPr="00403BE4">
              <w:rPr>
                <w:lang w:val="lv-LV" w:eastAsia="de-DE"/>
              </w:rPr>
              <w:t>(72.pants),</w:t>
            </w:r>
            <w:r w:rsidRPr="00ED26F7">
              <w:rPr>
                <w:lang w:val="lv-LV" w:eastAsia="de-DE"/>
              </w:rPr>
              <w:t xml:space="preserve"> lai veicinātu regulā noteikto prioritāšu sasniegšanu arī šajā sektorā. T</w:t>
            </w:r>
            <w:r w:rsidRPr="00ED26F7">
              <w:rPr>
                <w:lang w:val="lv-LV"/>
              </w:rPr>
              <w:t xml:space="preserve">urklāt šādām investīcijām vajadzētu būt pieejamām arī grantu veidā, ne </w:t>
            </w:r>
            <w:r w:rsidRPr="00ED26F7">
              <w:rPr>
                <w:lang w:val="lv-LV"/>
              </w:rPr>
              <w:lastRenderedPageBreak/>
              <w:t xml:space="preserve">tikai izmantojot finanšu instrumentus. </w:t>
            </w:r>
            <w:r w:rsidR="00E0704F">
              <w:rPr>
                <w:lang w:val="lv-LV" w:eastAsia="de-DE"/>
              </w:rPr>
              <w:t xml:space="preserve">EJZF </w:t>
            </w:r>
            <w:r w:rsidRPr="00ED26F7">
              <w:rPr>
                <w:lang w:val="lv-LV" w:eastAsia="de-DE"/>
              </w:rPr>
              <w:t>atbalsts paredzēts ieguldījumiem energoefektivitātē, ietekmes uz vidi mazināšanai, nekomerciālo sugu un blakusproduktu pārstrādei un bioloģiskās akvakultūras produkcijas pārstrādei.</w:t>
            </w:r>
          </w:p>
          <w:p w14:paraId="24FF7428" w14:textId="77777777" w:rsidR="00833EC8" w:rsidRDefault="007B16F5" w:rsidP="00FA54CF">
            <w:pPr>
              <w:numPr>
                <w:ilvl w:val="0"/>
                <w:numId w:val="15"/>
              </w:numPr>
              <w:spacing w:after="120"/>
              <w:jc w:val="both"/>
              <w:rPr>
                <w:lang w:val="lv-LV"/>
              </w:rPr>
            </w:pPr>
            <w:r>
              <w:rPr>
                <w:lang w:val="lv-LV"/>
              </w:rPr>
              <w:t>l</w:t>
            </w:r>
            <w:r w:rsidR="002B5F9F">
              <w:rPr>
                <w:lang w:val="lv-LV"/>
              </w:rPr>
              <w:t xml:space="preserve">ai veicinātu ES zivsaimniecības nozares konkurētspēju globālajā tirgū, </w:t>
            </w:r>
            <w:r w:rsidR="00833EC8" w:rsidRPr="00ED26F7">
              <w:rPr>
                <w:lang w:val="lv-LV"/>
              </w:rPr>
              <w:t>jā</w:t>
            </w:r>
            <w:r w:rsidR="002B5F9F">
              <w:rPr>
                <w:lang w:val="lv-LV"/>
              </w:rPr>
              <w:t>ap</w:t>
            </w:r>
            <w:r w:rsidR="00833EC8" w:rsidRPr="00ED26F7">
              <w:rPr>
                <w:lang w:val="lv-LV"/>
              </w:rPr>
              <w:t xml:space="preserve">tver atbalsts arī </w:t>
            </w:r>
            <w:r w:rsidR="002B5F9F">
              <w:rPr>
                <w:lang w:val="lv-LV"/>
              </w:rPr>
              <w:t xml:space="preserve">nozares pārstāvju </w:t>
            </w:r>
            <w:r w:rsidR="00833EC8" w:rsidRPr="00ED26F7">
              <w:rPr>
                <w:lang w:val="lv-LV"/>
              </w:rPr>
              <w:t>dalībai reģionālās, nacionālās vai tr</w:t>
            </w:r>
            <w:r w:rsidR="00833EC8">
              <w:rPr>
                <w:lang w:val="lv-LV"/>
              </w:rPr>
              <w:t>ansnacionālās reklāmas kampaņās</w:t>
            </w:r>
            <w:r w:rsidR="00833EC8" w:rsidRPr="00ED26F7">
              <w:rPr>
                <w:lang w:val="lv-LV"/>
              </w:rPr>
              <w:t>, ne tikai to norisei, kā paredzēts pašreizējā regulas projektā</w:t>
            </w:r>
            <w:r w:rsidR="002B5F9F">
              <w:rPr>
                <w:lang w:val="lv-LV"/>
              </w:rPr>
              <w:t xml:space="preserve"> </w:t>
            </w:r>
            <w:r w:rsidR="00CD7628">
              <w:rPr>
                <w:lang w:val="lv-LV"/>
              </w:rPr>
              <w:t>(</w:t>
            </w:r>
            <w:r w:rsidR="00CD7628" w:rsidRPr="00CD7628">
              <w:rPr>
                <w:lang w:val="lv-LV"/>
              </w:rPr>
              <w:t>71. 1.(f) pantā)</w:t>
            </w:r>
            <w:r w:rsidR="00CD7628">
              <w:rPr>
                <w:lang w:val="lv-LV"/>
              </w:rPr>
              <w:t>.</w:t>
            </w:r>
          </w:p>
          <w:p w14:paraId="7717F39A" w14:textId="77777777" w:rsidR="002214B5" w:rsidRPr="002214B5" w:rsidRDefault="002214B5" w:rsidP="00FA54CF">
            <w:pPr>
              <w:numPr>
                <w:ilvl w:val="0"/>
                <w:numId w:val="15"/>
              </w:numPr>
              <w:spacing w:after="120"/>
              <w:jc w:val="both"/>
              <w:rPr>
                <w:lang w:val="lv-LV"/>
              </w:rPr>
            </w:pPr>
            <w:r w:rsidRPr="002214B5">
              <w:rPr>
                <w:lang w:val="lv-LV"/>
              </w:rPr>
              <w:t xml:space="preserve">Latvija </w:t>
            </w:r>
            <w:r w:rsidR="00700AE3">
              <w:rPr>
                <w:lang w:val="lv-LV"/>
              </w:rPr>
              <w:t>uzskata</w:t>
            </w:r>
            <w:r w:rsidRPr="002214B5">
              <w:rPr>
                <w:lang w:val="lv-LV"/>
              </w:rPr>
              <w:t xml:space="preserve">, ka atbalstu konkrētam zvejas kuģim var </w:t>
            </w:r>
            <w:r w:rsidR="00700AE3">
              <w:rPr>
                <w:lang w:val="lv-LV"/>
              </w:rPr>
              <w:t xml:space="preserve">atļaut </w:t>
            </w:r>
            <w:r w:rsidR="00700AE3" w:rsidRPr="002214B5">
              <w:rPr>
                <w:lang w:val="lv-LV"/>
              </w:rPr>
              <w:t xml:space="preserve">piešķirt </w:t>
            </w:r>
            <w:r w:rsidR="00700AE3">
              <w:rPr>
                <w:lang w:val="lv-LV"/>
              </w:rPr>
              <w:t xml:space="preserve">vairāk nekā </w:t>
            </w:r>
            <w:r w:rsidRPr="002214B5">
              <w:rPr>
                <w:lang w:val="lv-LV"/>
              </w:rPr>
              <w:t>vienu reizi plānošanas periodā. Ņemot vērā, piemēram, to, ka Komisija var noteikt jaunas normas drošības pasākumu nodrošināšanai vai zvejas rīku selektivitātei, bet atbalstu šādu jaunievedumu normu izpildei nevarēs saņemt fonda ietvaros, ja atbalsts jau vienu reizi pasākuma ietvaros būs piešķirts.</w:t>
            </w:r>
          </w:p>
          <w:p w14:paraId="6CE94950" w14:textId="77777777" w:rsidR="00751142" w:rsidRDefault="00751142" w:rsidP="009458CE">
            <w:pPr>
              <w:jc w:val="both"/>
              <w:rPr>
                <w:lang w:val="lv-LV"/>
              </w:rPr>
            </w:pPr>
            <w:r>
              <w:rPr>
                <w:lang w:val="lv-LV"/>
              </w:rPr>
              <w:t>Komisija kā vienu no galvenajiem mērķiem nākamajam plānošanas periodam ir definējusi finanšu instrumentu ieviešanas vienkāršošanu un saskaņotību starp dažādiem ES fondiem. Latvija uzskata, ka,</w:t>
            </w:r>
            <w:r w:rsidRPr="00CD7628">
              <w:rPr>
                <w:b/>
                <w:lang w:val="lv-LV"/>
              </w:rPr>
              <w:t xml:space="preserve"> vienādojot </w:t>
            </w:r>
            <w:r>
              <w:rPr>
                <w:b/>
                <w:lang w:val="lv-LV"/>
              </w:rPr>
              <w:t xml:space="preserve">ES </w:t>
            </w:r>
            <w:r w:rsidRPr="00CD7628">
              <w:rPr>
                <w:b/>
                <w:lang w:val="lv-LV"/>
              </w:rPr>
              <w:t xml:space="preserve">fondu ieviešanas procedūras, </w:t>
            </w:r>
            <w:r>
              <w:rPr>
                <w:b/>
                <w:lang w:val="lv-LV"/>
              </w:rPr>
              <w:t xml:space="preserve">EJZF </w:t>
            </w:r>
            <w:r w:rsidRPr="00CD7628">
              <w:rPr>
                <w:b/>
                <w:lang w:val="lv-LV"/>
              </w:rPr>
              <w:t xml:space="preserve">būtu jāpiemēro jau šajā plānošanas periodā </w:t>
            </w:r>
            <w:r>
              <w:rPr>
                <w:b/>
                <w:lang w:val="lv-LV"/>
              </w:rPr>
              <w:t xml:space="preserve">EZF </w:t>
            </w:r>
            <w:r w:rsidR="009D1328" w:rsidRPr="00CD7628">
              <w:rPr>
                <w:b/>
                <w:lang w:val="lv-LV"/>
              </w:rPr>
              <w:t>izmantot</w:t>
            </w:r>
            <w:r w:rsidR="009D1328">
              <w:rPr>
                <w:b/>
                <w:lang w:val="lv-LV"/>
              </w:rPr>
              <w:t>o</w:t>
            </w:r>
            <w:r w:rsidR="009D1328" w:rsidRPr="00CD7628">
              <w:rPr>
                <w:b/>
                <w:lang w:val="lv-LV"/>
              </w:rPr>
              <w:t>s</w:t>
            </w:r>
            <w:r w:rsidRPr="00CD7628">
              <w:rPr>
                <w:b/>
                <w:lang w:val="lv-LV"/>
              </w:rPr>
              <w:t xml:space="preserve">, pieredzē </w:t>
            </w:r>
            <w:r w:rsidR="009D1328" w:rsidRPr="00CD7628">
              <w:rPr>
                <w:b/>
                <w:lang w:val="lv-LV"/>
              </w:rPr>
              <w:t>pārbaudīt</w:t>
            </w:r>
            <w:r w:rsidR="009D1328">
              <w:rPr>
                <w:b/>
                <w:lang w:val="lv-LV"/>
              </w:rPr>
              <w:t>o</w:t>
            </w:r>
            <w:r w:rsidR="009D1328" w:rsidRPr="00CD7628">
              <w:rPr>
                <w:b/>
                <w:lang w:val="lv-LV"/>
              </w:rPr>
              <w:t>s</w:t>
            </w:r>
            <w:r>
              <w:rPr>
                <w:b/>
                <w:lang w:val="lv-LV"/>
              </w:rPr>
              <w:t>,</w:t>
            </w:r>
            <w:r w:rsidRPr="00CD7628">
              <w:rPr>
                <w:b/>
                <w:lang w:val="lv-LV"/>
              </w:rPr>
              <w:t xml:space="preserve"> vienkāršāk</w:t>
            </w:r>
            <w:r>
              <w:rPr>
                <w:b/>
                <w:lang w:val="lv-LV"/>
              </w:rPr>
              <w:t>o</w:t>
            </w:r>
            <w:r w:rsidRPr="00CD7628">
              <w:rPr>
                <w:b/>
                <w:lang w:val="lv-LV"/>
              </w:rPr>
              <w:t>s publiskā atbalsta ieviešanas mehānismus</w:t>
            </w:r>
            <w:r>
              <w:rPr>
                <w:b/>
                <w:lang w:val="lv-LV"/>
              </w:rPr>
              <w:t>, kas turklāt ir skaidri noteikti</w:t>
            </w:r>
            <w:r w:rsidRPr="00CD7628">
              <w:rPr>
                <w:b/>
                <w:lang w:val="lv-LV"/>
              </w:rPr>
              <w:t xml:space="preserve">. </w:t>
            </w:r>
            <w:r>
              <w:rPr>
                <w:b/>
                <w:lang w:val="lv-LV"/>
              </w:rPr>
              <w:t>EZF/</w:t>
            </w:r>
            <w:r w:rsidRPr="00CD7628">
              <w:rPr>
                <w:b/>
                <w:lang w:val="lv-LV"/>
              </w:rPr>
              <w:t xml:space="preserve">EJZF ir apjoma ziņā salīdzinoši neliels finanšu instruments, ar nelielām darbības programmām, </w:t>
            </w:r>
            <w:r w:rsidRPr="00751142">
              <w:rPr>
                <w:b/>
                <w:u w:val="single"/>
                <w:lang w:val="lv-LV"/>
              </w:rPr>
              <w:t>tādēļ tā ieviešanā nebūtu jāpārņem sarežģītākus ieviešanas mehānismus no citiem apjomīgākiem fondiem</w:t>
            </w:r>
            <w:r w:rsidRPr="00751142">
              <w:rPr>
                <w:u w:val="single"/>
                <w:lang w:val="lv-LV"/>
              </w:rPr>
              <w:t>.</w:t>
            </w:r>
            <w:r>
              <w:rPr>
                <w:lang w:val="lv-LV"/>
              </w:rPr>
              <w:t xml:space="preserve"> </w:t>
            </w:r>
          </w:p>
          <w:p w14:paraId="4CAE7155" w14:textId="77777777" w:rsidR="00751142" w:rsidRDefault="00751142" w:rsidP="009458CE">
            <w:pPr>
              <w:jc w:val="both"/>
              <w:rPr>
                <w:lang w:val="lv-LV"/>
              </w:rPr>
            </w:pPr>
          </w:p>
          <w:p w14:paraId="5B3E99AD" w14:textId="77777777" w:rsidR="00B978C5" w:rsidRPr="000A49F1" w:rsidRDefault="00751142" w:rsidP="009458CE">
            <w:pPr>
              <w:jc w:val="both"/>
              <w:rPr>
                <w:b/>
                <w:lang w:val="lv-LV"/>
              </w:rPr>
            </w:pPr>
            <w:r>
              <w:rPr>
                <w:b/>
                <w:lang w:val="lv-LV"/>
              </w:rPr>
              <w:t xml:space="preserve">III Vienkāršošana </w:t>
            </w:r>
          </w:p>
          <w:p w14:paraId="0B9A6CD9" w14:textId="77777777" w:rsidR="00751142" w:rsidRDefault="00751142" w:rsidP="00751142">
            <w:pPr>
              <w:jc w:val="both"/>
              <w:rPr>
                <w:lang w:val="lv-LV"/>
              </w:rPr>
            </w:pPr>
            <w:r>
              <w:rPr>
                <w:lang w:val="lv-LV"/>
              </w:rPr>
              <w:t>Latvija atzinīgi vērtē Komisijas izvirzīto pamatprincipu nākamajam plānošanas periodam par administratīvā sloga mazināšanu dalībvalstīm</w:t>
            </w:r>
            <w:r w:rsidR="00700AE3">
              <w:rPr>
                <w:lang w:val="lv-LV"/>
              </w:rPr>
              <w:t>.</w:t>
            </w:r>
            <w:r>
              <w:rPr>
                <w:lang w:val="lv-LV"/>
              </w:rPr>
              <w:t xml:space="preserve"> Latvija </w:t>
            </w:r>
            <w:r w:rsidR="00700AE3">
              <w:rPr>
                <w:lang w:val="lv-LV"/>
              </w:rPr>
              <w:t xml:space="preserve">ierosina </w:t>
            </w:r>
            <w:r w:rsidR="00E33C47">
              <w:rPr>
                <w:lang w:val="lv-LV"/>
              </w:rPr>
              <w:t>turpināt vienkāršošanu</w:t>
            </w:r>
            <w:r w:rsidR="00700AE3">
              <w:rPr>
                <w:lang w:val="lv-LV"/>
              </w:rPr>
              <w:t xml:space="preserve"> un izvairīties no </w:t>
            </w:r>
            <w:r>
              <w:rPr>
                <w:b/>
                <w:lang w:val="lv-LV"/>
              </w:rPr>
              <w:t>ierosinājum</w:t>
            </w:r>
            <w:r w:rsidR="00700AE3">
              <w:rPr>
                <w:b/>
                <w:lang w:val="lv-LV"/>
              </w:rPr>
              <w:t>iem</w:t>
            </w:r>
            <w:r w:rsidRPr="00CD7628">
              <w:rPr>
                <w:b/>
                <w:lang w:val="lv-LV"/>
              </w:rPr>
              <w:t xml:space="preserve">, kas nepamatoti </w:t>
            </w:r>
            <w:r>
              <w:rPr>
                <w:b/>
                <w:lang w:val="lv-LV"/>
              </w:rPr>
              <w:t xml:space="preserve">un neproporcionāli pret ieguvumiem </w:t>
            </w:r>
            <w:r w:rsidRPr="00CD7628">
              <w:rPr>
                <w:b/>
                <w:lang w:val="lv-LV"/>
              </w:rPr>
              <w:t>palielina administratīvo slogu</w:t>
            </w:r>
            <w:r>
              <w:rPr>
                <w:lang w:val="lv-LV"/>
              </w:rPr>
              <w:t xml:space="preserve">. Piemēram, </w:t>
            </w:r>
          </w:p>
          <w:p w14:paraId="3E4E82FF" w14:textId="77777777" w:rsidR="003E723D" w:rsidRDefault="00751142" w:rsidP="00751142">
            <w:pPr>
              <w:numPr>
                <w:ilvl w:val="0"/>
                <w:numId w:val="16"/>
              </w:numPr>
              <w:jc w:val="both"/>
              <w:rPr>
                <w:lang w:val="lv-LV"/>
              </w:rPr>
            </w:pPr>
            <w:r>
              <w:rPr>
                <w:lang w:val="lv-LV"/>
              </w:rPr>
              <w:t xml:space="preserve">dubulto </w:t>
            </w:r>
            <w:r w:rsidR="00FC5DAF">
              <w:rPr>
                <w:lang w:val="lv-LV"/>
              </w:rPr>
              <w:t xml:space="preserve">valsts atbalsta skaņošanas </w:t>
            </w:r>
            <w:r>
              <w:rPr>
                <w:lang w:val="lv-LV"/>
              </w:rPr>
              <w:t xml:space="preserve">procedūru </w:t>
            </w:r>
            <w:r w:rsidR="00B2532E">
              <w:rPr>
                <w:lang w:val="lv-LV"/>
              </w:rPr>
              <w:t>aktivitātēm, kas ietvertas rīcības programmā</w:t>
            </w:r>
            <w:r w:rsidR="002E3AFF">
              <w:rPr>
                <w:lang w:val="lv-LV"/>
              </w:rPr>
              <w:t xml:space="preserve"> </w:t>
            </w:r>
            <w:r w:rsidR="003B7F5C">
              <w:rPr>
                <w:lang w:val="lv-LV"/>
              </w:rPr>
              <w:t>(8.pants).</w:t>
            </w:r>
            <w:r>
              <w:rPr>
                <w:lang w:val="lv-LV"/>
              </w:rPr>
              <w:t xml:space="preserve"> Latvija</w:t>
            </w:r>
            <w:r w:rsidR="00DD0711">
              <w:rPr>
                <w:lang w:val="lv-LV"/>
              </w:rPr>
              <w:t xml:space="preserve"> uzskata</w:t>
            </w:r>
            <w:r w:rsidR="00FC5DAF">
              <w:rPr>
                <w:lang w:val="lv-LV"/>
              </w:rPr>
              <w:t>, ka ir pietiekami attiecīgo atbalstu ar Komisiju saskaņot vienu reizi, dalībvalstij apstiprinot rīcības programmu 2014.-2020.gadam</w:t>
            </w:r>
            <w:r>
              <w:rPr>
                <w:lang w:val="lv-LV"/>
              </w:rPr>
              <w:t>, kā tas noteikts pašreizējā finanšu periodā</w:t>
            </w:r>
            <w:r w:rsidR="00FC5DAF">
              <w:rPr>
                <w:lang w:val="lv-LV"/>
              </w:rPr>
              <w:t xml:space="preserve">. </w:t>
            </w:r>
            <w:r w:rsidR="00FC5DAF" w:rsidRPr="006F7E1E">
              <w:rPr>
                <w:color w:val="000000"/>
                <w:lang w:val="lv-LV"/>
              </w:rPr>
              <w:t>Latvija uzskata</w:t>
            </w:r>
            <w:r w:rsidR="00FC5DAF" w:rsidRPr="006F77DC">
              <w:rPr>
                <w:color w:val="000000"/>
                <w:lang w:val="lv-LV"/>
              </w:rPr>
              <w:t xml:space="preserve">, ka </w:t>
            </w:r>
            <w:r w:rsidR="00DD0711">
              <w:rPr>
                <w:color w:val="000000"/>
                <w:lang w:val="lv-LV"/>
              </w:rPr>
              <w:t xml:space="preserve">tā kā </w:t>
            </w:r>
            <w:r w:rsidR="00FC5DAF" w:rsidRPr="006F77DC">
              <w:rPr>
                <w:color w:val="000000"/>
                <w:lang w:val="lv-LV"/>
              </w:rPr>
              <w:t>Komisija ir viena institūcija</w:t>
            </w:r>
            <w:r w:rsidR="00DD0711">
              <w:rPr>
                <w:color w:val="000000"/>
                <w:lang w:val="lv-LV"/>
              </w:rPr>
              <w:t>,</w:t>
            </w:r>
            <w:r w:rsidR="00FC5DAF" w:rsidRPr="006F77DC">
              <w:rPr>
                <w:color w:val="000000"/>
                <w:lang w:val="lv-LV"/>
              </w:rPr>
              <w:t xml:space="preserve"> dalībvalstīm atbalsta shēma ar Komisiju būtu jāsaskaņo tikai vienu reizi. </w:t>
            </w:r>
            <w:r w:rsidR="00FC5DAF">
              <w:rPr>
                <w:lang w:val="lv-LV"/>
              </w:rPr>
              <w:t>Tā kā EZF ietvaros papildus valsts atbalsta skaņošana esošajā plānošanas periodā nebija jāveic</w:t>
            </w:r>
            <w:r w:rsidR="00DD0711">
              <w:rPr>
                <w:lang w:val="lv-LV"/>
              </w:rPr>
              <w:t>,</w:t>
            </w:r>
            <w:r w:rsidR="00FC5DAF">
              <w:rPr>
                <w:lang w:val="lv-LV"/>
              </w:rPr>
              <w:t xml:space="preserve"> Latvija </w:t>
            </w:r>
            <w:r w:rsidR="003B7F5C">
              <w:rPr>
                <w:lang w:val="lv-LV"/>
              </w:rPr>
              <w:t xml:space="preserve">uzskata, ka nav </w:t>
            </w:r>
            <w:r w:rsidR="00FC5DAF">
              <w:rPr>
                <w:lang w:val="lv-LV"/>
              </w:rPr>
              <w:t>nepieciešam</w:t>
            </w:r>
            <w:r w:rsidR="003B7F5C">
              <w:rPr>
                <w:lang w:val="lv-LV"/>
              </w:rPr>
              <w:t>s</w:t>
            </w:r>
            <w:r w:rsidR="00FC5DAF">
              <w:rPr>
                <w:lang w:val="lv-LV"/>
              </w:rPr>
              <w:t xml:space="preserve"> mainīt līdzšinējo kārtību, palielinot administratīvo slogu gan dalībvalstīm,</w:t>
            </w:r>
            <w:r w:rsidR="00E50BCF">
              <w:rPr>
                <w:lang w:val="lv-LV"/>
              </w:rPr>
              <w:t xml:space="preserve"> gan Komisijai. Latvija ir vairā</w:t>
            </w:r>
            <w:r w:rsidR="00FC5DAF">
              <w:rPr>
                <w:lang w:val="lv-LV"/>
              </w:rPr>
              <w:t xml:space="preserve">kkārt paudusi </w:t>
            </w:r>
            <w:r w:rsidR="00736E12">
              <w:rPr>
                <w:lang w:val="lv-LV"/>
              </w:rPr>
              <w:t>viedokli par</w:t>
            </w:r>
            <w:r w:rsidR="00FC5DAF">
              <w:rPr>
                <w:lang w:val="lv-LV"/>
              </w:rPr>
              <w:t xml:space="preserve"> E</w:t>
            </w:r>
            <w:r w:rsidR="00DD0711">
              <w:rPr>
                <w:lang w:val="lv-LV"/>
              </w:rPr>
              <w:t>iropas Lauksaimniecības fonda lauku attīstība</w:t>
            </w:r>
            <w:r w:rsidR="00736E12">
              <w:rPr>
                <w:lang w:val="lv-LV"/>
              </w:rPr>
              <w:t>s</w:t>
            </w:r>
            <w:r w:rsidR="00DD0711">
              <w:rPr>
                <w:lang w:val="lv-LV"/>
              </w:rPr>
              <w:t xml:space="preserve"> </w:t>
            </w:r>
            <w:r w:rsidR="00FC5DAF">
              <w:rPr>
                <w:lang w:val="lv-LV"/>
              </w:rPr>
              <w:t xml:space="preserve">īstenošanas negatīvo pieredzi, kur šāda prakse tika piemērota šajā plānošanas periodā, jo uzskata, ka </w:t>
            </w:r>
            <w:r w:rsidR="00FC5DAF" w:rsidRPr="00F961FF">
              <w:rPr>
                <w:lang w:val="lv-LV"/>
              </w:rPr>
              <w:t>atsevišķ</w:t>
            </w:r>
            <w:r w:rsidR="00FC5DAF">
              <w:rPr>
                <w:lang w:val="lv-LV"/>
              </w:rPr>
              <w:t>s</w:t>
            </w:r>
            <w:r w:rsidR="00FC5DAF" w:rsidRPr="00F961FF">
              <w:rPr>
                <w:lang w:val="lv-LV"/>
              </w:rPr>
              <w:t xml:space="preserve"> valsts atbalsta skaņošanas proces</w:t>
            </w:r>
            <w:r w:rsidR="00FC5DAF">
              <w:rPr>
                <w:lang w:val="lv-LV"/>
              </w:rPr>
              <w:t>s</w:t>
            </w:r>
            <w:r w:rsidR="00FC5DAF" w:rsidRPr="00F961FF">
              <w:rPr>
                <w:lang w:val="lv-LV"/>
              </w:rPr>
              <w:t xml:space="preserve"> būtiski apgrūtina pasākumu saskaņošanu </w:t>
            </w:r>
            <w:r w:rsidR="00FC5DAF">
              <w:rPr>
                <w:lang w:val="lv-LV"/>
              </w:rPr>
              <w:t>un attiecīgo grozījumu veikšanu</w:t>
            </w:r>
            <w:r w:rsidR="008C38AF">
              <w:rPr>
                <w:lang w:val="lv-LV"/>
              </w:rPr>
              <w:t>.</w:t>
            </w:r>
          </w:p>
          <w:p w14:paraId="65043305" w14:textId="77777777" w:rsidR="0039162E" w:rsidRDefault="00CD7628" w:rsidP="0039162E">
            <w:pPr>
              <w:numPr>
                <w:ilvl w:val="0"/>
                <w:numId w:val="16"/>
              </w:numPr>
              <w:jc w:val="both"/>
              <w:rPr>
                <w:lang w:val="lv-LV"/>
              </w:rPr>
            </w:pPr>
            <w:r w:rsidRPr="00751142">
              <w:rPr>
                <w:lang w:val="lv-LV"/>
              </w:rPr>
              <w:t xml:space="preserve">Latvija </w:t>
            </w:r>
            <w:r w:rsidR="00346CB4" w:rsidRPr="00751142">
              <w:rPr>
                <w:lang w:val="lv-LV"/>
              </w:rPr>
              <w:t>uzskata, ka esošajā plānošanas periodā</w:t>
            </w:r>
            <w:r w:rsidRPr="00751142">
              <w:rPr>
                <w:lang w:val="lv-LV"/>
              </w:rPr>
              <w:t xml:space="preserve"> </w:t>
            </w:r>
            <w:r w:rsidR="00C92917" w:rsidRPr="00751142">
              <w:rPr>
                <w:lang w:val="lv-LV"/>
              </w:rPr>
              <w:t xml:space="preserve">EZF </w:t>
            </w:r>
            <w:r w:rsidRPr="00751142">
              <w:rPr>
                <w:lang w:val="lv-LV"/>
              </w:rPr>
              <w:t xml:space="preserve">rīcības programmas </w:t>
            </w:r>
            <w:r w:rsidR="00346CB4" w:rsidRPr="00751142">
              <w:rPr>
                <w:lang w:val="lv-LV"/>
              </w:rPr>
              <w:t>detalizācijas pakāpe ir optimāla attiecīg</w:t>
            </w:r>
            <w:r w:rsidR="007E0699" w:rsidRPr="00751142">
              <w:rPr>
                <w:lang w:val="lv-LV"/>
              </w:rPr>
              <w:t>ā</w:t>
            </w:r>
            <w:r w:rsidR="00346CB4" w:rsidRPr="00751142">
              <w:rPr>
                <w:lang w:val="lv-LV"/>
              </w:rPr>
              <w:t xml:space="preserve"> finanšu instrument</w:t>
            </w:r>
            <w:r w:rsidR="007E0699" w:rsidRPr="00751142">
              <w:rPr>
                <w:lang w:val="lv-LV"/>
              </w:rPr>
              <w:t>a ieviešanai</w:t>
            </w:r>
            <w:r w:rsidR="00C92917" w:rsidRPr="00751142">
              <w:rPr>
                <w:lang w:val="lv-LV"/>
              </w:rPr>
              <w:t xml:space="preserve"> un tā</w:t>
            </w:r>
            <w:r w:rsidR="007E0699" w:rsidRPr="00751142">
              <w:rPr>
                <w:lang w:val="lv-LV"/>
              </w:rPr>
              <w:t xml:space="preserve"> </w:t>
            </w:r>
            <w:r w:rsidR="00346CB4" w:rsidRPr="00751142">
              <w:rPr>
                <w:lang w:val="lv-LV"/>
              </w:rPr>
              <w:t>nerad</w:t>
            </w:r>
            <w:r w:rsidR="007E0699" w:rsidRPr="00751142">
              <w:rPr>
                <w:lang w:val="lv-LV"/>
              </w:rPr>
              <w:t>a</w:t>
            </w:r>
            <w:r w:rsidR="00346CB4" w:rsidRPr="00751142">
              <w:rPr>
                <w:lang w:val="lv-LV"/>
              </w:rPr>
              <w:t xml:space="preserve"> papildus administratīvo slogu ne dalībvalstij, ne Komisijai</w:t>
            </w:r>
            <w:r w:rsidR="00E7711B" w:rsidRPr="00751142">
              <w:rPr>
                <w:lang w:val="lv-LV"/>
              </w:rPr>
              <w:t>,</w:t>
            </w:r>
            <w:r w:rsidR="00346CB4" w:rsidRPr="00751142">
              <w:rPr>
                <w:lang w:val="lv-LV"/>
              </w:rPr>
              <w:t xml:space="preserve"> ieviešanas gaitā maksimāli operatīvi reaģē</w:t>
            </w:r>
            <w:r w:rsidR="00E7711B" w:rsidRPr="00751142">
              <w:rPr>
                <w:lang w:val="lv-LV"/>
              </w:rPr>
              <w:t>jot uz nepieciešamajām ne tik būtiskām izmaiņām</w:t>
            </w:r>
            <w:r w:rsidR="007E0699" w:rsidRPr="00751142">
              <w:rPr>
                <w:lang w:val="lv-LV"/>
              </w:rPr>
              <w:t xml:space="preserve">. </w:t>
            </w:r>
            <w:r w:rsidR="00E7711B" w:rsidRPr="00751142">
              <w:rPr>
                <w:lang w:val="lv-LV"/>
              </w:rPr>
              <w:t xml:space="preserve">Tāpēc </w:t>
            </w:r>
            <w:r w:rsidR="007E0699" w:rsidRPr="00751142">
              <w:rPr>
                <w:lang w:val="lv-LV"/>
              </w:rPr>
              <w:t>Latvija</w:t>
            </w:r>
            <w:r w:rsidR="00736E12">
              <w:rPr>
                <w:lang w:val="lv-LV"/>
              </w:rPr>
              <w:t xml:space="preserve"> uzskata</w:t>
            </w:r>
            <w:r w:rsidR="006125B1">
              <w:rPr>
                <w:lang w:val="lv-LV"/>
              </w:rPr>
              <w:t>, ka</w:t>
            </w:r>
            <w:r w:rsidR="00736E12">
              <w:rPr>
                <w:lang w:val="lv-LV"/>
              </w:rPr>
              <w:t xml:space="preserve"> </w:t>
            </w:r>
            <w:r w:rsidR="007E0699" w:rsidRPr="00751142">
              <w:rPr>
                <w:lang w:val="lv-LV"/>
              </w:rPr>
              <w:t>nosacījum</w:t>
            </w:r>
            <w:r w:rsidR="006125B1">
              <w:rPr>
                <w:lang w:val="lv-LV"/>
              </w:rPr>
              <w:t>i</w:t>
            </w:r>
            <w:r w:rsidR="007E0699" w:rsidRPr="00751142">
              <w:rPr>
                <w:lang w:val="lv-LV"/>
              </w:rPr>
              <w:t xml:space="preserve"> rīcības programmā</w:t>
            </w:r>
            <w:r w:rsidR="006125B1">
              <w:rPr>
                <w:lang w:val="lv-LV"/>
              </w:rPr>
              <w:t xml:space="preserve"> nākamajam plānošanas periodam ir </w:t>
            </w:r>
            <w:r w:rsidR="006125B1" w:rsidRPr="00751142">
              <w:rPr>
                <w:lang w:val="lv-LV"/>
              </w:rPr>
              <w:t>pārāk detalizēt</w:t>
            </w:r>
            <w:r w:rsidR="006125B1">
              <w:rPr>
                <w:lang w:val="lv-LV"/>
              </w:rPr>
              <w:t>i</w:t>
            </w:r>
            <w:r w:rsidR="00E7711B" w:rsidRPr="00751142">
              <w:rPr>
                <w:lang w:val="lv-LV"/>
              </w:rPr>
              <w:t xml:space="preserve">, tajā skaitā </w:t>
            </w:r>
            <w:r w:rsidR="002772F0" w:rsidRPr="00751142">
              <w:rPr>
                <w:lang w:val="lv-LV"/>
              </w:rPr>
              <w:t>priekšlikum</w:t>
            </w:r>
            <w:r w:rsidR="006125B1">
              <w:rPr>
                <w:lang w:val="lv-LV"/>
              </w:rPr>
              <w:t>a</w:t>
            </w:r>
            <w:r w:rsidR="002772F0" w:rsidRPr="00751142">
              <w:rPr>
                <w:lang w:val="lv-LV"/>
              </w:rPr>
              <w:t xml:space="preserve"> par</w:t>
            </w:r>
            <w:r w:rsidR="006125B1">
              <w:rPr>
                <w:lang w:val="lv-LV"/>
              </w:rPr>
              <w:t xml:space="preserve"> </w:t>
            </w:r>
            <w:r>
              <w:rPr>
                <w:lang w:val="lv-LV"/>
              </w:rPr>
              <w:t>atlases</w:t>
            </w:r>
            <w:r w:rsidR="00034CB8" w:rsidRPr="00ED26F7">
              <w:rPr>
                <w:lang w:val="lv-LV"/>
              </w:rPr>
              <w:t xml:space="preserve"> kritēriju aprakst</w:t>
            </w:r>
            <w:r w:rsidR="006125B1">
              <w:rPr>
                <w:lang w:val="lv-LV"/>
              </w:rPr>
              <w:t>u</w:t>
            </w:r>
            <w:r w:rsidR="00034CB8">
              <w:rPr>
                <w:lang w:val="lv-LV"/>
              </w:rPr>
              <w:t xml:space="preserve"> ietveršan</w:t>
            </w:r>
            <w:r w:rsidR="006125B1">
              <w:rPr>
                <w:lang w:val="lv-LV"/>
              </w:rPr>
              <w:t>a</w:t>
            </w:r>
            <w:r w:rsidR="00034CB8">
              <w:rPr>
                <w:lang w:val="lv-LV"/>
              </w:rPr>
              <w:t xml:space="preserve"> </w:t>
            </w:r>
            <w:r w:rsidR="009B5A7E">
              <w:rPr>
                <w:lang w:val="lv-LV"/>
              </w:rPr>
              <w:t>r</w:t>
            </w:r>
            <w:r w:rsidR="009B5A7E" w:rsidRPr="00ED26F7">
              <w:rPr>
                <w:lang w:val="lv-LV"/>
              </w:rPr>
              <w:t xml:space="preserve">īcības </w:t>
            </w:r>
            <w:r w:rsidR="006F0708" w:rsidRPr="00ED26F7">
              <w:rPr>
                <w:lang w:val="lv-LV"/>
              </w:rPr>
              <w:t>programmā</w:t>
            </w:r>
            <w:r w:rsidR="00CC7101">
              <w:rPr>
                <w:lang w:val="lv-LV"/>
              </w:rPr>
              <w:t xml:space="preserve"> (20.pants 1 (f).punkts</w:t>
            </w:r>
            <w:r w:rsidR="006125B1">
              <w:rPr>
                <w:lang w:val="lv-LV"/>
              </w:rPr>
              <w:t>). Latvija</w:t>
            </w:r>
            <w:r w:rsidR="006F0708" w:rsidRPr="00ED26F7">
              <w:rPr>
                <w:lang w:val="lv-LV"/>
              </w:rPr>
              <w:t xml:space="preserve"> uzskata, ka ar projektu atlases kritērijiem tiek maksimāli operatīvi reaģēts konkrēta pasākuma ieviešanas gaitā</w:t>
            </w:r>
            <w:r w:rsidR="006125B1">
              <w:rPr>
                <w:lang w:val="lv-LV"/>
              </w:rPr>
              <w:t>,</w:t>
            </w:r>
            <w:r w:rsidR="006F0708" w:rsidRPr="00ED26F7">
              <w:rPr>
                <w:lang w:val="lv-LV"/>
              </w:rPr>
              <w:t xml:space="preserve"> </w:t>
            </w:r>
            <w:r w:rsidR="006125B1">
              <w:rPr>
                <w:lang w:val="lv-LV"/>
              </w:rPr>
              <w:t>l</w:t>
            </w:r>
            <w:r w:rsidR="006F0708" w:rsidRPr="00ED26F7">
              <w:rPr>
                <w:lang w:val="lv-LV"/>
              </w:rPr>
              <w:t>īdz ar to neredz iespēju perioda sākumā noteikt kritērijus, kas būtu piemērojami visa perioda laikā</w:t>
            </w:r>
            <w:r w:rsidR="002772F0">
              <w:rPr>
                <w:lang w:val="lv-LV"/>
              </w:rPr>
              <w:t>.</w:t>
            </w:r>
            <w:r w:rsidR="00B2532E">
              <w:rPr>
                <w:lang w:val="lv-LV"/>
              </w:rPr>
              <w:t xml:space="preserve"> </w:t>
            </w:r>
          </w:p>
          <w:p w14:paraId="6D264478" w14:textId="77777777" w:rsidR="00B46774" w:rsidRDefault="0039162E" w:rsidP="00B46774">
            <w:pPr>
              <w:numPr>
                <w:ilvl w:val="0"/>
                <w:numId w:val="16"/>
              </w:numPr>
              <w:jc w:val="both"/>
              <w:rPr>
                <w:lang w:val="lv-LV"/>
              </w:rPr>
            </w:pPr>
            <w:r w:rsidRPr="0039162E">
              <w:rPr>
                <w:color w:val="000000"/>
                <w:lang w:val="lv-LV"/>
              </w:rPr>
              <w:t xml:space="preserve">nepieciešamību Komisijai sniegt informāciju 4 reizes gadā par visiem atbalstītajiem projektiem un atbalsta </w:t>
            </w:r>
            <w:r w:rsidRPr="0039162E">
              <w:rPr>
                <w:lang w:val="lv-LV"/>
              </w:rPr>
              <w:t xml:space="preserve">saņēmējiem (108.pants 1 (b) punkts) un ikgadēju datu vākšanas darba plānu iesniegšanu (23.pants). Latvija nesaskata datu vākšanas </w:t>
            </w:r>
            <w:r w:rsidRPr="0039162E">
              <w:rPr>
                <w:lang w:val="lv-LV"/>
              </w:rPr>
              <w:lastRenderedPageBreak/>
              <w:t>procedūru un metožu aprakstu ikgadējas iesniegšanas, kā arī to precizitātes novērtēšanas pamatojumu.</w:t>
            </w:r>
          </w:p>
          <w:p w14:paraId="701DA0E2" w14:textId="77777777" w:rsidR="003A2E50" w:rsidRDefault="003A2E50" w:rsidP="00374AAC">
            <w:pPr>
              <w:jc w:val="both"/>
              <w:rPr>
                <w:lang w:val="lv-LV"/>
              </w:rPr>
            </w:pPr>
          </w:p>
          <w:p w14:paraId="3BB1F085" w14:textId="77777777" w:rsidR="003A2E50" w:rsidRPr="009E5D26" w:rsidRDefault="003A2E50" w:rsidP="003A2E50">
            <w:pPr>
              <w:jc w:val="both"/>
              <w:rPr>
                <w:b/>
                <w:lang w:val="lv-LV"/>
              </w:rPr>
            </w:pPr>
            <w:r w:rsidRPr="009E5D26">
              <w:rPr>
                <w:b/>
                <w:lang w:val="lv-LV"/>
              </w:rPr>
              <w:t xml:space="preserve">IV </w:t>
            </w:r>
            <w:r w:rsidR="00706D93" w:rsidRPr="009E5D26">
              <w:rPr>
                <w:b/>
                <w:lang w:val="lv-LV"/>
              </w:rPr>
              <w:t>Citi jautājumi (</w:t>
            </w:r>
            <w:r w:rsidRPr="009E5D26">
              <w:rPr>
                <w:lang w:val="lv-LV"/>
              </w:rPr>
              <w:t>Finanšu sadalījums dalītai pārvaldībai</w:t>
            </w:r>
            <w:r w:rsidR="00706D93" w:rsidRPr="009E5D26">
              <w:rPr>
                <w:b/>
                <w:lang w:val="lv-LV"/>
              </w:rPr>
              <w:t>)</w:t>
            </w:r>
          </w:p>
          <w:p w14:paraId="3464DFE1" w14:textId="77777777" w:rsidR="003A2E50" w:rsidRPr="009E5D26" w:rsidRDefault="003A2E50" w:rsidP="003A2E50">
            <w:pPr>
              <w:jc w:val="both"/>
              <w:rPr>
                <w:lang w:val="lv-LV"/>
              </w:rPr>
            </w:pPr>
            <w:r w:rsidRPr="009E5D26">
              <w:rPr>
                <w:lang w:val="lv-LV"/>
              </w:rPr>
              <w:t xml:space="preserve">Latvija uzskata, ka nosakot dalībvalstīm 2014.-2020.gada plānošanas periodā pieejamo finansējumu, lielākas iespējas jānodrošina dalībvalstīm, kas labāk </w:t>
            </w:r>
            <w:r w:rsidR="00202CE0">
              <w:rPr>
                <w:lang w:val="lv-LV"/>
              </w:rPr>
              <w:t>apguvušas</w:t>
            </w:r>
            <w:r w:rsidR="00202CE0" w:rsidRPr="009E5D26">
              <w:rPr>
                <w:lang w:val="lv-LV"/>
              </w:rPr>
              <w:t xml:space="preserve"> </w:t>
            </w:r>
            <w:r w:rsidRPr="009E5D26">
              <w:rPr>
                <w:lang w:val="lv-LV"/>
              </w:rPr>
              <w:t>šajā plānošanas periodā pieejamo finansējumu</w:t>
            </w:r>
            <w:r w:rsidR="00706D93" w:rsidRPr="009E5D26">
              <w:rPr>
                <w:lang w:val="lv-LV"/>
              </w:rPr>
              <w:t>, bet pēc mērķu sasniegšanas</w:t>
            </w:r>
            <w:r w:rsidRPr="009E5D26">
              <w:rPr>
                <w:lang w:val="lv-LV"/>
              </w:rPr>
              <w:t xml:space="preserve"> tajās </w:t>
            </w:r>
            <w:r w:rsidR="00706D93" w:rsidRPr="009E5D26">
              <w:rPr>
                <w:lang w:val="lv-LV"/>
              </w:rPr>
              <w:t xml:space="preserve">tomēr ir </w:t>
            </w:r>
            <w:r w:rsidRPr="009E5D26">
              <w:rPr>
                <w:lang w:val="lv-LV"/>
              </w:rPr>
              <w:t>samazinājies zivsaimniecībā nodarbināto skaits</w:t>
            </w:r>
            <w:r w:rsidR="00706D93" w:rsidRPr="009E5D26">
              <w:rPr>
                <w:lang w:val="lv-LV"/>
              </w:rPr>
              <w:t xml:space="preserve"> (</w:t>
            </w:r>
            <w:r w:rsidR="00202CE0">
              <w:rPr>
                <w:lang w:val="lv-LV"/>
              </w:rPr>
              <w:t>piemēram</w:t>
            </w:r>
            <w:r w:rsidR="005031F1">
              <w:rPr>
                <w:lang w:val="lv-LV"/>
              </w:rPr>
              <w:t>,</w:t>
            </w:r>
            <w:r w:rsidR="00202CE0">
              <w:rPr>
                <w:lang w:val="lv-LV"/>
              </w:rPr>
              <w:t xml:space="preserve"> sabalansējot zvejas floti atbilstoši zvejas resursiem</w:t>
            </w:r>
            <w:r w:rsidR="00706D93" w:rsidRPr="009E5D26">
              <w:rPr>
                <w:lang w:val="lv-LV"/>
              </w:rPr>
              <w:t>)</w:t>
            </w:r>
            <w:r w:rsidRPr="009E5D26">
              <w:rPr>
                <w:lang w:val="lv-LV"/>
              </w:rPr>
              <w:t xml:space="preserve">. </w:t>
            </w:r>
          </w:p>
          <w:p w14:paraId="1CED921B" w14:textId="77777777" w:rsidR="003A2E50" w:rsidRPr="005031F1" w:rsidRDefault="003A773F" w:rsidP="00837C2B">
            <w:pPr>
              <w:jc w:val="both"/>
              <w:rPr>
                <w:lang w:val="lv-LV"/>
              </w:rPr>
            </w:pPr>
            <w:r w:rsidRPr="009E5D26">
              <w:rPr>
                <w:lang w:val="lv-LV"/>
              </w:rPr>
              <w:t>Līdz ar to</w:t>
            </w:r>
            <w:r w:rsidR="00E83D16" w:rsidRPr="009E5D26">
              <w:rPr>
                <w:lang w:val="lv-LV"/>
              </w:rPr>
              <w:t xml:space="preserve">, Latvija uzskata, ka </w:t>
            </w:r>
            <w:r w:rsidR="003A2E50" w:rsidRPr="009E5D26">
              <w:rPr>
                <w:lang w:val="lv-LV"/>
              </w:rPr>
              <w:t xml:space="preserve">finanšu sadalījuma aprēķinā pa dalībvalstīm būtiski ir </w:t>
            </w:r>
            <w:r w:rsidR="00E83D16" w:rsidRPr="009E5D26">
              <w:rPr>
                <w:lang w:val="lv-LV"/>
              </w:rPr>
              <w:t xml:space="preserve">sasaistīt </w:t>
            </w:r>
            <w:r w:rsidR="003A2E50" w:rsidRPr="009E5D26">
              <w:rPr>
                <w:lang w:val="lv-LV"/>
              </w:rPr>
              <w:t>objektīvo kritēriju „zvejniecībā un akvakultūrā nodarbināto īpatsvars” ar objektīvo kritēriju „zvejniecības un akvakultūras produkcijas apjoms”</w:t>
            </w:r>
            <w:r w:rsidR="007D71E4" w:rsidRPr="009E5D26">
              <w:rPr>
                <w:lang w:val="lv-LV"/>
              </w:rPr>
              <w:t xml:space="preserve">, </w:t>
            </w:r>
            <w:r w:rsidR="005031F1">
              <w:rPr>
                <w:lang w:val="lv-LV"/>
              </w:rPr>
              <w:t xml:space="preserve">tādējādi </w:t>
            </w:r>
            <w:r w:rsidR="007D71E4" w:rsidRPr="009E5D26">
              <w:rPr>
                <w:lang w:val="lv-LV"/>
              </w:rPr>
              <w:t>ņemot vērā arī to</w:t>
            </w:r>
            <w:r w:rsidR="003A2E50" w:rsidRPr="009E5D26">
              <w:rPr>
                <w:lang w:val="lv-LV"/>
              </w:rPr>
              <w:t xml:space="preserve">, cik liels produkcijas apjoms ir saražots uz vienu nodarbināto zvejniecībā un akvakultūrā. </w:t>
            </w:r>
            <w:r w:rsidR="00BD40FA">
              <w:rPr>
                <w:lang w:val="lv-LV"/>
              </w:rPr>
              <w:t>Tām dalībvalstīm, kurām zvejas flote ir sabalansēta</w:t>
            </w:r>
            <w:r w:rsidR="005031F1" w:rsidRPr="005031F1">
              <w:rPr>
                <w:lang w:val="lv-LV"/>
              </w:rPr>
              <w:t xml:space="preserve"> un nodar</w:t>
            </w:r>
            <w:r w:rsidR="00B77EE1">
              <w:rPr>
                <w:lang w:val="lv-LV"/>
              </w:rPr>
              <w:t xml:space="preserve">bināto skaits ir samazinājies, </w:t>
            </w:r>
            <w:r w:rsidR="00FE5EB1" w:rsidRPr="005031F1">
              <w:rPr>
                <w:lang w:val="lv-LV"/>
              </w:rPr>
              <w:t xml:space="preserve">nozvejas apjoms </w:t>
            </w:r>
            <w:r w:rsidR="005031F1" w:rsidRPr="005031F1">
              <w:rPr>
                <w:lang w:val="lv-LV"/>
              </w:rPr>
              <w:t xml:space="preserve">uz vienu nodarbināto ir </w:t>
            </w:r>
            <w:r w:rsidR="00411349">
              <w:rPr>
                <w:lang w:val="lv-LV"/>
              </w:rPr>
              <w:t>attiecīgi pa</w:t>
            </w:r>
            <w:r w:rsidR="005031F1" w:rsidRPr="005031F1">
              <w:rPr>
                <w:lang w:val="lv-LV"/>
              </w:rPr>
              <w:t>liel</w:t>
            </w:r>
            <w:r w:rsidR="00411349">
              <w:rPr>
                <w:lang w:val="lv-LV"/>
              </w:rPr>
              <w:t>inājies</w:t>
            </w:r>
            <w:r w:rsidR="005031F1">
              <w:rPr>
                <w:lang w:val="lv-LV"/>
              </w:rPr>
              <w:t>.</w:t>
            </w:r>
            <w:r w:rsidR="00B77EE1" w:rsidRPr="009E5D26">
              <w:rPr>
                <w:lang w:val="lv-LV"/>
              </w:rPr>
              <w:t xml:space="preserve"> (17.pants)</w:t>
            </w:r>
          </w:p>
          <w:p w14:paraId="610AE7B4" w14:textId="77777777" w:rsidR="003A2E50" w:rsidRPr="003A2E50" w:rsidRDefault="003A2E50" w:rsidP="00837C2B">
            <w:pPr>
              <w:jc w:val="both"/>
              <w:rPr>
                <w:lang w:val="lv-LV"/>
              </w:rPr>
            </w:pPr>
            <w:r w:rsidRPr="009E5D26">
              <w:rPr>
                <w:lang w:val="lv-LV"/>
              </w:rPr>
              <w:t>Latvija lūdz iekļaut finanšu sadalījuma aprēķinā V sadaļai jaunu objektīvo kritēriju - „nozvejotās produkcijas cilvēku patēriņam īpatsvars kopējā nozvejotās produkcijas apjomā”</w:t>
            </w:r>
            <w:r w:rsidR="007D71E4" w:rsidRPr="009E5D26">
              <w:rPr>
                <w:lang w:val="lv-LV"/>
              </w:rPr>
              <w:t xml:space="preserve">, kas paredzētu to, ka lielāks finansiālais atbalsts būtu jāsniedz tām dalībvalstīm, kas </w:t>
            </w:r>
            <w:r w:rsidR="0064708B" w:rsidRPr="009E5D26">
              <w:rPr>
                <w:lang w:val="lv-LV"/>
              </w:rPr>
              <w:t>salīdzinoši lielāku daļu nozvejas produkcijas nodo</w:t>
            </w:r>
            <w:r w:rsidR="00706D93" w:rsidRPr="009E5D26">
              <w:rPr>
                <w:lang w:val="lv-LV"/>
              </w:rPr>
              <w:t>d</w:t>
            </w:r>
            <w:r w:rsidR="0064708B" w:rsidRPr="009E5D26">
              <w:rPr>
                <w:lang w:val="lv-LV"/>
              </w:rPr>
              <w:t xml:space="preserve"> tieši cilvēku patēriņam.</w:t>
            </w:r>
            <w:r w:rsidR="00837C2B" w:rsidRPr="009E5D26">
              <w:rPr>
                <w:lang w:val="lv-LV"/>
              </w:rPr>
              <w:t>(17.pants)</w:t>
            </w:r>
          </w:p>
          <w:p w14:paraId="7A67D2AF" w14:textId="77777777" w:rsidR="00353756" w:rsidRPr="009E25B7" w:rsidRDefault="00353756" w:rsidP="00C52FF0">
            <w:pPr>
              <w:ind w:left="720" w:firstLine="307"/>
              <w:jc w:val="both"/>
              <w:rPr>
                <w:lang w:val="lv-LV"/>
              </w:rPr>
            </w:pPr>
          </w:p>
        </w:tc>
      </w:tr>
      <w:tr w:rsidR="005A7FC1" w:rsidRPr="004C6D9A" w14:paraId="59D7720D" w14:textId="77777777" w:rsidTr="00E71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9214" w:type="dxa"/>
            <w:gridSpan w:val="3"/>
          </w:tcPr>
          <w:p w14:paraId="36D6646D" w14:textId="77777777" w:rsidR="005A7FC1" w:rsidRPr="002054DA" w:rsidRDefault="005A7FC1" w:rsidP="001C3A9A">
            <w:pPr>
              <w:pStyle w:val="CommentText"/>
              <w:rPr>
                <w:sz w:val="24"/>
                <w:szCs w:val="24"/>
                <w:lang w:val="lv-LV"/>
              </w:rPr>
            </w:pPr>
            <w:r w:rsidRPr="002054DA">
              <w:rPr>
                <w:sz w:val="24"/>
                <w:szCs w:val="24"/>
                <w:lang w:val="lv-LV"/>
              </w:rPr>
              <w:lastRenderedPageBreak/>
              <w:t>Īpašas Latvijas Republikas intereses</w:t>
            </w:r>
          </w:p>
        </w:tc>
      </w:tr>
      <w:tr w:rsidR="005A7FC1" w:rsidRPr="00D53630" w14:paraId="4CD4792D" w14:textId="77777777" w:rsidTr="00E71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321"/>
        </w:trPr>
        <w:tc>
          <w:tcPr>
            <w:tcW w:w="9214" w:type="dxa"/>
            <w:gridSpan w:val="3"/>
          </w:tcPr>
          <w:p w14:paraId="393F4F5D" w14:textId="77777777" w:rsidR="005A7FC1" w:rsidRPr="006A102C" w:rsidRDefault="00BD1B39" w:rsidP="00704507">
            <w:pPr>
              <w:pStyle w:val="BodyText"/>
              <w:spacing w:before="60" w:after="60"/>
              <w:jc w:val="both"/>
              <w:rPr>
                <w:i/>
                <w:lang w:val="lv-LV"/>
              </w:rPr>
            </w:pPr>
            <w:r w:rsidRPr="00BD1B39">
              <w:rPr>
                <w:lang w:val="lv-LV"/>
              </w:rPr>
              <w:t>Latvija uzskata, ka nākamajā plānošanas periodā publiskais atbalsts ir jāsaglabā pievienotās vērtības radīšanai un konkurētspējas celšanai</w:t>
            </w:r>
            <w:r w:rsidR="00704507">
              <w:rPr>
                <w:lang w:val="lv-LV"/>
              </w:rPr>
              <w:t xml:space="preserve"> zivju apstrādes sektorā</w:t>
            </w:r>
            <w:r w:rsidRPr="00BD1B39">
              <w:rPr>
                <w:lang w:val="lv-LV"/>
              </w:rPr>
              <w:t>.</w:t>
            </w:r>
            <w:r w:rsidR="00B039AB" w:rsidRPr="00B039AB">
              <w:rPr>
                <w:lang w:val="lv-LV"/>
              </w:rPr>
              <w:t xml:space="preserve"> </w:t>
            </w:r>
            <w:r w:rsidR="00D53630">
              <w:rPr>
                <w:lang w:val="lv-LV"/>
              </w:rPr>
              <w:t>V</w:t>
            </w:r>
            <w:r w:rsidR="00FC394E">
              <w:rPr>
                <w:lang w:val="lv-LV"/>
              </w:rPr>
              <w:t>ienlaikus</w:t>
            </w:r>
            <w:r w:rsidR="0012103B">
              <w:rPr>
                <w:lang w:val="lv-LV"/>
              </w:rPr>
              <w:t xml:space="preserve"> Latvija uzskata, ka</w:t>
            </w:r>
            <w:r w:rsidR="00FC394E">
              <w:rPr>
                <w:lang w:val="lv-LV"/>
              </w:rPr>
              <w:t xml:space="preserve"> lielajiem uzņēmumiem, kuros ir liela darbaspēka piesaiste, bet to apgrozījums nepārsniedz vidējiem uzņēmumiem noteikto apgrozījuma slieksni, atbalsta intensitāt</w:t>
            </w:r>
            <w:r w:rsidR="003E723D">
              <w:rPr>
                <w:lang w:val="lv-LV"/>
              </w:rPr>
              <w:t>i</w:t>
            </w:r>
            <w:r w:rsidR="00FC394E">
              <w:rPr>
                <w:lang w:val="lv-LV"/>
              </w:rPr>
              <w:t xml:space="preserve"> </w:t>
            </w:r>
            <w:r w:rsidR="0012103B">
              <w:rPr>
                <w:lang w:val="lv-LV"/>
              </w:rPr>
              <w:t>ir jā</w:t>
            </w:r>
            <w:r w:rsidR="003E723D">
              <w:rPr>
                <w:lang w:val="lv-LV"/>
              </w:rPr>
              <w:t>paredz tādā pat apjomā kā mazajiem un vidējiem uzņēmumiem</w:t>
            </w:r>
            <w:r w:rsidR="00FC394E">
              <w:rPr>
                <w:lang w:val="lv-LV"/>
              </w:rPr>
              <w:t xml:space="preserve">, </w:t>
            </w:r>
            <w:r w:rsidR="0012103B">
              <w:rPr>
                <w:lang w:val="lv-LV"/>
              </w:rPr>
              <w:t xml:space="preserve">savukārt </w:t>
            </w:r>
            <w:r w:rsidR="003E723D">
              <w:rPr>
                <w:lang w:val="lv-LV"/>
              </w:rPr>
              <w:t xml:space="preserve">publiskais atbalsts </w:t>
            </w:r>
            <w:r w:rsidR="00FC394E">
              <w:rPr>
                <w:lang w:val="lv-LV"/>
              </w:rPr>
              <w:t>zvejas flotes modernizācijas pasākumiem, ieskaitot kuģu dzinēju nomaiņ</w:t>
            </w:r>
            <w:r w:rsidR="003E723D">
              <w:rPr>
                <w:lang w:val="lv-LV"/>
              </w:rPr>
              <w:t>u,</w:t>
            </w:r>
            <w:r w:rsidR="00FC394E">
              <w:rPr>
                <w:lang w:val="lv-LV"/>
              </w:rPr>
              <w:t xml:space="preserve"> </w:t>
            </w:r>
            <w:r w:rsidR="0012103B">
              <w:rPr>
                <w:lang w:val="lv-LV"/>
              </w:rPr>
              <w:t xml:space="preserve">būtu jāparedz tādā apjomā, </w:t>
            </w:r>
            <w:r w:rsidR="003E723D">
              <w:rPr>
                <w:lang w:val="lv-LV"/>
              </w:rPr>
              <w:t>kas stimulē</w:t>
            </w:r>
            <w:r w:rsidR="0012103B">
              <w:rPr>
                <w:lang w:val="lv-LV"/>
              </w:rPr>
              <w:t>tu</w:t>
            </w:r>
            <w:r w:rsidR="003E723D">
              <w:rPr>
                <w:lang w:val="lv-LV"/>
              </w:rPr>
              <w:t xml:space="preserve"> </w:t>
            </w:r>
            <w:r w:rsidR="000870C7">
              <w:rPr>
                <w:lang w:val="lv-LV"/>
              </w:rPr>
              <w:t xml:space="preserve">zvejniekus uzlabot </w:t>
            </w:r>
            <w:r w:rsidR="003E723D">
              <w:rPr>
                <w:lang w:val="lv-LV"/>
              </w:rPr>
              <w:t>zvejas flotes energoefekt</w:t>
            </w:r>
            <w:r w:rsidR="000870C7">
              <w:rPr>
                <w:lang w:val="lv-LV"/>
              </w:rPr>
              <w:t>āti</w:t>
            </w:r>
            <w:r w:rsidR="003E723D">
              <w:rPr>
                <w:lang w:val="lv-LV"/>
              </w:rPr>
              <w:t xml:space="preserve"> un samazin</w:t>
            </w:r>
            <w:r w:rsidR="000870C7">
              <w:rPr>
                <w:lang w:val="lv-LV"/>
              </w:rPr>
              <w:t>āt</w:t>
            </w:r>
            <w:r w:rsidR="003E723D">
              <w:rPr>
                <w:lang w:val="lv-LV"/>
              </w:rPr>
              <w:t xml:space="preserve"> tās ietekmi uz vidi</w:t>
            </w:r>
            <w:r w:rsidR="0088094F">
              <w:rPr>
                <w:lang w:val="lv-LV"/>
              </w:rPr>
              <w:t xml:space="preserve">. </w:t>
            </w:r>
          </w:p>
        </w:tc>
      </w:tr>
      <w:tr w:rsidR="005A7FC1" w:rsidRPr="004C6D9A" w14:paraId="53657F87" w14:textId="77777777" w:rsidTr="00E71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9214" w:type="dxa"/>
            <w:gridSpan w:val="3"/>
          </w:tcPr>
          <w:p w14:paraId="0E399DC0" w14:textId="77777777" w:rsidR="005A7FC1" w:rsidRPr="004C6D9A" w:rsidRDefault="005A7FC1" w:rsidP="001C3A9A">
            <w:pPr>
              <w:jc w:val="center"/>
              <w:rPr>
                <w:b/>
                <w:lang w:val="lv-LV"/>
              </w:rPr>
            </w:pPr>
            <w:r w:rsidRPr="004C6D9A">
              <w:rPr>
                <w:b/>
                <w:lang w:val="lv-LV"/>
              </w:rPr>
              <w:t>4. Citu ES dalībvalstu viedokļi</w:t>
            </w:r>
          </w:p>
        </w:tc>
      </w:tr>
      <w:tr w:rsidR="005A7FC1" w:rsidRPr="004C6D9A" w14:paraId="0B0BBA5A" w14:textId="77777777" w:rsidTr="00E71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341"/>
        </w:trPr>
        <w:tc>
          <w:tcPr>
            <w:tcW w:w="9214" w:type="dxa"/>
            <w:gridSpan w:val="3"/>
          </w:tcPr>
          <w:p w14:paraId="77DA4165" w14:textId="77777777" w:rsidR="005A7FC1" w:rsidRPr="003D5D89" w:rsidRDefault="003B7F5C" w:rsidP="003B7F5C">
            <w:pPr>
              <w:jc w:val="both"/>
              <w:rPr>
                <w:lang w:val="lv-LV"/>
              </w:rPr>
            </w:pPr>
            <w:r>
              <w:rPr>
                <w:lang w:val="lv-LV"/>
              </w:rPr>
              <w:t>Nav zināmi</w:t>
            </w:r>
          </w:p>
        </w:tc>
      </w:tr>
      <w:tr w:rsidR="005A7FC1" w:rsidRPr="004C6D9A" w14:paraId="733D8CA2" w14:textId="77777777" w:rsidTr="00E71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9214" w:type="dxa"/>
            <w:gridSpan w:val="3"/>
          </w:tcPr>
          <w:p w14:paraId="5BF8CF82" w14:textId="77777777" w:rsidR="005A7FC1" w:rsidRPr="003D5D89" w:rsidRDefault="005A7FC1" w:rsidP="001C3A9A">
            <w:pPr>
              <w:jc w:val="center"/>
              <w:rPr>
                <w:b/>
                <w:lang w:val="lv-LV"/>
              </w:rPr>
            </w:pPr>
            <w:r w:rsidRPr="003D5D89">
              <w:rPr>
                <w:b/>
                <w:lang w:val="lv-LV"/>
              </w:rPr>
              <w:t>5. ES institūciju viedokļi</w:t>
            </w:r>
          </w:p>
        </w:tc>
      </w:tr>
      <w:tr w:rsidR="005A7FC1" w:rsidRPr="004C6D9A" w14:paraId="5F0F2AA0" w14:textId="77777777" w:rsidTr="00E71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305"/>
        </w:trPr>
        <w:tc>
          <w:tcPr>
            <w:tcW w:w="9214" w:type="dxa"/>
            <w:gridSpan w:val="3"/>
          </w:tcPr>
          <w:p w14:paraId="1B491DF6" w14:textId="77777777" w:rsidR="005A7FC1" w:rsidRPr="00374AAC" w:rsidRDefault="003B7F5C" w:rsidP="00374AAC">
            <w:pPr>
              <w:jc w:val="both"/>
              <w:rPr>
                <w:lang w:val="lv-LV"/>
              </w:rPr>
            </w:pPr>
            <w:r>
              <w:rPr>
                <w:lang w:val="lv-LV"/>
              </w:rPr>
              <w:t>Nav zināmi</w:t>
            </w:r>
          </w:p>
        </w:tc>
      </w:tr>
      <w:tr w:rsidR="005A7FC1" w:rsidRPr="004C6D9A" w14:paraId="1C88F6FB" w14:textId="77777777" w:rsidTr="00E71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9214" w:type="dxa"/>
            <w:gridSpan w:val="3"/>
          </w:tcPr>
          <w:p w14:paraId="63E3282B" w14:textId="77777777" w:rsidR="005A7FC1" w:rsidRPr="004C6D9A" w:rsidRDefault="005A7FC1" w:rsidP="001C3A9A">
            <w:pPr>
              <w:jc w:val="center"/>
              <w:rPr>
                <w:b/>
                <w:lang w:val="lv-LV"/>
              </w:rPr>
            </w:pPr>
            <w:r w:rsidRPr="004C6D9A">
              <w:rPr>
                <w:b/>
                <w:lang w:val="lv-LV"/>
              </w:rPr>
              <w:t>6. Saskaņošana</w:t>
            </w:r>
          </w:p>
        </w:tc>
      </w:tr>
      <w:tr w:rsidR="005A7FC1" w:rsidRPr="00316400" w14:paraId="02CAC2B3" w14:textId="77777777" w:rsidTr="00E71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189"/>
        </w:trPr>
        <w:tc>
          <w:tcPr>
            <w:tcW w:w="9214" w:type="dxa"/>
            <w:gridSpan w:val="3"/>
          </w:tcPr>
          <w:p w14:paraId="4D77AA3D" w14:textId="77777777" w:rsidR="005A7FC1" w:rsidRPr="00A248C0" w:rsidRDefault="0049376F" w:rsidP="009C016E">
            <w:pPr>
              <w:spacing w:before="60" w:after="60"/>
              <w:jc w:val="both"/>
              <w:rPr>
                <w:lang w:val="lv-LV"/>
              </w:rPr>
            </w:pPr>
            <w:r>
              <w:rPr>
                <w:lang w:val="lv-LV"/>
              </w:rPr>
              <w:t>Saskaņots ar Ārlietu ministriju, Finanšu ministriju, Vides aizsardzības un reģionālās attīstības ministriju</w:t>
            </w:r>
            <w:r w:rsidR="00F6296A">
              <w:rPr>
                <w:lang w:val="lv-LV"/>
              </w:rPr>
              <w:t xml:space="preserve">, </w:t>
            </w:r>
            <w:r>
              <w:rPr>
                <w:lang w:val="lv-LV"/>
              </w:rPr>
              <w:t>Satiksmes ministriju</w:t>
            </w:r>
            <w:r w:rsidR="00F6296A">
              <w:rPr>
                <w:lang w:val="lv-LV"/>
              </w:rPr>
              <w:t xml:space="preserve"> un Ekonomikas ministriju</w:t>
            </w:r>
          </w:p>
        </w:tc>
      </w:tr>
      <w:tr w:rsidR="005A7FC1" w:rsidRPr="004C6D9A" w14:paraId="78AC30F0" w14:textId="77777777" w:rsidTr="00E71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189"/>
        </w:trPr>
        <w:tc>
          <w:tcPr>
            <w:tcW w:w="9214" w:type="dxa"/>
            <w:gridSpan w:val="3"/>
          </w:tcPr>
          <w:p w14:paraId="379C0D04" w14:textId="77777777" w:rsidR="005A7FC1" w:rsidRDefault="005A7FC1" w:rsidP="001C3A9A">
            <w:pPr>
              <w:spacing w:before="60" w:after="60"/>
              <w:jc w:val="both"/>
              <w:rPr>
                <w:szCs w:val="26"/>
                <w:lang w:val="lv-LV"/>
              </w:rPr>
            </w:pPr>
            <w:r w:rsidRPr="00DF0FBA">
              <w:rPr>
                <w:lang w:val="lv-LV"/>
              </w:rPr>
              <w:t>Atšķirīgie viedokļi</w:t>
            </w:r>
          </w:p>
        </w:tc>
      </w:tr>
      <w:tr w:rsidR="005A7FC1" w:rsidRPr="004C6D9A" w14:paraId="6D2BD05A" w14:textId="77777777" w:rsidTr="00374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286"/>
        </w:trPr>
        <w:tc>
          <w:tcPr>
            <w:tcW w:w="9214" w:type="dxa"/>
            <w:gridSpan w:val="3"/>
          </w:tcPr>
          <w:p w14:paraId="00DE59E8" w14:textId="77777777" w:rsidR="005A7FC1" w:rsidRPr="001674F7" w:rsidRDefault="005A7FC1" w:rsidP="001C3A9A">
            <w:pPr>
              <w:spacing w:before="60" w:after="60"/>
              <w:jc w:val="both"/>
              <w:rPr>
                <w:b/>
                <w:szCs w:val="26"/>
                <w:lang w:val="lv-LV"/>
              </w:rPr>
            </w:pPr>
          </w:p>
        </w:tc>
      </w:tr>
      <w:tr w:rsidR="005A7FC1" w:rsidRPr="004C6D9A" w14:paraId="1F55717D" w14:textId="77777777" w:rsidTr="00E71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334"/>
        </w:trPr>
        <w:tc>
          <w:tcPr>
            <w:tcW w:w="9214" w:type="dxa"/>
            <w:gridSpan w:val="3"/>
          </w:tcPr>
          <w:p w14:paraId="44E4F9F1" w14:textId="77777777" w:rsidR="005A7FC1" w:rsidRPr="004C6D9A" w:rsidRDefault="005A7FC1" w:rsidP="001C3A9A">
            <w:pPr>
              <w:jc w:val="center"/>
              <w:rPr>
                <w:b/>
                <w:lang w:val="lv-LV"/>
              </w:rPr>
            </w:pPr>
            <w:r w:rsidRPr="004C6D9A">
              <w:rPr>
                <w:b/>
                <w:lang w:val="lv-LV"/>
              </w:rPr>
              <w:t>7. Saskaņošana ar Saeimas Eiropas lietu komisiju</w:t>
            </w:r>
          </w:p>
        </w:tc>
      </w:tr>
      <w:tr w:rsidR="005A7FC1" w:rsidRPr="004C6D9A" w14:paraId="1E3C9BF5" w14:textId="77777777" w:rsidTr="00E71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361"/>
        </w:trPr>
        <w:tc>
          <w:tcPr>
            <w:tcW w:w="9214" w:type="dxa"/>
            <w:gridSpan w:val="3"/>
          </w:tcPr>
          <w:p w14:paraId="2BEF8135" w14:textId="77777777" w:rsidR="005A7FC1" w:rsidRPr="004C6D9A" w:rsidRDefault="003B7F5C" w:rsidP="00374AAC">
            <w:pPr>
              <w:spacing w:before="60" w:after="60"/>
              <w:jc w:val="both"/>
              <w:rPr>
                <w:lang w:val="lv-LV"/>
              </w:rPr>
            </w:pPr>
            <w:r>
              <w:rPr>
                <w:lang w:val="lv-LV"/>
              </w:rPr>
              <w:t xml:space="preserve">Plānota </w:t>
            </w:r>
            <w:r w:rsidR="00374AAC">
              <w:rPr>
                <w:lang w:val="lv-LV"/>
              </w:rPr>
              <w:t>20</w:t>
            </w:r>
            <w:r w:rsidR="009D6E30">
              <w:rPr>
                <w:lang w:val="lv-LV"/>
              </w:rPr>
              <w:t>.01.2012</w:t>
            </w:r>
          </w:p>
        </w:tc>
      </w:tr>
      <w:tr w:rsidR="005A7FC1" w:rsidRPr="004C6D9A" w14:paraId="74E73D6D" w14:textId="77777777" w:rsidTr="00E71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9214" w:type="dxa"/>
            <w:gridSpan w:val="3"/>
          </w:tcPr>
          <w:p w14:paraId="1637C758" w14:textId="77777777" w:rsidR="005A7FC1" w:rsidRPr="004C6D9A" w:rsidRDefault="005A7FC1" w:rsidP="001C3A9A">
            <w:pPr>
              <w:jc w:val="center"/>
              <w:rPr>
                <w:b/>
                <w:lang w:val="lv-LV"/>
              </w:rPr>
            </w:pPr>
            <w:r w:rsidRPr="004C6D9A">
              <w:rPr>
                <w:b/>
                <w:lang w:val="lv-LV"/>
              </w:rPr>
              <w:t>8. Konsultācijas ar biedrībām un nodibinājumiem, pašvaldību un sociālo partneru organizācijām</w:t>
            </w:r>
          </w:p>
        </w:tc>
      </w:tr>
      <w:tr w:rsidR="005A7FC1" w:rsidRPr="0002407D" w14:paraId="54B2E8AA" w14:textId="77777777" w:rsidTr="00E71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9214" w:type="dxa"/>
            <w:gridSpan w:val="3"/>
          </w:tcPr>
          <w:p w14:paraId="662C8338" w14:textId="77777777" w:rsidR="00115C66" w:rsidRPr="00AE6C2A" w:rsidRDefault="00AE6C2A" w:rsidP="00606051">
            <w:pPr>
              <w:spacing w:before="60" w:after="60"/>
              <w:jc w:val="both"/>
              <w:rPr>
                <w:lang w:val="lv-LV"/>
              </w:rPr>
            </w:pPr>
            <w:r w:rsidRPr="00B330F3">
              <w:rPr>
                <w:szCs w:val="22"/>
                <w:lang w:val="lv-LV"/>
              </w:rPr>
              <w:t xml:space="preserve">Starpinstitūciju darba grupā “Zivsaimniecība” </w:t>
            </w:r>
            <w:r>
              <w:rPr>
                <w:szCs w:val="22"/>
                <w:lang w:val="lv-LV"/>
              </w:rPr>
              <w:t xml:space="preserve">- </w:t>
            </w:r>
            <w:r w:rsidRPr="00AE6C2A">
              <w:rPr>
                <w:lang w:val="lv-LV"/>
              </w:rPr>
              <w:t xml:space="preserve">Latvijas Zivsaimnieku asociācija, Latvijas Zvejnieku federācija, Kurzemes Zvejnieku asociācija, Latvijas Zivrūpnieku savienība, Latvijas </w:t>
            </w:r>
            <w:r>
              <w:rPr>
                <w:lang w:val="lv-LV"/>
              </w:rPr>
              <w:t>Z</w:t>
            </w:r>
            <w:r w:rsidRPr="00AE6C2A">
              <w:rPr>
                <w:lang w:val="lv-LV"/>
              </w:rPr>
              <w:t>ivju audzētāju asociācija, Latvijas Vēžu un zivju audzētāju asociācija</w:t>
            </w:r>
            <w:r w:rsidR="00606051">
              <w:rPr>
                <w:lang w:val="lv-LV"/>
              </w:rPr>
              <w:t>.</w:t>
            </w:r>
          </w:p>
        </w:tc>
      </w:tr>
    </w:tbl>
    <w:p w14:paraId="6E949C1E" w14:textId="77777777" w:rsidR="00E22A23" w:rsidRPr="004C6D9A" w:rsidRDefault="00E22A23" w:rsidP="007478A7">
      <w:pPr>
        <w:jc w:val="both"/>
        <w:rPr>
          <w:sz w:val="28"/>
          <w:szCs w:val="28"/>
          <w:lang w:val="lv-LV"/>
        </w:rPr>
      </w:pPr>
    </w:p>
    <w:p w14:paraId="7776924F" w14:textId="10B38DEA" w:rsidR="001E7234" w:rsidRPr="004C6D9A" w:rsidRDefault="004B00FA" w:rsidP="00043F10">
      <w:pPr>
        <w:pStyle w:val="BodyTextIndent2"/>
        <w:spacing w:after="0" w:line="240" w:lineRule="auto"/>
        <w:ind w:left="0" w:right="-19"/>
        <w:jc w:val="both"/>
        <w:rPr>
          <w:lang w:val="lv-LV"/>
        </w:rPr>
      </w:pPr>
      <w:r w:rsidRPr="005A28CC">
        <w:rPr>
          <w:sz w:val="28"/>
          <w:szCs w:val="28"/>
          <w:lang w:val="lv-LV" w:eastAsia="fr-BE"/>
        </w:rPr>
        <w:t>Zemkopības m</w:t>
      </w:r>
      <w:r w:rsidRPr="005A28CC">
        <w:rPr>
          <w:sz w:val="28"/>
          <w:szCs w:val="28"/>
          <w:lang w:val="lv-LV"/>
        </w:rPr>
        <w:t>inistre</w:t>
      </w:r>
      <w:r w:rsidRPr="005A28CC">
        <w:rPr>
          <w:sz w:val="28"/>
          <w:szCs w:val="28"/>
          <w:lang w:val="lv-LV"/>
        </w:rPr>
        <w:tab/>
      </w:r>
      <w:r w:rsidRPr="005A28CC">
        <w:rPr>
          <w:sz w:val="28"/>
          <w:szCs w:val="28"/>
          <w:lang w:val="lv-LV"/>
        </w:rPr>
        <w:tab/>
      </w:r>
      <w:r w:rsidRPr="005A28CC">
        <w:rPr>
          <w:sz w:val="28"/>
          <w:szCs w:val="28"/>
          <w:lang w:val="lv-LV"/>
        </w:rPr>
        <w:tab/>
      </w:r>
      <w:r w:rsidRPr="005A28CC">
        <w:rPr>
          <w:sz w:val="28"/>
          <w:szCs w:val="28"/>
          <w:lang w:val="lv-LV"/>
        </w:rPr>
        <w:tab/>
      </w:r>
      <w:r w:rsidRPr="005A28CC">
        <w:rPr>
          <w:sz w:val="28"/>
          <w:szCs w:val="28"/>
          <w:lang w:val="lv-LV"/>
        </w:rPr>
        <w:tab/>
      </w:r>
      <w:r w:rsidRPr="005A28CC">
        <w:rPr>
          <w:sz w:val="28"/>
          <w:szCs w:val="28"/>
          <w:lang w:val="lv-LV"/>
        </w:rPr>
        <w:tab/>
        <w:t>L.Straujuma</w:t>
      </w:r>
    </w:p>
    <w:sectPr w:rsidR="001E7234" w:rsidRPr="004C6D9A" w:rsidSect="007A10D2">
      <w:headerReference w:type="even" r:id="rId10"/>
      <w:headerReference w:type="default" r:id="rId11"/>
      <w:footerReference w:type="even" r:id="rId12"/>
      <w:footerReference w:type="default" r:id="rId13"/>
      <w:headerReference w:type="first" r:id="rId14"/>
      <w:footerReference w:type="first" r:id="rId15"/>
      <w:pgSz w:w="11906" w:h="16838" w:code="9"/>
      <w:pgMar w:top="964" w:right="1134" w:bottom="567" w:left="1701"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21286" w14:textId="77777777" w:rsidR="00F42694" w:rsidRDefault="00F42694">
      <w:r>
        <w:separator/>
      </w:r>
    </w:p>
  </w:endnote>
  <w:endnote w:type="continuationSeparator" w:id="0">
    <w:p w14:paraId="3F8E8AAF" w14:textId="77777777" w:rsidR="00F42694" w:rsidRDefault="00F4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8BF3" w14:textId="77777777" w:rsidR="00BD40FA" w:rsidRPr="00450DC1" w:rsidRDefault="00BD40FA" w:rsidP="001C3A9A">
    <w:pPr>
      <w:pStyle w:val="Footer"/>
      <w:rPr>
        <w:szCs w:val="18"/>
      </w:rPr>
    </w:pPr>
    <w:r w:rsidRPr="005E26E1">
      <w:rPr>
        <w:sz w:val="18"/>
        <w:szCs w:val="18"/>
      </w:rPr>
      <w:fldChar w:fldCharType="begin"/>
    </w:r>
    <w:r w:rsidRPr="005E26E1">
      <w:rPr>
        <w:sz w:val="18"/>
        <w:szCs w:val="18"/>
      </w:rPr>
      <w:instrText xml:space="preserve"> FILENAME </w:instrText>
    </w:r>
    <w:r w:rsidRPr="005E26E1">
      <w:rPr>
        <w:sz w:val="18"/>
        <w:szCs w:val="18"/>
      </w:rPr>
      <w:fldChar w:fldCharType="separate"/>
    </w:r>
    <w:r>
      <w:rPr>
        <w:noProof/>
        <w:sz w:val="18"/>
        <w:szCs w:val="18"/>
      </w:rPr>
      <w:t>ZMPoz_220811.doc</w:t>
    </w:r>
    <w:r w:rsidRPr="005E26E1">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E531" w14:textId="77777777" w:rsidR="00374AAC" w:rsidRDefault="00374AAC">
    <w:pPr>
      <w:pStyle w:val="Footer"/>
      <w:jc w:val="right"/>
    </w:pPr>
    <w:r>
      <w:fldChar w:fldCharType="begin"/>
    </w:r>
    <w:r>
      <w:instrText xml:space="preserve"> PAGE   \* MERGEFORMAT </w:instrText>
    </w:r>
    <w:r>
      <w:fldChar w:fldCharType="separate"/>
    </w:r>
    <w:r w:rsidR="002005EB">
      <w:rPr>
        <w:noProof/>
      </w:rPr>
      <w:t>9</w:t>
    </w:r>
    <w:r>
      <w:fldChar w:fldCharType="end"/>
    </w:r>
  </w:p>
  <w:p w14:paraId="6A2D2C77" w14:textId="77777777" w:rsidR="00374AAC" w:rsidRDefault="00374AAC" w:rsidP="00374AAC">
    <w:pPr>
      <w:pStyle w:val="Footer"/>
    </w:pPr>
    <w:r w:rsidRPr="00555D5E">
      <w:rPr>
        <w:sz w:val="20"/>
        <w:szCs w:val="20"/>
        <w:lang w:val="lv-LV"/>
      </w:rPr>
      <w:t>ZMPoz_</w:t>
    </w:r>
    <w:r>
      <w:rPr>
        <w:sz w:val="20"/>
        <w:szCs w:val="20"/>
        <w:lang w:val="lv-LV"/>
      </w:rPr>
      <w:t xml:space="preserve">130112_EJZF; </w:t>
    </w:r>
    <w:r w:rsidRPr="00C75A31">
      <w:rPr>
        <w:sz w:val="20"/>
        <w:szCs w:val="20"/>
      </w:rPr>
      <w:t xml:space="preserve">par </w:t>
    </w:r>
    <w:r w:rsidRPr="00274B97">
      <w:rPr>
        <w:sz w:val="20"/>
        <w:szCs w:val="20"/>
      </w:rPr>
      <w:t xml:space="preserve">Latvijas nacionālo pozīciju Nr.1 </w:t>
    </w:r>
    <w:r w:rsidRPr="00C75A31">
      <w:rPr>
        <w:sz w:val="20"/>
        <w:szCs w:val="20"/>
      </w:rPr>
      <w:t>par priekšlikumu Eiropas Parlamenta un Padomes regulai par Eiropas Jūrlietu un zivsaimniecības fondu</w:t>
    </w:r>
  </w:p>
  <w:p w14:paraId="620FBCC0" w14:textId="77777777" w:rsidR="00BD40FA" w:rsidRDefault="00BD40FA" w:rsidP="00D028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A97" w14:textId="77777777" w:rsidR="00374AAC" w:rsidRDefault="00374AAC">
    <w:pPr>
      <w:pStyle w:val="Footer"/>
      <w:jc w:val="right"/>
    </w:pPr>
    <w:r>
      <w:fldChar w:fldCharType="begin"/>
    </w:r>
    <w:r>
      <w:instrText xml:space="preserve"> PAGE   \* MERGEFORMAT </w:instrText>
    </w:r>
    <w:r>
      <w:fldChar w:fldCharType="separate"/>
    </w:r>
    <w:r w:rsidR="002005EB">
      <w:rPr>
        <w:noProof/>
      </w:rPr>
      <w:t>1</w:t>
    </w:r>
    <w:r>
      <w:fldChar w:fldCharType="end"/>
    </w:r>
  </w:p>
  <w:p w14:paraId="29D48175" w14:textId="77777777" w:rsidR="00374AAC" w:rsidRDefault="00374AAC" w:rsidP="00374AAC">
    <w:pPr>
      <w:pStyle w:val="Footer"/>
    </w:pPr>
    <w:r w:rsidRPr="00555D5E">
      <w:rPr>
        <w:sz w:val="20"/>
        <w:szCs w:val="20"/>
        <w:lang w:val="lv-LV"/>
      </w:rPr>
      <w:t>ZMPoz_</w:t>
    </w:r>
    <w:r>
      <w:rPr>
        <w:sz w:val="20"/>
        <w:szCs w:val="20"/>
        <w:lang w:val="lv-LV"/>
      </w:rPr>
      <w:t xml:space="preserve">130112_EJZF; </w:t>
    </w:r>
    <w:r w:rsidRPr="00C75A31">
      <w:rPr>
        <w:sz w:val="20"/>
        <w:szCs w:val="20"/>
      </w:rPr>
      <w:t xml:space="preserve">par </w:t>
    </w:r>
    <w:r w:rsidRPr="00274B97">
      <w:rPr>
        <w:sz w:val="20"/>
        <w:szCs w:val="20"/>
      </w:rPr>
      <w:t xml:space="preserve">Latvijas nacionālo pozīciju Nr.1 </w:t>
    </w:r>
    <w:r w:rsidRPr="00C75A31">
      <w:rPr>
        <w:sz w:val="20"/>
        <w:szCs w:val="20"/>
      </w:rPr>
      <w:t>par priekšlikumu Eiropas Parlamenta un Padomes regulai par Eiropas Jūrlietu un zivsaimniecības fondu</w:t>
    </w:r>
  </w:p>
  <w:p w14:paraId="58772DBC" w14:textId="77777777" w:rsidR="00BD40FA" w:rsidRDefault="00BD4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6710" w14:textId="77777777" w:rsidR="00F42694" w:rsidRDefault="00F42694">
      <w:r>
        <w:separator/>
      </w:r>
    </w:p>
  </w:footnote>
  <w:footnote w:type="continuationSeparator" w:id="0">
    <w:p w14:paraId="310B3D00" w14:textId="77777777" w:rsidR="00F42694" w:rsidRDefault="00F42694">
      <w:r>
        <w:continuationSeparator/>
      </w:r>
    </w:p>
  </w:footnote>
  <w:footnote w:id="1">
    <w:p w14:paraId="6BEFF9E5" w14:textId="77777777" w:rsidR="00043F10" w:rsidRDefault="00043F10" w:rsidP="00043F10">
      <w:r>
        <w:rPr>
          <w:rStyle w:val="FootnoteReference"/>
        </w:rPr>
        <w:t/>
      </w:r>
      <w:r>
        <w:t xml:space="preserve"> </w:t>
      </w:r>
      <w:r w:rsidRPr="00A06E7D">
        <w:t>Deklasificēšanas pamatojums: ZM 26.01.2023. vēstule Nr. 13.1-9e/210/2023 (</w:t>
      </w:r>
      <w:r>
        <w:t>reģ. Nr.</w:t>
      </w:r>
      <w:r w:rsidRPr="00A06E7D">
        <w:t xml:space="preserve"> 2023-DOC-188)</w:t>
      </w:r>
    </w:p>
    <w:p w14:paraId="0F4B9AC8" w14:textId="7052BADA" w:rsidR="00043F10" w:rsidRPr="00043F10" w:rsidRDefault="00043F10">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2B92" w14:textId="77777777" w:rsidR="00BD40FA" w:rsidRDefault="00BD40FA" w:rsidP="001C3A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2A06318" w14:textId="77777777" w:rsidR="00BD40FA" w:rsidRPr="006D450D" w:rsidRDefault="00BD40FA" w:rsidP="001C3A9A">
    <w:pPr>
      <w:pStyle w:val="Header"/>
      <w:jc w:val="right"/>
      <w:rPr>
        <w:sz w:val="20"/>
        <w:szCs w:val="20"/>
        <w:lang w:val="lv-LV"/>
      </w:rPr>
    </w:pPr>
    <w:r w:rsidRPr="006D450D">
      <w:rPr>
        <w:sz w:val="20"/>
        <w:szCs w:val="20"/>
        <w:lang w:val="lv-LV"/>
      </w:rPr>
      <w:t>Ierobežotas pieejamības informācija</w:t>
    </w:r>
  </w:p>
  <w:p w14:paraId="6E066E80" w14:textId="77777777" w:rsidR="00BD40FA" w:rsidRDefault="00BD4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6192" w14:textId="77777777" w:rsidR="00043F10" w:rsidRPr="00691D67" w:rsidRDefault="00043F10" w:rsidP="00043F10">
    <w:pPr>
      <w:pStyle w:val="Footer"/>
      <w:jc w:val="center"/>
    </w:pPr>
    <w:r w:rsidRPr="00691D67">
      <w:rPr>
        <w:strike/>
      </w:rPr>
      <w:t>IEROBEŽOTA PIEEJAMĪBA</w:t>
    </w:r>
    <w:r w:rsidRPr="00691D67">
      <w:t xml:space="preserve"> NAV KLASIFICĒTS</w:t>
    </w:r>
  </w:p>
  <w:p w14:paraId="6FA44DEF" w14:textId="3DFCFBBD" w:rsidR="00BD40FA" w:rsidRPr="00043F10" w:rsidRDefault="00BD40FA" w:rsidP="00043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E6FE" w14:textId="77777777" w:rsidR="00043F10" w:rsidRPr="00691D67" w:rsidRDefault="00043F10" w:rsidP="00043F10">
    <w:pPr>
      <w:pStyle w:val="Footer"/>
      <w:jc w:val="center"/>
    </w:pPr>
    <w:bookmarkStart w:id="4" w:name="_Hlk127456610"/>
    <w:r w:rsidRPr="00691D67">
      <w:rPr>
        <w:strike/>
      </w:rPr>
      <w:t>IEROBEŽOTA PIEEJAMĪBA</w:t>
    </w:r>
    <w:r w:rsidRPr="00691D67">
      <w:t xml:space="preserve"> NAV KLASIFICĒTS</w:t>
    </w:r>
  </w:p>
  <w:bookmarkEnd w:id="4"/>
  <w:p w14:paraId="605192CE" w14:textId="77777777" w:rsidR="00BD40FA" w:rsidRPr="006D450D" w:rsidRDefault="00BD40FA" w:rsidP="00BA48CA">
    <w:pPr>
      <w:pStyle w:val="Header"/>
      <w:jc w:val="center"/>
      <w:rPr>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0B23"/>
    <w:multiLevelType w:val="hybridMultilevel"/>
    <w:tmpl w:val="F998F6FE"/>
    <w:lvl w:ilvl="0" w:tplc="25FC94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CA0197"/>
    <w:multiLevelType w:val="hybridMultilevel"/>
    <w:tmpl w:val="5D5E5CC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3A9D53AD"/>
    <w:multiLevelType w:val="hybridMultilevel"/>
    <w:tmpl w:val="7CF89D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3E6019"/>
    <w:multiLevelType w:val="hybridMultilevel"/>
    <w:tmpl w:val="B0B8376C"/>
    <w:lvl w:ilvl="0" w:tplc="D44A956E">
      <w:start w:val="3"/>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94D5D"/>
    <w:multiLevelType w:val="hybridMultilevel"/>
    <w:tmpl w:val="58367BB8"/>
    <w:lvl w:ilvl="0" w:tplc="0B9265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F59C4"/>
    <w:multiLevelType w:val="hybridMultilevel"/>
    <w:tmpl w:val="47DC1790"/>
    <w:lvl w:ilvl="0" w:tplc="9ADC956A">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6DC1D7B"/>
    <w:multiLevelType w:val="hybridMultilevel"/>
    <w:tmpl w:val="8140DC20"/>
    <w:lvl w:ilvl="0" w:tplc="8E6E7DD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F853CB"/>
    <w:multiLevelType w:val="hybridMultilevel"/>
    <w:tmpl w:val="28B62050"/>
    <w:lvl w:ilvl="0" w:tplc="D44A956E">
      <w:start w:val="3"/>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A4A2E"/>
    <w:multiLevelType w:val="hybridMultilevel"/>
    <w:tmpl w:val="4DF89408"/>
    <w:lvl w:ilvl="0" w:tplc="3E28DCF4">
      <w:start w:val="1"/>
      <w:numFmt w:val="decimal"/>
      <w:lvlText w:val="%1."/>
      <w:lvlJc w:val="left"/>
      <w:pPr>
        <w:ind w:left="64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497167"/>
    <w:multiLevelType w:val="hybridMultilevel"/>
    <w:tmpl w:val="B8E0F82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1" w15:restartNumberingAfterBreak="0">
    <w:nsid w:val="5F2E4112"/>
    <w:multiLevelType w:val="hybridMultilevel"/>
    <w:tmpl w:val="7964665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B77035"/>
    <w:multiLevelType w:val="hybridMultilevel"/>
    <w:tmpl w:val="BAD65D98"/>
    <w:lvl w:ilvl="0" w:tplc="5256252E">
      <w:start w:val="20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C490739"/>
    <w:multiLevelType w:val="hybridMultilevel"/>
    <w:tmpl w:val="C65AFD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F073C91"/>
    <w:multiLevelType w:val="hybridMultilevel"/>
    <w:tmpl w:val="1FA42AD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bullet"/>
      <w:lvlText w:val=""/>
      <w:lvlJc w:val="left"/>
      <w:pPr>
        <w:ind w:left="2880" w:hanging="360"/>
      </w:pPr>
      <w:rPr>
        <w:rFonts w:ascii="Symbol" w:hAnsi="Symbol" w:hint="default"/>
      </w:r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15:restartNumberingAfterBreak="0">
    <w:nsid w:val="7DD40699"/>
    <w:multiLevelType w:val="hybridMultilevel"/>
    <w:tmpl w:val="AB52FE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17092419">
    <w:abstractNumId w:val="11"/>
  </w:num>
  <w:num w:numId="2" w16cid:durableId="2022968928">
    <w:abstractNumId w:val="5"/>
  </w:num>
  <w:num w:numId="3" w16cid:durableId="562178569">
    <w:abstractNumId w:val="1"/>
  </w:num>
  <w:num w:numId="4" w16cid:durableId="1749960395">
    <w:abstractNumId w:val="13"/>
  </w:num>
  <w:num w:numId="5" w16cid:durableId="593246707">
    <w:abstractNumId w:val="5"/>
  </w:num>
  <w:num w:numId="6" w16cid:durableId="1543246916">
    <w:abstractNumId w:val="4"/>
  </w:num>
  <w:num w:numId="7" w16cid:durableId="874006212">
    <w:abstractNumId w:val="10"/>
  </w:num>
  <w:num w:numId="8" w16cid:durableId="2111973318">
    <w:abstractNumId w:val="6"/>
  </w:num>
  <w:num w:numId="9" w16cid:durableId="18631798">
    <w:abstractNumId w:val="2"/>
  </w:num>
  <w:num w:numId="10" w16cid:durableId="72440229">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490198">
    <w:abstractNumId w:val="12"/>
  </w:num>
  <w:num w:numId="12" w16cid:durableId="1591768037">
    <w:abstractNumId w:val="15"/>
  </w:num>
  <w:num w:numId="13" w16cid:durableId="1543984332">
    <w:abstractNumId w:val="9"/>
  </w:num>
  <w:num w:numId="14" w16cid:durableId="1749644026">
    <w:abstractNumId w:val="8"/>
  </w:num>
  <w:num w:numId="15" w16cid:durableId="946810306">
    <w:abstractNumId w:val="7"/>
  </w:num>
  <w:num w:numId="16" w16cid:durableId="791286057">
    <w:abstractNumId w:val="3"/>
  </w:num>
  <w:num w:numId="17" w16cid:durableId="191489767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A7"/>
    <w:rsid w:val="000006A4"/>
    <w:rsid w:val="00001FC4"/>
    <w:rsid w:val="00003846"/>
    <w:rsid w:val="00004D92"/>
    <w:rsid w:val="000054D4"/>
    <w:rsid w:val="000058CC"/>
    <w:rsid w:val="00005D33"/>
    <w:rsid w:val="00010D40"/>
    <w:rsid w:val="00011A29"/>
    <w:rsid w:val="00011D30"/>
    <w:rsid w:val="00011F36"/>
    <w:rsid w:val="00012757"/>
    <w:rsid w:val="00012F3F"/>
    <w:rsid w:val="0001342E"/>
    <w:rsid w:val="00014885"/>
    <w:rsid w:val="00015B03"/>
    <w:rsid w:val="00015B46"/>
    <w:rsid w:val="0002052D"/>
    <w:rsid w:val="00020FF8"/>
    <w:rsid w:val="000232F0"/>
    <w:rsid w:val="00023AF8"/>
    <w:rsid w:val="0002407D"/>
    <w:rsid w:val="00024297"/>
    <w:rsid w:val="000244E6"/>
    <w:rsid w:val="00025301"/>
    <w:rsid w:val="00025BD0"/>
    <w:rsid w:val="00026C25"/>
    <w:rsid w:val="000274BD"/>
    <w:rsid w:val="00027910"/>
    <w:rsid w:val="00031AFF"/>
    <w:rsid w:val="00031DE7"/>
    <w:rsid w:val="00033BA9"/>
    <w:rsid w:val="00034B49"/>
    <w:rsid w:val="00034BAD"/>
    <w:rsid w:val="00034BB6"/>
    <w:rsid w:val="00034CB8"/>
    <w:rsid w:val="00035C2F"/>
    <w:rsid w:val="000363B0"/>
    <w:rsid w:val="000364B6"/>
    <w:rsid w:val="00036625"/>
    <w:rsid w:val="0003777B"/>
    <w:rsid w:val="00040A73"/>
    <w:rsid w:val="00041587"/>
    <w:rsid w:val="00042952"/>
    <w:rsid w:val="00042B50"/>
    <w:rsid w:val="00043455"/>
    <w:rsid w:val="00043C46"/>
    <w:rsid w:val="00043F10"/>
    <w:rsid w:val="00044A0B"/>
    <w:rsid w:val="00045F52"/>
    <w:rsid w:val="00046E9B"/>
    <w:rsid w:val="0004780E"/>
    <w:rsid w:val="0005186A"/>
    <w:rsid w:val="00051C0A"/>
    <w:rsid w:val="00051D04"/>
    <w:rsid w:val="0005357A"/>
    <w:rsid w:val="0005581B"/>
    <w:rsid w:val="00056A20"/>
    <w:rsid w:val="00057D39"/>
    <w:rsid w:val="0006037A"/>
    <w:rsid w:val="000603DA"/>
    <w:rsid w:val="00060AD5"/>
    <w:rsid w:val="000612F3"/>
    <w:rsid w:val="00061ED1"/>
    <w:rsid w:val="0006227A"/>
    <w:rsid w:val="00062741"/>
    <w:rsid w:val="00064559"/>
    <w:rsid w:val="00066A98"/>
    <w:rsid w:val="00066B04"/>
    <w:rsid w:val="00067077"/>
    <w:rsid w:val="00067149"/>
    <w:rsid w:val="000675C1"/>
    <w:rsid w:val="0007008A"/>
    <w:rsid w:val="00070141"/>
    <w:rsid w:val="00070BDF"/>
    <w:rsid w:val="00070EA9"/>
    <w:rsid w:val="00071B1D"/>
    <w:rsid w:val="00074060"/>
    <w:rsid w:val="0007439C"/>
    <w:rsid w:val="00075D04"/>
    <w:rsid w:val="00075E99"/>
    <w:rsid w:val="00076B8B"/>
    <w:rsid w:val="00077638"/>
    <w:rsid w:val="00080796"/>
    <w:rsid w:val="00081780"/>
    <w:rsid w:val="00084FDE"/>
    <w:rsid w:val="00086936"/>
    <w:rsid w:val="00086A4A"/>
    <w:rsid w:val="000870C7"/>
    <w:rsid w:val="000872CB"/>
    <w:rsid w:val="00090794"/>
    <w:rsid w:val="000913CC"/>
    <w:rsid w:val="00091A36"/>
    <w:rsid w:val="00091B94"/>
    <w:rsid w:val="000921B1"/>
    <w:rsid w:val="00095549"/>
    <w:rsid w:val="0009620E"/>
    <w:rsid w:val="0009623C"/>
    <w:rsid w:val="0009685E"/>
    <w:rsid w:val="00096E63"/>
    <w:rsid w:val="000972D8"/>
    <w:rsid w:val="00097E01"/>
    <w:rsid w:val="00097FD8"/>
    <w:rsid w:val="000A0B5D"/>
    <w:rsid w:val="000A2755"/>
    <w:rsid w:val="000A2C86"/>
    <w:rsid w:val="000A3387"/>
    <w:rsid w:val="000A49F1"/>
    <w:rsid w:val="000A4A84"/>
    <w:rsid w:val="000A507B"/>
    <w:rsid w:val="000A56F3"/>
    <w:rsid w:val="000A62E9"/>
    <w:rsid w:val="000A71F0"/>
    <w:rsid w:val="000B0D3F"/>
    <w:rsid w:val="000B2D32"/>
    <w:rsid w:val="000B33F2"/>
    <w:rsid w:val="000B3736"/>
    <w:rsid w:val="000B3A88"/>
    <w:rsid w:val="000B4233"/>
    <w:rsid w:val="000B4D59"/>
    <w:rsid w:val="000B4F27"/>
    <w:rsid w:val="000B5DC6"/>
    <w:rsid w:val="000B665C"/>
    <w:rsid w:val="000B6AAA"/>
    <w:rsid w:val="000B780F"/>
    <w:rsid w:val="000C0ACB"/>
    <w:rsid w:val="000C2212"/>
    <w:rsid w:val="000C24DF"/>
    <w:rsid w:val="000C3037"/>
    <w:rsid w:val="000C3B06"/>
    <w:rsid w:val="000C3BBF"/>
    <w:rsid w:val="000C3F00"/>
    <w:rsid w:val="000C46BB"/>
    <w:rsid w:val="000C4DEB"/>
    <w:rsid w:val="000C5862"/>
    <w:rsid w:val="000C6FD8"/>
    <w:rsid w:val="000D025D"/>
    <w:rsid w:val="000D0752"/>
    <w:rsid w:val="000D13EF"/>
    <w:rsid w:val="000D15AE"/>
    <w:rsid w:val="000D1F6C"/>
    <w:rsid w:val="000D221E"/>
    <w:rsid w:val="000D2ACF"/>
    <w:rsid w:val="000D3339"/>
    <w:rsid w:val="000D3588"/>
    <w:rsid w:val="000D4583"/>
    <w:rsid w:val="000D4896"/>
    <w:rsid w:val="000D52F0"/>
    <w:rsid w:val="000D537F"/>
    <w:rsid w:val="000D5B7C"/>
    <w:rsid w:val="000D6CF8"/>
    <w:rsid w:val="000D7DAA"/>
    <w:rsid w:val="000E0348"/>
    <w:rsid w:val="000E1478"/>
    <w:rsid w:val="000E1489"/>
    <w:rsid w:val="000E2412"/>
    <w:rsid w:val="000E26AD"/>
    <w:rsid w:val="000E2897"/>
    <w:rsid w:val="000E5751"/>
    <w:rsid w:val="000E5C8B"/>
    <w:rsid w:val="000E61C3"/>
    <w:rsid w:val="000E7237"/>
    <w:rsid w:val="000F028B"/>
    <w:rsid w:val="000F08B7"/>
    <w:rsid w:val="000F15BA"/>
    <w:rsid w:val="000F25A4"/>
    <w:rsid w:val="000F2D1A"/>
    <w:rsid w:val="000F2E60"/>
    <w:rsid w:val="000F397D"/>
    <w:rsid w:val="000F3AEE"/>
    <w:rsid w:val="000F431C"/>
    <w:rsid w:val="000F443A"/>
    <w:rsid w:val="000F4844"/>
    <w:rsid w:val="000F48BD"/>
    <w:rsid w:val="000F5C9D"/>
    <w:rsid w:val="000F62CD"/>
    <w:rsid w:val="000F6A07"/>
    <w:rsid w:val="000F6C82"/>
    <w:rsid w:val="000F7786"/>
    <w:rsid w:val="000F77B0"/>
    <w:rsid w:val="00100E3D"/>
    <w:rsid w:val="00101678"/>
    <w:rsid w:val="00101959"/>
    <w:rsid w:val="00101A4A"/>
    <w:rsid w:val="00102447"/>
    <w:rsid w:val="00103007"/>
    <w:rsid w:val="00104581"/>
    <w:rsid w:val="00106D5D"/>
    <w:rsid w:val="0010741A"/>
    <w:rsid w:val="00107D8E"/>
    <w:rsid w:val="00111E8B"/>
    <w:rsid w:val="00111F03"/>
    <w:rsid w:val="00111FC0"/>
    <w:rsid w:val="0011234C"/>
    <w:rsid w:val="00114EDB"/>
    <w:rsid w:val="001151D6"/>
    <w:rsid w:val="001154BD"/>
    <w:rsid w:val="00115643"/>
    <w:rsid w:val="00115C66"/>
    <w:rsid w:val="00116609"/>
    <w:rsid w:val="001175B0"/>
    <w:rsid w:val="00120FC2"/>
    <w:rsid w:val="0012103B"/>
    <w:rsid w:val="00121582"/>
    <w:rsid w:val="0012172E"/>
    <w:rsid w:val="00121864"/>
    <w:rsid w:val="00121BE1"/>
    <w:rsid w:val="00122431"/>
    <w:rsid w:val="00122C14"/>
    <w:rsid w:val="00123164"/>
    <w:rsid w:val="0012443B"/>
    <w:rsid w:val="00124C7E"/>
    <w:rsid w:val="00124E80"/>
    <w:rsid w:val="00125110"/>
    <w:rsid w:val="00125C5F"/>
    <w:rsid w:val="00126223"/>
    <w:rsid w:val="00126518"/>
    <w:rsid w:val="001277C1"/>
    <w:rsid w:val="00127E69"/>
    <w:rsid w:val="00130701"/>
    <w:rsid w:val="0013178B"/>
    <w:rsid w:val="00131D22"/>
    <w:rsid w:val="00132242"/>
    <w:rsid w:val="001325DF"/>
    <w:rsid w:val="001326BC"/>
    <w:rsid w:val="001326FD"/>
    <w:rsid w:val="00132B7D"/>
    <w:rsid w:val="0013364F"/>
    <w:rsid w:val="001352F2"/>
    <w:rsid w:val="00136E3D"/>
    <w:rsid w:val="001375FE"/>
    <w:rsid w:val="00137656"/>
    <w:rsid w:val="00137BB0"/>
    <w:rsid w:val="00140072"/>
    <w:rsid w:val="00140B99"/>
    <w:rsid w:val="001417B7"/>
    <w:rsid w:val="00141D92"/>
    <w:rsid w:val="00142AD2"/>
    <w:rsid w:val="00142DCA"/>
    <w:rsid w:val="00143386"/>
    <w:rsid w:val="001444D3"/>
    <w:rsid w:val="001449B5"/>
    <w:rsid w:val="001461FB"/>
    <w:rsid w:val="00146341"/>
    <w:rsid w:val="001465C4"/>
    <w:rsid w:val="0014799B"/>
    <w:rsid w:val="00152215"/>
    <w:rsid w:val="001525C9"/>
    <w:rsid w:val="00155D7E"/>
    <w:rsid w:val="0015622C"/>
    <w:rsid w:val="00156521"/>
    <w:rsid w:val="001571FA"/>
    <w:rsid w:val="001573F5"/>
    <w:rsid w:val="0016016C"/>
    <w:rsid w:val="00161000"/>
    <w:rsid w:val="00161E36"/>
    <w:rsid w:val="00162C56"/>
    <w:rsid w:val="001643F6"/>
    <w:rsid w:val="001653CF"/>
    <w:rsid w:val="001663EE"/>
    <w:rsid w:val="0016674B"/>
    <w:rsid w:val="001674F7"/>
    <w:rsid w:val="0017023C"/>
    <w:rsid w:val="00171BC3"/>
    <w:rsid w:val="00172F22"/>
    <w:rsid w:val="00173DAC"/>
    <w:rsid w:val="00174B52"/>
    <w:rsid w:val="00175C08"/>
    <w:rsid w:val="00177049"/>
    <w:rsid w:val="00177E9F"/>
    <w:rsid w:val="00180613"/>
    <w:rsid w:val="00180E6B"/>
    <w:rsid w:val="001841CA"/>
    <w:rsid w:val="001848BE"/>
    <w:rsid w:val="00185622"/>
    <w:rsid w:val="00187BFA"/>
    <w:rsid w:val="00191A10"/>
    <w:rsid w:val="00191C00"/>
    <w:rsid w:val="001937F2"/>
    <w:rsid w:val="00194074"/>
    <w:rsid w:val="0019465E"/>
    <w:rsid w:val="001947DD"/>
    <w:rsid w:val="00195DBB"/>
    <w:rsid w:val="00196054"/>
    <w:rsid w:val="00196175"/>
    <w:rsid w:val="00196CB1"/>
    <w:rsid w:val="001979C9"/>
    <w:rsid w:val="001A0096"/>
    <w:rsid w:val="001A0341"/>
    <w:rsid w:val="001A14CF"/>
    <w:rsid w:val="001A1662"/>
    <w:rsid w:val="001A2A61"/>
    <w:rsid w:val="001A3A50"/>
    <w:rsid w:val="001A50D6"/>
    <w:rsid w:val="001A6A5D"/>
    <w:rsid w:val="001A6F98"/>
    <w:rsid w:val="001A7342"/>
    <w:rsid w:val="001A7456"/>
    <w:rsid w:val="001B0048"/>
    <w:rsid w:val="001B1410"/>
    <w:rsid w:val="001B196A"/>
    <w:rsid w:val="001B22F7"/>
    <w:rsid w:val="001B2363"/>
    <w:rsid w:val="001B2C48"/>
    <w:rsid w:val="001B3626"/>
    <w:rsid w:val="001B55AB"/>
    <w:rsid w:val="001B5B24"/>
    <w:rsid w:val="001B6EE2"/>
    <w:rsid w:val="001B775C"/>
    <w:rsid w:val="001B78D5"/>
    <w:rsid w:val="001C041C"/>
    <w:rsid w:val="001C0487"/>
    <w:rsid w:val="001C1204"/>
    <w:rsid w:val="001C2D05"/>
    <w:rsid w:val="001C3A9A"/>
    <w:rsid w:val="001C544C"/>
    <w:rsid w:val="001C5653"/>
    <w:rsid w:val="001C6FC3"/>
    <w:rsid w:val="001D060D"/>
    <w:rsid w:val="001D2928"/>
    <w:rsid w:val="001D2C7B"/>
    <w:rsid w:val="001D2DDD"/>
    <w:rsid w:val="001D4ED5"/>
    <w:rsid w:val="001D5F53"/>
    <w:rsid w:val="001D6BAB"/>
    <w:rsid w:val="001E0910"/>
    <w:rsid w:val="001E0BC9"/>
    <w:rsid w:val="001E0F4E"/>
    <w:rsid w:val="001E127C"/>
    <w:rsid w:val="001E2298"/>
    <w:rsid w:val="001E2A8F"/>
    <w:rsid w:val="001E380A"/>
    <w:rsid w:val="001E3ACA"/>
    <w:rsid w:val="001E505C"/>
    <w:rsid w:val="001E521B"/>
    <w:rsid w:val="001E5B93"/>
    <w:rsid w:val="001E6E04"/>
    <w:rsid w:val="001E7234"/>
    <w:rsid w:val="001E75E4"/>
    <w:rsid w:val="001E7630"/>
    <w:rsid w:val="001F00F0"/>
    <w:rsid w:val="001F024F"/>
    <w:rsid w:val="001F14A6"/>
    <w:rsid w:val="001F1611"/>
    <w:rsid w:val="001F1D87"/>
    <w:rsid w:val="001F2937"/>
    <w:rsid w:val="001F3DEE"/>
    <w:rsid w:val="001F55A7"/>
    <w:rsid w:val="001F660B"/>
    <w:rsid w:val="001F782B"/>
    <w:rsid w:val="001F7C51"/>
    <w:rsid w:val="001F7C9D"/>
    <w:rsid w:val="002005EB"/>
    <w:rsid w:val="002006CF"/>
    <w:rsid w:val="0020078A"/>
    <w:rsid w:val="002008E8"/>
    <w:rsid w:val="00200D1A"/>
    <w:rsid w:val="00200DD2"/>
    <w:rsid w:val="00201AA3"/>
    <w:rsid w:val="00201ACC"/>
    <w:rsid w:val="00201E14"/>
    <w:rsid w:val="00202AE6"/>
    <w:rsid w:val="00202CE0"/>
    <w:rsid w:val="00202F03"/>
    <w:rsid w:val="00202F43"/>
    <w:rsid w:val="002034FB"/>
    <w:rsid w:val="0020467D"/>
    <w:rsid w:val="00204E2A"/>
    <w:rsid w:val="002054DA"/>
    <w:rsid w:val="002056C2"/>
    <w:rsid w:val="00205A71"/>
    <w:rsid w:val="00205DAA"/>
    <w:rsid w:val="00206C07"/>
    <w:rsid w:val="00207266"/>
    <w:rsid w:val="002076A3"/>
    <w:rsid w:val="00207710"/>
    <w:rsid w:val="00210750"/>
    <w:rsid w:val="00210921"/>
    <w:rsid w:val="0021191D"/>
    <w:rsid w:val="002119CC"/>
    <w:rsid w:val="00211EE2"/>
    <w:rsid w:val="00213C26"/>
    <w:rsid w:val="00213DA0"/>
    <w:rsid w:val="00216303"/>
    <w:rsid w:val="00216DEA"/>
    <w:rsid w:val="002214B5"/>
    <w:rsid w:val="00221DC2"/>
    <w:rsid w:val="002229E1"/>
    <w:rsid w:val="00222C7D"/>
    <w:rsid w:val="00222F3F"/>
    <w:rsid w:val="002255B8"/>
    <w:rsid w:val="00230635"/>
    <w:rsid w:val="00232508"/>
    <w:rsid w:val="002329E5"/>
    <w:rsid w:val="00235679"/>
    <w:rsid w:val="00235A17"/>
    <w:rsid w:val="00235CCE"/>
    <w:rsid w:val="00235ED1"/>
    <w:rsid w:val="0023685C"/>
    <w:rsid w:val="002379D2"/>
    <w:rsid w:val="00237E81"/>
    <w:rsid w:val="002401F7"/>
    <w:rsid w:val="002402A8"/>
    <w:rsid w:val="002405BC"/>
    <w:rsid w:val="00240944"/>
    <w:rsid w:val="00240B17"/>
    <w:rsid w:val="002413B1"/>
    <w:rsid w:val="002418F1"/>
    <w:rsid w:val="00241A7C"/>
    <w:rsid w:val="00241D42"/>
    <w:rsid w:val="00242608"/>
    <w:rsid w:val="00243562"/>
    <w:rsid w:val="00243CD6"/>
    <w:rsid w:val="00244267"/>
    <w:rsid w:val="002446E3"/>
    <w:rsid w:val="00245D50"/>
    <w:rsid w:val="00245FA8"/>
    <w:rsid w:val="00247507"/>
    <w:rsid w:val="002513B9"/>
    <w:rsid w:val="00251680"/>
    <w:rsid w:val="00251B57"/>
    <w:rsid w:val="00253327"/>
    <w:rsid w:val="00253561"/>
    <w:rsid w:val="00253A3E"/>
    <w:rsid w:val="00253D57"/>
    <w:rsid w:val="00253D64"/>
    <w:rsid w:val="00254863"/>
    <w:rsid w:val="002564EC"/>
    <w:rsid w:val="00257E2F"/>
    <w:rsid w:val="002601C0"/>
    <w:rsid w:val="00260890"/>
    <w:rsid w:val="0026200D"/>
    <w:rsid w:val="00263FC2"/>
    <w:rsid w:val="00266AAE"/>
    <w:rsid w:val="00267E74"/>
    <w:rsid w:val="00271E81"/>
    <w:rsid w:val="0027246A"/>
    <w:rsid w:val="002731ED"/>
    <w:rsid w:val="002751B6"/>
    <w:rsid w:val="0027717E"/>
    <w:rsid w:val="002772F0"/>
    <w:rsid w:val="002776CE"/>
    <w:rsid w:val="00277C66"/>
    <w:rsid w:val="00277D06"/>
    <w:rsid w:val="002800A0"/>
    <w:rsid w:val="002801F8"/>
    <w:rsid w:val="00280C58"/>
    <w:rsid w:val="00281819"/>
    <w:rsid w:val="00281C17"/>
    <w:rsid w:val="00282360"/>
    <w:rsid w:val="0028244B"/>
    <w:rsid w:val="00283C3E"/>
    <w:rsid w:val="0028433F"/>
    <w:rsid w:val="00287771"/>
    <w:rsid w:val="002909E2"/>
    <w:rsid w:val="0029306D"/>
    <w:rsid w:val="00293C1C"/>
    <w:rsid w:val="00294BA6"/>
    <w:rsid w:val="00295C9C"/>
    <w:rsid w:val="00296F37"/>
    <w:rsid w:val="002976C9"/>
    <w:rsid w:val="002A00FD"/>
    <w:rsid w:val="002A08EC"/>
    <w:rsid w:val="002A1631"/>
    <w:rsid w:val="002A2567"/>
    <w:rsid w:val="002A4E89"/>
    <w:rsid w:val="002A4EAA"/>
    <w:rsid w:val="002A51DB"/>
    <w:rsid w:val="002A564E"/>
    <w:rsid w:val="002A5DB2"/>
    <w:rsid w:val="002A61F1"/>
    <w:rsid w:val="002A7499"/>
    <w:rsid w:val="002A7975"/>
    <w:rsid w:val="002B2AA4"/>
    <w:rsid w:val="002B303B"/>
    <w:rsid w:val="002B3FC7"/>
    <w:rsid w:val="002B4AE4"/>
    <w:rsid w:val="002B5074"/>
    <w:rsid w:val="002B544F"/>
    <w:rsid w:val="002B5602"/>
    <w:rsid w:val="002B5BA2"/>
    <w:rsid w:val="002B5EC5"/>
    <w:rsid w:val="002B5F9F"/>
    <w:rsid w:val="002B66E4"/>
    <w:rsid w:val="002C026F"/>
    <w:rsid w:val="002C02E8"/>
    <w:rsid w:val="002C0C49"/>
    <w:rsid w:val="002C119B"/>
    <w:rsid w:val="002C46E1"/>
    <w:rsid w:val="002C5E1C"/>
    <w:rsid w:val="002C6543"/>
    <w:rsid w:val="002D0C1D"/>
    <w:rsid w:val="002D1171"/>
    <w:rsid w:val="002D2405"/>
    <w:rsid w:val="002D4461"/>
    <w:rsid w:val="002D4569"/>
    <w:rsid w:val="002D6608"/>
    <w:rsid w:val="002D7681"/>
    <w:rsid w:val="002E0C27"/>
    <w:rsid w:val="002E10B9"/>
    <w:rsid w:val="002E1274"/>
    <w:rsid w:val="002E2A22"/>
    <w:rsid w:val="002E3AD8"/>
    <w:rsid w:val="002E3AFF"/>
    <w:rsid w:val="002E5FFC"/>
    <w:rsid w:val="002E7F74"/>
    <w:rsid w:val="002F0558"/>
    <w:rsid w:val="002F14CC"/>
    <w:rsid w:val="002F2B16"/>
    <w:rsid w:val="002F2BA8"/>
    <w:rsid w:val="002F36E1"/>
    <w:rsid w:val="002F4F7C"/>
    <w:rsid w:val="002F52CA"/>
    <w:rsid w:val="002F5586"/>
    <w:rsid w:val="002F62ED"/>
    <w:rsid w:val="002F67D9"/>
    <w:rsid w:val="002F7570"/>
    <w:rsid w:val="002F7CA4"/>
    <w:rsid w:val="00300772"/>
    <w:rsid w:val="00300F3F"/>
    <w:rsid w:val="00301606"/>
    <w:rsid w:val="00301BFB"/>
    <w:rsid w:val="003020BB"/>
    <w:rsid w:val="00302A5A"/>
    <w:rsid w:val="00302C15"/>
    <w:rsid w:val="00302D8D"/>
    <w:rsid w:val="0030383E"/>
    <w:rsid w:val="003048EE"/>
    <w:rsid w:val="00304A54"/>
    <w:rsid w:val="00304BC7"/>
    <w:rsid w:val="0030604F"/>
    <w:rsid w:val="00306A5B"/>
    <w:rsid w:val="00306F5C"/>
    <w:rsid w:val="003070A8"/>
    <w:rsid w:val="00307357"/>
    <w:rsid w:val="003079C2"/>
    <w:rsid w:val="00310A42"/>
    <w:rsid w:val="00310D87"/>
    <w:rsid w:val="0031275C"/>
    <w:rsid w:val="00312F08"/>
    <w:rsid w:val="0031367E"/>
    <w:rsid w:val="003148BB"/>
    <w:rsid w:val="00315FDB"/>
    <w:rsid w:val="00316400"/>
    <w:rsid w:val="00317B10"/>
    <w:rsid w:val="0032097F"/>
    <w:rsid w:val="00321717"/>
    <w:rsid w:val="00322DFB"/>
    <w:rsid w:val="003259E0"/>
    <w:rsid w:val="00326A77"/>
    <w:rsid w:val="00326D30"/>
    <w:rsid w:val="00330200"/>
    <w:rsid w:val="003303D8"/>
    <w:rsid w:val="003309F2"/>
    <w:rsid w:val="003313CA"/>
    <w:rsid w:val="0033165E"/>
    <w:rsid w:val="00331D5D"/>
    <w:rsid w:val="00333853"/>
    <w:rsid w:val="003357AA"/>
    <w:rsid w:val="00336052"/>
    <w:rsid w:val="00336B20"/>
    <w:rsid w:val="00337534"/>
    <w:rsid w:val="0033757E"/>
    <w:rsid w:val="00337E4A"/>
    <w:rsid w:val="003400AD"/>
    <w:rsid w:val="00341FAE"/>
    <w:rsid w:val="003421FA"/>
    <w:rsid w:val="003425EC"/>
    <w:rsid w:val="003426E1"/>
    <w:rsid w:val="00342921"/>
    <w:rsid w:val="00343E9F"/>
    <w:rsid w:val="0034450A"/>
    <w:rsid w:val="00345925"/>
    <w:rsid w:val="00346926"/>
    <w:rsid w:val="00346CB4"/>
    <w:rsid w:val="00346FF5"/>
    <w:rsid w:val="00347490"/>
    <w:rsid w:val="0034755E"/>
    <w:rsid w:val="003501B5"/>
    <w:rsid w:val="00350C88"/>
    <w:rsid w:val="00352041"/>
    <w:rsid w:val="00352826"/>
    <w:rsid w:val="00353205"/>
    <w:rsid w:val="0035329A"/>
    <w:rsid w:val="00353756"/>
    <w:rsid w:val="00353DD8"/>
    <w:rsid w:val="00355380"/>
    <w:rsid w:val="00355A9D"/>
    <w:rsid w:val="00355EBE"/>
    <w:rsid w:val="00356395"/>
    <w:rsid w:val="00357097"/>
    <w:rsid w:val="003612F4"/>
    <w:rsid w:val="0036237C"/>
    <w:rsid w:val="003626AB"/>
    <w:rsid w:val="003626E0"/>
    <w:rsid w:val="00363B0B"/>
    <w:rsid w:val="00363B7E"/>
    <w:rsid w:val="00363D7C"/>
    <w:rsid w:val="00365373"/>
    <w:rsid w:val="00365931"/>
    <w:rsid w:val="00367B74"/>
    <w:rsid w:val="00367EAB"/>
    <w:rsid w:val="0037049B"/>
    <w:rsid w:val="003708B1"/>
    <w:rsid w:val="00371970"/>
    <w:rsid w:val="00372DC4"/>
    <w:rsid w:val="0037343D"/>
    <w:rsid w:val="00374380"/>
    <w:rsid w:val="00374AAC"/>
    <w:rsid w:val="00376555"/>
    <w:rsid w:val="003768C7"/>
    <w:rsid w:val="00376C6E"/>
    <w:rsid w:val="00377CA9"/>
    <w:rsid w:val="00380990"/>
    <w:rsid w:val="00380998"/>
    <w:rsid w:val="00381D4C"/>
    <w:rsid w:val="00381DEC"/>
    <w:rsid w:val="00385048"/>
    <w:rsid w:val="003856C3"/>
    <w:rsid w:val="003865B3"/>
    <w:rsid w:val="003869CB"/>
    <w:rsid w:val="00386CE7"/>
    <w:rsid w:val="00386D9B"/>
    <w:rsid w:val="00387768"/>
    <w:rsid w:val="00390C68"/>
    <w:rsid w:val="0039120E"/>
    <w:rsid w:val="00391523"/>
    <w:rsid w:val="0039162E"/>
    <w:rsid w:val="0039330B"/>
    <w:rsid w:val="00393F57"/>
    <w:rsid w:val="00394CCA"/>
    <w:rsid w:val="00396AF1"/>
    <w:rsid w:val="003972F7"/>
    <w:rsid w:val="003A0603"/>
    <w:rsid w:val="003A1473"/>
    <w:rsid w:val="003A2D88"/>
    <w:rsid w:val="003A2E50"/>
    <w:rsid w:val="003A36D7"/>
    <w:rsid w:val="003A3CB8"/>
    <w:rsid w:val="003A4625"/>
    <w:rsid w:val="003A4AE4"/>
    <w:rsid w:val="003A4FD6"/>
    <w:rsid w:val="003A5946"/>
    <w:rsid w:val="003A6127"/>
    <w:rsid w:val="003A656E"/>
    <w:rsid w:val="003A6595"/>
    <w:rsid w:val="003A6E11"/>
    <w:rsid w:val="003A7154"/>
    <w:rsid w:val="003A773F"/>
    <w:rsid w:val="003B0713"/>
    <w:rsid w:val="003B1328"/>
    <w:rsid w:val="003B1AC1"/>
    <w:rsid w:val="003B2208"/>
    <w:rsid w:val="003B2D52"/>
    <w:rsid w:val="003B37BD"/>
    <w:rsid w:val="003B3BE1"/>
    <w:rsid w:val="003B3C01"/>
    <w:rsid w:val="003B56D3"/>
    <w:rsid w:val="003B689B"/>
    <w:rsid w:val="003B76D7"/>
    <w:rsid w:val="003B76F6"/>
    <w:rsid w:val="003B7F5C"/>
    <w:rsid w:val="003C0AC8"/>
    <w:rsid w:val="003C0FA0"/>
    <w:rsid w:val="003C2154"/>
    <w:rsid w:val="003C3CA6"/>
    <w:rsid w:val="003C6044"/>
    <w:rsid w:val="003C6D17"/>
    <w:rsid w:val="003C7324"/>
    <w:rsid w:val="003D0847"/>
    <w:rsid w:val="003D2DB8"/>
    <w:rsid w:val="003D2E02"/>
    <w:rsid w:val="003D2E95"/>
    <w:rsid w:val="003D348A"/>
    <w:rsid w:val="003D38A8"/>
    <w:rsid w:val="003D494B"/>
    <w:rsid w:val="003D4B61"/>
    <w:rsid w:val="003D5D89"/>
    <w:rsid w:val="003D69E2"/>
    <w:rsid w:val="003D69E8"/>
    <w:rsid w:val="003D7732"/>
    <w:rsid w:val="003D7E09"/>
    <w:rsid w:val="003E09E5"/>
    <w:rsid w:val="003E0D2A"/>
    <w:rsid w:val="003E0F67"/>
    <w:rsid w:val="003E1CD1"/>
    <w:rsid w:val="003E1FC7"/>
    <w:rsid w:val="003E27A5"/>
    <w:rsid w:val="003E2E12"/>
    <w:rsid w:val="003E32B1"/>
    <w:rsid w:val="003E3640"/>
    <w:rsid w:val="003E372B"/>
    <w:rsid w:val="003E4097"/>
    <w:rsid w:val="003E46CA"/>
    <w:rsid w:val="003E53B1"/>
    <w:rsid w:val="003E624A"/>
    <w:rsid w:val="003E714F"/>
    <w:rsid w:val="003E723D"/>
    <w:rsid w:val="003F0532"/>
    <w:rsid w:val="003F2D62"/>
    <w:rsid w:val="003F36B4"/>
    <w:rsid w:val="003F5ADD"/>
    <w:rsid w:val="003F6B10"/>
    <w:rsid w:val="003F6CF6"/>
    <w:rsid w:val="003F6E65"/>
    <w:rsid w:val="003F7445"/>
    <w:rsid w:val="003F7DD0"/>
    <w:rsid w:val="00402406"/>
    <w:rsid w:val="004024CB"/>
    <w:rsid w:val="004028F9"/>
    <w:rsid w:val="00402954"/>
    <w:rsid w:val="00402E96"/>
    <w:rsid w:val="004033A4"/>
    <w:rsid w:val="004039DB"/>
    <w:rsid w:val="00403BE4"/>
    <w:rsid w:val="00404754"/>
    <w:rsid w:val="00406948"/>
    <w:rsid w:val="00406A57"/>
    <w:rsid w:val="00406D53"/>
    <w:rsid w:val="00407701"/>
    <w:rsid w:val="004101C0"/>
    <w:rsid w:val="00411349"/>
    <w:rsid w:val="00411752"/>
    <w:rsid w:val="0041190D"/>
    <w:rsid w:val="00412269"/>
    <w:rsid w:val="00412F24"/>
    <w:rsid w:val="004134E8"/>
    <w:rsid w:val="00415DFF"/>
    <w:rsid w:val="004222E1"/>
    <w:rsid w:val="00424A79"/>
    <w:rsid w:val="00424D97"/>
    <w:rsid w:val="0042551D"/>
    <w:rsid w:val="00426625"/>
    <w:rsid w:val="00426CA4"/>
    <w:rsid w:val="00426DF1"/>
    <w:rsid w:val="00427340"/>
    <w:rsid w:val="00430FF8"/>
    <w:rsid w:val="0043115D"/>
    <w:rsid w:val="004313CE"/>
    <w:rsid w:val="00431891"/>
    <w:rsid w:val="00432AD7"/>
    <w:rsid w:val="00433BA6"/>
    <w:rsid w:val="00433FAD"/>
    <w:rsid w:val="00434707"/>
    <w:rsid w:val="004349F5"/>
    <w:rsid w:val="00434D86"/>
    <w:rsid w:val="004360BD"/>
    <w:rsid w:val="00436667"/>
    <w:rsid w:val="00436702"/>
    <w:rsid w:val="00437831"/>
    <w:rsid w:val="00437900"/>
    <w:rsid w:val="00437BF3"/>
    <w:rsid w:val="00437C59"/>
    <w:rsid w:val="00440464"/>
    <w:rsid w:val="00440D96"/>
    <w:rsid w:val="004417E4"/>
    <w:rsid w:val="00442D78"/>
    <w:rsid w:val="00443416"/>
    <w:rsid w:val="00443884"/>
    <w:rsid w:val="00443B41"/>
    <w:rsid w:val="00443CEA"/>
    <w:rsid w:val="004440C2"/>
    <w:rsid w:val="00445156"/>
    <w:rsid w:val="00445A2B"/>
    <w:rsid w:val="0044624C"/>
    <w:rsid w:val="004476BC"/>
    <w:rsid w:val="0044798A"/>
    <w:rsid w:val="00450E55"/>
    <w:rsid w:val="004529F8"/>
    <w:rsid w:val="00453E52"/>
    <w:rsid w:val="00454466"/>
    <w:rsid w:val="0045507E"/>
    <w:rsid w:val="004566EF"/>
    <w:rsid w:val="00456C4B"/>
    <w:rsid w:val="00456FB2"/>
    <w:rsid w:val="004601DF"/>
    <w:rsid w:val="004608D8"/>
    <w:rsid w:val="0046093E"/>
    <w:rsid w:val="00460CF8"/>
    <w:rsid w:val="00460FBA"/>
    <w:rsid w:val="00461077"/>
    <w:rsid w:val="004617BC"/>
    <w:rsid w:val="00461B79"/>
    <w:rsid w:val="00462A81"/>
    <w:rsid w:val="00462E8D"/>
    <w:rsid w:val="00463298"/>
    <w:rsid w:val="00463BE7"/>
    <w:rsid w:val="00463C29"/>
    <w:rsid w:val="004642A5"/>
    <w:rsid w:val="0046560D"/>
    <w:rsid w:val="00465C9A"/>
    <w:rsid w:val="00466AEE"/>
    <w:rsid w:val="00466B6E"/>
    <w:rsid w:val="0046757C"/>
    <w:rsid w:val="00467860"/>
    <w:rsid w:val="00467D91"/>
    <w:rsid w:val="00467EAE"/>
    <w:rsid w:val="00470B3C"/>
    <w:rsid w:val="00471766"/>
    <w:rsid w:val="004720D7"/>
    <w:rsid w:val="004721CC"/>
    <w:rsid w:val="004728A5"/>
    <w:rsid w:val="0047312C"/>
    <w:rsid w:val="00474DEF"/>
    <w:rsid w:val="00474EC0"/>
    <w:rsid w:val="004757E7"/>
    <w:rsid w:val="00475EF2"/>
    <w:rsid w:val="00477DA8"/>
    <w:rsid w:val="00477E89"/>
    <w:rsid w:val="0048058E"/>
    <w:rsid w:val="0048214C"/>
    <w:rsid w:val="004822D9"/>
    <w:rsid w:val="00483425"/>
    <w:rsid w:val="004836A5"/>
    <w:rsid w:val="00484684"/>
    <w:rsid w:val="0048547E"/>
    <w:rsid w:val="00486350"/>
    <w:rsid w:val="00486DC1"/>
    <w:rsid w:val="0049059C"/>
    <w:rsid w:val="0049146F"/>
    <w:rsid w:val="004914D7"/>
    <w:rsid w:val="00492146"/>
    <w:rsid w:val="0049360F"/>
    <w:rsid w:val="0049376F"/>
    <w:rsid w:val="00493D13"/>
    <w:rsid w:val="00496CD8"/>
    <w:rsid w:val="004A1D60"/>
    <w:rsid w:val="004A417B"/>
    <w:rsid w:val="004A463D"/>
    <w:rsid w:val="004A5487"/>
    <w:rsid w:val="004A58F4"/>
    <w:rsid w:val="004B00FA"/>
    <w:rsid w:val="004B1BA0"/>
    <w:rsid w:val="004B292B"/>
    <w:rsid w:val="004B3403"/>
    <w:rsid w:val="004B34DE"/>
    <w:rsid w:val="004B3A81"/>
    <w:rsid w:val="004B44AF"/>
    <w:rsid w:val="004B5110"/>
    <w:rsid w:val="004B6965"/>
    <w:rsid w:val="004B7346"/>
    <w:rsid w:val="004B7726"/>
    <w:rsid w:val="004C061D"/>
    <w:rsid w:val="004C144A"/>
    <w:rsid w:val="004C1FFF"/>
    <w:rsid w:val="004C2066"/>
    <w:rsid w:val="004C3072"/>
    <w:rsid w:val="004C3C64"/>
    <w:rsid w:val="004C5CDA"/>
    <w:rsid w:val="004C6B9D"/>
    <w:rsid w:val="004C6D9A"/>
    <w:rsid w:val="004C7126"/>
    <w:rsid w:val="004C7B14"/>
    <w:rsid w:val="004D001A"/>
    <w:rsid w:val="004D1FE6"/>
    <w:rsid w:val="004D23B8"/>
    <w:rsid w:val="004D35C6"/>
    <w:rsid w:val="004D35FF"/>
    <w:rsid w:val="004D3980"/>
    <w:rsid w:val="004D6278"/>
    <w:rsid w:val="004D6D28"/>
    <w:rsid w:val="004D6E9D"/>
    <w:rsid w:val="004E002D"/>
    <w:rsid w:val="004E11F4"/>
    <w:rsid w:val="004E1940"/>
    <w:rsid w:val="004E1D67"/>
    <w:rsid w:val="004E1E9E"/>
    <w:rsid w:val="004E2BAE"/>
    <w:rsid w:val="004E2E94"/>
    <w:rsid w:val="004E5824"/>
    <w:rsid w:val="004E6609"/>
    <w:rsid w:val="004E7243"/>
    <w:rsid w:val="004F067D"/>
    <w:rsid w:val="004F08F5"/>
    <w:rsid w:val="004F1136"/>
    <w:rsid w:val="004F19D6"/>
    <w:rsid w:val="004F1B4D"/>
    <w:rsid w:val="004F3766"/>
    <w:rsid w:val="004F397E"/>
    <w:rsid w:val="004F40D6"/>
    <w:rsid w:val="004F559C"/>
    <w:rsid w:val="004F5A73"/>
    <w:rsid w:val="004F5C16"/>
    <w:rsid w:val="004F6020"/>
    <w:rsid w:val="004F61C2"/>
    <w:rsid w:val="004F6C89"/>
    <w:rsid w:val="004F6EA0"/>
    <w:rsid w:val="00502198"/>
    <w:rsid w:val="005021DF"/>
    <w:rsid w:val="00502B4A"/>
    <w:rsid w:val="00502C7F"/>
    <w:rsid w:val="005031F1"/>
    <w:rsid w:val="00503CE7"/>
    <w:rsid w:val="00504A3A"/>
    <w:rsid w:val="00504B8C"/>
    <w:rsid w:val="00504EA9"/>
    <w:rsid w:val="00505427"/>
    <w:rsid w:val="00506F12"/>
    <w:rsid w:val="00507A42"/>
    <w:rsid w:val="00507C3F"/>
    <w:rsid w:val="00507FA2"/>
    <w:rsid w:val="00511796"/>
    <w:rsid w:val="00511854"/>
    <w:rsid w:val="00511A7E"/>
    <w:rsid w:val="00511C63"/>
    <w:rsid w:val="005139D4"/>
    <w:rsid w:val="00514250"/>
    <w:rsid w:val="00515DD3"/>
    <w:rsid w:val="00516067"/>
    <w:rsid w:val="005168F2"/>
    <w:rsid w:val="00516D9D"/>
    <w:rsid w:val="00517264"/>
    <w:rsid w:val="00517C30"/>
    <w:rsid w:val="00517CE2"/>
    <w:rsid w:val="00520373"/>
    <w:rsid w:val="00521821"/>
    <w:rsid w:val="005221F6"/>
    <w:rsid w:val="00523187"/>
    <w:rsid w:val="005246B0"/>
    <w:rsid w:val="005246DC"/>
    <w:rsid w:val="00525592"/>
    <w:rsid w:val="0052615C"/>
    <w:rsid w:val="00527A6F"/>
    <w:rsid w:val="00527DC8"/>
    <w:rsid w:val="00530355"/>
    <w:rsid w:val="00530910"/>
    <w:rsid w:val="0053166C"/>
    <w:rsid w:val="0053295B"/>
    <w:rsid w:val="00532B6F"/>
    <w:rsid w:val="00532D1D"/>
    <w:rsid w:val="00532DE3"/>
    <w:rsid w:val="005332E2"/>
    <w:rsid w:val="00535E9B"/>
    <w:rsid w:val="005365CF"/>
    <w:rsid w:val="00537E02"/>
    <w:rsid w:val="0054118B"/>
    <w:rsid w:val="00541376"/>
    <w:rsid w:val="00542421"/>
    <w:rsid w:val="00543DE0"/>
    <w:rsid w:val="00545F67"/>
    <w:rsid w:val="005466ED"/>
    <w:rsid w:val="00546956"/>
    <w:rsid w:val="00550C44"/>
    <w:rsid w:val="00554DB3"/>
    <w:rsid w:val="005564B4"/>
    <w:rsid w:val="00556DF8"/>
    <w:rsid w:val="00557D7D"/>
    <w:rsid w:val="00557EBA"/>
    <w:rsid w:val="00560685"/>
    <w:rsid w:val="005607DE"/>
    <w:rsid w:val="00560A32"/>
    <w:rsid w:val="00560AA3"/>
    <w:rsid w:val="0056138F"/>
    <w:rsid w:val="00561904"/>
    <w:rsid w:val="0056246E"/>
    <w:rsid w:val="00562CAE"/>
    <w:rsid w:val="00563761"/>
    <w:rsid w:val="00563CD3"/>
    <w:rsid w:val="0056416E"/>
    <w:rsid w:val="005647FC"/>
    <w:rsid w:val="0056495A"/>
    <w:rsid w:val="00564A6B"/>
    <w:rsid w:val="00565D83"/>
    <w:rsid w:val="00566FE8"/>
    <w:rsid w:val="005676FB"/>
    <w:rsid w:val="0057032E"/>
    <w:rsid w:val="00570ECA"/>
    <w:rsid w:val="00571516"/>
    <w:rsid w:val="00573661"/>
    <w:rsid w:val="005739B8"/>
    <w:rsid w:val="005741A6"/>
    <w:rsid w:val="00576004"/>
    <w:rsid w:val="005760C7"/>
    <w:rsid w:val="005769C5"/>
    <w:rsid w:val="00576BC9"/>
    <w:rsid w:val="005776E3"/>
    <w:rsid w:val="00577A28"/>
    <w:rsid w:val="00580194"/>
    <w:rsid w:val="00581441"/>
    <w:rsid w:val="005818A9"/>
    <w:rsid w:val="005828A6"/>
    <w:rsid w:val="00585424"/>
    <w:rsid w:val="00585CFD"/>
    <w:rsid w:val="00585F23"/>
    <w:rsid w:val="00590173"/>
    <w:rsid w:val="00592619"/>
    <w:rsid w:val="00592CC3"/>
    <w:rsid w:val="00593C5A"/>
    <w:rsid w:val="00594BFF"/>
    <w:rsid w:val="00594FBA"/>
    <w:rsid w:val="00595706"/>
    <w:rsid w:val="005965D5"/>
    <w:rsid w:val="005967EA"/>
    <w:rsid w:val="0059707F"/>
    <w:rsid w:val="00597B8D"/>
    <w:rsid w:val="005A0273"/>
    <w:rsid w:val="005A0DF3"/>
    <w:rsid w:val="005A14B3"/>
    <w:rsid w:val="005A2746"/>
    <w:rsid w:val="005A28CC"/>
    <w:rsid w:val="005A2B46"/>
    <w:rsid w:val="005A34A9"/>
    <w:rsid w:val="005A371D"/>
    <w:rsid w:val="005A3CF7"/>
    <w:rsid w:val="005A3F41"/>
    <w:rsid w:val="005A3F92"/>
    <w:rsid w:val="005A48F6"/>
    <w:rsid w:val="005A58EA"/>
    <w:rsid w:val="005A68EB"/>
    <w:rsid w:val="005A707A"/>
    <w:rsid w:val="005A7266"/>
    <w:rsid w:val="005A7629"/>
    <w:rsid w:val="005A78C2"/>
    <w:rsid w:val="005A7FC1"/>
    <w:rsid w:val="005B08BA"/>
    <w:rsid w:val="005B139E"/>
    <w:rsid w:val="005B14E8"/>
    <w:rsid w:val="005B165D"/>
    <w:rsid w:val="005B22F8"/>
    <w:rsid w:val="005B28F8"/>
    <w:rsid w:val="005B437A"/>
    <w:rsid w:val="005B5CB7"/>
    <w:rsid w:val="005B604B"/>
    <w:rsid w:val="005B662A"/>
    <w:rsid w:val="005B6F43"/>
    <w:rsid w:val="005B72EA"/>
    <w:rsid w:val="005B746B"/>
    <w:rsid w:val="005B7753"/>
    <w:rsid w:val="005C01AE"/>
    <w:rsid w:val="005C179B"/>
    <w:rsid w:val="005C25CD"/>
    <w:rsid w:val="005C2806"/>
    <w:rsid w:val="005C2A37"/>
    <w:rsid w:val="005C4582"/>
    <w:rsid w:val="005C4F66"/>
    <w:rsid w:val="005C5163"/>
    <w:rsid w:val="005C55CB"/>
    <w:rsid w:val="005C69E3"/>
    <w:rsid w:val="005C730A"/>
    <w:rsid w:val="005C7F6B"/>
    <w:rsid w:val="005D0A8B"/>
    <w:rsid w:val="005D16DD"/>
    <w:rsid w:val="005D21AE"/>
    <w:rsid w:val="005D31C0"/>
    <w:rsid w:val="005D3B03"/>
    <w:rsid w:val="005D478E"/>
    <w:rsid w:val="005D4CD2"/>
    <w:rsid w:val="005D54C2"/>
    <w:rsid w:val="005D5879"/>
    <w:rsid w:val="005D6B63"/>
    <w:rsid w:val="005D78B7"/>
    <w:rsid w:val="005D7A61"/>
    <w:rsid w:val="005E2927"/>
    <w:rsid w:val="005E2C38"/>
    <w:rsid w:val="005E2F87"/>
    <w:rsid w:val="005E5D27"/>
    <w:rsid w:val="005E7551"/>
    <w:rsid w:val="005E7D41"/>
    <w:rsid w:val="005F08FE"/>
    <w:rsid w:val="005F1009"/>
    <w:rsid w:val="005F1279"/>
    <w:rsid w:val="005F305A"/>
    <w:rsid w:val="005F35C1"/>
    <w:rsid w:val="005F455D"/>
    <w:rsid w:val="005F6434"/>
    <w:rsid w:val="005F6ADF"/>
    <w:rsid w:val="005F7065"/>
    <w:rsid w:val="00600B30"/>
    <w:rsid w:val="00602203"/>
    <w:rsid w:val="0060275E"/>
    <w:rsid w:val="006028FF"/>
    <w:rsid w:val="00602D33"/>
    <w:rsid w:val="00603734"/>
    <w:rsid w:val="00603C77"/>
    <w:rsid w:val="006040A1"/>
    <w:rsid w:val="00606051"/>
    <w:rsid w:val="00606585"/>
    <w:rsid w:val="00606EF7"/>
    <w:rsid w:val="006071A9"/>
    <w:rsid w:val="00607616"/>
    <w:rsid w:val="00610AC9"/>
    <w:rsid w:val="006125B1"/>
    <w:rsid w:val="006138AE"/>
    <w:rsid w:val="0061417E"/>
    <w:rsid w:val="00615B6E"/>
    <w:rsid w:val="006168BD"/>
    <w:rsid w:val="00616B47"/>
    <w:rsid w:val="00617288"/>
    <w:rsid w:val="006179F4"/>
    <w:rsid w:val="0062048C"/>
    <w:rsid w:val="00622675"/>
    <w:rsid w:val="006226FB"/>
    <w:rsid w:val="006245AA"/>
    <w:rsid w:val="006253B2"/>
    <w:rsid w:val="0062654E"/>
    <w:rsid w:val="00626B8D"/>
    <w:rsid w:val="00626F23"/>
    <w:rsid w:val="006304F7"/>
    <w:rsid w:val="00630F7A"/>
    <w:rsid w:val="006324E4"/>
    <w:rsid w:val="00632721"/>
    <w:rsid w:val="00632B01"/>
    <w:rsid w:val="00633783"/>
    <w:rsid w:val="006339EC"/>
    <w:rsid w:val="00633C9C"/>
    <w:rsid w:val="0063449F"/>
    <w:rsid w:val="00635B32"/>
    <w:rsid w:val="00635C01"/>
    <w:rsid w:val="0063689F"/>
    <w:rsid w:val="0064007D"/>
    <w:rsid w:val="00640810"/>
    <w:rsid w:val="006417A6"/>
    <w:rsid w:val="00641C6C"/>
    <w:rsid w:val="006432DA"/>
    <w:rsid w:val="00644378"/>
    <w:rsid w:val="00644675"/>
    <w:rsid w:val="00644B54"/>
    <w:rsid w:val="00644C57"/>
    <w:rsid w:val="00645D64"/>
    <w:rsid w:val="006468C2"/>
    <w:rsid w:val="0064708B"/>
    <w:rsid w:val="00647818"/>
    <w:rsid w:val="00647FB5"/>
    <w:rsid w:val="00650983"/>
    <w:rsid w:val="00650C3F"/>
    <w:rsid w:val="00651988"/>
    <w:rsid w:val="006524D8"/>
    <w:rsid w:val="00652BB1"/>
    <w:rsid w:val="00652F68"/>
    <w:rsid w:val="00653B07"/>
    <w:rsid w:val="00653D6B"/>
    <w:rsid w:val="0065457B"/>
    <w:rsid w:val="00655B77"/>
    <w:rsid w:val="00655FC5"/>
    <w:rsid w:val="0065789B"/>
    <w:rsid w:val="00657C9A"/>
    <w:rsid w:val="00657F6F"/>
    <w:rsid w:val="00660E28"/>
    <w:rsid w:val="00661403"/>
    <w:rsid w:val="00662ADB"/>
    <w:rsid w:val="00662F54"/>
    <w:rsid w:val="006665BE"/>
    <w:rsid w:val="006668C2"/>
    <w:rsid w:val="0066762C"/>
    <w:rsid w:val="00667BAA"/>
    <w:rsid w:val="0067017A"/>
    <w:rsid w:val="0067063F"/>
    <w:rsid w:val="00670EC1"/>
    <w:rsid w:val="00671A27"/>
    <w:rsid w:val="00671A5C"/>
    <w:rsid w:val="00671AD1"/>
    <w:rsid w:val="006721BA"/>
    <w:rsid w:val="0067350E"/>
    <w:rsid w:val="00673A86"/>
    <w:rsid w:val="006741BC"/>
    <w:rsid w:val="00674B76"/>
    <w:rsid w:val="00675AA4"/>
    <w:rsid w:val="006760E8"/>
    <w:rsid w:val="0067639F"/>
    <w:rsid w:val="00677438"/>
    <w:rsid w:val="00684B31"/>
    <w:rsid w:val="00684DEC"/>
    <w:rsid w:val="00685519"/>
    <w:rsid w:val="00685525"/>
    <w:rsid w:val="00685D2A"/>
    <w:rsid w:val="00687136"/>
    <w:rsid w:val="006900FC"/>
    <w:rsid w:val="00690222"/>
    <w:rsid w:val="006903B5"/>
    <w:rsid w:val="00691697"/>
    <w:rsid w:val="00691F1D"/>
    <w:rsid w:val="00692737"/>
    <w:rsid w:val="0069282E"/>
    <w:rsid w:val="00692898"/>
    <w:rsid w:val="00692CB8"/>
    <w:rsid w:val="00693CC7"/>
    <w:rsid w:val="006940DB"/>
    <w:rsid w:val="00694F6A"/>
    <w:rsid w:val="00695408"/>
    <w:rsid w:val="0069552A"/>
    <w:rsid w:val="00695B3D"/>
    <w:rsid w:val="006970EB"/>
    <w:rsid w:val="006974F5"/>
    <w:rsid w:val="006A102C"/>
    <w:rsid w:val="006A1CA0"/>
    <w:rsid w:val="006A4718"/>
    <w:rsid w:val="006A4C3C"/>
    <w:rsid w:val="006A5909"/>
    <w:rsid w:val="006A6427"/>
    <w:rsid w:val="006A65B0"/>
    <w:rsid w:val="006A66B9"/>
    <w:rsid w:val="006A6893"/>
    <w:rsid w:val="006A6945"/>
    <w:rsid w:val="006A6B0F"/>
    <w:rsid w:val="006A7138"/>
    <w:rsid w:val="006A7D79"/>
    <w:rsid w:val="006B1A52"/>
    <w:rsid w:val="006B1A8C"/>
    <w:rsid w:val="006B2CBB"/>
    <w:rsid w:val="006B2D73"/>
    <w:rsid w:val="006B301F"/>
    <w:rsid w:val="006B3678"/>
    <w:rsid w:val="006B39A0"/>
    <w:rsid w:val="006B57A5"/>
    <w:rsid w:val="006B598A"/>
    <w:rsid w:val="006B6C69"/>
    <w:rsid w:val="006C088C"/>
    <w:rsid w:val="006C1008"/>
    <w:rsid w:val="006C2935"/>
    <w:rsid w:val="006C2EDB"/>
    <w:rsid w:val="006C3398"/>
    <w:rsid w:val="006C50A9"/>
    <w:rsid w:val="006C64AF"/>
    <w:rsid w:val="006C69AE"/>
    <w:rsid w:val="006C7824"/>
    <w:rsid w:val="006C7F7C"/>
    <w:rsid w:val="006C7F94"/>
    <w:rsid w:val="006D09A6"/>
    <w:rsid w:val="006D2220"/>
    <w:rsid w:val="006D4D07"/>
    <w:rsid w:val="006D7885"/>
    <w:rsid w:val="006E125F"/>
    <w:rsid w:val="006E12FC"/>
    <w:rsid w:val="006E3B6A"/>
    <w:rsid w:val="006E3CFD"/>
    <w:rsid w:val="006E5D8A"/>
    <w:rsid w:val="006E62DA"/>
    <w:rsid w:val="006E6A36"/>
    <w:rsid w:val="006E6D58"/>
    <w:rsid w:val="006E6DCC"/>
    <w:rsid w:val="006E7F24"/>
    <w:rsid w:val="006F0708"/>
    <w:rsid w:val="006F12E5"/>
    <w:rsid w:val="006F1310"/>
    <w:rsid w:val="006F25FD"/>
    <w:rsid w:val="006F3C19"/>
    <w:rsid w:val="006F3DA9"/>
    <w:rsid w:val="006F5443"/>
    <w:rsid w:val="006F69EF"/>
    <w:rsid w:val="006F77DC"/>
    <w:rsid w:val="006F7E1E"/>
    <w:rsid w:val="00700553"/>
    <w:rsid w:val="00700956"/>
    <w:rsid w:val="00700AE3"/>
    <w:rsid w:val="00701DC0"/>
    <w:rsid w:val="007025F4"/>
    <w:rsid w:val="00702E91"/>
    <w:rsid w:val="00703558"/>
    <w:rsid w:val="00703D2C"/>
    <w:rsid w:val="00704507"/>
    <w:rsid w:val="007062A7"/>
    <w:rsid w:val="0070665E"/>
    <w:rsid w:val="00706749"/>
    <w:rsid w:val="00706D93"/>
    <w:rsid w:val="00707AB5"/>
    <w:rsid w:val="007101BB"/>
    <w:rsid w:val="00711BA1"/>
    <w:rsid w:val="00711E36"/>
    <w:rsid w:val="007136ED"/>
    <w:rsid w:val="00713EF2"/>
    <w:rsid w:val="00715B67"/>
    <w:rsid w:val="0071688C"/>
    <w:rsid w:val="00717940"/>
    <w:rsid w:val="00720EF3"/>
    <w:rsid w:val="0072406F"/>
    <w:rsid w:val="00724842"/>
    <w:rsid w:val="00727142"/>
    <w:rsid w:val="007279C2"/>
    <w:rsid w:val="00727F63"/>
    <w:rsid w:val="00731B85"/>
    <w:rsid w:val="007320E7"/>
    <w:rsid w:val="00732157"/>
    <w:rsid w:val="0073264B"/>
    <w:rsid w:val="00732735"/>
    <w:rsid w:val="00733440"/>
    <w:rsid w:val="00733BC2"/>
    <w:rsid w:val="00733DB3"/>
    <w:rsid w:val="00734512"/>
    <w:rsid w:val="00734A3E"/>
    <w:rsid w:val="007359FA"/>
    <w:rsid w:val="00736BD8"/>
    <w:rsid w:val="00736C39"/>
    <w:rsid w:val="00736E12"/>
    <w:rsid w:val="00736E35"/>
    <w:rsid w:val="00736F2A"/>
    <w:rsid w:val="00740074"/>
    <w:rsid w:val="007419B0"/>
    <w:rsid w:val="00741AFF"/>
    <w:rsid w:val="00742181"/>
    <w:rsid w:val="00742E8E"/>
    <w:rsid w:val="00742EA7"/>
    <w:rsid w:val="00743755"/>
    <w:rsid w:val="00744771"/>
    <w:rsid w:val="00744974"/>
    <w:rsid w:val="0074572A"/>
    <w:rsid w:val="00746533"/>
    <w:rsid w:val="007478A7"/>
    <w:rsid w:val="00750EF2"/>
    <w:rsid w:val="00751142"/>
    <w:rsid w:val="007512E3"/>
    <w:rsid w:val="007525D8"/>
    <w:rsid w:val="00753379"/>
    <w:rsid w:val="00753450"/>
    <w:rsid w:val="00753F43"/>
    <w:rsid w:val="007543B6"/>
    <w:rsid w:val="00754AB6"/>
    <w:rsid w:val="00754DFC"/>
    <w:rsid w:val="00754E5E"/>
    <w:rsid w:val="00755059"/>
    <w:rsid w:val="00755A0E"/>
    <w:rsid w:val="00760489"/>
    <w:rsid w:val="007606F4"/>
    <w:rsid w:val="00761534"/>
    <w:rsid w:val="0076153A"/>
    <w:rsid w:val="007616F3"/>
    <w:rsid w:val="007642C4"/>
    <w:rsid w:val="007647D3"/>
    <w:rsid w:val="00765880"/>
    <w:rsid w:val="00765923"/>
    <w:rsid w:val="007700D6"/>
    <w:rsid w:val="007724FA"/>
    <w:rsid w:val="007735CD"/>
    <w:rsid w:val="007742F6"/>
    <w:rsid w:val="007755CF"/>
    <w:rsid w:val="00780526"/>
    <w:rsid w:val="00780849"/>
    <w:rsid w:val="00780CBC"/>
    <w:rsid w:val="0078332D"/>
    <w:rsid w:val="0078550A"/>
    <w:rsid w:val="007858BB"/>
    <w:rsid w:val="00785E51"/>
    <w:rsid w:val="00786024"/>
    <w:rsid w:val="0078667F"/>
    <w:rsid w:val="007877DF"/>
    <w:rsid w:val="00790734"/>
    <w:rsid w:val="00790E64"/>
    <w:rsid w:val="00792525"/>
    <w:rsid w:val="007935D5"/>
    <w:rsid w:val="007939CB"/>
    <w:rsid w:val="00794019"/>
    <w:rsid w:val="00794C92"/>
    <w:rsid w:val="00794CA2"/>
    <w:rsid w:val="007953A2"/>
    <w:rsid w:val="00795E03"/>
    <w:rsid w:val="0079623B"/>
    <w:rsid w:val="007967A0"/>
    <w:rsid w:val="00797B5A"/>
    <w:rsid w:val="007A0621"/>
    <w:rsid w:val="007A0B38"/>
    <w:rsid w:val="007A10D2"/>
    <w:rsid w:val="007A1EA1"/>
    <w:rsid w:val="007A22C1"/>
    <w:rsid w:val="007A529C"/>
    <w:rsid w:val="007A6244"/>
    <w:rsid w:val="007A6953"/>
    <w:rsid w:val="007A6A6D"/>
    <w:rsid w:val="007B096F"/>
    <w:rsid w:val="007B10E4"/>
    <w:rsid w:val="007B16F5"/>
    <w:rsid w:val="007B2C3E"/>
    <w:rsid w:val="007B5509"/>
    <w:rsid w:val="007B681A"/>
    <w:rsid w:val="007B70A1"/>
    <w:rsid w:val="007B7E01"/>
    <w:rsid w:val="007C0332"/>
    <w:rsid w:val="007C04F4"/>
    <w:rsid w:val="007C1447"/>
    <w:rsid w:val="007C152B"/>
    <w:rsid w:val="007C229B"/>
    <w:rsid w:val="007C2659"/>
    <w:rsid w:val="007C2A2E"/>
    <w:rsid w:val="007C2EB1"/>
    <w:rsid w:val="007C2F22"/>
    <w:rsid w:val="007C3F40"/>
    <w:rsid w:val="007C478C"/>
    <w:rsid w:val="007C5331"/>
    <w:rsid w:val="007C5620"/>
    <w:rsid w:val="007C77C3"/>
    <w:rsid w:val="007C796A"/>
    <w:rsid w:val="007D00B6"/>
    <w:rsid w:val="007D1114"/>
    <w:rsid w:val="007D2181"/>
    <w:rsid w:val="007D240B"/>
    <w:rsid w:val="007D2617"/>
    <w:rsid w:val="007D2872"/>
    <w:rsid w:val="007D2953"/>
    <w:rsid w:val="007D2C43"/>
    <w:rsid w:val="007D4D19"/>
    <w:rsid w:val="007D50A5"/>
    <w:rsid w:val="007D5546"/>
    <w:rsid w:val="007D663F"/>
    <w:rsid w:val="007D6C6E"/>
    <w:rsid w:val="007D71E4"/>
    <w:rsid w:val="007D7CC3"/>
    <w:rsid w:val="007E0197"/>
    <w:rsid w:val="007E0699"/>
    <w:rsid w:val="007E0C3F"/>
    <w:rsid w:val="007E0E02"/>
    <w:rsid w:val="007E1C3B"/>
    <w:rsid w:val="007E3738"/>
    <w:rsid w:val="007E37B5"/>
    <w:rsid w:val="007E44D7"/>
    <w:rsid w:val="007E46D7"/>
    <w:rsid w:val="007E5F06"/>
    <w:rsid w:val="007E671C"/>
    <w:rsid w:val="007F05CC"/>
    <w:rsid w:val="007F07EB"/>
    <w:rsid w:val="007F13D6"/>
    <w:rsid w:val="007F2E41"/>
    <w:rsid w:val="007F3109"/>
    <w:rsid w:val="007F32E7"/>
    <w:rsid w:val="007F378E"/>
    <w:rsid w:val="007F4446"/>
    <w:rsid w:val="007F4FF5"/>
    <w:rsid w:val="007F65C2"/>
    <w:rsid w:val="007F701B"/>
    <w:rsid w:val="007F77BD"/>
    <w:rsid w:val="007F7FD1"/>
    <w:rsid w:val="008009E4"/>
    <w:rsid w:val="00801012"/>
    <w:rsid w:val="00802CE8"/>
    <w:rsid w:val="00802CF4"/>
    <w:rsid w:val="00804DAB"/>
    <w:rsid w:val="00805239"/>
    <w:rsid w:val="008054CA"/>
    <w:rsid w:val="00805CBA"/>
    <w:rsid w:val="00806D3B"/>
    <w:rsid w:val="0081161A"/>
    <w:rsid w:val="008122A1"/>
    <w:rsid w:val="00813651"/>
    <w:rsid w:val="008145C1"/>
    <w:rsid w:val="0081471D"/>
    <w:rsid w:val="00814BD5"/>
    <w:rsid w:val="00815186"/>
    <w:rsid w:val="00815D06"/>
    <w:rsid w:val="00816094"/>
    <w:rsid w:val="00816381"/>
    <w:rsid w:val="008167C0"/>
    <w:rsid w:val="00820660"/>
    <w:rsid w:val="0082269A"/>
    <w:rsid w:val="00823324"/>
    <w:rsid w:val="008244A5"/>
    <w:rsid w:val="00825AF3"/>
    <w:rsid w:val="00825CB9"/>
    <w:rsid w:val="00825E54"/>
    <w:rsid w:val="00826BAA"/>
    <w:rsid w:val="00826DEC"/>
    <w:rsid w:val="00827535"/>
    <w:rsid w:val="008301CF"/>
    <w:rsid w:val="0083040C"/>
    <w:rsid w:val="00832C9E"/>
    <w:rsid w:val="00833EC8"/>
    <w:rsid w:val="00834C57"/>
    <w:rsid w:val="00834F7E"/>
    <w:rsid w:val="00836B96"/>
    <w:rsid w:val="00837C2B"/>
    <w:rsid w:val="00840B2F"/>
    <w:rsid w:val="00841234"/>
    <w:rsid w:val="00841B53"/>
    <w:rsid w:val="0084392F"/>
    <w:rsid w:val="00843ECB"/>
    <w:rsid w:val="00844532"/>
    <w:rsid w:val="008448AA"/>
    <w:rsid w:val="0084575C"/>
    <w:rsid w:val="0084712B"/>
    <w:rsid w:val="008474D1"/>
    <w:rsid w:val="0084763C"/>
    <w:rsid w:val="008477C0"/>
    <w:rsid w:val="00850126"/>
    <w:rsid w:val="008501A0"/>
    <w:rsid w:val="00850A1E"/>
    <w:rsid w:val="00850A91"/>
    <w:rsid w:val="00850AB9"/>
    <w:rsid w:val="008512FC"/>
    <w:rsid w:val="008519F9"/>
    <w:rsid w:val="00851DAB"/>
    <w:rsid w:val="008538AC"/>
    <w:rsid w:val="00853D59"/>
    <w:rsid w:val="00853DDF"/>
    <w:rsid w:val="0085411A"/>
    <w:rsid w:val="0085559D"/>
    <w:rsid w:val="00855A13"/>
    <w:rsid w:val="00855FC1"/>
    <w:rsid w:val="0085612C"/>
    <w:rsid w:val="008562D3"/>
    <w:rsid w:val="008565C5"/>
    <w:rsid w:val="00856783"/>
    <w:rsid w:val="0085756F"/>
    <w:rsid w:val="00860342"/>
    <w:rsid w:val="0086045D"/>
    <w:rsid w:val="00860634"/>
    <w:rsid w:val="00860EDC"/>
    <w:rsid w:val="00861142"/>
    <w:rsid w:val="0086229C"/>
    <w:rsid w:val="00864633"/>
    <w:rsid w:val="00865A03"/>
    <w:rsid w:val="008664F0"/>
    <w:rsid w:val="00866882"/>
    <w:rsid w:val="00867BD5"/>
    <w:rsid w:val="00870475"/>
    <w:rsid w:val="008708CB"/>
    <w:rsid w:val="00870A81"/>
    <w:rsid w:val="00871C4A"/>
    <w:rsid w:val="00872160"/>
    <w:rsid w:val="00872B94"/>
    <w:rsid w:val="00872E85"/>
    <w:rsid w:val="008742C7"/>
    <w:rsid w:val="00876EEF"/>
    <w:rsid w:val="008772FA"/>
    <w:rsid w:val="00877465"/>
    <w:rsid w:val="008779F4"/>
    <w:rsid w:val="00877E60"/>
    <w:rsid w:val="00880020"/>
    <w:rsid w:val="00880028"/>
    <w:rsid w:val="0088094F"/>
    <w:rsid w:val="00880E56"/>
    <w:rsid w:val="00880F75"/>
    <w:rsid w:val="00881805"/>
    <w:rsid w:val="00881B1B"/>
    <w:rsid w:val="00882689"/>
    <w:rsid w:val="00882A28"/>
    <w:rsid w:val="0088365C"/>
    <w:rsid w:val="0088425D"/>
    <w:rsid w:val="00884D82"/>
    <w:rsid w:val="008854F7"/>
    <w:rsid w:val="0088554F"/>
    <w:rsid w:val="00885938"/>
    <w:rsid w:val="0088660A"/>
    <w:rsid w:val="0088694E"/>
    <w:rsid w:val="00887367"/>
    <w:rsid w:val="0088774A"/>
    <w:rsid w:val="0089011D"/>
    <w:rsid w:val="008903EA"/>
    <w:rsid w:val="008909D8"/>
    <w:rsid w:val="0089216B"/>
    <w:rsid w:val="0089297C"/>
    <w:rsid w:val="00892D20"/>
    <w:rsid w:val="00892F20"/>
    <w:rsid w:val="00894595"/>
    <w:rsid w:val="00894770"/>
    <w:rsid w:val="008A047C"/>
    <w:rsid w:val="008A0FD3"/>
    <w:rsid w:val="008A129A"/>
    <w:rsid w:val="008A1756"/>
    <w:rsid w:val="008A346C"/>
    <w:rsid w:val="008A3D1F"/>
    <w:rsid w:val="008A4B6D"/>
    <w:rsid w:val="008A5410"/>
    <w:rsid w:val="008A56E3"/>
    <w:rsid w:val="008A6B52"/>
    <w:rsid w:val="008B035B"/>
    <w:rsid w:val="008B148A"/>
    <w:rsid w:val="008B17A4"/>
    <w:rsid w:val="008B355A"/>
    <w:rsid w:val="008B35A2"/>
    <w:rsid w:val="008B5058"/>
    <w:rsid w:val="008B6023"/>
    <w:rsid w:val="008B66A1"/>
    <w:rsid w:val="008B6B79"/>
    <w:rsid w:val="008B6F95"/>
    <w:rsid w:val="008B72FC"/>
    <w:rsid w:val="008B7B88"/>
    <w:rsid w:val="008B7EC0"/>
    <w:rsid w:val="008B7F28"/>
    <w:rsid w:val="008C0C4D"/>
    <w:rsid w:val="008C15DF"/>
    <w:rsid w:val="008C15EC"/>
    <w:rsid w:val="008C1994"/>
    <w:rsid w:val="008C38AF"/>
    <w:rsid w:val="008C5E42"/>
    <w:rsid w:val="008C5EB3"/>
    <w:rsid w:val="008C7336"/>
    <w:rsid w:val="008C7D26"/>
    <w:rsid w:val="008D07C3"/>
    <w:rsid w:val="008D0841"/>
    <w:rsid w:val="008D0A01"/>
    <w:rsid w:val="008D0A9C"/>
    <w:rsid w:val="008D0CC7"/>
    <w:rsid w:val="008D28C4"/>
    <w:rsid w:val="008D2A40"/>
    <w:rsid w:val="008D2C58"/>
    <w:rsid w:val="008D30C5"/>
    <w:rsid w:val="008D31A4"/>
    <w:rsid w:val="008D3D9D"/>
    <w:rsid w:val="008D3F90"/>
    <w:rsid w:val="008D4653"/>
    <w:rsid w:val="008D6276"/>
    <w:rsid w:val="008D70A4"/>
    <w:rsid w:val="008E02A2"/>
    <w:rsid w:val="008E075D"/>
    <w:rsid w:val="008E1B54"/>
    <w:rsid w:val="008E3703"/>
    <w:rsid w:val="008E389A"/>
    <w:rsid w:val="008E41D0"/>
    <w:rsid w:val="008E42A0"/>
    <w:rsid w:val="008E44CA"/>
    <w:rsid w:val="008E4E53"/>
    <w:rsid w:val="008E54AE"/>
    <w:rsid w:val="008E581A"/>
    <w:rsid w:val="008E5C22"/>
    <w:rsid w:val="008E5C79"/>
    <w:rsid w:val="008E6101"/>
    <w:rsid w:val="008E7012"/>
    <w:rsid w:val="008F130F"/>
    <w:rsid w:val="008F2651"/>
    <w:rsid w:val="008F5CB3"/>
    <w:rsid w:val="008F5CD3"/>
    <w:rsid w:val="008F687A"/>
    <w:rsid w:val="008F6AAD"/>
    <w:rsid w:val="00900EF6"/>
    <w:rsid w:val="00902A85"/>
    <w:rsid w:val="009038A9"/>
    <w:rsid w:val="00904EBF"/>
    <w:rsid w:val="00905038"/>
    <w:rsid w:val="0090504F"/>
    <w:rsid w:val="00905CC1"/>
    <w:rsid w:val="00907807"/>
    <w:rsid w:val="009138F9"/>
    <w:rsid w:val="0091419A"/>
    <w:rsid w:val="009145A4"/>
    <w:rsid w:val="00914869"/>
    <w:rsid w:val="00914FFC"/>
    <w:rsid w:val="009151D5"/>
    <w:rsid w:val="009159D6"/>
    <w:rsid w:val="00916571"/>
    <w:rsid w:val="0091743A"/>
    <w:rsid w:val="00917548"/>
    <w:rsid w:val="00917C49"/>
    <w:rsid w:val="00917FE2"/>
    <w:rsid w:val="00922183"/>
    <w:rsid w:val="009224D5"/>
    <w:rsid w:val="0092403C"/>
    <w:rsid w:val="00924389"/>
    <w:rsid w:val="0092516C"/>
    <w:rsid w:val="0092531B"/>
    <w:rsid w:val="00925F90"/>
    <w:rsid w:val="00926584"/>
    <w:rsid w:val="00926A8E"/>
    <w:rsid w:val="009301C7"/>
    <w:rsid w:val="00930B25"/>
    <w:rsid w:val="009317B8"/>
    <w:rsid w:val="00931FDA"/>
    <w:rsid w:val="0093203B"/>
    <w:rsid w:val="00933458"/>
    <w:rsid w:val="00933E38"/>
    <w:rsid w:val="009352F9"/>
    <w:rsid w:val="00935431"/>
    <w:rsid w:val="00936077"/>
    <w:rsid w:val="00936292"/>
    <w:rsid w:val="009365E3"/>
    <w:rsid w:val="009367B2"/>
    <w:rsid w:val="0094016F"/>
    <w:rsid w:val="00940A22"/>
    <w:rsid w:val="00940AB2"/>
    <w:rsid w:val="0094183A"/>
    <w:rsid w:val="0094223B"/>
    <w:rsid w:val="0094228E"/>
    <w:rsid w:val="00942A30"/>
    <w:rsid w:val="00944BB2"/>
    <w:rsid w:val="009458CE"/>
    <w:rsid w:val="00947651"/>
    <w:rsid w:val="0095190F"/>
    <w:rsid w:val="00951E97"/>
    <w:rsid w:val="009524BD"/>
    <w:rsid w:val="009527C1"/>
    <w:rsid w:val="00952A60"/>
    <w:rsid w:val="009532CD"/>
    <w:rsid w:val="009532F9"/>
    <w:rsid w:val="00953304"/>
    <w:rsid w:val="0095400F"/>
    <w:rsid w:val="009572F0"/>
    <w:rsid w:val="00957B9E"/>
    <w:rsid w:val="009601DB"/>
    <w:rsid w:val="009612A9"/>
    <w:rsid w:val="00961384"/>
    <w:rsid w:val="009617B6"/>
    <w:rsid w:val="009619DC"/>
    <w:rsid w:val="00961C1F"/>
    <w:rsid w:val="00962700"/>
    <w:rsid w:val="009627FC"/>
    <w:rsid w:val="00963364"/>
    <w:rsid w:val="00963AB9"/>
    <w:rsid w:val="00963D0F"/>
    <w:rsid w:val="009641AA"/>
    <w:rsid w:val="00964A1B"/>
    <w:rsid w:val="009656FB"/>
    <w:rsid w:val="00967A42"/>
    <w:rsid w:val="009731B0"/>
    <w:rsid w:val="00976B1D"/>
    <w:rsid w:val="009771E4"/>
    <w:rsid w:val="00977A32"/>
    <w:rsid w:val="00977AD1"/>
    <w:rsid w:val="00977D95"/>
    <w:rsid w:val="0098026E"/>
    <w:rsid w:val="0098091C"/>
    <w:rsid w:val="009812A7"/>
    <w:rsid w:val="00984156"/>
    <w:rsid w:val="00984BAC"/>
    <w:rsid w:val="00984EEC"/>
    <w:rsid w:val="0098538F"/>
    <w:rsid w:val="00985E6B"/>
    <w:rsid w:val="009871EE"/>
    <w:rsid w:val="0098720B"/>
    <w:rsid w:val="0098736B"/>
    <w:rsid w:val="0098744A"/>
    <w:rsid w:val="00987B52"/>
    <w:rsid w:val="0099038C"/>
    <w:rsid w:val="00991049"/>
    <w:rsid w:val="00991DB0"/>
    <w:rsid w:val="00991E1A"/>
    <w:rsid w:val="00992DC3"/>
    <w:rsid w:val="00992E1F"/>
    <w:rsid w:val="00993B3F"/>
    <w:rsid w:val="00997594"/>
    <w:rsid w:val="009A0A05"/>
    <w:rsid w:val="009A1B8E"/>
    <w:rsid w:val="009A21BF"/>
    <w:rsid w:val="009A2445"/>
    <w:rsid w:val="009A4808"/>
    <w:rsid w:val="009A49B5"/>
    <w:rsid w:val="009A5212"/>
    <w:rsid w:val="009A5449"/>
    <w:rsid w:val="009A72B1"/>
    <w:rsid w:val="009A7B67"/>
    <w:rsid w:val="009B08A2"/>
    <w:rsid w:val="009B092C"/>
    <w:rsid w:val="009B11E3"/>
    <w:rsid w:val="009B14F4"/>
    <w:rsid w:val="009B165D"/>
    <w:rsid w:val="009B1E45"/>
    <w:rsid w:val="009B3992"/>
    <w:rsid w:val="009B5A7E"/>
    <w:rsid w:val="009B6540"/>
    <w:rsid w:val="009B6D76"/>
    <w:rsid w:val="009B725A"/>
    <w:rsid w:val="009B74C2"/>
    <w:rsid w:val="009C016E"/>
    <w:rsid w:val="009C094C"/>
    <w:rsid w:val="009C1458"/>
    <w:rsid w:val="009C2324"/>
    <w:rsid w:val="009C35A2"/>
    <w:rsid w:val="009C3818"/>
    <w:rsid w:val="009C3919"/>
    <w:rsid w:val="009C3E65"/>
    <w:rsid w:val="009C4AE7"/>
    <w:rsid w:val="009C50DF"/>
    <w:rsid w:val="009C5E5E"/>
    <w:rsid w:val="009C6A2F"/>
    <w:rsid w:val="009C7813"/>
    <w:rsid w:val="009D0E67"/>
    <w:rsid w:val="009D11FD"/>
    <w:rsid w:val="009D1328"/>
    <w:rsid w:val="009D23E0"/>
    <w:rsid w:val="009D4545"/>
    <w:rsid w:val="009D499A"/>
    <w:rsid w:val="009D5754"/>
    <w:rsid w:val="009D5C1B"/>
    <w:rsid w:val="009D6008"/>
    <w:rsid w:val="009D6CBE"/>
    <w:rsid w:val="009D6E30"/>
    <w:rsid w:val="009D7C4B"/>
    <w:rsid w:val="009E0A2D"/>
    <w:rsid w:val="009E0DC1"/>
    <w:rsid w:val="009E120A"/>
    <w:rsid w:val="009E1B50"/>
    <w:rsid w:val="009E1BFA"/>
    <w:rsid w:val="009E25B7"/>
    <w:rsid w:val="009E25C0"/>
    <w:rsid w:val="009E2A45"/>
    <w:rsid w:val="009E467C"/>
    <w:rsid w:val="009E4BC1"/>
    <w:rsid w:val="009E5764"/>
    <w:rsid w:val="009E5D26"/>
    <w:rsid w:val="009E70E8"/>
    <w:rsid w:val="009F070D"/>
    <w:rsid w:val="009F080C"/>
    <w:rsid w:val="009F1238"/>
    <w:rsid w:val="009F1ACC"/>
    <w:rsid w:val="009F2384"/>
    <w:rsid w:val="009F2569"/>
    <w:rsid w:val="009F264B"/>
    <w:rsid w:val="009F445D"/>
    <w:rsid w:val="009F45EF"/>
    <w:rsid w:val="009F51B5"/>
    <w:rsid w:val="009F5549"/>
    <w:rsid w:val="009F5B43"/>
    <w:rsid w:val="009F6CFF"/>
    <w:rsid w:val="009F762D"/>
    <w:rsid w:val="00A00BA6"/>
    <w:rsid w:val="00A00CF1"/>
    <w:rsid w:val="00A00D06"/>
    <w:rsid w:val="00A014D5"/>
    <w:rsid w:val="00A02BB6"/>
    <w:rsid w:val="00A03E87"/>
    <w:rsid w:val="00A044F6"/>
    <w:rsid w:val="00A04BF3"/>
    <w:rsid w:val="00A054E5"/>
    <w:rsid w:val="00A068C1"/>
    <w:rsid w:val="00A10C47"/>
    <w:rsid w:val="00A11507"/>
    <w:rsid w:val="00A11E76"/>
    <w:rsid w:val="00A13398"/>
    <w:rsid w:val="00A13979"/>
    <w:rsid w:val="00A14E78"/>
    <w:rsid w:val="00A15299"/>
    <w:rsid w:val="00A152C5"/>
    <w:rsid w:val="00A15966"/>
    <w:rsid w:val="00A1640C"/>
    <w:rsid w:val="00A17069"/>
    <w:rsid w:val="00A177FA"/>
    <w:rsid w:val="00A2066E"/>
    <w:rsid w:val="00A207D3"/>
    <w:rsid w:val="00A21A08"/>
    <w:rsid w:val="00A21D05"/>
    <w:rsid w:val="00A22070"/>
    <w:rsid w:val="00A2435E"/>
    <w:rsid w:val="00A248C0"/>
    <w:rsid w:val="00A2504B"/>
    <w:rsid w:val="00A26482"/>
    <w:rsid w:val="00A2682B"/>
    <w:rsid w:val="00A305D4"/>
    <w:rsid w:val="00A30AE0"/>
    <w:rsid w:val="00A30FF3"/>
    <w:rsid w:val="00A31438"/>
    <w:rsid w:val="00A32633"/>
    <w:rsid w:val="00A33DA6"/>
    <w:rsid w:val="00A36E88"/>
    <w:rsid w:val="00A406B2"/>
    <w:rsid w:val="00A40CC1"/>
    <w:rsid w:val="00A41C9F"/>
    <w:rsid w:val="00A47090"/>
    <w:rsid w:val="00A505FD"/>
    <w:rsid w:val="00A5109B"/>
    <w:rsid w:val="00A51581"/>
    <w:rsid w:val="00A52581"/>
    <w:rsid w:val="00A5316A"/>
    <w:rsid w:val="00A5465F"/>
    <w:rsid w:val="00A577C2"/>
    <w:rsid w:val="00A57E52"/>
    <w:rsid w:val="00A600B9"/>
    <w:rsid w:val="00A6039C"/>
    <w:rsid w:val="00A603A0"/>
    <w:rsid w:val="00A60B10"/>
    <w:rsid w:val="00A61267"/>
    <w:rsid w:val="00A625EF"/>
    <w:rsid w:val="00A63680"/>
    <w:rsid w:val="00A63E31"/>
    <w:rsid w:val="00A64FF4"/>
    <w:rsid w:val="00A654B3"/>
    <w:rsid w:val="00A65C64"/>
    <w:rsid w:val="00A70A71"/>
    <w:rsid w:val="00A71D96"/>
    <w:rsid w:val="00A71E90"/>
    <w:rsid w:val="00A7405A"/>
    <w:rsid w:val="00A740AB"/>
    <w:rsid w:val="00A7439F"/>
    <w:rsid w:val="00A74702"/>
    <w:rsid w:val="00A74D4A"/>
    <w:rsid w:val="00A74D90"/>
    <w:rsid w:val="00A754DA"/>
    <w:rsid w:val="00A8005F"/>
    <w:rsid w:val="00A810E2"/>
    <w:rsid w:val="00A8191D"/>
    <w:rsid w:val="00A82437"/>
    <w:rsid w:val="00A824A1"/>
    <w:rsid w:val="00A82A01"/>
    <w:rsid w:val="00A831FE"/>
    <w:rsid w:val="00A83865"/>
    <w:rsid w:val="00A84938"/>
    <w:rsid w:val="00A85AAC"/>
    <w:rsid w:val="00A85BFF"/>
    <w:rsid w:val="00A8739B"/>
    <w:rsid w:val="00A874E8"/>
    <w:rsid w:val="00A90FFE"/>
    <w:rsid w:val="00A91491"/>
    <w:rsid w:val="00A914C1"/>
    <w:rsid w:val="00A924AB"/>
    <w:rsid w:val="00A93B2D"/>
    <w:rsid w:val="00A944DD"/>
    <w:rsid w:val="00A94DFD"/>
    <w:rsid w:val="00A95068"/>
    <w:rsid w:val="00A95E01"/>
    <w:rsid w:val="00A965FF"/>
    <w:rsid w:val="00A9670C"/>
    <w:rsid w:val="00A969A8"/>
    <w:rsid w:val="00A969D7"/>
    <w:rsid w:val="00A96DE7"/>
    <w:rsid w:val="00A9704B"/>
    <w:rsid w:val="00A9749F"/>
    <w:rsid w:val="00A9774D"/>
    <w:rsid w:val="00A97A51"/>
    <w:rsid w:val="00A97E04"/>
    <w:rsid w:val="00A97E39"/>
    <w:rsid w:val="00AA0663"/>
    <w:rsid w:val="00AA0BA4"/>
    <w:rsid w:val="00AA0D49"/>
    <w:rsid w:val="00AA1F7C"/>
    <w:rsid w:val="00AA20D4"/>
    <w:rsid w:val="00AA2CBA"/>
    <w:rsid w:val="00AA2DA6"/>
    <w:rsid w:val="00AA2F5D"/>
    <w:rsid w:val="00AA3298"/>
    <w:rsid w:val="00AA42A7"/>
    <w:rsid w:val="00AA5D6B"/>
    <w:rsid w:val="00AA5FA2"/>
    <w:rsid w:val="00AA66A3"/>
    <w:rsid w:val="00AA744F"/>
    <w:rsid w:val="00AA7716"/>
    <w:rsid w:val="00AA7C2B"/>
    <w:rsid w:val="00AB032B"/>
    <w:rsid w:val="00AB0A0D"/>
    <w:rsid w:val="00AB1A85"/>
    <w:rsid w:val="00AB1AB2"/>
    <w:rsid w:val="00AB1D44"/>
    <w:rsid w:val="00AB4D21"/>
    <w:rsid w:val="00AB5232"/>
    <w:rsid w:val="00AB7649"/>
    <w:rsid w:val="00AC0593"/>
    <w:rsid w:val="00AC0CD7"/>
    <w:rsid w:val="00AC17D5"/>
    <w:rsid w:val="00AC3B3F"/>
    <w:rsid w:val="00AC46D8"/>
    <w:rsid w:val="00AC51FC"/>
    <w:rsid w:val="00AC5516"/>
    <w:rsid w:val="00AC617D"/>
    <w:rsid w:val="00AC6685"/>
    <w:rsid w:val="00AC6A49"/>
    <w:rsid w:val="00AC70D8"/>
    <w:rsid w:val="00AD0E67"/>
    <w:rsid w:val="00AD11C6"/>
    <w:rsid w:val="00AD50A4"/>
    <w:rsid w:val="00AD6147"/>
    <w:rsid w:val="00AE0F62"/>
    <w:rsid w:val="00AE170F"/>
    <w:rsid w:val="00AE1BA7"/>
    <w:rsid w:val="00AE1D44"/>
    <w:rsid w:val="00AE206A"/>
    <w:rsid w:val="00AE2DE0"/>
    <w:rsid w:val="00AE3B25"/>
    <w:rsid w:val="00AE4080"/>
    <w:rsid w:val="00AE53C1"/>
    <w:rsid w:val="00AE55A8"/>
    <w:rsid w:val="00AE661C"/>
    <w:rsid w:val="00AE67C5"/>
    <w:rsid w:val="00AE6B68"/>
    <w:rsid w:val="00AE6C2A"/>
    <w:rsid w:val="00AE7BD0"/>
    <w:rsid w:val="00AF21B1"/>
    <w:rsid w:val="00AF2480"/>
    <w:rsid w:val="00AF3130"/>
    <w:rsid w:val="00AF31CA"/>
    <w:rsid w:val="00AF383E"/>
    <w:rsid w:val="00AF3D64"/>
    <w:rsid w:val="00AF4B84"/>
    <w:rsid w:val="00AF565D"/>
    <w:rsid w:val="00AF5808"/>
    <w:rsid w:val="00AF7C8B"/>
    <w:rsid w:val="00B00417"/>
    <w:rsid w:val="00B0142E"/>
    <w:rsid w:val="00B028E7"/>
    <w:rsid w:val="00B03304"/>
    <w:rsid w:val="00B039AB"/>
    <w:rsid w:val="00B04900"/>
    <w:rsid w:val="00B06061"/>
    <w:rsid w:val="00B06C55"/>
    <w:rsid w:val="00B0768D"/>
    <w:rsid w:val="00B07E4E"/>
    <w:rsid w:val="00B110AF"/>
    <w:rsid w:val="00B13E09"/>
    <w:rsid w:val="00B13E47"/>
    <w:rsid w:val="00B13FF4"/>
    <w:rsid w:val="00B154B5"/>
    <w:rsid w:val="00B15874"/>
    <w:rsid w:val="00B15DEF"/>
    <w:rsid w:val="00B160C9"/>
    <w:rsid w:val="00B2008B"/>
    <w:rsid w:val="00B210F6"/>
    <w:rsid w:val="00B22C1E"/>
    <w:rsid w:val="00B239DA"/>
    <w:rsid w:val="00B24B45"/>
    <w:rsid w:val="00B24F41"/>
    <w:rsid w:val="00B2532E"/>
    <w:rsid w:val="00B2625C"/>
    <w:rsid w:val="00B265A4"/>
    <w:rsid w:val="00B30241"/>
    <w:rsid w:val="00B30400"/>
    <w:rsid w:val="00B3274E"/>
    <w:rsid w:val="00B32E80"/>
    <w:rsid w:val="00B32EC5"/>
    <w:rsid w:val="00B35396"/>
    <w:rsid w:val="00B35524"/>
    <w:rsid w:val="00B35698"/>
    <w:rsid w:val="00B358F3"/>
    <w:rsid w:val="00B36102"/>
    <w:rsid w:val="00B36F7B"/>
    <w:rsid w:val="00B37792"/>
    <w:rsid w:val="00B37B74"/>
    <w:rsid w:val="00B40EB2"/>
    <w:rsid w:val="00B4106C"/>
    <w:rsid w:val="00B41561"/>
    <w:rsid w:val="00B41BBF"/>
    <w:rsid w:val="00B422CC"/>
    <w:rsid w:val="00B44EC3"/>
    <w:rsid w:val="00B450B8"/>
    <w:rsid w:val="00B45217"/>
    <w:rsid w:val="00B46691"/>
    <w:rsid w:val="00B46774"/>
    <w:rsid w:val="00B46978"/>
    <w:rsid w:val="00B505EB"/>
    <w:rsid w:val="00B51D98"/>
    <w:rsid w:val="00B52042"/>
    <w:rsid w:val="00B5245C"/>
    <w:rsid w:val="00B526EE"/>
    <w:rsid w:val="00B53831"/>
    <w:rsid w:val="00B53ED8"/>
    <w:rsid w:val="00B541D1"/>
    <w:rsid w:val="00B543A1"/>
    <w:rsid w:val="00B5482C"/>
    <w:rsid w:val="00B551EF"/>
    <w:rsid w:val="00B559F5"/>
    <w:rsid w:val="00B55BC0"/>
    <w:rsid w:val="00B55F88"/>
    <w:rsid w:val="00B56B89"/>
    <w:rsid w:val="00B56D32"/>
    <w:rsid w:val="00B56F52"/>
    <w:rsid w:val="00B579BA"/>
    <w:rsid w:val="00B57A3A"/>
    <w:rsid w:val="00B57F0C"/>
    <w:rsid w:val="00B610F9"/>
    <w:rsid w:val="00B63ED0"/>
    <w:rsid w:val="00B64301"/>
    <w:rsid w:val="00B649F6"/>
    <w:rsid w:val="00B650E2"/>
    <w:rsid w:val="00B670E0"/>
    <w:rsid w:val="00B710DF"/>
    <w:rsid w:val="00B71B33"/>
    <w:rsid w:val="00B735D6"/>
    <w:rsid w:val="00B7491C"/>
    <w:rsid w:val="00B75094"/>
    <w:rsid w:val="00B76718"/>
    <w:rsid w:val="00B77481"/>
    <w:rsid w:val="00B77EE1"/>
    <w:rsid w:val="00B815A8"/>
    <w:rsid w:val="00B82823"/>
    <w:rsid w:val="00B83B6C"/>
    <w:rsid w:val="00B83DFE"/>
    <w:rsid w:val="00B84A4A"/>
    <w:rsid w:val="00B86C6A"/>
    <w:rsid w:val="00B873C9"/>
    <w:rsid w:val="00B90EFE"/>
    <w:rsid w:val="00B911F1"/>
    <w:rsid w:val="00B91407"/>
    <w:rsid w:val="00B916CB"/>
    <w:rsid w:val="00B918F3"/>
    <w:rsid w:val="00B93F22"/>
    <w:rsid w:val="00B9517E"/>
    <w:rsid w:val="00B9625B"/>
    <w:rsid w:val="00B96756"/>
    <w:rsid w:val="00B97011"/>
    <w:rsid w:val="00B978C5"/>
    <w:rsid w:val="00BA0F68"/>
    <w:rsid w:val="00BA21D3"/>
    <w:rsid w:val="00BA43D1"/>
    <w:rsid w:val="00BA468E"/>
    <w:rsid w:val="00BA474B"/>
    <w:rsid w:val="00BA48CA"/>
    <w:rsid w:val="00BA65F3"/>
    <w:rsid w:val="00BA6BE9"/>
    <w:rsid w:val="00BA70AF"/>
    <w:rsid w:val="00BA7C37"/>
    <w:rsid w:val="00BB134C"/>
    <w:rsid w:val="00BB28E8"/>
    <w:rsid w:val="00BB326A"/>
    <w:rsid w:val="00BB383A"/>
    <w:rsid w:val="00BB3B50"/>
    <w:rsid w:val="00BB4950"/>
    <w:rsid w:val="00BB6F29"/>
    <w:rsid w:val="00BB703C"/>
    <w:rsid w:val="00BB7083"/>
    <w:rsid w:val="00BB7337"/>
    <w:rsid w:val="00BB7706"/>
    <w:rsid w:val="00BC0674"/>
    <w:rsid w:val="00BC0765"/>
    <w:rsid w:val="00BC11F1"/>
    <w:rsid w:val="00BC179D"/>
    <w:rsid w:val="00BC2028"/>
    <w:rsid w:val="00BC2802"/>
    <w:rsid w:val="00BC28E5"/>
    <w:rsid w:val="00BC3E7A"/>
    <w:rsid w:val="00BC410C"/>
    <w:rsid w:val="00BC5D6C"/>
    <w:rsid w:val="00BC673A"/>
    <w:rsid w:val="00BC7E89"/>
    <w:rsid w:val="00BD1B39"/>
    <w:rsid w:val="00BD2596"/>
    <w:rsid w:val="00BD40FA"/>
    <w:rsid w:val="00BD592F"/>
    <w:rsid w:val="00BD6156"/>
    <w:rsid w:val="00BD6BA3"/>
    <w:rsid w:val="00BE2BA3"/>
    <w:rsid w:val="00BE3923"/>
    <w:rsid w:val="00BE57D1"/>
    <w:rsid w:val="00BE5D0F"/>
    <w:rsid w:val="00BE6276"/>
    <w:rsid w:val="00BE7795"/>
    <w:rsid w:val="00BE7E20"/>
    <w:rsid w:val="00BF042F"/>
    <w:rsid w:val="00BF2132"/>
    <w:rsid w:val="00BF21B7"/>
    <w:rsid w:val="00BF25B2"/>
    <w:rsid w:val="00BF2653"/>
    <w:rsid w:val="00BF5F77"/>
    <w:rsid w:val="00BF7E5C"/>
    <w:rsid w:val="00BF7EAA"/>
    <w:rsid w:val="00C00411"/>
    <w:rsid w:val="00C01453"/>
    <w:rsid w:val="00C02227"/>
    <w:rsid w:val="00C031A8"/>
    <w:rsid w:val="00C044EC"/>
    <w:rsid w:val="00C0496C"/>
    <w:rsid w:val="00C0713F"/>
    <w:rsid w:val="00C0776B"/>
    <w:rsid w:val="00C10031"/>
    <w:rsid w:val="00C1114C"/>
    <w:rsid w:val="00C11D06"/>
    <w:rsid w:val="00C14CDF"/>
    <w:rsid w:val="00C15E8A"/>
    <w:rsid w:val="00C15EE1"/>
    <w:rsid w:val="00C16271"/>
    <w:rsid w:val="00C16722"/>
    <w:rsid w:val="00C17A3E"/>
    <w:rsid w:val="00C17BB2"/>
    <w:rsid w:val="00C17D97"/>
    <w:rsid w:val="00C200A0"/>
    <w:rsid w:val="00C20893"/>
    <w:rsid w:val="00C21A07"/>
    <w:rsid w:val="00C21E6E"/>
    <w:rsid w:val="00C22B1F"/>
    <w:rsid w:val="00C2441E"/>
    <w:rsid w:val="00C247E2"/>
    <w:rsid w:val="00C265BD"/>
    <w:rsid w:val="00C26658"/>
    <w:rsid w:val="00C26AF5"/>
    <w:rsid w:val="00C30999"/>
    <w:rsid w:val="00C32B5F"/>
    <w:rsid w:val="00C34505"/>
    <w:rsid w:val="00C34B9D"/>
    <w:rsid w:val="00C3603E"/>
    <w:rsid w:val="00C367A2"/>
    <w:rsid w:val="00C37094"/>
    <w:rsid w:val="00C40BEA"/>
    <w:rsid w:val="00C40EE9"/>
    <w:rsid w:val="00C42250"/>
    <w:rsid w:val="00C424AD"/>
    <w:rsid w:val="00C4406D"/>
    <w:rsid w:val="00C45DEA"/>
    <w:rsid w:val="00C469FA"/>
    <w:rsid w:val="00C47EE9"/>
    <w:rsid w:val="00C501CF"/>
    <w:rsid w:val="00C52F23"/>
    <w:rsid w:val="00C52FF0"/>
    <w:rsid w:val="00C533A7"/>
    <w:rsid w:val="00C537BD"/>
    <w:rsid w:val="00C54077"/>
    <w:rsid w:val="00C545FB"/>
    <w:rsid w:val="00C60D5E"/>
    <w:rsid w:val="00C61FC4"/>
    <w:rsid w:val="00C61FFF"/>
    <w:rsid w:val="00C62CC5"/>
    <w:rsid w:val="00C63B0D"/>
    <w:rsid w:val="00C63BD7"/>
    <w:rsid w:val="00C647C6"/>
    <w:rsid w:val="00C66D69"/>
    <w:rsid w:val="00C66E23"/>
    <w:rsid w:val="00C66F18"/>
    <w:rsid w:val="00C67507"/>
    <w:rsid w:val="00C70D53"/>
    <w:rsid w:val="00C70F9F"/>
    <w:rsid w:val="00C7146E"/>
    <w:rsid w:val="00C73839"/>
    <w:rsid w:val="00C73D69"/>
    <w:rsid w:val="00C73D83"/>
    <w:rsid w:val="00C73DE1"/>
    <w:rsid w:val="00C749C1"/>
    <w:rsid w:val="00C7591F"/>
    <w:rsid w:val="00C75FA8"/>
    <w:rsid w:val="00C77BE4"/>
    <w:rsid w:val="00C8081C"/>
    <w:rsid w:val="00C80897"/>
    <w:rsid w:val="00C81615"/>
    <w:rsid w:val="00C82FE0"/>
    <w:rsid w:val="00C83E14"/>
    <w:rsid w:val="00C84F67"/>
    <w:rsid w:val="00C8566B"/>
    <w:rsid w:val="00C864CD"/>
    <w:rsid w:val="00C87149"/>
    <w:rsid w:val="00C8781B"/>
    <w:rsid w:val="00C87A9C"/>
    <w:rsid w:val="00C9133E"/>
    <w:rsid w:val="00C92917"/>
    <w:rsid w:val="00C93981"/>
    <w:rsid w:val="00C94BC2"/>
    <w:rsid w:val="00C94E06"/>
    <w:rsid w:val="00C95629"/>
    <w:rsid w:val="00C9592C"/>
    <w:rsid w:val="00C96D18"/>
    <w:rsid w:val="00C97803"/>
    <w:rsid w:val="00CA070B"/>
    <w:rsid w:val="00CA0FB2"/>
    <w:rsid w:val="00CA12D4"/>
    <w:rsid w:val="00CA1667"/>
    <w:rsid w:val="00CA2049"/>
    <w:rsid w:val="00CA26AA"/>
    <w:rsid w:val="00CA27AD"/>
    <w:rsid w:val="00CA29F5"/>
    <w:rsid w:val="00CA3705"/>
    <w:rsid w:val="00CA4528"/>
    <w:rsid w:val="00CA4782"/>
    <w:rsid w:val="00CA52BA"/>
    <w:rsid w:val="00CA5AAD"/>
    <w:rsid w:val="00CA6315"/>
    <w:rsid w:val="00CA68BB"/>
    <w:rsid w:val="00CA69E9"/>
    <w:rsid w:val="00CA705A"/>
    <w:rsid w:val="00CA7D20"/>
    <w:rsid w:val="00CB0112"/>
    <w:rsid w:val="00CB12E0"/>
    <w:rsid w:val="00CB1C13"/>
    <w:rsid w:val="00CB20CF"/>
    <w:rsid w:val="00CB2181"/>
    <w:rsid w:val="00CB40EB"/>
    <w:rsid w:val="00CB4C80"/>
    <w:rsid w:val="00CB5A48"/>
    <w:rsid w:val="00CB6816"/>
    <w:rsid w:val="00CB6EE4"/>
    <w:rsid w:val="00CB70DF"/>
    <w:rsid w:val="00CC09CF"/>
    <w:rsid w:val="00CC2233"/>
    <w:rsid w:val="00CC33FF"/>
    <w:rsid w:val="00CC6586"/>
    <w:rsid w:val="00CC7101"/>
    <w:rsid w:val="00CC776A"/>
    <w:rsid w:val="00CC7CA1"/>
    <w:rsid w:val="00CD0ABF"/>
    <w:rsid w:val="00CD0AC1"/>
    <w:rsid w:val="00CD11C4"/>
    <w:rsid w:val="00CD1926"/>
    <w:rsid w:val="00CD32A0"/>
    <w:rsid w:val="00CD3381"/>
    <w:rsid w:val="00CD3FA0"/>
    <w:rsid w:val="00CD4368"/>
    <w:rsid w:val="00CD494C"/>
    <w:rsid w:val="00CD4D99"/>
    <w:rsid w:val="00CD685B"/>
    <w:rsid w:val="00CD7317"/>
    <w:rsid w:val="00CD73AD"/>
    <w:rsid w:val="00CD7628"/>
    <w:rsid w:val="00CE095A"/>
    <w:rsid w:val="00CE0B9E"/>
    <w:rsid w:val="00CE63F3"/>
    <w:rsid w:val="00CE7B07"/>
    <w:rsid w:val="00CE7BC0"/>
    <w:rsid w:val="00CE7EC4"/>
    <w:rsid w:val="00CF0AD2"/>
    <w:rsid w:val="00CF0C7F"/>
    <w:rsid w:val="00CF0CCA"/>
    <w:rsid w:val="00CF14CA"/>
    <w:rsid w:val="00CF36EE"/>
    <w:rsid w:val="00CF3AE6"/>
    <w:rsid w:val="00CF4A1F"/>
    <w:rsid w:val="00CF4E61"/>
    <w:rsid w:val="00CF7AEF"/>
    <w:rsid w:val="00D0052B"/>
    <w:rsid w:val="00D00BB7"/>
    <w:rsid w:val="00D00F65"/>
    <w:rsid w:val="00D02084"/>
    <w:rsid w:val="00D020C3"/>
    <w:rsid w:val="00D0238C"/>
    <w:rsid w:val="00D026EE"/>
    <w:rsid w:val="00D028FD"/>
    <w:rsid w:val="00D0318B"/>
    <w:rsid w:val="00D05033"/>
    <w:rsid w:val="00D0556B"/>
    <w:rsid w:val="00D06E42"/>
    <w:rsid w:val="00D102E0"/>
    <w:rsid w:val="00D10ACE"/>
    <w:rsid w:val="00D132D0"/>
    <w:rsid w:val="00D136A0"/>
    <w:rsid w:val="00D139A6"/>
    <w:rsid w:val="00D15A4D"/>
    <w:rsid w:val="00D16470"/>
    <w:rsid w:val="00D17301"/>
    <w:rsid w:val="00D1775B"/>
    <w:rsid w:val="00D20B59"/>
    <w:rsid w:val="00D20B97"/>
    <w:rsid w:val="00D20C21"/>
    <w:rsid w:val="00D20F49"/>
    <w:rsid w:val="00D21551"/>
    <w:rsid w:val="00D22947"/>
    <w:rsid w:val="00D233D1"/>
    <w:rsid w:val="00D23416"/>
    <w:rsid w:val="00D236AB"/>
    <w:rsid w:val="00D23883"/>
    <w:rsid w:val="00D247EE"/>
    <w:rsid w:val="00D26573"/>
    <w:rsid w:val="00D26BB8"/>
    <w:rsid w:val="00D2763B"/>
    <w:rsid w:val="00D30568"/>
    <w:rsid w:val="00D327D6"/>
    <w:rsid w:val="00D32A6D"/>
    <w:rsid w:val="00D32E73"/>
    <w:rsid w:val="00D33CDF"/>
    <w:rsid w:val="00D3455C"/>
    <w:rsid w:val="00D35246"/>
    <w:rsid w:val="00D358C6"/>
    <w:rsid w:val="00D35D7C"/>
    <w:rsid w:val="00D42266"/>
    <w:rsid w:val="00D42520"/>
    <w:rsid w:val="00D42CA7"/>
    <w:rsid w:val="00D42EEE"/>
    <w:rsid w:val="00D44BFA"/>
    <w:rsid w:val="00D458F2"/>
    <w:rsid w:val="00D46323"/>
    <w:rsid w:val="00D4747B"/>
    <w:rsid w:val="00D4775B"/>
    <w:rsid w:val="00D50C95"/>
    <w:rsid w:val="00D524D5"/>
    <w:rsid w:val="00D52FA6"/>
    <w:rsid w:val="00D53630"/>
    <w:rsid w:val="00D53FA6"/>
    <w:rsid w:val="00D54037"/>
    <w:rsid w:val="00D5519E"/>
    <w:rsid w:val="00D559FE"/>
    <w:rsid w:val="00D5781E"/>
    <w:rsid w:val="00D60681"/>
    <w:rsid w:val="00D61534"/>
    <w:rsid w:val="00D62484"/>
    <w:rsid w:val="00D627BA"/>
    <w:rsid w:val="00D62992"/>
    <w:rsid w:val="00D637F8"/>
    <w:rsid w:val="00D647CC"/>
    <w:rsid w:val="00D652EB"/>
    <w:rsid w:val="00D65E56"/>
    <w:rsid w:val="00D66B81"/>
    <w:rsid w:val="00D66D26"/>
    <w:rsid w:val="00D66F5A"/>
    <w:rsid w:val="00D67A94"/>
    <w:rsid w:val="00D67FBA"/>
    <w:rsid w:val="00D71971"/>
    <w:rsid w:val="00D7243D"/>
    <w:rsid w:val="00D72D79"/>
    <w:rsid w:val="00D72F9D"/>
    <w:rsid w:val="00D74703"/>
    <w:rsid w:val="00D74A44"/>
    <w:rsid w:val="00D75E54"/>
    <w:rsid w:val="00D761DB"/>
    <w:rsid w:val="00D76C29"/>
    <w:rsid w:val="00D76DED"/>
    <w:rsid w:val="00D76FCD"/>
    <w:rsid w:val="00D775E0"/>
    <w:rsid w:val="00D80D69"/>
    <w:rsid w:val="00D81937"/>
    <w:rsid w:val="00D81DB9"/>
    <w:rsid w:val="00D82258"/>
    <w:rsid w:val="00D829C8"/>
    <w:rsid w:val="00D838BA"/>
    <w:rsid w:val="00D83B29"/>
    <w:rsid w:val="00D847CB"/>
    <w:rsid w:val="00D8623C"/>
    <w:rsid w:val="00D86A62"/>
    <w:rsid w:val="00D86D4B"/>
    <w:rsid w:val="00D8798B"/>
    <w:rsid w:val="00D87E94"/>
    <w:rsid w:val="00D90300"/>
    <w:rsid w:val="00D9248E"/>
    <w:rsid w:val="00D92DE4"/>
    <w:rsid w:val="00D93CA8"/>
    <w:rsid w:val="00D94A45"/>
    <w:rsid w:val="00D95153"/>
    <w:rsid w:val="00D95F46"/>
    <w:rsid w:val="00D9616B"/>
    <w:rsid w:val="00D961DD"/>
    <w:rsid w:val="00D9666E"/>
    <w:rsid w:val="00D96DB1"/>
    <w:rsid w:val="00D975D9"/>
    <w:rsid w:val="00D97C5F"/>
    <w:rsid w:val="00DA26A5"/>
    <w:rsid w:val="00DA3DE6"/>
    <w:rsid w:val="00DA4717"/>
    <w:rsid w:val="00DA4969"/>
    <w:rsid w:val="00DA60B3"/>
    <w:rsid w:val="00DA68E0"/>
    <w:rsid w:val="00DA6C4B"/>
    <w:rsid w:val="00DA7139"/>
    <w:rsid w:val="00DA7489"/>
    <w:rsid w:val="00DB1B18"/>
    <w:rsid w:val="00DB2E15"/>
    <w:rsid w:val="00DB2E9D"/>
    <w:rsid w:val="00DB30B0"/>
    <w:rsid w:val="00DB4B9B"/>
    <w:rsid w:val="00DC03B0"/>
    <w:rsid w:val="00DC0F1F"/>
    <w:rsid w:val="00DC23C2"/>
    <w:rsid w:val="00DC298A"/>
    <w:rsid w:val="00DC3D03"/>
    <w:rsid w:val="00DC4919"/>
    <w:rsid w:val="00DC561A"/>
    <w:rsid w:val="00DC62EB"/>
    <w:rsid w:val="00DD0711"/>
    <w:rsid w:val="00DD0830"/>
    <w:rsid w:val="00DD1C3E"/>
    <w:rsid w:val="00DD22D0"/>
    <w:rsid w:val="00DD2EFB"/>
    <w:rsid w:val="00DD377A"/>
    <w:rsid w:val="00DD3844"/>
    <w:rsid w:val="00DD4076"/>
    <w:rsid w:val="00DD48FA"/>
    <w:rsid w:val="00DD4AAF"/>
    <w:rsid w:val="00DD4BF5"/>
    <w:rsid w:val="00DD65FB"/>
    <w:rsid w:val="00DD6B3C"/>
    <w:rsid w:val="00DD7296"/>
    <w:rsid w:val="00DD7E84"/>
    <w:rsid w:val="00DE1C3D"/>
    <w:rsid w:val="00DE56DC"/>
    <w:rsid w:val="00DE5701"/>
    <w:rsid w:val="00DE5A34"/>
    <w:rsid w:val="00DE63C8"/>
    <w:rsid w:val="00DE67F6"/>
    <w:rsid w:val="00DE6D5E"/>
    <w:rsid w:val="00DF2245"/>
    <w:rsid w:val="00DF24C2"/>
    <w:rsid w:val="00DF2A45"/>
    <w:rsid w:val="00DF3727"/>
    <w:rsid w:val="00DF397B"/>
    <w:rsid w:val="00DF3E2B"/>
    <w:rsid w:val="00DF6A2A"/>
    <w:rsid w:val="00E000BD"/>
    <w:rsid w:val="00E00861"/>
    <w:rsid w:val="00E00979"/>
    <w:rsid w:val="00E01141"/>
    <w:rsid w:val="00E01596"/>
    <w:rsid w:val="00E01DD2"/>
    <w:rsid w:val="00E02409"/>
    <w:rsid w:val="00E02B11"/>
    <w:rsid w:val="00E0306F"/>
    <w:rsid w:val="00E03A2E"/>
    <w:rsid w:val="00E03B31"/>
    <w:rsid w:val="00E03C9E"/>
    <w:rsid w:val="00E03FB1"/>
    <w:rsid w:val="00E04718"/>
    <w:rsid w:val="00E05130"/>
    <w:rsid w:val="00E05A08"/>
    <w:rsid w:val="00E06AE6"/>
    <w:rsid w:val="00E0704F"/>
    <w:rsid w:val="00E10508"/>
    <w:rsid w:val="00E10730"/>
    <w:rsid w:val="00E10A5D"/>
    <w:rsid w:val="00E10F02"/>
    <w:rsid w:val="00E11739"/>
    <w:rsid w:val="00E120A8"/>
    <w:rsid w:val="00E12371"/>
    <w:rsid w:val="00E124B2"/>
    <w:rsid w:val="00E126EE"/>
    <w:rsid w:val="00E1286B"/>
    <w:rsid w:val="00E12BF2"/>
    <w:rsid w:val="00E14A65"/>
    <w:rsid w:val="00E15EF6"/>
    <w:rsid w:val="00E16013"/>
    <w:rsid w:val="00E163D8"/>
    <w:rsid w:val="00E169F1"/>
    <w:rsid w:val="00E16FBA"/>
    <w:rsid w:val="00E17CC4"/>
    <w:rsid w:val="00E20115"/>
    <w:rsid w:val="00E203DB"/>
    <w:rsid w:val="00E217C7"/>
    <w:rsid w:val="00E21BFA"/>
    <w:rsid w:val="00E21D69"/>
    <w:rsid w:val="00E2297D"/>
    <w:rsid w:val="00E22A23"/>
    <w:rsid w:val="00E2356C"/>
    <w:rsid w:val="00E23F56"/>
    <w:rsid w:val="00E2405A"/>
    <w:rsid w:val="00E24428"/>
    <w:rsid w:val="00E24A17"/>
    <w:rsid w:val="00E25168"/>
    <w:rsid w:val="00E25878"/>
    <w:rsid w:val="00E2680C"/>
    <w:rsid w:val="00E2739F"/>
    <w:rsid w:val="00E27968"/>
    <w:rsid w:val="00E27C30"/>
    <w:rsid w:val="00E3085E"/>
    <w:rsid w:val="00E31202"/>
    <w:rsid w:val="00E31CFB"/>
    <w:rsid w:val="00E322AD"/>
    <w:rsid w:val="00E33C47"/>
    <w:rsid w:val="00E34C1F"/>
    <w:rsid w:val="00E35C78"/>
    <w:rsid w:val="00E35F8B"/>
    <w:rsid w:val="00E3749E"/>
    <w:rsid w:val="00E40523"/>
    <w:rsid w:val="00E40CC8"/>
    <w:rsid w:val="00E43157"/>
    <w:rsid w:val="00E43199"/>
    <w:rsid w:val="00E434EB"/>
    <w:rsid w:val="00E4385D"/>
    <w:rsid w:val="00E44B2F"/>
    <w:rsid w:val="00E45DCA"/>
    <w:rsid w:val="00E50BCF"/>
    <w:rsid w:val="00E52236"/>
    <w:rsid w:val="00E524B7"/>
    <w:rsid w:val="00E525AD"/>
    <w:rsid w:val="00E52EA7"/>
    <w:rsid w:val="00E53F0D"/>
    <w:rsid w:val="00E54472"/>
    <w:rsid w:val="00E554AA"/>
    <w:rsid w:val="00E55D39"/>
    <w:rsid w:val="00E570BE"/>
    <w:rsid w:val="00E614ED"/>
    <w:rsid w:val="00E61874"/>
    <w:rsid w:val="00E62BB4"/>
    <w:rsid w:val="00E62ED4"/>
    <w:rsid w:val="00E63844"/>
    <w:rsid w:val="00E63A45"/>
    <w:rsid w:val="00E65AD4"/>
    <w:rsid w:val="00E65D72"/>
    <w:rsid w:val="00E66329"/>
    <w:rsid w:val="00E66CF0"/>
    <w:rsid w:val="00E670AF"/>
    <w:rsid w:val="00E719C7"/>
    <w:rsid w:val="00E71B8B"/>
    <w:rsid w:val="00E71BB1"/>
    <w:rsid w:val="00E7711B"/>
    <w:rsid w:val="00E7721D"/>
    <w:rsid w:val="00E77721"/>
    <w:rsid w:val="00E80F7F"/>
    <w:rsid w:val="00E8101D"/>
    <w:rsid w:val="00E81FCE"/>
    <w:rsid w:val="00E820D7"/>
    <w:rsid w:val="00E83D16"/>
    <w:rsid w:val="00E84B54"/>
    <w:rsid w:val="00E857A3"/>
    <w:rsid w:val="00E85852"/>
    <w:rsid w:val="00E862FA"/>
    <w:rsid w:val="00E868C7"/>
    <w:rsid w:val="00E87EBE"/>
    <w:rsid w:val="00E87ED7"/>
    <w:rsid w:val="00E90249"/>
    <w:rsid w:val="00E90907"/>
    <w:rsid w:val="00E91419"/>
    <w:rsid w:val="00E91C56"/>
    <w:rsid w:val="00E92554"/>
    <w:rsid w:val="00E94A48"/>
    <w:rsid w:val="00E95079"/>
    <w:rsid w:val="00E950A8"/>
    <w:rsid w:val="00E9510E"/>
    <w:rsid w:val="00E95157"/>
    <w:rsid w:val="00E965F6"/>
    <w:rsid w:val="00E97214"/>
    <w:rsid w:val="00E974E1"/>
    <w:rsid w:val="00E976C2"/>
    <w:rsid w:val="00EA09AA"/>
    <w:rsid w:val="00EA0A0B"/>
    <w:rsid w:val="00EA350F"/>
    <w:rsid w:val="00EA487F"/>
    <w:rsid w:val="00EA50BF"/>
    <w:rsid w:val="00EA600A"/>
    <w:rsid w:val="00EA6EEA"/>
    <w:rsid w:val="00EA7294"/>
    <w:rsid w:val="00EB0EAC"/>
    <w:rsid w:val="00EB0F67"/>
    <w:rsid w:val="00EB1E79"/>
    <w:rsid w:val="00EB2A11"/>
    <w:rsid w:val="00EB3719"/>
    <w:rsid w:val="00EB4D70"/>
    <w:rsid w:val="00EC16FA"/>
    <w:rsid w:val="00EC1ECF"/>
    <w:rsid w:val="00EC201A"/>
    <w:rsid w:val="00EC26A9"/>
    <w:rsid w:val="00EC26F4"/>
    <w:rsid w:val="00EC2A94"/>
    <w:rsid w:val="00EC3A5E"/>
    <w:rsid w:val="00EC4E0B"/>
    <w:rsid w:val="00EC6C82"/>
    <w:rsid w:val="00EC740B"/>
    <w:rsid w:val="00EC7E67"/>
    <w:rsid w:val="00ED1382"/>
    <w:rsid w:val="00ED1AA3"/>
    <w:rsid w:val="00ED1F34"/>
    <w:rsid w:val="00ED26F7"/>
    <w:rsid w:val="00ED39CB"/>
    <w:rsid w:val="00ED3C55"/>
    <w:rsid w:val="00ED40E5"/>
    <w:rsid w:val="00ED4A73"/>
    <w:rsid w:val="00ED52B1"/>
    <w:rsid w:val="00ED5A64"/>
    <w:rsid w:val="00ED62D2"/>
    <w:rsid w:val="00ED63BB"/>
    <w:rsid w:val="00ED658A"/>
    <w:rsid w:val="00ED71F1"/>
    <w:rsid w:val="00EE0B1A"/>
    <w:rsid w:val="00EE24E3"/>
    <w:rsid w:val="00EE37BC"/>
    <w:rsid w:val="00EE4D8F"/>
    <w:rsid w:val="00EE5F0C"/>
    <w:rsid w:val="00EE639C"/>
    <w:rsid w:val="00EE6B66"/>
    <w:rsid w:val="00EE7449"/>
    <w:rsid w:val="00EE7538"/>
    <w:rsid w:val="00EF0717"/>
    <w:rsid w:val="00EF072B"/>
    <w:rsid w:val="00EF0DD0"/>
    <w:rsid w:val="00EF1915"/>
    <w:rsid w:val="00EF1990"/>
    <w:rsid w:val="00EF2B20"/>
    <w:rsid w:val="00EF5BA6"/>
    <w:rsid w:val="00EF6444"/>
    <w:rsid w:val="00EF6573"/>
    <w:rsid w:val="00EF65CD"/>
    <w:rsid w:val="00EF6656"/>
    <w:rsid w:val="00EF6A3B"/>
    <w:rsid w:val="00EF6D08"/>
    <w:rsid w:val="00EF7851"/>
    <w:rsid w:val="00F012BB"/>
    <w:rsid w:val="00F01710"/>
    <w:rsid w:val="00F019F8"/>
    <w:rsid w:val="00F01A30"/>
    <w:rsid w:val="00F0423F"/>
    <w:rsid w:val="00F04844"/>
    <w:rsid w:val="00F0497D"/>
    <w:rsid w:val="00F06546"/>
    <w:rsid w:val="00F06566"/>
    <w:rsid w:val="00F07ADC"/>
    <w:rsid w:val="00F10221"/>
    <w:rsid w:val="00F11058"/>
    <w:rsid w:val="00F125B5"/>
    <w:rsid w:val="00F12937"/>
    <w:rsid w:val="00F135D5"/>
    <w:rsid w:val="00F13A4C"/>
    <w:rsid w:val="00F14D83"/>
    <w:rsid w:val="00F16293"/>
    <w:rsid w:val="00F16A15"/>
    <w:rsid w:val="00F16F43"/>
    <w:rsid w:val="00F16F9D"/>
    <w:rsid w:val="00F179EE"/>
    <w:rsid w:val="00F17E14"/>
    <w:rsid w:val="00F20E36"/>
    <w:rsid w:val="00F2135A"/>
    <w:rsid w:val="00F2163D"/>
    <w:rsid w:val="00F21890"/>
    <w:rsid w:val="00F21D16"/>
    <w:rsid w:val="00F21EA4"/>
    <w:rsid w:val="00F228C9"/>
    <w:rsid w:val="00F228E6"/>
    <w:rsid w:val="00F22DA8"/>
    <w:rsid w:val="00F23E24"/>
    <w:rsid w:val="00F24527"/>
    <w:rsid w:val="00F245E3"/>
    <w:rsid w:val="00F24737"/>
    <w:rsid w:val="00F24AC8"/>
    <w:rsid w:val="00F254F3"/>
    <w:rsid w:val="00F26793"/>
    <w:rsid w:val="00F26C2A"/>
    <w:rsid w:val="00F3041C"/>
    <w:rsid w:val="00F30525"/>
    <w:rsid w:val="00F32DF0"/>
    <w:rsid w:val="00F335CE"/>
    <w:rsid w:val="00F33BE4"/>
    <w:rsid w:val="00F36AC4"/>
    <w:rsid w:val="00F40729"/>
    <w:rsid w:val="00F40752"/>
    <w:rsid w:val="00F40E1D"/>
    <w:rsid w:val="00F42694"/>
    <w:rsid w:val="00F42EF3"/>
    <w:rsid w:val="00F45472"/>
    <w:rsid w:val="00F45E6C"/>
    <w:rsid w:val="00F462A9"/>
    <w:rsid w:val="00F462DF"/>
    <w:rsid w:val="00F47313"/>
    <w:rsid w:val="00F47F76"/>
    <w:rsid w:val="00F501B8"/>
    <w:rsid w:val="00F536AE"/>
    <w:rsid w:val="00F5426E"/>
    <w:rsid w:val="00F54D17"/>
    <w:rsid w:val="00F5542C"/>
    <w:rsid w:val="00F55A9D"/>
    <w:rsid w:val="00F5602E"/>
    <w:rsid w:val="00F61147"/>
    <w:rsid w:val="00F61582"/>
    <w:rsid w:val="00F617D9"/>
    <w:rsid w:val="00F620B5"/>
    <w:rsid w:val="00F62573"/>
    <w:rsid w:val="00F62914"/>
    <w:rsid w:val="00F6296A"/>
    <w:rsid w:val="00F62A5C"/>
    <w:rsid w:val="00F62A9B"/>
    <w:rsid w:val="00F62B47"/>
    <w:rsid w:val="00F62FC6"/>
    <w:rsid w:val="00F643EF"/>
    <w:rsid w:val="00F66486"/>
    <w:rsid w:val="00F66FE1"/>
    <w:rsid w:val="00F67F8C"/>
    <w:rsid w:val="00F712C5"/>
    <w:rsid w:val="00F71712"/>
    <w:rsid w:val="00F71EE0"/>
    <w:rsid w:val="00F721C6"/>
    <w:rsid w:val="00F73514"/>
    <w:rsid w:val="00F74152"/>
    <w:rsid w:val="00F74251"/>
    <w:rsid w:val="00F7463C"/>
    <w:rsid w:val="00F76976"/>
    <w:rsid w:val="00F800B2"/>
    <w:rsid w:val="00F81FAB"/>
    <w:rsid w:val="00F82825"/>
    <w:rsid w:val="00F8312C"/>
    <w:rsid w:val="00F84697"/>
    <w:rsid w:val="00F849F7"/>
    <w:rsid w:val="00F84A48"/>
    <w:rsid w:val="00F854A8"/>
    <w:rsid w:val="00F85655"/>
    <w:rsid w:val="00F87C85"/>
    <w:rsid w:val="00F919BF"/>
    <w:rsid w:val="00F924B8"/>
    <w:rsid w:val="00F92DDF"/>
    <w:rsid w:val="00F94846"/>
    <w:rsid w:val="00F95D0F"/>
    <w:rsid w:val="00F961FF"/>
    <w:rsid w:val="00FA0065"/>
    <w:rsid w:val="00FA045F"/>
    <w:rsid w:val="00FA1011"/>
    <w:rsid w:val="00FA32FE"/>
    <w:rsid w:val="00FA4069"/>
    <w:rsid w:val="00FA49CC"/>
    <w:rsid w:val="00FA4A36"/>
    <w:rsid w:val="00FA54CF"/>
    <w:rsid w:val="00FA5989"/>
    <w:rsid w:val="00FA6193"/>
    <w:rsid w:val="00FA6F55"/>
    <w:rsid w:val="00FA70A9"/>
    <w:rsid w:val="00FB28DF"/>
    <w:rsid w:val="00FB2E46"/>
    <w:rsid w:val="00FB2F2C"/>
    <w:rsid w:val="00FB3167"/>
    <w:rsid w:val="00FB31B5"/>
    <w:rsid w:val="00FB3EC7"/>
    <w:rsid w:val="00FB4621"/>
    <w:rsid w:val="00FB4B2E"/>
    <w:rsid w:val="00FB51A0"/>
    <w:rsid w:val="00FB5438"/>
    <w:rsid w:val="00FB6654"/>
    <w:rsid w:val="00FB6A39"/>
    <w:rsid w:val="00FC0232"/>
    <w:rsid w:val="00FC11D1"/>
    <w:rsid w:val="00FC147D"/>
    <w:rsid w:val="00FC153E"/>
    <w:rsid w:val="00FC235C"/>
    <w:rsid w:val="00FC26B3"/>
    <w:rsid w:val="00FC369C"/>
    <w:rsid w:val="00FC3780"/>
    <w:rsid w:val="00FC394E"/>
    <w:rsid w:val="00FC50C5"/>
    <w:rsid w:val="00FC5560"/>
    <w:rsid w:val="00FC5DAF"/>
    <w:rsid w:val="00FC6CC3"/>
    <w:rsid w:val="00FC77C1"/>
    <w:rsid w:val="00FC79E2"/>
    <w:rsid w:val="00FD0011"/>
    <w:rsid w:val="00FD2255"/>
    <w:rsid w:val="00FD4B4C"/>
    <w:rsid w:val="00FD4E08"/>
    <w:rsid w:val="00FD54D5"/>
    <w:rsid w:val="00FE04B3"/>
    <w:rsid w:val="00FE0F3D"/>
    <w:rsid w:val="00FE11E1"/>
    <w:rsid w:val="00FE1A3F"/>
    <w:rsid w:val="00FE1BCB"/>
    <w:rsid w:val="00FE2349"/>
    <w:rsid w:val="00FE26D5"/>
    <w:rsid w:val="00FE5EB1"/>
    <w:rsid w:val="00FE5F6E"/>
    <w:rsid w:val="00FE6DFB"/>
    <w:rsid w:val="00FF0448"/>
    <w:rsid w:val="00FF1C8E"/>
    <w:rsid w:val="00FF1E79"/>
    <w:rsid w:val="00FF24BD"/>
    <w:rsid w:val="00FF2AB7"/>
    <w:rsid w:val="00FF3E0B"/>
    <w:rsid w:val="00FF3EC7"/>
    <w:rsid w:val="00FF45DD"/>
    <w:rsid w:val="00FF503A"/>
    <w:rsid w:val="00FF5137"/>
    <w:rsid w:val="00FF52E5"/>
    <w:rsid w:val="00FF5F42"/>
    <w:rsid w:val="00FF60C7"/>
    <w:rsid w:val="00FF64F7"/>
    <w:rsid w:val="00FF6920"/>
    <w:rsid w:val="00FF6B09"/>
    <w:rsid w:val="00FF75C6"/>
    <w:rsid w:val="00FF78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158B7992"/>
  <w15:chartTrackingRefBased/>
  <w15:docId w15:val="{93D6D69D-7528-48BB-A907-F8347BFE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710"/>
    <w:rPr>
      <w:sz w:val="24"/>
      <w:szCs w:val="24"/>
      <w:lang w:val="en-GB" w:eastAsia="en-US"/>
    </w:rPr>
  </w:style>
  <w:style w:type="paragraph" w:styleId="Heading3">
    <w:name w:val="heading 3"/>
    <w:basedOn w:val="Normal"/>
    <w:next w:val="Normal"/>
    <w:qFormat/>
    <w:rsid w:val="007478A7"/>
    <w:pPr>
      <w:keepNext/>
      <w:outlineLvl w:val="2"/>
    </w:pPr>
    <w:rPr>
      <w:sz w:val="28"/>
      <w:lang w:val="lv-LV"/>
    </w:rPr>
  </w:style>
  <w:style w:type="paragraph" w:styleId="Heading4">
    <w:name w:val="heading 4"/>
    <w:basedOn w:val="Normal"/>
    <w:next w:val="Normal"/>
    <w:qFormat/>
    <w:rsid w:val="007478A7"/>
    <w:pPr>
      <w:keepNext/>
      <w:jc w:val="center"/>
      <w:outlineLvl w:val="3"/>
    </w:pPr>
    <w:rPr>
      <w:b/>
      <w:bCs/>
      <w:sz w:val="28"/>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78A7"/>
    <w:pPr>
      <w:tabs>
        <w:tab w:val="center" w:pos="4153"/>
        <w:tab w:val="right" w:pos="8306"/>
      </w:tabs>
    </w:pPr>
  </w:style>
  <w:style w:type="paragraph" w:styleId="Footer">
    <w:name w:val="footer"/>
    <w:basedOn w:val="Normal"/>
    <w:link w:val="FooterChar"/>
    <w:uiPriority w:val="99"/>
    <w:rsid w:val="007478A7"/>
    <w:pPr>
      <w:tabs>
        <w:tab w:val="center" w:pos="4153"/>
        <w:tab w:val="right" w:pos="8306"/>
      </w:tabs>
    </w:pPr>
  </w:style>
  <w:style w:type="character" w:styleId="PageNumber">
    <w:name w:val="page number"/>
    <w:basedOn w:val="DefaultParagraphFont"/>
    <w:rsid w:val="007478A7"/>
  </w:style>
  <w:style w:type="character" w:styleId="Hyperlink">
    <w:name w:val="Hyperlink"/>
    <w:rsid w:val="007478A7"/>
    <w:rPr>
      <w:color w:val="0000FF"/>
      <w:u w:val="single"/>
    </w:rPr>
  </w:style>
  <w:style w:type="paragraph" w:styleId="CommentText">
    <w:name w:val="annotation text"/>
    <w:basedOn w:val="Normal"/>
    <w:link w:val="CommentTextChar"/>
    <w:semiHidden/>
    <w:rsid w:val="007478A7"/>
    <w:rPr>
      <w:sz w:val="20"/>
      <w:szCs w:val="20"/>
    </w:rPr>
  </w:style>
  <w:style w:type="character" w:styleId="FootnoteReference">
    <w:name w:val="footnote reference"/>
    <w:rsid w:val="007478A7"/>
    <w:rPr>
      <w:rFonts w:cs="Times New Roman"/>
      <w:vertAlign w:val="superscript"/>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
    <w:basedOn w:val="Normal"/>
    <w:link w:val="FootnoteTextChar"/>
    <w:rsid w:val="007478A7"/>
    <w:pPr>
      <w:ind w:left="720" w:hanging="720"/>
      <w:jc w:val="both"/>
    </w:pPr>
    <w:rPr>
      <w:sz w:val="20"/>
      <w:szCs w:val="20"/>
      <w:lang w:eastAsia="zh-CN"/>
    </w:rPr>
  </w:style>
  <w:style w:type="character" w:customStyle="1" w:styleId="HeaderChar">
    <w:name w:val="Header Char"/>
    <w:link w:val="Header"/>
    <w:uiPriority w:val="99"/>
    <w:locked/>
    <w:rsid w:val="007478A7"/>
    <w:rPr>
      <w:sz w:val="24"/>
      <w:szCs w:val="24"/>
      <w:lang w:val="en-GB" w:eastAsia="en-US" w:bidi="ar-SA"/>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
    <w:link w:val="FootnoteText"/>
    <w:semiHidden/>
    <w:locked/>
    <w:rsid w:val="007478A7"/>
    <w:rPr>
      <w:lang w:val="en-GB" w:eastAsia="zh-CN" w:bidi="ar-SA"/>
    </w:rPr>
  </w:style>
  <w:style w:type="paragraph" w:styleId="BodyText">
    <w:name w:val="Body Text"/>
    <w:basedOn w:val="Normal"/>
    <w:link w:val="BodyTextChar"/>
    <w:uiPriority w:val="99"/>
    <w:unhideWhenUsed/>
    <w:rsid w:val="007478A7"/>
    <w:pPr>
      <w:spacing w:after="120"/>
    </w:pPr>
  </w:style>
  <w:style w:type="character" w:customStyle="1" w:styleId="BodyTextChar">
    <w:name w:val="Body Text Char"/>
    <w:link w:val="BodyText"/>
    <w:uiPriority w:val="99"/>
    <w:rsid w:val="007478A7"/>
    <w:rPr>
      <w:sz w:val="24"/>
      <w:szCs w:val="24"/>
      <w:lang w:val="en-GB" w:eastAsia="en-US" w:bidi="ar-SA"/>
    </w:rPr>
  </w:style>
  <w:style w:type="paragraph" w:customStyle="1" w:styleId="naisf">
    <w:name w:val="naisf"/>
    <w:basedOn w:val="Normal"/>
    <w:rsid w:val="007478A7"/>
    <w:pPr>
      <w:spacing w:before="100" w:beforeAutospacing="1" w:after="100" w:afterAutospacing="1"/>
    </w:pPr>
    <w:rPr>
      <w:lang w:val="lv-LV" w:eastAsia="lv-LV"/>
    </w:rPr>
  </w:style>
  <w:style w:type="character" w:customStyle="1" w:styleId="FooterChar">
    <w:name w:val="Footer Char"/>
    <w:link w:val="Footer"/>
    <w:uiPriority w:val="99"/>
    <w:rsid w:val="00CF14CA"/>
    <w:rPr>
      <w:sz w:val="24"/>
      <w:szCs w:val="24"/>
      <w:lang w:val="en-GB" w:eastAsia="en-US"/>
    </w:rPr>
  </w:style>
  <w:style w:type="paragraph" w:styleId="BalloonText">
    <w:name w:val="Balloon Text"/>
    <w:basedOn w:val="Normal"/>
    <w:link w:val="BalloonTextChar"/>
    <w:rsid w:val="00CF14CA"/>
    <w:rPr>
      <w:rFonts w:ascii="Tahoma" w:hAnsi="Tahoma"/>
      <w:sz w:val="16"/>
      <w:szCs w:val="16"/>
    </w:rPr>
  </w:style>
  <w:style w:type="character" w:customStyle="1" w:styleId="BalloonTextChar">
    <w:name w:val="Balloon Text Char"/>
    <w:link w:val="BalloonText"/>
    <w:rsid w:val="00CF14CA"/>
    <w:rPr>
      <w:rFonts w:ascii="Tahoma" w:hAnsi="Tahoma" w:cs="Tahoma"/>
      <w:sz w:val="16"/>
      <w:szCs w:val="16"/>
      <w:lang w:val="en-GB" w:eastAsia="en-US"/>
    </w:rPr>
  </w:style>
  <w:style w:type="paragraph" w:customStyle="1" w:styleId="CharCharCharCharCharCharCharCharCharCharChar">
    <w:name w:val="Char Char Char Char Char Char Char Char Char Char Char"/>
    <w:basedOn w:val="Normal"/>
    <w:rsid w:val="00E2405A"/>
    <w:pPr>
      <w:spacing w:after="160" w:line="240" w:lineRule="exact"/>
    </w:pPr>
    <w:rPr>
      <w:rFonts w:ascii="Tahoma" w:hAnsi="Tahoma" w:cs="Tahoma"/>
      <w:sz w:val="20"/>
      <w:szCs w:val="20"/>
      <w:lang w:val="en-US"/>
    </w:rPr>
  </w:style>
  <w:style w:type="paragraph" w:styleId="Title">
    <w:name w:val="Title"/>
    <w:basedOn w:val="Normal"/>
    <w:qFormat/>
    <w:rsid w:val="00E2405A"/>
    <w:pPr>
      <w:spacing w:before="120" w:after="120"/>
      <w:jc w:val="center"/>
    </w:pPr>
    <w:rPr>
      <w:b/>
      <w:lang w:val="lv-LV" w:eastAsia="lv-LV"/>
    </w:rPr>
  </w:style>
  <w:style w:type="paragraph" w:styleId="ListParagraph">
    <w:name w:val="List Paragraph"/>
    <w:basedOn w:val="Normal"/>
    <w:uiPriority w:val="34"/>
    <w:qFormat/>
    <w:rsid w:val="00E20115"/>
    <w:pPr>
      <w:ind w:left="720"/>
    </w:pPr>
    <w:rPr>
      <w:rFonts w:ascii="Calibri" w:eastAsia="Calibri" w:hAnsi="Calibri"/>
      <w:sz w:val="22"/>
      <w:szCs w:val="22"/>
      <w:lang w:val="lv-LV"/>
    </w:rPr>
  </w:style>
  <w:style w:type="character" w:styleId="Strong">
    <w:name w:val="Strong"/>
    <w:uiPriority w:val="22"/>
    <w:qFormat/>
    <w:rsid w:val="00C1114C"/>
    <w:rPr>
      <w:rFonts w:cs="Times New Roman"/>
      <w:b/>
      <w:bCs/>
      <w:spacing w:val="0"/>
    </w:rPr>
  </w:style>
  <w:style w:type="character" w:styleId="CommentReference">
    <w:name w:val="annotation reference"/>
    <w:rsid w:val="003501B5"/>
    <w:rPr>
      <w:sz w:val="16"/>
      <w:szCs w:val="16"/>
    </w:rPr>
  </w:style>
  <w:style w:type="paragraph" w:styleId="PlainText">
    <w:name w:val="Plain Text"/>
    <w:basedOn w:val="Normal"/>
    <w:rsid w:val="003626E0"/>
    <w:rPr>
      <w:rFonts w:ascii="Courier New" w:hAnsi="Courier New" w:cs="Courier New"/>
      <w:sz w:val="20"/>
      <w:szCs w:val="20"/>
      <w:lang w:val="lv-LV" w:eastAsia="lv-LV"/>
    </w:rPr>
  </w:style>
  <w:style w:type="character" w:styleId="Emphasis">
    <w:name w:val="Emphasis"/>
    <w:qFormat/>
    <w:rsid w:val="00E965F6"/>
    <w:rPr>
      <w:i/>
      <w:iCs/>
    </w:rPr>
  </w:style>
  <w:style w:type="paragraph" w:styleId="CommentSubject">
    <w:name w:val="annotation subject"/>
    <w:basedOn w:val="CommentText"/>
    <w:next w:val="CommentText"/>
    <w:link w:val="CommentSubjectChar"/>
    <w:rsid w:val="00CA0FB2"/>
    <w:rPr>
      <w:b/>
      <w:bCs/>
    </w:rPr>
  </w:style>
  <w:style w:type="character" w:customStyle="1" w:styleId="CommentTextChar">
    <w:name w:val="Comment Text Char"/>
    <w:link w:val="CommentText"/>
    <w:semiHidden/>
    <w:rsid w:val="00CA0FB2"/>
    <w:rPr>
      <w:lang w:val="en-GB" w:eastAsia="en-US"/>
    </w:rPr>
  </w:style>
  <w:style w:type="character" w:customStyle="1" w:styleId="CommentSubjectChar">
    <w:name w:val="Comment Subject Char"/>
    <w:link w:val="CommentSubject"/>
    <w:rsid w:val="00CA0FB2"/>
    <w:rPr>
      <w:b/>
      <w:bCs/>
      <w:lang w:val="en-GB" w:eastAsia="en-US"/>
    </w:rPr>
  </w:style>
  <w:style w:type="paragraph" w:styleId="NormalWeb">
    <w:name w:val="Normal (Web)"/>
    <w:basedOn w:val="Normal"/>
    <w:unhideWhenUsed/>
    <w:rsid w:val="00ED62D2"/>
    <w:pPr>
      <w:spacing w:before="100" w:beforeAutospacing="1" w:after="150"/>
    </w:pPr>
    <w:rPr>
      <w:lang w:val="lv-LV" w:eastAsia="lv-LV"/>
    </w:rPr>
  </w:style>
  <w:style w:type="paragraph" w:styleId="BodyText2">
    <w:name w:val="Body Text 2"/>
    <w:basedOn w:val="Normal"/>
    <w:link w:val="BodyText2Char"/>
    <w:rsid w:val="00174B52"/>
    <w:pPr>
      <w:spacing w:after="120" w:line="480" w:lineRule="auto"/>
    </w:pPr>
  </w:style>
  <w:style w:type="character" w:customStyle="1" w:styleId="BodyText2Char">
    <w:name w:val="Body Text 2 Char"/>
    <w:link w:val="BodyText2"/>
    <w:rsid w:val="00174B52"/>
    <w:rPr>
      <w:sz w:val="24"/>
      <w:szCs w:val="24"/>
      <w:lang w:val="en-GB" w:eastAsia="en-US"/>
    </w:rPr>
  </w:style>
  <w:style w:type="paragraph" w:customStyle="1" w:styleId="Default">
    <w:name w:val="Default"/>
    <w:basedOn w:val="Normal"/>
    <w:rsid w:val="00DE5701"/>
    <w:pPr>
      <w:autoSpaceDE w:val="0"/>
      <w:autoSpaceDN w:val="0"/>
    </w:pPr>
    <w:rPr>
      <w:color w:val="000000"/>
      <w:lang w:val="lv-LV" w:eastAsia="lv-LV"/>
    </w:rPr>
  </w:style>
  <w:style w:type="paragraph" w:customStyle="1" w:styleId="Bullet0">
    <w:name w:val="Bullet 0"/>
    <w:basedOn w:val="Normal"/>
    <w:rsid w:val="001F7C9D"/>
    <w:pPr>
      <w:numPr>
        <w:numId w:val="7"/>
      </w:numPr>
      <w:spacing w:before="120" w:after="120"/>
      <w:jc w:val="both"/>
    </w:pPr>
  </w:style>
  <w:style w:type="table" w:styleId="TableGrid">
    <w:name w:val="Table Grid"/>
    <w:basedOn w:val="TableNormal"/>
    <w:uiPriority w:val="59"/>
    <w:rsid w:val="002A7499"/>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met">
    <w:name w:val="EntEmet"/>
    <w:basedOn w:val="Normal"/>
    <w:rsid w:val="004D35C6"/>
    <w:pPr>
      <w:spacing w:before="40"/>
    </w:pPr>
    <w:rPr>
      <w:rFonts w:eastAsia="Calibri"/>
      <w:lang w:val="lv-LV" w:eastAsia="lv-LV"/>
    </w:rPr>
  </w:style>
  <w:style w:type="paragraph" w:customStyle="1" w:styleId="Titrearticle">
    <w:name w:val="Titre article"/>
    <w:basedOn w:val="Normal"/>
    <w:next w:val="Normal"/>
    <w:rsid w:val="00ED26F7"/>
    <w:pPr>
      <w:keepNext/>
      <w:spacing w:before="360" w:after="120"/>
      <w:jc w:val="center"/>
    </w:pPr>
    <w:rPr>
      <w:i/>
      <w:lang w:eastAsia="de-DE"/>
    </w:rPr>
  </w:style>
  <w:style w:type="paragraph" w:styleId="BodyTextIndent2">
    <w:name w:val="Body Text Indent 2"/>
    <w:basedOn w:val="Normal"/>
    <w:link w:val="BodyTextIndent2Char"/>
    <w:rsid w:val="004B00FA"/>
    <w:pPr>
      <w:spacing w:after="120" w:line="480" w:lineRule="auto"/>
      <w:ind w:left="283"/>
    </w:pPr>
  </w:style>
  <w:style w:type="character" w:customStyle="1" w:styleId="BodyTextIndent2Char">
    <w:name w:val="Body Text Indent 2 Char"/>
    <w:link w:val="BodyTextIndent2"/>
    <w:rsid w:val="004B00FA"/>
    <w:rPr>
      <w:sz w:val="24"/>
      <w:szCs w:val="24"/>
      <w:lang w:val="en-GB" w:eastAsia="en-US"/>
    </w:rPr>
  </w:style>
  <w:style w:type="paragraph" w:customStyle="1" w:styleId="naiskr">
    <w:name w:val="naiskr"/>
    <w:basedOn w:val="Normal"/>
    <w:uiPriority w:val="99"/>
    <w:rsid w:val="00684DEC"/>
    <w:pPr>
      <w:spacing w:before="100" w:beforeAutospacing="1" w:after="100" w:afterAutospacing="1"/>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8">
      <w:bodyDiv w:val="1"/>
      <w:marLeft w:val="0"/>
      <w:marRight w:val="0"/>
      <w:marTop w:val="0"/>
      <w:marBottom w:val="0"/>
      <w:divBdr>
        <w:top w:val="none" w:sz="0" w:space="0" w:color="auto"/>
        <w:left w:val="none" w:sz="0" w:space="0" w:color="auto"/>
        <w:bottom w:val="none" w:sz="0" w:space="0" w:color="auto"/>
        <w:right w:val="none" w:sz="0" w:space="0" w:color="auto"/>
      </w:divBdr>
    </w:div>
    <w:div w:id="31612009">
      <w:bodyDiv w:val="1"/>
      <w:marLeft w:val="0"/>
      <w:marRight w:val="0"/>
      <w:marTop w:val="0"/>
      <w:marBottom w:val="0"/>
      <w:divBdr>
        <w:top w:val="none" w:sz="0" w:space="0" w:color="auto"/>
        <w:left w:val="none" w:sz="0" w:space="0" w:color="auto"/>
        <w:bottom w:val="none" w:sz="0" w:space="0" w:color="auto"/>
        <w:right w:val="none" w:sz="0" w:space="0" w:color="auto"/>
      </w:divBdr>
    </w:div>
    <w:div w:id="67459063">
      <w:bodyDiv w:val="1"/>
      <w:marLeft w:val="0"/>
      <w:marRight w:val="0"/>
      <w:marTop w:val="0"/>
      <w:marBottom w:val="0"/>
      <w:divBdr>
        <w:top w:val="none" w:sz="0" w:space="0" w:color="auto"/>
        <w:left w:val="none" w:sz="0" w:space="0" w:color="auto"/>
        <w:bottom w:val="none" w:sz="0" w:space="0" w:color="auto"/>
        <w:right w:val="none" w:sz="0" w:space="0" w:color="auto"/>
      </w:divBdr>
    </w:div>
    <w:div w:id="125203787">
      <w:bodyDiv w:val="1"/>
      <w:marLeft w:val="0"/>
      <w:marRight w:val="0"/>
      <w:marTop w:val="0"/>
      <w:marBottom w:val="0"/>
      <w:divBdr>
        <w:top w:val="none" w:sz="0" w:space="0" w:color="auto"/>
        <w:left w:val="none" w:sz="0" w:space="0" w:color="auto"/>
        <w:bottom w:val="none" w:sz="0" w:space="0" w:color="auto"/>
        <w:right w:val="none" w:sz="0" w:space="0" w:color="auto"/>
      </w:divBdr>
    </w:div>
    <w:div w:id="144782602">
      <w:bodyDiv w:val="1"/>
      <w:marLeft w:val="0"/>
      <w:marRight w:val="0"/>
      <w:marTop w:val="0"/>
      <w:marBottom w:val="0"/>
      <w:divBdr>
        <w:top w:val="none" w:sz="0" w:space="0" w:color="auto"/>
        <w:left w:val="none" w:sz="0" w:space="0" w:color="auto"/>
        <w:bottom w:val="none" w:sz="0" w:space="0" w:color="auto"/>
        <w:right w:val="none" w:sz="0" w:space="0" w:color="auto"/>
      </w:divBdr>
    </w:div>
    <w:div w:id="204953566">
      <w:bodyDiv w:val="1"/>
      <w:marLeft w:val="0"/>
      <w:marRight w:val="0"/>
      <w:marTop w:val="0"/>
      <w:marBottom w:val="0"/>
      <w:divBdr>
        <w:top w:val="none" w:sz="0" w:space="0" w:color="auto"/>
        <w:left w:val="none" w:sz="0" w:space="0" w:color="auto"/>
        <w:bottom w:val="none" w:sz="0" w:space="0" w:color="auto"/>
        <w:right w:val="none" w:sz="0" w:space="0" w:color="auto"/>
      </w:divBdr>
    </w:div>
    <w:div w:id="215359642">
      <w:bodyDiv w:val="1"/>
      <w:marLeft w:val="0"/>
      <w:marRight w:val="0"/>
      <w:marTop w:val="0"/>
      <w:marBottom w:val="0"/>
      <w:divBdr>
        <w:top w:val="none" w:sz="0" w:space="0" w:color="auto"/>
        <w:left w:val="none" w:sz="0" w:space="0" w:color="auto"/>
        <w:bottom w:val="none" w:sz="0" w:space="0" w:color="auto"/>
        <w:right w:val="none" w:sz="0" w:space="0" w:color="auto"/>
      </w:divBdr>
    </w:div>
    <w:div w:id="269896382">
      <w:bodyDiv w:val="1"/>
      <w:marLeft w:val="0"/>
      <w:marRight w:val="0"/>
      <w:marTop w:val="0"/>
      <w:marBottom w:val="0"/>
      <w:divBdr>
        <w:top w:val="none" w:sz="0" w:space="0" w:color="auto"/>
        <w:left w:val="none" w:sz="0" w:space="0" w:color="auto"/>
        <w:bottom w:val="none" w:sz="0" w:space="0" w:color="auto"/>
        <w:right w:val="none" w:sz="0" w:space="0" w:color="auto"/>
      </w:divBdr>
    </w:div>
    <w:div w:id="274675221">
      <w:bodyDiv w:val="1"/>
      <w:marLeft w:val="0"/>
      <w:marRight w:val="0"/>
      <w:marTop w:val="0"/>
      <w:marBottom w:val="0"/>
      <w:divBdr>
        <w:top w:val="none" w:sz="0" w:space="0" w:color="auto"/>
        <w:left w:val="none" w:sz="0" w:space="0" w:color="auto"/>
        <w:bottom w:val="none" w:sz="0" w:space="0" w:color="auto"/>
        <w:right w:val="none" w:sz="0" w:space="0" w:color="auto"/>
      </w:divBdr>
    </w:div>
    <w:div w:id="279265319">
      <w:bodyDiv w:val="1"/>
      <w:marLeft w:val="0"/>
      <w:marRight w:val="0"/>
      <w:marTop w:val="0"/>
      <w:marBottom w:val="0"/>
      <w:divBdr>
        <w:top w:val="none" w:sz="0" w:space="0" w:color="auto"/>
        <w:left w:val="none" w:sz="0" w:space="0" w:color="auto"/>
        <w:bottom w:val="none" w:sz="0" w:space="0" w:color="auto"/>
        <w:right w:val="none" w:sz="0" w:space="0" w:color="auto"/>
      </w:divBdr>
    </w:div>
    <w:div w:id="325280347">
      <w:bodyDiv w:val="1"/>
      <w:marLeft w:val="0"/>
      <w:marRight w:val="0"/>
      <w:marTop w:val="0"/>
      <w:marBottom w:val="0"/>
      <w:divBdr>
        <w:top w:val="none" w:sz="0" w:space="0" w:color="auto"/>
        <w:left w:val="none" w:sz="0" w:space="0" w:color="auto"/>
        <w:bottom w:val="none" w:sz="0" w:space="0" w:color="auto"/>
        <w:right w:val="none" w:sz="0" w:space="0" w:color="auto"/>
      </w:divBdr>
    </w:div>
    <w:div w:id="355742242">
      <w:bodyDiv w:val="1"/>
      <w:marLeft w:val="0"/>
      <w:marRight w:val="0"/>
      <w:marTop w:val="0"/>
      <w:marBottom w:val="0"/>
      <w:divBdr>
        <w:top w:val="none" w:sz="0" w:space="0" w:color="auto"/>
        <w:left w:val="none" w:sz="0" w:space="0" w:color="auto"/>
        <w:bottom w:val="none" w:sz="0" w:space="0" w:color="auto"/>
        <w:right w:val="none" w:sz="0" w:space="0" w:color="auto"/>
      </w:divBdr>
    </w:div>
    <w:div w:id="361828908">
      <w:bodyDiv w:val="1"/>
      <w:marLeft w:val="0"/>
      <w:marRight w:val="0"/>
      <w:marTop w:val="0"/>
      <w:marBottom w:val="0"/>
      <w:divBdr>
        <w:top w:val="none" w:sz="0" w:space="0" w:color="auto"/>
        <w:left w:val="none" w:sz="0" w:space="0" w:color="auto"/>
        <w:bottom w:val="none" w:sz="0" w:space="0" w:color="auto"/>
        <w:right w:val="none" w:sz="0" w:space="0" w:color="auto"/>
      </w:divBdr>
    </w:div>
    <w:div w:id="377556646">
      <w:bodyDiv w:val="1"/>
      <w:marLeft w:val="0"/>
      <w:marRight w:val="0"/>
      <w:marTop w:val="0"/>
      <w:marBottom w:val="0"/>
      <w:divBdr>
        <w:top w:val="none" w:sz="0" w:space="0" w:color="auto"/>
        <w:left w:val="none" w:sz="0" w:space="0" w:color="auto"/>
        <w:bottom w:val="none" w:sz="0" w:space="0" w:color="auto"/>
        <w:right w:val="none" w:sz="0" w:space="0" w:color="auto"/>
      </w:divBdr>
    </w:div>
    <w:div w:id="385614607">
      <w:bodyDiv w:val="1"/>
      <w:marLeft w:val="0"/>
      <w:marRight w:val="0"/>
      <w:marTop w:val="0"/>
      <w:marBottom w:val="0"/>
      <w:divBdr>
        <w:top w:val="none" w:sz="0" w:space="0" w:color="auto"/>
        <w:left w:val="none" w:sz="0" w:space="0" w:color="auto"/>
        <w:bottom w:val="none" w:sz="0" w:space="0" w:color="auto"/>
        <w:right w:val="none" w:sz="0" w:space="0" w:color="auto"/>
      </w:divBdr>
    </w:div>
    <w:div w:id="385952766">
      <w:bodyDiv w:val="1"/>
      <w:marLeft w:val="0"/>
      <w:marRight w:val="0"/>
      <w:marTop w:val="0"/>
      <w:marBottom w:val="0"/>
      <w:divBdr>
        <w:top w:val="none" w:sz="0" w:space="0" w:color="auto"/>
        <w:left w:val="none" w:sz="0" w:space="0" w:color="auto"/>
        <w:bottom w:val="none" w:sz="0" w:space="0" w:color="auto"/>
        <w:right w:val="none" w:sz="0" w:space="0" w:color="auto"/>
      </w:divBdr>
    </w:div>
    <w:div w:id="411708529">
      <w:bodyDiv w:val="1"/>
      <w:marLeft w:val="0"/>
      <w:marRight w:val="0"/>
      <w:marTop w:val="0"/>
      <w:marBottom w:val="0"/>
      <w:divBdr>
        <w:top w:val="none" w:sz="0" w:space="0" w:color="auto"/>
        <w:left w:val="none" w:sz="0" w:space="0" w:color="auto"/>
        <w:bottom w:val="none" w:sz="0" w:space="0" w:color="auto"/>
        <w:right w:val="none" w:sz="0" w:space="0" w:color="auto"/>
      </w:divBdr>
    </w:div>
    <w:div w:id="445539595">
      <w:bodyDiv w:val="1"/>
      <w:marLeft w:val="0"/>
      <w:marRight w:val="0"/>
      <w:marTop w:val="0"/>
      <w:marBottom w:val="0"/>
      <w:divBdr>
        <w:top w:val="none" w:sz="0" w:space="0" w:color="auto"/>
        <w:left w:val="none" w:sz="0" w:space="0" w:color="auto"/>
        <w:bottom w:val="none" w:sz="0" w:space="0" w:color="auto"/>
        <w:right w:val="none" w:sz="0" w:space="0" w:color="auto"/>
      </w:divBdr>
    </w:div>
    <w:div w:id="462433044">
      <w:bodyDiv w:val="1"/>
      <w:marLeft w:val="0"/>
      <w:marRight w:val="0"/>
      <w:marTop w:val="0"/>
      <w:marBottom w:val="0"/>
      <w:divBdr>
        <w:top w:val="none" w:sz="0" w:space="0" w:color="auto"/>
        <w:left w:val="none" w:sz="0" w:space="0" w:color="auto"/>
        <w:bottom w:val="none" w:sz="0" w:space="0" w:color="auto"/>
        <w:right w:val="none" w:sz="0" w:space="0" w:color="auto"/>
      </w:divBdr>
    </w:div>
    <w:div w:id="465397604">
      <w:bodyDiv w:val="1"/>
      <w:marLeft w:val="0"/>
      <w:marRight w:val="0"/>
      <w:marTop w:val="0"/>
      <w:marBottom w:val="0"/>
      <w:divBdr>
        <w:top w:val="none" w:sz="0" w:space="0" w:color="auto"/>
        <w:left w:val="none" w:sz="0" w:space="0" w:color="auto"/>
        <w:bottom w:val="none" w:sz="0" w:space="0" w:color="auto"/>
        <w:right w:val="none" w:sz="0" w:space="0" w:color="auto"/>
      </w:divBdr>
    </w:div>
    <w:div w:id="551498610">
      <w:bodyDiv w:val="1"/>
      <w:marLeft w:val="0"/>
      <w:marRight w:val="0"/>
      <w:marTop w:val="0"/>
      <w:marBottom w:val="0"/>
      <w:divBdr>
        <w:top w:val="none" w:sz="0" w:space="0" w:color="auto"/>
        <w:left w:val="none" w:sz="0" w:space="0" w:color="auto"/>
        <w:bottom w:val="none" w:sz="0" w:space="0" w:color="auto"/>
        <w:right w:val="none" w:sz="0" w:space="0" w:color="auto"/>
      </w:divBdr>
    </w:div>
    <w:div w:id="579759193">
      <w:bodyDiv w:val="1"/>
      <w:marLeft w:val="0"/>
      <w:marRight w:val="0"/>
      <w:marTop w:val="0"/>
      <w:marBottom w:val="0"/>
      <w:divBdr>
        <w:top w:val="none" w:sz="0" w:space="0" w:color="auto"/>
        <w:left w:val="none" w:sz="0" w:space="0" w:color="auto"/>
        <w:bottom w:val="none" w:sz="0" w:space="0" w:color="auto"/>
        <w:right w:val="none" w:sz="0" w:space="0" w:color="auto"/>
      </w:divBdr>
    </w:div>
    <w:div w:id="706030826">
      <w:bodyDiv w:val="1"/>
      <w:marLeft w:val="0"/>
      <w:marRight w:val="0"/>
      <w:marTop w:val="0"/>
      <w:marBottom w:val="0"/>
      <w:divBdr>
        <w:top w:val="none" w:sz="0" w:space="0" w:color="auto"/>
        <w:left w:val="none" w:sz="0" w:space="0" w:color="auto"/>
        <w:bottom w:val="none" w:sz="0" w:space="0" w:color="auto"/>
        <w:right w:val="none" w:sz="0" w:space="0" w:color="auto"/>
      </w:divBdr>
    </w:div>
    <w:div w:id="718239459">
      <w:bodyDiv w:val="1"/>
      <w:marLeft w:val="0"/>
      <w:marRight w:val="0"/>
      <w:marTop w:val="0"/>
      <w:marBottom w:val="0"/>
      <w:divBdr>
        <w:top w:val="none" w:sz="0" w:space="0" w:color="auto"/>
        <w:left w:val="none" w:sz="0" w:space="0" w:color="auto"/>
        <w:bottom w:val="none" w:sz="0" w:space="0" w:color="auto"/>
        <w:right w:val="none" w:sz="0" w:space="0" w:color="auto"/>
      </w:divBdr>
    </w:div>
    <w:div w:id="719597179">
      <w:bodyDiv w:val="1"/>
      <w:marLeft w:val="0"/>
      <w:marRight w:val="0"/>
      <w:marTop w:val="0"/>
      <w:marBottom w:val="0"/>
      <w:divBdr>
        <w:top w:val="none" w:sz="0" w:space="0" w:color="auto"/>
        <w:left w:val="none" w:sz="0" w:space="0" w:color="auto"/>
        <w:bottom w:val="none" w:sz="0" w:space="0" w:color="auto"/>
        <w:right w:val="none" w:sz="0" w:space="0" w:color="auto"/>
      </w:divBdr>
    </w:div>
    <w:div w:id="727189921">
      <w:bodyDiv w:val="1"/>
      <w:marLeft w:val="0"/>
      <w:marRight w:val="0"/>
      <w:marTop w:val="0"/>
      <w:marBottom w:val="0"/>
      <w:divBdr>
        <w:top w:val="none" w:sz="0" w:space="0" w:color="auto"/>
        <w:left w:val="none" w:sz="0" w:space="0" w:color="auto"/>
        <w:bottom w:val="none" w:sz="0" w:space="0" w:color="auto"/>
        <w:right w:val="none" w:sz="0" w:space="0" w:color="auto"/>
      </w:divBdr>
    </w:div>
    <w:div w:id="737749392">
      <w:bodyDiv w:val="1"/>
      <w:marLeft w:val="0"/>
      <w:marRight w:val="0"/>
      <w:marTop w:val="0"/>
      <w:marBottom w:val="0"/>
      <w:divBdr>
        <w:top w:val="none" w:sz="0" w:space="0" w:color="auto"/>
        <w:left w:val="none" w:sz="0" w:space="0" w:color="auto"/>
        <w:bottom w:val="none" w:sz="0" w:space="0" w:color="auto"/>
        <w:right w:val="none" w:sz="0" w:space="0" w:color="auto"/>
      </w:divBdr>
    </w:div>
    <w:div w:id="755899226">
      <w:bodyDiv w:val="1"/>
      <w:marLeft w:val="0"/>
      <w:marRight w:val="0"/>
      <w:marTop w:val="0"/>
      <w:marBottom w:val="0"/>
      <w:divBdr>
        <w:top w:val="none" w:sz="0" w:space="0" w:color="auto"/>
        <w:left w:val="none" w:sz="0" w:space="0" w:color="auto"/>
        <w:bottom w:val="none" w:sz="0" w:space="0" w:color="auto"/>
        <w:right w:val="none" w:sz="0" w:space="0" w:color="auto"/>
      </w:divBdr>
    </w:div>
    <w:div w:id="787311665">
      <w:bodyDiv w:val="1"/>
      <w:marLeft w:val="0"/>
      <w:marRight w:val="0"/>
      <w:marTop w:val="0"/>
      <w:marBottom w:val="0"/>
      <w:divBdr>
        <w:top w:val="none" w:sz="0" w:space="0" w:color="auto"/>
        <w:left w:val="none" w:sz="0" w:space="0" w:color="auto"/>
        <w:bottom w:val="none" w:sz="0" w:space="0" w:color="auto"/>
        <w:right w:val="none" w:sz="0" w:space="0" w:color="auto"/>
      </w:divBdr>
    </w:div>
    <w:div w:id="865825337">
      <w:bodyDiv w:val="1"/>
      <w:marLeft w:val="0"/>
      <w:marRight w:val="0"/>
      <w:marTop w:val="0"/>
      <w:marBottom w:val="0"/>
      <w:divBdr>
        <w:top w:val="none" w:sz="0" w:space="0" w:color="auto"/>
        <w:left w:val="none" w:sz="0" w:space="0" w:color="auto"/>
        <w:bottom w:val="none" w:sz="0" w:space="0" w:color="auto"/>
        <w:right w:val="none" w:sz="0" w:space="0" w:color="auto"/>
      </w:divBdr>
    </w:div>
    <w:div w:id="885604711">
      <w:bodyDiv w:val="1"/>
      <w:marLeft w:val="0"/>
      <w:marRight w:val="0"/>
      <w:marTop w:val="0"/>
      <w:marBottom w:val="0"/>
      <w:divBdr>
        <w:top w:val="none" w:sz="0" w:space="0" w:color="auto"/>
        <w:left w:val="none" w:sz="0" w:space="0" w:color="auto"/>
        <w:bottom w:val="none" w:sz="0" w:space="0" w:color="auto"/>
        <w:right w:val="none" w:sz="0" w:space="0" w:color="auto"/>
      </w:divBdr>
    </w:div>
    <w:div w:id="1005088802">
      <w:bodyDiv w:val="1"/>
      <w:marLeft w:val="0"/>
      <w:marRight w:val="0"/>
      <w:marTop w:val="0"/>
      <w:marBottom w:val="0"/>
      <w:divBdr>
        <w:top w:val="none" w:sz="0" w:space="0" w:color="auto"/>
        <w:left w:val="none" w:sz="0" w:space="0" w:color="auto"/>
        <w:bottom w:val="none" w:sz="0" w:space="0" w:color="auto"/>
        <w:right w:val="none" w:sz="0" w:space="0" w:color="auto"/>
      </w:divBdr>
    </w:div>
    <w:div w:id="1028987551">
      <w:bodyDiv w:val="1"/>
      <w:marLeft w:val="0"/>
      <w:marRight w:val="0"/>
      <w:marTop w:val="0"/>
      <w:marBottom w:val="0"/>
      <w:divBdr>
        <w:top w:val="none" w:sz="0" w:space="0" w:color="auto"/>
        <w:left w:val="none" w:sz="0" w:space="0" w:color="auto"/>
        <w:bottom w:val="none" w:sz="0" w:space="0" w:color="auto"/>
        <w:right w:val="none" w:sz="0" w:space="0" w:color="auto"/>
      </w:divBdr>
    </w:div>
    <w:div w:id="1079862254">
      <w:bodyDiv w:val="1"/>
      <w:marLeft w:val="0"/>
      <w:marRight w:val="0"/>
      <w:marTop w:val="0"/>
      <w:marBottom w:val="0"/>
      <w:divBdr>
        <w:top w:val="none" w:sz="0" w:space="0" w:color="auto"/>
        <w:left w:val="none" w:sz="0" w:space="0" w:color="auto"/>
        <w:bottom w:val="none" w:sz="0" w:space="0" w:color="auto"/>
        <w:right w:val="none" w:sz="0" w:space="0" w:color="auto"/>
      </w:divBdr>
    </w:div>
    <w:div w:id="1088162422">
      <w:bodyDiv w:val="1"/>
      <w:marLeft w:val="0"/>
      <w:marRight w:val="0"/>
      <w:marTop w:val="0"/>
      <w:marBottom w:val="0"/>
      <w:divBdr>
        <w:top w:val="none" w:sz="0" w:space="0" w:color="auto"/>
        <w:left w:val="none" w:sz="0" w:space="0" w:color="auto"/>
        <w:bottom w:val="none" w:sz="0" w:space="0" w:color="auto"/>
        <w:right w:val="none" w:sz="0" w:space="0" w:color="auto"/>
      </w:divBdr>
    </w:div>
    <w:div w:id="1240943456">
      <w:bodyDiv w:val="1"/>
      <w:marLeft w:val="0"/>
      <w:marRight w:val="0"/>
      <w:marTop w:val="0"/>
      <w:marBottom w:val="0"/>
      <w:divBdr>
        <w:top w:val="none" w:sz="0" w:space="0" w:color="auto"/>
        <w:left w:val="none" w:sz="0" w:space="0" w:color="auto"/>
        <w:bottom w:val="none" w:sz="0" w:space="0" w:color="auto"/>
        <w:right w:val="none" w:sz="0" w:space="0" w:color="auto"/>
      </w:divBdr>
    </w:div>
    <w:div w:id="1295328228">
      <w:bodyDiv w:val="1"/>
      <w:marLeft w:val="0"/>
      <w:marRight w:val="0"/>
      <w:marTop w:val="0"/>
      <w:marBottom w:val="0"/>
      <w:divBdr>
        <w:top w:val="none" w:sz="0" w:space="0" w:color="auto"/>
        <w:left w:val="none" w:sz="0" w:space="0" w:color="auto"/>
        <w:bottom w:val="none" w:sz="0" w:space="0" w:color="auto"/>
        <w:right w:val="none" w:sz="0" w:space="0" w:color="auto"/>
      </w:divBdr>
    </w:div>
    <w:div w:id="1298874768">
      <w:bodyDiv w:val="1"/>
      <w:marLeft w:val="0"/>
      <w:marRight w:val="0"/>
      <w:marTop w:val="0"/>
      <w:marBottom w:val="0"/>
      <w:divBdr>
        <w:top w:val="none" w:sz="0" w:space="0" w:color="auto"/>
        <w:left w:val="none" w:sz="0" w:space="0" w:color="auto"/>
        <w:bottom w:val="none" w:sz="0" w:space="0" w:color="auto"/>
        <w:right w:val="none" w:sz="0" w:space="0" w:color="auto"/>
      </w:divBdr>
    </w:div>
    <w:div w:id="1322124295">
      <w:bodyDiv w:val="1"/>
      <w:marLeft w:val="0"/>
      <w:marRight w:val="0"/>
      <w:marTop w:val="0"/>
      <w:marBottom w:val="0"/>
      <w:divBdr>
        <w:top w:val="none" w:sz="0" w:space="0" w:color="auto"/>
        <w:left w:val="none" w:sz="0" w:space="0" w:color="auto"/>
        <w:bottom w:val="none" w:sz="0" w:space="0" w:color="auto"/>
        <w:right w:val="none" w:sz="0" w:space="0" w:color="auto"/>
      </w:divBdr>
    </w:div>
    <w:div w:id="1351681644">
      <w:bodyDiv w:val="1"/>
      <w:marLeft w:val="0"/>
      <w:marRight w:val="0"/>
      <w:marTop w:val="0"/>
      <w:marBottom w:val="0"/>
      <w:divBdr>
        <w:top w:val="none" w:sz="0" w:space="0" w:color="auto"/>
        <w:left w:val="none" w:sz="0" w:space="0" w:color="auto"/>
        <w:bottom w:val="none" w:sz="0" w:space="0" w:color="auto"/>
        <w:right w:val="none" w:sz="0" w:space="0" w:color="auto"/>
      </w:divBdr>
    </w:div>
    <w:div w:id="1359307024">
      <w:bodyDiv w:val="1"/>
      <w:marLeft w:val="0"/>
      <w:marRight w:val="0"/>
      <w:marTop w:val="0"/>
      <w:marBottom w:val="0"/>
      <w:divBdr>
        <w:top w:val="none" w:sz="0" w:space="0" w:color="auto"/>
        <w:left w:val="none" w:sz="0" w:space="0" w:color="auto"/>
        <w:bottom w:val="none" w:sz="0" w:space="0" w:color="auto"/>
        <w:right w:val="none" w:sz="0" w:space="0" w:color="auto"/>
      </w:divBdr>
    </w:div>
    <w:div w:id="1434129129">
      <w:bodyDiv w:val="1"/>
      <w:marLeft w:val="0"/>
      <w:marRight w:val="0"/>
      <w:marTop w:val="0"/>
      <w:marBottom w:val="0"/>
      <w:divBdr>
        <w:top w:val="none" w:sz="0" w:space="0" w:color="auto"/>
        <w:left w:val="none" w:sz="0" w:space="0" w:color="auto"/>
        <w:bottom w:val="none" w:sz="0" w:space="0" w:color="auto"/>
        <w:right w:val="none" w:sz="0" w:space="0" w:color="auto"/>
      </w:divBdr>
    </w:div>
    <w:div w:id="1455637351">
      <w:bodyDiv w:val="1"/>
      <w:marLeft w:val="0"/>
      <w:marRight w:val="0"/>
      <w:marTop w:val="0"/>
      <w:marBottom w:val="0"/>
      <w:divBdr>
        <w:top w:val="none" w:sz="0" w:space="0" w:color="auto"/>
        <w:left w:val="none" w:sz="0" w:space="0" w:color="auto"/>
        <w:bottom w:val="none" w:sz="0" w:space="0" w:color="auto"/>
        <w:right w:val="none" w:sz="0" w:space="0" w:color="auto"/>
      </w:divBdr>
    </w:div>
    <w:div w:id="1457485053">
      <w:bodyDiv w:val="1"/>
      <w:marLeft w:val="0"/>
      <w:marRight w:val="0"/>
      <w:marTop w:val="0"/>
      <w:marBottom w:val="0"/>
      <w:divBdr>
        <w:top w:val="none" w:sz="0" w:space="0" w:color="auto"/>
        <w:left w:val="none" w:sz="0" w:space="0" w:color="auto"/>
        <w:bottom w:val="none" w:sz="0" w:space="0" w:color="auto"/>
        <w:right w:val="none" w:sz="0" w:space="0" w:color="auto"/>
      </w:divBdr>
    </w:div>
    <w:div w:id="1458836194">
      <w:bodyDiv w:val="1"/>
      <w:marLeft w:val="0"/>
      <w:marRight w:val="0"/>
      <w:marTop w:val="0"/>
      <w:marBottom w:val="0"/>
      <w:divBdr>
        <w:top w:val="none" w:sz="0" w:space="0" w:color="auto"/>
        <w:left w:val="none" w:sz="0" w:space="0" w:color="auto"/>
        <w:bottom w:val="none" w:sz="0" w:space="0" w:color="auto"/>
        <w:right w:val="none" w:sz="0" w:space="0" w:color="auto"/>
      </w:divBdr>
    </w:div>
    <w:div w:id="1477527801">
      <w:bodyDiv w:val="1"/>
      <w:marLeft w:val="0"/>
      <w:marRight w:val="0"/>
      <w:marTop w:val="0"/>
      <w:marBottom w:val="0"/>
      <w:divBdr>
        <w:top w:val="none" w:sz="0" w:space="0" w:color="auto"/>
        <w:left w:val="none" w:sz="0" w:space="0" w:color="auto"/>
        <w:bottom w:val="none" w:sz="0" w:space="0" w:color="auto"/>
        <w:right w:val="none" w:sz="0" w:space="0" w:color="auto"/>
      </w:divBdr>
    </w:div>
    <w:div w:id="1513106522">
      <w:bodyDiv w:val="1"/>
      <w:marLeft w:val="0"/>
      <w:marRight w:val="0"/>
      <w:marTop w:val="0"/>
      <w:marBottom w:val="0"/>
      <w:divBdr>
        <w:top w:val="none" w:sz="0" w:space="0" w:color="auto"/>
        <w:left w:val="none" w:sz="0" w:space="0" w:color="auto"/>
        <w:bottom w:val="none" w:sz="0" w:space="0" w:color="auto"/>
        <w:right w:val="none" w:sz="0" w:space="0" w:color="auto"/>
      </w:divBdr>
    </w:div>
    <w:div w:id="1610972267">
      <w:bodyDiv w:val="1"/>
      <w:marLeft w:val="0"/>
      <w:marRight w:val="0"/>
      <w:marTop w:val="0"/>
      <w:marBottom w:val="0"/>
      <w:divBdr>
        <w:top w:val="none" w:sz="0" w:space="0" w:color="auto"/>
        <w:left w:val="none" w:sz="0" w:space="0" w:color="auto"/>
        <w:bottom w:val="none" w:sz="0" w:space="0" w:color="auto"/>
        <w:right w:val="none" w:sz="0" w:space="0" w:color="auto"/>
      </w:divBdr>
    </w:div>
    <w:div w:id="1648515797">
      <w:bodyDiv w:val="1"/>
      <w:marLeft w:val="0"/>
      <w:marRight w:val="0"/>
      <w:marTop w:val="0"/>
      <w:marBottom w:val="0"/>
      <w:divBdr>
        <w:top w:val="none" w:sz="0" w:space="0" w:color="auto"/>
        <w:left w:val="none" w:sz="0" w:space="0" w:color="auto"/>
        <w:bottom w:val="none" w:sz="0" w:space="0" w:color="auto"/>
        <w:right w:val="none" w:sz="0" w:space="0" w:color="auto"/>
      </w:divBdr>
    </w:div>
    <w:div w:id="1676573405">
      <w:bodyDiv w:val="1"/>
      <w:marLeft w:val="0"/>
      <w:marRight w:val="0"/>
      <w:marTop w:val="0"/>
      <w:marBottom w:val="0"/>
      <w:divBdr>
        <w:top w:val="none" w:sz="0" w:space="0" w:color="auto"/>
        <w:left w:val="none" w:sz="0" w:space="0" w:color="auto"/>
        <w:bottom w:val="none" w:sz="0" w:space="0" w:color="auto"/>
        <w:right w:val="none" w:sz="0" w:space="0" w:color="auto"/>
      </w:divBdr>
    </w:div>
    <w:div w:id="1686439501">
      <w:bodyDiv w:val="1"/>
      <w:marLeft w:val="0"/>
      <w:marRight w:val="0"/>
      <w:marTop w:val="0"/>
      <w:marBottom w:val="0"/>
      <w:divBdr>
        <w:top w:val="none" w:sz="0" w:space="0" w:color="auto"/>
        <w:left w:val="none" w:sz="0" w:space="0" w:color="auto"/>
        <w:bottom w:val="none" w:sz="0" w:space="0" w:color="auto"/>
        <w:right w:val="none" w:sz="0" w:space="0" w:color="auto"/>
      </w:divBdr>
    </w:div>
    <w:div w:id="1687948372">
      <w:bodyDiv w:val="1"/>
      <w:marLeft w:val="0"/>
      <w:marRight w:val="0"/>
      <w:marTop w:val="0"/>
      <w:marBottom w:val="0"/>
      <w:divBdr>
        <w:top w:val="none" w:sz="0" w:space="0" w:color="auto"/>
        <w:left w:val="none" w:sz="0" w:space="0" w:color="auto"/>
        <w:bottom w:val="none" w:sz="0" w:space="0" w:color="auto"/>
        <w:right w:val="none" w:sz="0" w:space="0" w:color="auto"/>
      </w:divBdr>
    </w:div>
    <w:div w:id="1754037829">
      <w:bodyDiv w:val="1"/>
      <w:marLeft w:val="0"/>
      <w:marRight w:val="0"/>
      <w:marTop w:val="0"/>
      <w:marBottom w:val="0"/>
      <w:divBdr>
        <w:top w:val="none" w:sz="0" w:space="0" w:color="auto"/>
        <w:left w:val="none" w:sz="0" w:space="0" w:color="auto"/>
        <w:bottom w:val="none" w:sz="0" w:space="0" w:color="auto"/>
        <w:right w:val="none" w:sz="0" w:space="0" w:color="auto"/>
      </w:divBdr>
    </w:div>
    <w:div w:id="1754082198">
      <w:bodyDiv w:val="1"/>
      <w:marLeft w:val="0"/>
      <w:marRight w:val="0"/>
      <w:marTop w:val="0"/>
      <w:marBottom w:val="0"/>
      <w:divBdr>
        <w:top w:val="none" w:sz="0" w:space="0" w:color="auto"/>
        <w:left w:val="none" w:sz="0" w:space="0" w:color="auto"/>
        <w:bottom w:val="none" w:sz="0" w:space="0" w:color="auto"/>
        <w:right w:val="none" w:sz="0" w:space="0" w:color="auto"/>
      </w:divBdr>
    </w:div>
    <w:div w:id="1779327019">
      <w:bodyDiv w:val="1"/>
      <w:marLeft w:val="0"/>
      <w:marRight w:val="0"/>
      <w:marTop w:val="0"/>
      <w:marBottom w:val="0"/>
      <w:divBdr>
        <w:top w:val="none" w:sz="0" w:space="0" w:color="auto"/>
        <w:left w:val="none" w:sz="0" w:space="0" w:color="auto"/>
        <w:bottom w:val="none" w:sz="0" w:space="0" w:color="auto"/>
        <w:right w:val="none" w:sz="0" w:space="0" w:color="auto"/>
      </w:divBdr>
    </w:div>
    <w:div w:id="1833401460">
      <w:bodyDiv w:val="1"/>
      <w:marLeft w:val="0"/>
      <w:marRight w:val="0"/>
      <w:marTop w:val="0"/>
      <w:marBottom w:val="0"/>
      <w:divBdr>
        <w:top w:val="none" w:sz="0" w:space="0" w:color="auto"/>
        <w:left w:val="none" w:sz="0" w:space="0" w:color="auto"/>
        <w:bottom w:val="none" w:sz="0" w:space="0" w:color="auto"/>
        <w:right w:val="none" w:sz="0" w:space="0" w:color="auto"/>
      </w:divBdr>
    </w:div>
    <w:div w:id="1844004885">
      <w:bodyDiv w:val="1"/>
      <w:marLeft w:val="0"/>
      <w:marRight w:val="0"/>
      <w:marTop w:val="0"/>
      <w:marBottom w:val="0"/>
      <w:divBdr>
        <w:top w:val="none" w:sz="0" w:space="0" w:color="auto"/>
        <w:left w:val="none" w:sz="0" w:space="0" w:color="auto"/>
        <w:bottom w:val="none" w:sz="0" w:space="0" w:color="auto"/>
        <w:right w:val="none" w:sz="0" w:space="0" w:color="auto"/>
      </w:divBdr>
    </w:div>
    <w:div w:id="1852641613">
      <w:bodyDiv w:val="1"/>
      <w:marLeft w:val="0"/>
      <w:marRight w:val="0"/>
      <w:marTop w:val="0"/>
      <w:marBottom w:val="0"/>
      <w:divBdr>
        <w:top w:val="none" w:sz="0" w:space="0" w:color="auto"/>
        <w:left w:val="none" w:sz="0" w:space="0" w:color="auto"/>
        <w:bottom w:val="none" w:sz="0" w:space="0" w:color="auto"/>
        <w:right w:val="none" w:sz="0" w:space="0" w:color="auto"/>
      </w:divBdr>
    </w:div>
    <w:div w:id="1916697643">
      <w:bodyDiv w:val="1"/>
      <w:marLeft w:val="0"/>
      <w:marRight w:val="0"/>
      <w:marTop w:val="0"/>
      <w:marBottom w:val="0"/>
      <w:divBdr>
        <w:top w:val="none" w:sz="0" w:space="0" w:color="auto"/>
        <w:left w:val="none" w:sz="0" w:space="0" w:color="auto"/>
        <w:bottom w:val="none" w:sz="0" w:space="0" w:color="auto"/>
        <w:right w:val="none" w:sz="0" w:space="0" w:color="auto"/>
      </w:divBdr>
    </w:div>
    <w:div w:id="195790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ristaps.Pilskalns\Documents\Visi%20Citi\2011.gads\Dati%20-%20prezent&#257;cija_2211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ristaps.Pilskalns\Documents\Visi%20Citi\2011.gads\Dati%20-%20prezent&#257;cija_2211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barChart>
        <c:barDir val="col"/>
        <c:grouping val="clustered"/>
        <c:varyColors val="1"/>
        <c:ser>
          <c:idx val="0"/>
          <c:order val="0"/>
          <c:tx>
            <c:strRef>
              <c:f>'Pa asim'!$C$2</c:f>
              <c:strCache>
                <c:ptCount val="1"/>
                <c:pt idx="0">
                  <c:v>Pieejamais publiskais finansējums</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'Pa asim'!$B$3:$B$7</c:f>
              <c:strCache>
                <c:ptCount val="5"/>
                <c:pt idx="0">
                  <c:v>1.virziens - Pasākumi Kopienas zvejas flotes sabalansēšanai</c:v>
                </c:pt>
                <c:pt idx="1">
                  <c:v>2.virziens - Akvakultūra, zveja iekšējos ūdeņos, zivsaimniecības un akvakultūras produktu apstrāde un mārketings</c:v>
                </c:pt>
                <c:pt idx="2">
                  <c:v>3.virziens - Kopējās ieinteresētības pasākumi</c:v>
                </c:pt>
                <c:pt idx="3">
                  <c:v>4.virziens - Zivsaimniecības reģionu ilgtspējīga attīstība</c:v>
                </c:pt>
                <c:pt idx="4">
                  <c:v>5.virziens - Tehniskā palīdzība</c:v>
                </c:pt>
              </c:strCache>
            </c:strRef>
          </c:cat>
          <c:val>
            <c:numRef>
              <c:f>'Pa asim'!$C$3:$C$7</c:f>
              <c:numCache>
                <c:formatCode>0.0</c:formatCode>
                <c:ptCount val="5"/>
                <c:pt idx="0">
                  <c:v>24.5</c:v>
                </c:pt>
                <c:pt idx="1">
                  <c:v>46.2</c:v>
                </c:pt>
                <c:pt idx="2">
                  <c:v>25.6</c:v>
                </c:pt>
                <c:pt idx="3">
                  <c:v>16.100000000000001</c:v>
                </c:pt>
                <c:pt idx="4">
                  <c:v>4.5999999999999996</c:v>
                </c:pt>
              </c:numCache>
            </c:numRef>
          </c:val>
          <c:extLst>
            <c:ext xmlns:c16="http://schemas.microsoft.com/office/drawing/2014/chart" uri="{C3380CC4-5D6E-409C-BE32-E72D297353CC}">
              <c16:uniqueId val="{00000000-CD16-4113-AE2F-CB0F7D4489B9}"/>
            </c:ext>
          </c:extLst>
        </c:ser>
        <c:ser>
          <c:idx val="1"/>
          <c:order val="1"/>
          <c:tx>
            <c:strRef>
              <c:f>'Pa asim'!$D$2</c:f>
              <c:strCache>
                <c:ptCount val="1"/>
                <c:pt idx="0">
                  <c:v>Reģistrētais publiskais finansējums</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'Pa asim'!$B$3:$B$7</c:f>
              <c:strCache>
                <c:ptCount val="5"/>
                <c:pt idx="0">
                  <c:v>1.virziens - Pasākumi Kopienas zvejas flotes sabalansēšanai</c:v>
                </c:pt>
                <c:pt idx="1">
                  <c:v>2.virziens - Akvakultūra, zveja iekšējos ūdeņos, zivsaimniecības un akvakultūras produktu apstrāde un mārketings</c:v>
                </c:pt>
                <c:pt idx="2">
                  <c:v>3.virziens - Kopējās ieinteresētības pasākumi</c:v>
                </c:pt>
                <c:pt idx="3">
                  <c:v>4.virziens - Zivsaimniecības reģionu ilgtspējīga attīstība</c:v>
                </c:pt>
                <c:pt idx="4">
                  <c:v>5.virziens - Tehniskā palīdzība</c:v>
                </c:pt>
              </c:strCache>
            </c:strRef>
          </c:cat>
          <c:val>
            <c:numRef>
              <c:f>'Pa asim'!$D$3:$D$7</c:f>
              <c:numCache>
                <c:formatCode>0.0</c:formatCode>
                <c:ptCount val="5"/>
                <c:pt idx="0">
                  <c:v>27</c:v>
                </c:pt>
                <c:pt idx="1">
                  <c:v>63.3</c:v>
                </c:pt>
                <c:pt idx="2">
                  <c:v>36.800000000000004</c:v>
                </c:pt>
                <c:pt idx="3">
                  <c:v>4.0999999999999996</c:v>
                </c:pt>
                <c:pt idx="4">
                  <c:v>3.5</c:v>
                </c:pt>
              </c:numCache>
            </c:numRef>
          </c:val>
          <c:extLst>
            <c:ext xmlns:c16="http://schemas.microsoft.com/office/drawing/2014/chart" uri="{C3380CC4-5D6E-409C-BE32-E72D297353CC}">
              <c16:uniqueId val="{00000001-CD16-4113-AE2F-CB0F7D4489B9}"/>
            </c:ext>
          </c:extLst>
        </c:ser>
        <c:ser>
          <c:idx val="2"/>
          <c:order val="2"/>
          <c:tx>
            <c:strRef>
              <c:f>'Pa asim'!$F$2</c:f>
              <c:strCache>
                <c:ptCount val="1"/>
                <c:pt idx="0">
                  <c:v>Apstiprinātais publiskais finansējums</c:v>
                </c:pt>
              </c:strCache>
            </c:strRef>
          </c:tx>
          <c:invertIfNegative val="1"/>
          <c:dLbls>
            <c:dLbl>
              <c:idx val="4"/>
              <c:layout>
                <c:manualLayout>
                  <c:x val="0"/>
                  <c:y val="9.2807424593968207E-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CD16-4113-AE2F-CB0F7D4489B9}"/>
                </c:ext>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'Pa asim'!$B$3:$B$7</c:f>
              <c:strCache>
                <c:ptCount val="5"/>
                <c:pt idx="0">
                  <c:v>1.virziens - Pasākumi Kopienas zvejas flotes sabalansēšanai</c:v>
                </c:pt>
                <c:pt idx="1">
                  <c:v>2.virziens - Akvakultūra, zveja iekšējos ūdeņos, zivsaimniecības un akvakultūras produktu apstrāde un mārketings</c:v>
                </c:pt>
                <c:pt idx="2">
                  <c:v>3.virziens - Kopējās ieinteresētības pasākumi</c:v>
                </c:pt>
                <c:pt idx="3">
                  <c:v>4.virziens - Zivsaimniecības reģionu ilgtspējīga attīstība</c:v>
                </c:pt>
                <c:pt idx="4">
                  <c:v>5.virziens - Tehniskā palīdzība</c:v>
                </c:pt>
              </c:strCache>
            </c:strRef>
          </c:cat>
          <c:val>
            <c:numRef>
              <c:f>'Pa asim'!$F$3:$F$7</c:f>
              <c:numCache>
                <c:formatCode>0.0</c:formatCode>
                <c:ptCount val="5"/>
                <c:pt idx="0">
                  <c:v>21.9</c:v>
                </c:pt>
                <c:pt idx="1">
                  <c:v>42.2</c:v>
                </c:pt>
                <c:pt idx="2">
                  <c:v>20.2</c:v>
                </c:pt>
                <c:pt idx="3">
                  <c:v>3.4</c:v>
                </c:pt>
                <c:pt idx="4">
                  <c:v>3.5</c:v>
                </c:pt>
              </c:numCache>
            </c:numRef>
          </c:val>
          <c:extLst>
            <c:ext xmlns:c16="http://schemas.microsoft.com/office/drawing/2014/chart" uri="{C3380CC4-5D6E-409C-BE32-E72D297353CC}">
              <c16:uniqueId val="{00000003-CD16-4113-AE2F-CB0F7D4489B9}"/>
            </c:ext>
          </c:extLst>
        </c:ser>
        <c:ser>
          <c:idx val="3"/>
          <c:order val="3"/>
          <c:tx>
            <c:strRef>
              <c:f>'Pa asim'!$H$2</c:f>
              <c:strCache>
                <c:ptCount val="1"/>
                <c:pt idx="0">
                  <c:v>Izmaksātais publiskais finansējums</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'Pa asim'!$B$3:$B$7</c:f>
              <c:strCache>
                <c:ptCount val="5"/>
                <c:pt idx="0">
                  <c:v>1.virziens - Pasākumi Kopienas zvejas flotes sabalansēšanai</c:v>
                </c:pt>
                <c:pt idx="1">
                  <c:v>2.virziens - Akvakultūra, zveja iekšējos ūdeņos, zivsaimniecības un akvakultūras produktu apstrāde un mārketings</c:v>
                </c:pt>
                <c:pt idx="2">
                  <c:v>3.virziens - Kopējās ieinteresētības pasākumi</c:v>
                </c:pt>
                <c:pt idx="3">
                  <c:v>4.virziens - Zivsaimniecības reģionu ilgtspējīga attīstība</c:v>
                </c:pt>
                <c:pt idx="4">
                  <c:v>5.virziens - Tehniskā palīdzība</c:v>
                </c:pt>
              </c:strCache>
            </c:strRef>
          </c:cat>
          <c:val>
            <c:numRef>
              <c:f>'Pa asim'!$H$3:$H$7</c:f>
              <c:numCache>
                <c:formatCode>0.0</c:formatCode>
                <c:ptCount val="5"/>
                <c:pt idx="0">
                  <c:v>19.7</c:v>
                </c:pt>
                <c:pt idx="1">
                  <c:v>14</c:v>
                </c:pt>
                <c:pt idx="2">
                  <c:v>12.4</c:v>
                </c:pt>
                <c:pt idx="3">
                  <c:v>1.3</c:v>
                </c:pt>
                <c:pt idx="4">
                  <c:v>1</c:v>
                </c:pt>
              </c:numCache>
            </c:numRef>
          </c:val>
          <c:extLst>
            <c:ext xmlns:c16="http://schemas.microsoft.com/office/drawing/2014/chart" uri="{C3380CC4-5D6E-409C-BE32-E72D297353CC}">
              <c16:uniqueId val="{00000004-CD16-4113-AE2F-CB0F7D4489B9}"/>
            </c:ext>
          </c:extLst>
        </c:ser>
        <c:dLbls>
          <c:showLegendKey val="1"/>
          <c:showVal val="1"/>
          <c:showCatName val="1"/>
          <c:showSerName val="1"/>
          <c:showPercent val="1"/>
          <c:showBubbleSize val="1"/>
        </c:dLbls>
        <c:gapWidth val="150"/>
        <c:axId val="80829824"/>
        <c:axId val="80856192"/>
      </c:barChart>
      <c:catAx>
        <c:axId val="80829824"/>
        <c:scaling>
          <c:orientation val="minMax"/>
        </c:scaling>
        <c:delete val="1"/>
        <c:axPos val="b"/>
        <c:numFmt formatCode="General" sourceLinked="0"/>
        <c:majorTickMark val="cross"/>
        <c:minorTickMark val="cross"/>
        <c:tickLblPos val="nextTo"/>
        <c:crossAx val="80856192"/>
        <c:crosses val="autoZero"/>
        <c:auto val="1"/>
        <c:lblAlgn val="ctr"/>
        <c:lblOffset val="100"/>
        <c:noMultiLvlLbl val="1"/>
      </c:catAx>
      <c:valAx>
        <c:axId val="80856192"/>
        <c:scaling>
          <c:orientation val="minMax"/>
        </c:scaling>
        <c:delete val="1"/>
        <c:axPos val="l"/>
        <c:majorGridlines>
          <c:spPr>
            <a:ln>
              <a:solidFill>
                <a:schemeClr val="bg1">
                  <a:lumMod val="85000"/>
                </a:schemeClr>
              </a:solidFill>
            </a:ln>
          </c:spPr>
        </c:majorGridlines>
        <c:title>
          <c:tx>
            <c:rich>
              <a:bodyPr rot="-5400000" vert="horz"/>
              <a:lstStyle/>
              <a:p>
                <a:pPr>
                  <a:defRPr/>
                </a:pPr>
                <a:r>
                  <a:rPr lang="lv-LV"/>
                  <a:t>Miljonos LVL</a:t>
                </a:r>
                <a:endParaRPr lang="en-US"/>
              </a:p>
            </c:rich>
          </c:tx>
          <c:overlay val="1"/>
        </c:title>
        <c:numFmt formatCode="0.0" sourceLinked="1"/>
        <c:majorTickMark val="cross"/>
        <c:minorTickMark val="cross"/>
        <c:tickLblPos val="nextTo"/>
        <c:crossAx val="80829824"/>
        <c:crosses val="autoZero"/>
        <c:crossBetween val="between"/>
      </c:valAx>
    </c:plotArea>
    <c:legend>
      <c:legendPos val="b"/>
      <c:layout>
        <c:manualLayout>
          <c:xMode val="edge"/>
          <c:yMode val="edge"/>
          <c:x val="0.50146419359808514"/>
          <c:y val="0.71818402495387512"/>
          <c:w val="0.39632948915391586"/>
          <c:h val="0.26252800489236094"/>
        </c:manualLayout>
      </c:layout>
      <c:overlay val="1"/>
      <c:spPr>
        <a:ln>
          <a:solidFill>
            <a:schemeClr val="bg1">
              <a:lumMod val="85000"/>
            </a:schemeClr>
          </a:solidFill>
        </a:ln>
      </c:spPr>
      <c:txPr>
        <a:bodyPr/>
        <a:lstStyle/>
        <a:p>
          <a:pPr>
            <a:defRPr sz="900"/>
          </a:pPr>
          <a:endParaRPr lang="lv-LV"/>
        </a:p>
      </c:txPr>
    </c:legend>
    <c:plotVisOnly val="1"/>
    <c:dispBlanksAs val="zero"/>
    <c:showDLblsOverMax val="1"/>
  </c:chart>
  <c:spPr>
    <a:ln>
      <a:solidFill>
        <a:schemeClr val="bg1">
          <a:lumMod val="65000"/>
        </a:schemeClr>
      </a:solidFill>
    </a:ln>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manualLayout>
          <c:layoutTarget val="inner"/>
          <c:xMode val="edge"/>
          <c:yMode val="edge"/>
          <c:x val="0.14582279999574313"/>
          <c:y val="3.1980226067506404E-2"/>
          <c:w val="0.8271460677635909"/>
          <c:h val="0.41658575330622138"/>
        </c:manualLayout>
      </c:layout>
      <c:barChart>
        <c:barDir val="col"/>
        <c:grouping val="clustered"/>
        <c:varyColors val="1"/>
        <c:ser>
          <c:idx val="0"/>
          <c:order val="0"/>
          <c:tx>
            <c:strRef>
              <c:f>'Pa asim'!$C$31</c:f>
              <c:strCache>
                <c:ptCount val="1"/>
                <c:pt idx="0">
                  <c:v>Reģistrētais publiskais finansējums no pieejamā publiskā finansējuma, %</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'Pa asim'!$B$32:$B$36</c:f>
              <c:strCache>
                <c:ptCount val="5"/>
                <c:pt idx="0">
                  <c:v>1.virziens - Pasākumi Kopienas zvejas flotes sabalansēšanai</c:v>
                </c:pt>
                <c:pt idx="1">
                  <c:v>2.virziens - Akvakultūra, zveja iekšējos ūdeņos, zivsaimniecības un akvakultūras produktu apstrāde un mārketings</c:v>
                </c:pt>
                <c:pt idx="2">
                  <c:v>3.virziens - Kopējās ieinteresētības pasākumi</c:v>
                </c:pt>
                <c:pt idx="3">
                  <c:v>4.virziens - Zivsaimniecības reģionu ilgtspējīga attīstība</c:v>
                </c:pt>
                <c:pt idx="4">
                  <c:v>5.virziens - Tehniskā palīdzība</c:v>
                </c:pt>
              </c:strCache>
            </c:strRef>
          </c:cat>
          <c:val>
            <c:numRef>
              <c:f>'Pa asim'!$C$32:$C$36</c:f>
              <c:numCache>
                <c:formatCode>0%</c:formatCode>
                <c:ptCount val="5"/>
                <c:pt idx="0">
                  <c:v>1.1000000000000001</c:v>
                </c:pt>
                <c:pt idx="1">
                  <c:v>1.37</c:v>
                </c:pt>
                <c:pt idx="2">
                  <c:v>1.44</c:v>
                </c:pt>
                <c:pt idx="3">
                  <c:v>0.25</c:v>
                </c:pt>
                <c:pt idx="4">
                  <c:v>0.76000000000000678</c:v>
                </c:pt>
              </c:numCache>
            </c:numRef>
          </c:val>
          <c:extLst>
            <c:ext xmlns:c16="http://schemas.microsoft.com/office/drawing/2014/chart" uri="{C3380CC4-5D6E-409C-BE32-E72D297353CC}">
              <c16:uniqueId val="{00000000-8B4E-4A66-8F79-588FBF449008}"/>
            </c:ext>
          </c:extLst>
        </c:ser>
        <c:ser>
          <c:idx val="1"/>
          <c:order val="1"/>
          <c:tx>
            <c:strRef>
              <c:f>'Pa asim'!$D$31</c:f>
              <c:strCache>
                <c:ptCount val="1"/>
                <c:pt idx="0">
                  <c:v>Apstiprinātais publiskais finansējums no pieejamā publiskā finansējuma, %</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'Pa asim'!$B$32:$B$36</c:f>
              <c:strCache>
                <c:ptCount val="5"/>
                <c:pt idx="0">
                  <c:v>1.virziens - Pasākumi Kopienas zvejas flotes sabalansēšanai</c:v>
                </c:pt>
                <c:pt idx="1">
                  <c:v>2.virziens - Akvakultūra, zveja iekšējos ūdeņos, zivsaimniecības un akvakultūras produktu apstrāde un mārketings</c:v>
                </c:pt>
                <c:pt idx="2">
                  <c:v>3.virziens - Kopējās ieinteresētības pasākumi</c:v>
                </c:pt>
                <c:pt idx="3">
                  <c:v>4.virziens - Zivsaimniecības reģionu ilgtspējīga attīstība</c:v>
                </c:pt>
                <c:pt idx="4">
                  <c:v>5.virziens - Tehniskā palīdzība</c:v>
                </c:pt>
              </c:strCache>
            </c:strRef>
          </c:cat>
          <c:val>
            <c:numRef>
              <c:f>'Pa asim'!$D$32:$D$36</c:f>
              <c:numCache>
                <c:formatCode>0%</c:formatCode>
                <c:ptCount val="5"/>
                <c:pt idx="0">
                  <c:v>0.89000000000000012</c:v>
                </c:pt>
                <c:pt idx="1">
                  <c:v>0.91</c:v>
                </c:pt>
                <c:pt idx="2">
                  <c:v>0.79</c:v>
                </c:pt>
                <c:pt idx="3">
                  <c:v>0.21000000000000021</c:v>
                </c:pt>
                <c:pt idx="4">
                  <c:v>0.76000000000000678</c:v>
                </c:pt>
              </c:numCache>
            </c:numRef>
          </c:val>
          <c:extLst>
            <c:ext xmlns:c16="http://schemas.microsoft.com/office/drawing/2014/chart" uri="{C3380CC4-5D6E-409C-BE32-E72D297353CC}">
              <c16:uniqueId val="{00000001-8B4E-4A66-8F79-588FBF449008}"/>
            </c:ext>
          </c:extLst>
        </c:ser>
        <c:ser>
          <c:idx val="2"/>
          <c:order val="2"/>
          <c:tx>
            <c:strRef>
              <c:f>'Pa asim'!$E$31</c:f>
              <c:strCache>
                <c:ptCount val="1"/>
                <c:pt idx="0">
                  <c:v>Izmaksātais publiskais finansējums no pieejamā publiskā finansējuma, %</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'Pa asim'!$B$32:$B$36</c:f>
              <c:strCache>
                <c:ptCount val="5"/>
                <c:pt idx="0">
                  <c:v>1.virziens - Pasākumi Kopienas zvejas flotes sabalansēšanai</c:v>
                </c:pt>
                <c:pt idx="1">
                  <c:v>2.virziens - Akvakultūra, zveja iekšējos ūdeņos, zivsaimniecības un akvakultūras produktu apstrāde un mārketings</c:v>
                </c:pt>
                <c:pt idx="2">
                  <c:v>3.virziens - Kopējās ieinteresētības pasākumi</c:v>
                </c:pt>
                <c:pt idx="3">
                  <c:v>4.virziens - Zivsaimniecības reģionu ilgtspējīga attīstība</c:v>
                </c:pt>
                <c:pt idx="4">
                  <c:v>5.virziens - Tehniskā palīdzība</c:v>
                </c:pt>
              </c:strCache>
            </c:strRef>
          </c:cat>
          <c:val>
            <c:numRef>
              <c:f>'Pa asim'!$E$32:$E$36</c:f>
              <c:numCache>
                <c:formatCode>0%</c:formatCode>
                <c:ptCount val="5"/>
                <c:pt idx="0">
                  <c:v>0.8</c:v>
                </c:pt>
                <c:pt idx="1">
                  <c:v>0.30000000000000032</c:v>
                </c:pt>
                <c:pt idx="2">
                  <c:v>0.48000000000000032</c:v>
                </c:pt>
                <c:pt idx="3">
                  <c:v>8.0000000000000057E-2</c:v>
                </c:pt>
                <c:pt idx="4">
                  <c:v>0.22000000000000003</c:v>
                </c:pt>
              </c:numCache>
            </c:numRef>
          </c:val>
          <c:extLst>
            <c:ext xmlns:c16="http://schemas.microsoft.com/office/drawing/2014/chart" uri="{C3380CC4-5D6E-409C-BE32-E72D297353CC}">
              <c16:uniqueId val="{00000002-8B4E-4A66-8F79-588FBF449008}"/>
            </c:ext>
          </c:extLst>
        </c:ser>
        <c:dLbls>
          <c:showLegendKey val="1"/>
          <c:showVal val="1"/>
          <c:showCatName val="1"/>
          <c:showSerName val="1"/>
          <c:showPercent val="1"/>
          <c:showBubbleSize val="1"/>
        </c:dLbls>
        <c:gapWidth val="150"/>
        <c:axId val="80781312"/>
        <c:axId val="80782848"/>
      </c:barChart>
      <c:catAx>
        <c:axId val="80781312"/>
        <c:scaling>
          <c:orientation val="minMax"/>
        </c:scaling>
        <c:delete val="1"/>
        <c:axPos val="b"/>
        <c:numFmt formatCode="General" sourceLinked="0"/>
        <c:majorTickMark val="cross"/>
        <c:minorTickMark val="cross"/>
        <c:tickLblPos val="nextTo"/>
        <c:crossAx val="80782848"/>
        <c:crosses val="autoZero"/>
        <c:auto val="1"/>
        <c:lblAlgn val="ctr"/>
        <c:lblOffset val="100"/>
        <c:noMultiLvlLbl val="1"/>
      </c:catAx>
      <c:valAx>
        <c:axId val="80782848"/>
        <c:scaling>
          <c:orientation val="minMax"/>
        </c:scaling>
        <c:delete val="1"/>
        <c:axPos val="l"/>
        <c:majorGridlines>
          <c:spPr>
            <a:ln>
              <a:solidFill>
                <a:schemeClr val="bg1">
                  <a:lumMod val="85000"/>
                </a:schemeClr>
              </a:solidFill>
            </a:ln>
          </c:spPr>
        </c:majorGridlines>
        <c:title>
          <c:tx>
            <c:rich>
              <a:bodyPr rot="-5400000" vert="horz"/>
              <a:lstStyle/>
              <a:p>
                <a:pPr>
                  <a:defRPr/>
                </a:pPr>
                <a:r>
                  <a:rPr lang="en-US"/>
                  <a:t>%</a:t>
                </a:r>
              </a:p>
            </c:rich>
          </c:tx>
          <c:layout>
            <c:manualLayout>
              <c:xMode val="edge"/>
              <c:yMode val="edge"/>
              <c:x val="3.0555555555555596E-2"/>
              <c:y val="0.24848352289297387"/>
            </c:manualLayout>
          </c:layout>
          <c:overlay val="1"/>
        </c:title>
        <c:numFmt formatCode="0%" sourceLinked="1"/>
        <c:majorTickMark val="cross"/>
        <c:minorTickMark val="cross"/>
        <c:tickLblPos val="nextTo"/>
        <c:crossAx val="80781312"/>
        <c:crosses val="autoZero"/>
        <c:crossBetween val="between"/>
      </c:valAx>
    </c:plotArea>
    <c:legend>
      <c:legendPos val="b"/>
      <c:layout>
        <c:manualLayout>
          <c:xMode val="edge"/>
          <c:yMode val="edge"/>
          <c:x val="0.48370177701142431"/>
          <c:y val="0.78007243136794058"/>
          <c:w val="0.45728597037093172"/>
          <c:h val="0.21764120877266524"/>
        </c:manualLayout>
      </c:layout>
      <c:overlay val="1"/>
      <c:spPr>
        <a:ln>
          <a:solidFill>
            <a:schemeClr val="bg1">
              <a:lumMod val="85000"/>
            </a:schemeClr>
          </a:solidFill>
        </a:ln>
      </c:spPr>
      <c:txPr>
        <a:bodyPr/>
        <a:lstStyle/>
        <a:p>
          <a:pPr>
            <a:defRPr sz="900"/>
          </a:pPr>
          <a:endParaRPr lang="lv-LV"/>
        </a:p>
      </c:txPr>
    </c:legend>
    <c:plotVisOnly val="1"/>
    <c:dispBlanksAs val="zero"/>
    <c:showDLblsOverMax val="1"/>
  </c:chart>
  <c:spPr>
    <a:ln>
      <a:solidFill>
        <a:schemeClr val="bg1">
          <a:lumMod val="65000"/>
        </a:schemeClr>
      </a:solidFill>
    </a:ln>
  </c:sp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73A5B-C69C-4A6C-ABA7-A42FEE3E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16503</Words>
  <Characters>9407</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LR nacionālā pozīcija Nr.1 "Par priekšlikumu Eiropas Parlamenta un Padomes regulai par Eiropas Jūrlietu un zivsaimniecības fondu"</vt:lpstr>
      <vt:lpstr>LR nacionālā pozīcija Nr.1 "Par priekšlikumu Eiropas Parlamenta un Padomes regulai par Eiropas Jūrlietu un zivsaimniecības fondu"</vt:lpstr>
    </vt:vector>
  </TitlesOfParts>
  <Company>Ārlietu ministrija</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 nacionālā pozīcija Nr.1 "Par priekšlikumu Eiropas Parlamenta un Padomes regulai par Eiropas Jūrlietu un zivsaimniecības fondu"</dc:title>
  <dc:subject>Nacionālā pozīcija</dc:subject>
  <dc:creator>Armands Stahovskis</dc:creator>
  <cp:keywords/>
  <dc:description>Armands@zm.gov.lv
67878707</dc:description>
  <cp:lastModifiedBy>Iveta Stafecka</cp:lastModifiedBy>
  <cp:revision>2</cp:revision>
  <cp:lastPrinted>2011-08-22T12:52:00Z</cp:lastPrinted>
  <dcterms:created xsi:type="dcterms:W3CDTF">2023-02-16T14:43:00Z</dcterms:created>
  <dcterms:modified xsi:type="dcterms:W3CDTF">2023-02-16T14:43:00Z</dcterms:modified>
</cp:coreProperties>
</file>