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F2A96" w14:textId="1ED2D2A8" w:rsidR="00654188" w:rsidRDefault="00654188" w:rsidP="56DAD599">
      <w:pPr>
        <w:spacing w:after="120" w:line="257" w:lineRule="auto"/>
        <w:jc w:val="center"/>
        <w:rPr>
          <w:rFonts w:ascii="Times New Roman" w:eastAsia="Times New Roman" w:hAnsi="Times New Roman"/>
          <w:sz w:val="24"/>
          <w:szCs w:val="24"/>
        </w:rPr>
      </w:pPr>
    </w:p>
    <w:p w14:paraId="7B8F959C" w14:textId="0044F727" w:rsidR="00654188" w:rsidRDefault="56DAD599" w:rsidP="56DAD599">
      <w:pPr>
        <w:spacing w:after="120" w:line="257" w:lineRule="auto"/>
        <w:jc w:val="center"/>
      </w:pPr>
      <w:r w:rsidRPr="56DAD599">
        <w:rPr>
          <w:rFonts w:ascii="Times New Roman" w:eastAsia="Times New Roman" w:hAnsi="Times New Roman"/>
          <w:b/>
          <w:bCs/>
          <w:sz w:val="24"/>
          <w:szCs w:val="24"/>
        </w:rPr>
        <w:t>Informatīvais ziņojums “Par publisku personu kapitālsabiedrību darbinieku profesionālās darbības ierobežojumiem pēc amata pilnvaru izbeigšanās”</w:t>
      </w:r>
    </w:p>
    <w:p w14:paraId="201C29A0" w14:textId="19E27341" w:rsidR="00654188" w:rsidRDefault="56DAD599" w:rsidP="56DAD599">
      <w:pPr>
        <w:spacing w:after="120" w:line="257" w:lineRule="auto"/>
        <w:jc w:val="center"/>
      </w:pPr>
      <w:r w:rsidRPr="56DAD599">
        <w:rPr>
          <w:rFonts w:ascii="Times New Roman" w:eastAsia="Times New Roman" w:hAnsi="Times New Roman"/>
          <w:b/>
          <w:bCs/>
          <w:i/>
          <w:iCs/>
          <w:sz w:val="24"/>
          <w:szCs w:val="24"/>
        </w:rPr>
        <w:t xml:space="preserve"> </w:t>
      </w:r>
    </w:p>
    <w:p w14:paraId="4E387586" w14:textId="75A01052" w:rsidR="00654188" w:rsidRPr="008C1ED9" w:rsidRDefault="56DAD599" w:rsidP="000D635B">
      <w:pPr>
        <w:pStyle w:val="ListParagraph"/>
        <w:numPr>
          <w:ilvl w:val="0"/>
          <w:numId w:val="7"/>
        </w:numPr>
        <w:spacing w:after="120" w:line="240" w:lineRule="auto"/>
        <w:jc w:val="center"/>
        <w:rPr>
          <w:rFonts w:ascii="Times New Roman" w:eastAsiaTheme="minorEastAsia" w:hAnsi="Times New Roman"/>
          <w:b/>
          <w:bCs/>
          <w:color w:val="000000" w:themeColor="text1"/>
          <w:sz w:val="24"/>
          <w:szCs w:val="24"/>
        </w:rPr>
      </w:pPr>
      <w:r w:rsidRPr="008C1ED9">
        <w:rPr>
          <w:rFonts w:ascii="Times New Roman" w:eastAsia="Times New Roman" w:hAnsi="Times New Roman"/>
          <w:b/>
          <w:bCs/>
          <w:color w:val="000000" w:themeColor="text1"/>
          <w:sz w:val="24"/>
          <w:szCs w:val="24"/>
        </w:rPr>
        <w:t>Informatīvā ziņojuma izstrādes pamatojums</w:t>
      </w:r>
    </w:p>
    <w:p w14:paraId="6F384304" w14:textId="11D63001" w:rsidR="00654188" w:rsidRPr="008C1ED9" w:rsidRDefault="56DAD599" w:rsidP="00AA16D0">
      <w:pPr>
        <w:spacing w:after="120" w:line="240" w:lineRule="auto"/>
        <w:ind w:firstLine="567"/>
        <w:jc w:val="both"/>
        <w:rPr>
          <w:rFonts w:ascii="Times New Roman" w:hAnsi="Times New Roman"/>
        </w:rPr>
      </w:pPr>
      <w:r w:rsidRPr="008C1ED9">
        <w:rPr>
          <w:rFonts w:ascii="Times New Roman" w:eastAsia="Times New Roman" w:hAnsi="Times New Roman"/>
          <w:b/>
          <w:bCs/>
          <w:color w:val="000000" w:themeColor="text1"/>
          <w:sz w:val="24"/>
          <w:szCs w:val="24"/>
        </w:rPr>
        <w:t xml:space="preserve"> </w:t>
      </w:r>
      <w:r w:rsidRPr="008C1ED9">
        <w:rPr>
          <w:rFonts w:ascii="Times New Roman" w:eastAsia="Times New Roman" w:hAnsi="Times New Roman"/>
          <w:color w:val="000000" w:themeColor="text1"/>
          <w:sz w:val="24"/>
          <w:szCs w:val="24"/>
        </w:rPr>
        <w:t>Informatīvais</w:t>
      </w:r>
      <w:r w:rsidRPr="008C1ED9">
        <w:rPr>
          <w:rFonts w:ascii="Times New Roman" w:eastAsia="Times New Roman" w:hAnsi="Times New Roman"/>
          <w:sz w:val="24"/>
          <w:szCs w:val="24"/>
        </w:rPr>
        <w:t xml:space="preserve"> ziņojums “Par publisku personu kapitālsabiedrību darbinieku profesionālās darbības ierobežojumiem pēc amata pilnvaru izbeigšanās” (turpmāk – Informatīvais ziņojums) izstrādāts, izpildot Ministru prezidenta 2021.gada 9.aprīļa rezolūcijā Nr. 7.8.5./2021-DOC-846-1065 (turpmāk – Rezolūcija) doto uzdevumu, iepazīties ar Valsts kontroles vēstuli par revīzijas Nr.2.4.1-39/2020 rezultātiem (“Vai publiskā sektora darba devēji, ar darbinieku noslēdzot vienošanos par profesionālās darbības ierobežojumu, nodrošina normatīvajos aktos noteiktās prasības?”) un </w:t>
      </w:r>
      <w:r w:rsidRPr="008C1ED9">
        <w:rPr>
          <w:rFonts w:ascii="Times New Roman" w:eastAsia="Times New Roman" w:hAnsi="Times New Roman"/>
          <w:sz w:val="24"/>
          <w:szCs w:val="24"/>
          <w:u w:val="single"/>
        </w:rPr>
        <w:t xml:space="preserve">izvērtēt iespēju izstrādāt tiesību aktu projektu, kas nosaka publiskas personas kapitālsabiedrību rīcību gadījumos, kad ar </w:t>
      </w:r>
      <w:r w:rsidRPr="008C1ED9">
        <w:rPr>
          <w:rFonts w:ascii="Times New Roman" w:eastAsia="Times New Roman" w:hAnsi="Times New Roman"/>
          <w:b/>
          <w:bCs/>
          <w:sz w:val="24"/>
          <w:szCs w:val="24"/>
          <w:u w:val="single"/>
        </w:rPr>
        <w:t>darbinieku</w:t>
      </w:r>
      <w:r w:rsidRPr="008C1ED9">
        <w:rPr>
          <w:rFonts w:ascii="Times New Roman" w:eastAsia="Times New Roman" w:hAnsi="Times New Roman"/>
          <w:sz w:val="24"/>
          <w:szCs w:val="24"/>
          <w:u w:val="single"/>
        </w:rPr>
        <w:t xml:space="preserve"> tiek slēgta vienošanās par profesionālās darbības ierobežojumu.</w:t>
      </w:r>
      <w:r w:rsidRPr="008C1ED9">
        <w:rPr>
          <w:rFonts w:ascii="Times New Roman" w:eastAsia="Times New Roman" w:hAnsi="Times New Roman"/>
          <w:sz w:val="24"/>
          <w:szCs w:val="24"/>
        </w:rPr>
        <w:t xml:space="preserve"> Rezolūcijā dotais uzdevums izpildāms, sadarbojoties Pārresoru koordinācijas centram</w:t>
      </w:r>
      <w:r w:rsidR="003562FC">
        <w:rPr>
          <w:rFonts w:ascii="Times New Roman" w:eastAsia="Times New Roman" w:hAnsi="Times New Roman"/>
          <w:sz w:val="24"/>
          <w:szCs w:val="24"/>
        </w:rPr>
        <w:t xml:space="preserve"> (pēc likvidācijas – Valsts kanceleja)</w:t>
      </w:r>
      <w:r w:rsidRPr="008C1ED9">
        <w:rPr>
          <w:rFonts w:ascii="Times New Roman" w:eastAsia="Times New Roman" w:hAnsi="Times New Roman"/>
          <w:sz w:val="24"/>
          <w:szCs w:val="24"/>
        </w:rPr>
        <w:t xml:space="preserve">, Labklājības ministrijai un Finanšu ministrijai. </w:t>
      </w:r>
      <w:r w:rsidRPr="008C1ED9">
        <w:rPr>
          <w:rFonts w:ascii="Times New Roman" w:eastAsia="Times New Roman" w:hAnsi="Times New Roman"/>
          <w:b/>
          <w:bCs/>
          <w:sz w:val="24"/>
          <w:szCs w:val="24"/>
        </w:rPr>
        <w:t xml:space="preserve"> </w:t>
      </w:r>
    </w:p>
    <w:p w14:paraId="3017DF1C" w14:textId="70A6419B" w:rsidR="00654188" w:rsidRPr="008C1ED9" w:rsidRDefault="56DAD599" w:rsidP="000D635B">
      <w:pPr>
        <w:pStyle w:val="ListParagraph"/>
        <w:numPr>
          <w:ilvl w:val="0"/>
          <w:numId w:val="7"/>
        </w:numPr>
        <w:spacing w:after="120" w:line="240" w:lineRule="auto"/>
        <w:jc w:val="center"/>
        <w:rPr>
          <w:rFonts w:ascii="Times New Roman" w:eastAsiaTheme="minorEastAsia" w:hAnsi="Times New Roman"/>
          <w:b/>
          <w:bCs/>
          <w:sz w:val="24"/>
          <w:szCs w:val="24"/>
        </w:rPr>
      </w:pPr>
      <w:r w:rsidRPr="008C1ED9">
        <w:rPr>
          <w:rFonts w:ascii="Times New Roman" w:eastAsia="Times New Roman" w:hAnsi="Times New Roman"/>
          <w:b/>
          <w:bCs/>
          <w:sz w:val="24"/>
          <w:szCs w:val="24"/>
        </w:rPr>
        <w:t>Valsts kontroles revīzijā konstatētā situācija</w:t>
      </w:r>
    </w:p>
    <w:p w14:paraId="07934EA3" w14:textId="0A0BE865" w:rsidR="00654188" w:rsidRPr="008C1ED9" w:rsidRDefault="56DAD599" w:rsidP="000D635B">
      <w:pPr>
        <w:spacing w:after="120" w:line="240" w:lineRule="auto"/>
        <w:ind w:firstLine="567"/>
        <w:jc w:val="both"/>
        <w:rPr>
          <w:rFonts w:ascii="Times New Roman" w:hAnsi="Times New Roman"/>
        </w:rPr>
      </w:pPr>
      <w:r w:rsidRPr="008C1ED9">
        <w:rPr>
          <w:rFonts w:ascii="Times New Roman" w:eastAsia="Times New Roman" w:hAnsi="Times New Roman"/>
          <w:color w:val="000000" w:themeColor="text1"/>
          <w:sz w:val="24"/>
          <w:szCs w:val="24"/>
        </w:rPr>
        <w:t xml:space="preserve"> </w:t>
      </w:r>
      <w:r w:rsidRPr="008C1ED9">
        <w:rPr>
          <w:rFonts w:ascii="Times New Roman" w:eastAsia="Times New Roman" w:hAnsi="Times New Roman"/>
          <w:sz w:val="24"/>
          <w:szCs w:val="24"/>
        </w:rPr>
        <w:t xml:space="preserve">Ar Valsts kontroles Trešā revīzijas departamenta 2021.gada 4.marta lēmumu Nr.2.4.1-39/2020. ir apstiprināts </w:t>
      </w:r>
      <w:r w:rsidRPr="008C1ED9">
        <w:rPr>
          <w:rFonts w:ascii="Times New Roman" w:eastAsia="Times New Roman" w:hAnsi="Times New Roman"/>
          <w:color w:val="000000" w:themeColor="text1"/>
          <w:sz w:val="24"/>
          <w:szCs w:val="24"/>
        </w:rPr>
        <w:t xml:space="preserve">Valsts kontroles </w:t>
      </w:r>
      <w:r w:rsidRPr="008C1ED9">
        <w:rPr>
          <w:rFonts w:ascii="Times New Roman" w:eastAsia="Times New Roman" w:hAnsi="Times New Roman"/>
          <w:sz w:val="24"/>
          <w:szCs w:val="24"/>
        </w:rPr>
        <w:t xml:space="preserve">revīzijas ziņojums </w:t>
      </w:r>
      <w:r w:rsidRPr="008C1ED9">
        <w:rPr>
          <w:rFonts w:ascii="Times New Roman" w:eastAsia="Times New Roman" w:hAnsi="Times New Roman"/>
          <w:color w:val="000000" w:themeColor="text1"/>
          <w:sz w:val="24"/>
          <w:szCs w:val="24"/>
        </w:rPr>
        <w:t>“Vai profesionālās darbības ierobežojums publiskajā sektorā tiek noteikts tiesiski?” (turpmāk – Revīzijas ziņojums), kurš tapis, veicot atbilstības revīziju “Vai publiskā sektora darba devēji, ar darbinieku noslēdzot vienošanos par profesionālās darbības ierobežojumu, nodrošina normatīvajos aktos noteiktās prasības?” (turpmāk – Revīzija).</w:t>
      </w:r>
    </w:p>
    <w:p w14:paraId="445B2E78" w14:textId="30773B68" w:rsidR="00654188" w:rsidRPr="008C1ED9" w:rsidRDefault="56DAD599" w:rsidP="000D635B">
      <w:pPr>
        <w:spacing w:after="120" w:line="240" w:lineRule="auto"/>
        <w:ind w:firstLine="567"/>
        <w:jc w:val="both"/>
        <w:rPr>
          <w:rFonts w:ascii="Times New Roman" w:hAnsi="Times New Roman"/>
        </w:rPr>
      </w:pPr>
      <w:r w:rsidRPr="008C1ED9">
        <w:rPr>
          <w:rFonts w:ascii="Times New Roman" w:eastAsia="Times New Roman" w:hAnsi="Times New Roman"/>
          <w:color w:val="000000" w:themeColor="text1"/>
          <w:sz w:val="24"/>
          <w:szCs w:val="24"/>
        </w:rPr>
        <w:t>Revīzijas ietvaros Valsts kontrole izlases veidā apzināja situāciju attiecībā uz profesionālās darbības ierobežojumu piemērošanas praksi 21 publiskas personas kapitālsabiedrībās, četrās valsts dibinātās augstskolās, Rīgas brīvostas pārvaldē un deviņu republikas pilsētu pašvaldību kapitālsabiedrībās (100% piederošās).</w:t>
      </w:r>
    </w:p>
    <w:p w14:paraId="25D1FDEC" w14:textId="357915EE" w:rsidR="00654188" w:rsidRPr="008C1ED9" w:rsidRDefault="56DAD599" w:rsidP="000D635B">
      <w:pPr>
        <w:spacing w:after="120" w:line="240" w:lineRule="auto"/>
        <w:ind w:firstLine="567"/>
        <w:jc w:val="both"/>
        <w:rPr>
          <w:rFonts w:ascii="Times New Roman" w:hAnsi="Times New Roman"/>
        </w:rPr>
      </w:pPr>
      <w:r w:rsidRPr="008C1ED9">
        <w:rPr>
          <w:rFonts w:ascii="Times New Roman" w:eastAsia="Times New Roman" w:hAnsi="Times New Roman"/>
          <w:color w:val="000000" w:themeColor="text1"/>
          <w:sz w:val="24"/>
          <w:szCs w:val="24"/>
        </w:rPr>
        <w:t xml:space="preserve">Revīzijā konstatēts, ka septiņi publiskā sektora darba devēji laika periodā no 2016. gada 25. oktobra līdz 2020. gada septembrim ir noslēguši 16 vienošanās par profesionālās darbības ierobežojumu par kopējo atlīdzības summu 693 189 </w:t>
      </w:r>
      <w:proofErr w:type="spellStart"/>
      <w:r w:rsidRPr="008C1ED9">
        <w:rPr>
          <w:rFonts w:ascii="Times New Roman" w:eastAsia="Times New Roman" w:hAnsi="Times New Roman"/>
          <w:color w:val="000000" w:themeColor="text1"/>
          <w:sz w:val="24"/>
          <w:szCs w:val="24"/>
        </w:rPr>
        <w:t>euro</w:t>
      </w:r>
      <w:proofErr w:type="spellEnd"/>
      <w:r w:rsidRPr="008C1ED9">
        <w:rPr>
          <w:rFonts w:ascii="Times New Roman" w:eastAsia="Times New Roman" w:hAnsi="Times New Roman"/>
          <w:color w:val="000000" w:themeColor="text1"/>
          <w:sz w:val="24"/>
          <w:szCs w:val="24"/>
        </w:rPr>
        <w:t xml:space="preserve"> (iekļaujot darbaspēka nodokļus). Papildus Revīzijā tika analizētas piecas koncernā “Latvijas dzelzceļš” noslēgtās vienošanās par profesionālās darbības ierobežojumu, kuras noslēgtas pirms 2016. gada 25. oktobra, par kopējo summu 522 993 </w:t>
      </w:r>
      <w:proofErr w:type="spellStart"/>
      <w:r w:rsidRPr="008C1ED9">
        <w:rPr>
          <w:rFonts w:ascii="Times New Roman" w:eastAsia="Times New Roman" w:hAnsi="Times New Roman"/>
          <w:color w:val="000000" w:themeColor="text1"/>
          <w:sz w:val="24"/>
          <w:szCs w:val="24"/>
        </w:rPr>
        <w:t>euro</w:t>
      </w:r>
      <w:proofErr w:type="spellEnd"/>
      <w:r w:rsidRPr="008C1ED9">
        <w:rPr>
          <w:rFonts w:ascii="Times New Roman" w:eastAsia="Times New Roman" w:hAnsi="Times New Roman"/>
          <w:color w:val="000000" w:themeColor="text1"/>
          <w:sz w:val="24"/>
          <w:szCs w:val="24"/>
        </w:rPr>
        <w:t xml:space="preserve"> (iekļaujot darbaspēka nodokļus).</w:t>
      </w:r>
    </w:p>
    <w:p w14:paraId="146B79ED" w14:textId="306F27DC" w:rsidR="00654188" w:rsidRDefault="56DAD599" w:rsidP="56DAD599">
      <w:pPr>
        <w:spacing w:after="120" w:line="240" w:lineRule="auto"/>
        <w:jc w:val="both"/>
      </w:pPr>
      <w:r w:rsidRPr="56DAD599">
        <w:rPr>
          <w:rFonts w:ascii="Times New Roman" w:eastAsia="Times New Roman" w:hAnsi="Times New Roman"/>
          <w:color w:val="0070C0"/>
          <w:sz w:val="24"/>
          <w:szCs w:val="24"/>
        </w:rPr>
        <w:t>1.tabula. Publiskā sektora darba devēju noslēgtās vienošanās un  izmaksātā atlīdzība par profesionālās darbības ierobežojumu (iekļaujot darbaspēka nodokļus)</w:t>
      </w:r>
    </w:p>
    <w:tbl>
      <w:tblPr>
        <w:tblStyle w:val="TableGrid"/>
        <w:tblW w:w="0" w:type="auto"/>
        <w:tblLayout w:type="fixed"/>
        <w:tblLook w:val="04A0" w:firstRow="1" w:lastRow="0" w:firstColumn="1" w:lastColumn="0" w:noHBand="0" w:noVBand="1"/>
      </w:tblPr>
      <w:tblGrid>
        <w:gridCol w:w="6260"/>
        <w:gridCol w:w="2800"/>
      </w:tblGrid>
      <w:tr w:rsidR="56DAD599" w14:paraId="4DBA5854" w14:textId="77777777" w:rsidTr="56DAD599">
        <w:trPr>
          <w:trHeight w:val="720"/>
        </w:trPr>
        <w:tc>
          <w:tcPr>
            <w:tcW w:w="6260" w:type="dxa"/>
            <w:tcBorders>
              <w:top w:val="single" w:sz="8" w:space="0" w:color="3D87C7"/>
              <w:left w:val="single" w:sz="8" w:space="0" w:color="3D87C7"/>
              <w:bottom w:val="nil"/>
              <w:right w:val="nil"/>
            </w:tcBorders>
            <w:shd w:val="clear" w:color="auto" w:fill="3D87C7"/>
          </w:tcPr>
          <w:p w14:paraId="7BD70CF9" w14:textId="06BF35B1" w:rsidR="56DAD599" w:rsidRDefault="56DAD599" w:rsidP="56DAD599">
            <w:pPr>
              <w:jc w:val="center"/>
            </w:pPr>
            <w:r w:rsidRPr="56DAD599">
              <w:rPr>
                <w:rFonts w:ascii="Times New Roman" w:eastAsia="Times New Roman" w:hAnsi="Times New Roman"/>
                <w:b/>
                <w:bCs/>
                <w:color w:val="FFFFFF" w:themeColor="background1"/>
                <w:sz w:val="23"/>
                <w:szCs w:val="23"/>
              </w:rPr>
              <w:t>Darba devējs, vienotais reģistrācijas numurs</w:t>
            </w:r>
          </w:p>
        </w:tc>
        <w:tc>
          <w:tcPr>
            <w:tcW w:w="2800" w:type="dxa"/>
            <w:tcBorders>
              <w:top w:val="single" w:sz="8" w:space="0" w:color="3D87C7"/>
              <w:left w:val="nil"/>
              <w:bottom w:val="nil"/>
              <w:right w:val="single" w:sz="8" w:space="0" w:color="3D87C7"/>
            </w:tcBorders>
            <w:shd w:val="clear" w:color="auto" w:fill="3D87C7"/>
          </w:tcPr>
          <w:p w14:paraId="3C4AE547" w14:textId="1B153876" w:rsidR="56DAD599" w:rsidRDefault="56DAD599" w:rsidP="56DAD599">
            <w:pPr>
              <w:jc w:val="center"/>
            </w:pPr>
            <w:r w:rsidRPr="56DAD599">
              <w:rPr>
                <w:rFonts w:ascii="Times New Roman" w:eastAsia="Times New Roman" w:hAnsi="Times New Roman"/>
                <w:b/>
                <w:bCs/>
                <w:color w:val="FFFFFF" w:themeColor="background1"/>
                <w:sz w:val="23"/>
                <w:szCs w:val="23"/>
              </w:rPr>
              <w:t>Atlīdzības apmērs (</w:t>
            </w:r>
            <w:proofErr w:type="spellStart"/>
            <w:r w:rsidRPr="56DAD599">
              <w:rPr>
                <w:rFonts w:ascii="Times New Roman" w:eastAsia="Times New Roman" w:hAnsi="Times New Roman"/>
                <w:b/>
                <w:bCs/>
                <w:i/>
                <w:iCs/>
                <w:color w:val="FFFFFF" w:themeColor="background1"/>
                <w:sz w:val="23"/>
                <w:szCs w:val="23"/>
              </w:rPr>
              <w:t>euro</w:t>
            </w:r>
            <w:proofErr w:type="spellEnd"/>
            <w:r w:rsidRPr="56DAD599">
              <w:rPr>
                <w:rFonts w:ascii="Times New Roman" w:eastAsia="Times New Roman" w:hAnsi="Times New Roman"/>
                <w:b/>
                <w:bCs/>
                <w:color w:val="FFFFFF" w:themeColor="background1"/>
                <w:sz w:val="23"/>
                <w:szCs w:val="23"/>
              </w:rPr>
              <w:t>)</w:t>
            </w:r>
          </w:p>
        </w:tc>
      </w:tr>
      <w:tr w:rsidR="56DAD599" w14:paraId="5A421A4F" w14:textId="77777777" w:rsidTr="56DAD599">
        <w:trPr>
          <w:trHeight w:val="300"/>
        </w:trPr>
        <w:tc>
          <w:tcPr>
            <w:tcW w:w="6260" w:type="dxa"/>
            <w:tcBorders>
              <w:top w:val="single" w:sz="8" w:space="0" w:color="3D87C7"/>
              <w:left w:val="single" w:sz="8" w:space="0" w:color="3D87C7"/>
              <w:bottom w:val="single" w:sz="8" w:space="0" w:color="3D87C7"/>
              <w:right w:val="nil"/>
            </w:tcBorders>
            <w:shd w:val="clear" w:color="auto" w:fill="FFFFFF" w:themeFill="background1"/>
          </w:tcPr>
          <w:p w14:paraId="241669A0" w14:textId="155EFCEF" w:rsidR="56DAD599" w:rsidRDefault="56DAD599" w:rsidP="56DAD599">
            <w:pPr>
              <w:jc w:val="both"/>
            </w:pPr>
            <w:r w:rsidRPr="56DAD599">
              <w:rPr>
                <w:rFonts w:ascii="Times New Roman" w:eastAsia="Times New Roman" w:hAnsi="Times New Roman"/>
                <w:color w:val="000000" w:themeColor="text1"/>
                <w:sz w:val="23"/>
                <w:szCs w:val="23"/>
              </w:rPr>
              <w:t>AS “Augstsprieguma tīkls”</w:t>
            </w:r>
            <w:hyperlink r:id="rId8" w:anchor="_edn1">
              <w:r w:rsidRPr="56DAD599">
                <w:rPr>
                  <w:rStyle w:val="Hyperlink"/>
                  <w:rFonts w:ascii="Times New Roman" w:eastAsia="Times New Roman" w:hAnsi="Times New Roman"/>
                  <w:b/>
                  <w:bCs/>
                  <w:sz w:val="23"/>
                  <w:szCs w:val="23"/>
                  <w:vertAlign w:val="superscript"/>
                </w:rPr>
                <w:t>[1]</w:t>
              </w:r>
            </w:hyperlink>
            <w:r w:rsidRPr="56DAD599">
              <w:rPr>
                <w:rFonts w:ascii="Times New Roman" w:eastAsia="Times New Roman" w:hAnsi="Times New Roman"/>
                <w:color w:val="000000" w:themeColor="text1"/>
                <w:sz w:val="23"/>
                <w:szCs w:val="23"/>
              </w:rPr>
              <w:t>,</w:t>
            </w:r>
          </w:p>
          <w:p w14:paraId="4A4C7359" w14:textId="13CF7CF4" w:rsidR="56DAD599" w:rsidRDefault="56DAD599" w:rsidP="56DAD599">
            <w:pPr>
              <w:jc w:val="both"/>
            </w:pPr>
            <w:r w:rsidRPr="56DAD599">
              <w:rPr>
                <w:rFonts w:ascii="Arial" w:eastAsia="Arial" w:hAnsi="Arial" w:cs="Arial"/>
                <w:b/>
                <w:bCs/>
                <w:color w:val="525252" w:themeColor="accent3" w:themeShade="80"/>
                <w:sz w:val="21"/>
                <w:szCs w:val="21"/>
              </w:rPr>
              <w:t xml:space="preserve"> </w:t>
            </w:r>
            <w:r w:rsidRPr="56DAD599">
              <w:rPr>
                <w:rFonts w:ascii="Times New Roman" w:eastAsia="Times New Roman" w:hAnsi="Times New Roman"/>
                <w:color w:val="000000" w:themeColor="text1"/>
                <w:sz w:val="23"/>
                <w:szCs w:val="23"/>
              </w:rPr>
              <w:t>40003575567</w:t>
            </w:r>
          </w:p>
        </w:tc>
        <w:tc>
          <w:tcPr>
            <w:tcW w:w="2800" w:type="dxa"/>
            <w:tcBorders>
              <w:top w:val="single" w:sz="8" w:space="0" w:color="3D87C7"/>
              <w:left w:val="nil"/>
              <w:bottom w:val="single" w:sz="8" w:space="0" w:color="3D87C7"/>
              <w:right w:val="single" w:sz="8" w:space="0" w:color="3D87C7"/>
            </w:tcBorders>
          </w:tcPr>
          <w:p w14:paraId="414A3F5E" w14:textId="4E24DCC0" w:rsidR="56DAD599" w:rsidRDefault="56DAD599" w:rsidP="56DAD599">
            <w:pPr>
              <w:jc w:val="center"/>
            </w:pPr>
            <w:r w:rsidRPr="56DAD599">
              <w:rPr>
                <w:rFonts w:ascii="Times New Roman" w:eastAsia="Times New Roman" w:hAnsi="Times New Roman"/>
                <w:color w:val="000000" w:themeColor="text1"/>
                <w:sz w:val="23"/>
                <w:szCs w:val="23"/>
              </w:rPr>
              <w:t>3100</w:t>
            </w:r>
          </w:p>
        </w:tc>
      </w:tr>
      <w:tr w:rsidR="56DAD599" w14:paraId="07D19321" w14:textId="77777777" w:rsidTr="56DAD599">
        <w:trPr>
          <w:trHeight w:val="300"/>
        </w:trPr>
        <w:tc>
          <w:tcPr>
            <w:tcW w:w="6260" w:type="dxa"/>
            <w:vMerge w:val="restart"/>
            <w:tcBorders>
              <w:top w:val="single" w:sz="8" w:space="0" w:color="3D87C7"/>
              <w:left w:val="single" w:sz="8" w:space="0" w:color="3D87C7"/>
              <w:bottom w:val="single" w:sz="8" w:space="0" w:color="3D87C7"/>
              <w:right w:val="nil"/>
            </w:tcBorders>
            <w:shd w:val="clear" w:color="auto" w:fill="FFFFFF" w:themeFill="background1"/>
          </w:tcPr>
          <w:p w14:paraId="7968546E" w14:textId="7E82983D" w:rsidR="56DAD599" w:rsidRDefault="56DAD599" w:rsidP="56DAD599">
            <w:pPr>
              <w:jc w:val="both"/>
            </w:pPr>
            <w:r w:rsidRPr="56DAD599">
              <w:rPr>
                <w:rFonts w:ascii="Times New Roman" w:eastAsia="Times New Roman" w:hAnsi="Times New Roman"/>
                <w:color w:val="000000" w:themeColor="text1"/>
                <w:sz w:val="23"/>
                <w:szCs w:val="23"/>
              </w:rPr>
              <w:t>AS “</w:t>
            </w:r>
            <w:proofErr w:type="spellStart"/>
            <w:r w:rsidRPr="56DAD599">
              <w:rPr>
                <w:rFonts w:ascii="Times New Roman" w:eastAsia="Times New Roman" w:hAnsi="Times New Roman"/>
                <w:color w:val="000000" w:themeColor="text1"/>
                <w:sz w:val="23"/>
                <w:szCs w:val="23"/>
              </w:rPr>
              <w:t>LatRailNet</w:t>
            </w:r>
            <w:proofErr w:type="spellEnd"/>
            <w:r w:rsidRPr="56DAD599">
              <w:rPr>
                <w:rFonts w:ascii="Times New Roman" w:eastAsia="Times New Roman" w:hAnsi="Times New Roman"/>
                <w:color w:val="000000" w:themeColor="text1"/>
                <w:sz w:val="23"/>
                <w:szCs w:val="23"/>
              </w:rPr>
              <w:t>”</w:t>
            </w:r>
            <w:hyperlink r:id="rId9" w:anchor="_edn2">
              <w:r w:rsidRPr="56DAD599">
                <w:rPr>
                  <w:rStyle w:val="Hyperlink"/>
                  <w:rFonts w:ascii="Times New Roman" w:eastAsia="Times New Roman" w:hAnsi="Times New Roman"/>
                  <w:b/>
                  <w:bCs/>
                  <w:sz w:val="23"/>
                  <w:szCs w:val="23"/>
                  <w:vertAlign w:val="superscript"/>
                </w:rPr>
                <w:t>[2]</w:t>
              </w:r>
            </w:hyperlink>
            <w:r w:rsidRPr="56DAD599">
              <w:rPr>
                <w:rFonts w:ascii="Times New Roman" w:eastAsia="Times New Roman" w:hAnsi="Times New Roman"/>
                <w:color w:val="000000" w:themeColor="text1"/>
                <w:sz w:val="23"/>
                <w:szCs w:val="23"/>
              </w:rPr>
              <w:t>,</w:t>
            </w:r>
          </w:p>
          <w:p w14:paraId="2940E3CD" w14:textId="367929AC" w:rsidR="56DAD599" w:rsidRDefault="56DAD599" w:rsidP="56DAD599">
            <w:pPr>
              <w:jc w:val="both"/>
            </w:pPr>
            <w:r w:rsidRPr="56DAD599">
              <w:rPr>
                <w:rFonts w:ascii="Times New Roman" w:eastAsia="Times New Roman" w:hAnsi="Times New Roman"/>
                <w:color w:val="000000" w:themeColor="text1"/>
                <w:sz w:val="23"/>
                <w:szCs w:val="23"/>
              </w:rPr>
              <w:t>40103361063</w:t>
            </w:r>
          </w:p>
        </w:tc>
        <w:tc>
          <w:tcPr>
            <w:tcW w:w="2800" w:type="dxa"/>
            <w:tcBorders>
              <w:top w:val="single" w:sz="8" w:space="0" w:color="3D87C7"/>
              <w:left w:val="nil"/>
              <w:bottom w:val="nil"/>
              <w:right w:val="single" w:sz="8" w:space="0" w:color="3D87C7"/>
            </w:tcBorders>
          </w:tcPr>
          <w:p w14:paraId="40A8934F" w14:textId="173725DB" w:rsidR="56DAD599" w:rsidRDefault="56DAD599" w:rsidP="56DAD599">
            <w:pPr>
              <w:jc w:val="center"/>
            </w:pPr>
            <w:r w:rsidRPr="56DAD599">
              <w:rPr>
                <w:rFonts w:ascii="Times New Roman" w:eastAsia="Times New Roman" w:hAnsi="Times New Roman"/>
                <w:color w:val="000000" w:themeColor="text1"/>
                <w:sz w:val="23"/>
                <w:szCs w:val="23"/>
              </w:rPr>
              <w:t>6871</w:t>
            </w:r>
          </w:p>
        </w:tc>
      </w:tr>
      <w:tr w:rsidR="00BB094D" w14:paraId="3411ED28" w14:textId="77777777" w:rsidTr="56DAD599">
        <w:trPr>
          <w:trHeight w:val="300"/>
        </w:trPr>
        <w:tc>
          <w:tcPr>
            <w:tcW w:w="6260" w:type="dxa"/>
            <w:vMerge/>
            <w:vAlign w:val="center"/>
          </w:tcPr>
          <w:p w14:paraId="595DBBE7" w14:textId="77777777" w:rsidR="001012B4" w:rsidRDefault="001012B4"/>
        </w:tc>
        <w:tc>
          <w:tcPr>
            <w:tcW w:w="2800" w:type="dxa"/>
            <w:tcBorders>
              <w:top w:val="single" w:sz="8" w:space="0" w:color="3D87C7"/>
              <w:left w:val="nil"/>
              <w:bottom w:val="single" w:sz="8" w:space="0" w:color="3D87C7"/>
              <w:right w:val="single" w:sz="8" w:space="0" w:color="3D87C7"/>
            </w:tcBorders>
          </w:tcPr>
          <w:p w14:paraId="6C5DCA3F" w14:textId="486E7869" w:rsidR="56DAD599" w:rsidRDefault="56DAD599" w:rsidP="56DAD599">
            <w:pPr>
              <w:jc w:val="center"/>
            </w:pPr>
            <w:r w:rsidRPr="56DAD599">
              <w:rPr>
                <w:rFonts w:ascii="Times New Roman" w:eastAsia="Times New Roman" w:hAnsi="Times New Roman"/>
                <w:color w:val="000000" w:themeColor="text1"/>
                <w:sz w:val="23"/>
                <w:szCs w:val="23"/>
              </w:rPr>
              <w:t>65 478</w:t>
            </w:r>
          </w:p>
        </w:tc>
      </w:tr>
      <w:tr w:rsidR="56DAD599" w14:paraId="4DBB91D5" w14:textId="77777777" w:rsidTr="56DAD599">
        <w:trPr>
          <w:trHeight w:val="300"/>
        </w:trPr>
        <w:tc>
          <w:tcPr>
            <w:tcW w:w="6260" w:type="dxa"/>
            <w:vMerge w:val="restart"/>
            <w:tcBorders>
              <w:top w:val="nil"/>
              <w:left w:val="single" w:sz="8" w:space="0" w:color="3D87C7"/>
              <w:bottom w:val="single" w:sz="8" w:space="0" w:color="3D87C7"/>
              <w:right w:val="nil"/>
            </w:tcBorders>
            <w:shd w:val="clear" w:color="auto" w:fill="FFFFFF" w:themeFill="background1"/>
          </w:tcPr>
          <w:p w14:paraId="120B386F" w14:textId="587E1831" w:rsidR="56DAD599" w:rsidRDefault="56DAD599" w:rsidP="56DAD599">
            <w:pPr>
              <w:jc w:val="both"/>
            </w:pPr>
            <w:r w:rsidRPr="56DAD599">
              <w:rPr>
                <w:rFonts w:ascii="Times New Roman" w:eastAsia="Times New Roman" w:hAnsi="Times New Roman"/>
                <w:color w:val="000000" w:themeColor="text1"/>
                <w:sz w:val="23"/>
                <w:szCs w:val="23"/>
              </w:rPr>
              <w:t>Latvijas Universitāte</w:t>
            </w:r>
            <w:hyperlink r:id="rId10" w:anchor="_edn3">
              <w:r w:rsidRPr="56DAD599">
                <w:rPr>
                  <w:rStyle w:val="Hyperlink"/>
                  <w:rFonts w:ascii="Times New Roman" w:eastAsia="Times New Roman" w:hAnsi="Times New Roman"/>
                  <w:b/>
                  <w:bCs/>
                  <w:sz w:val="23"/>
                  <w:szCs w:val="23"/>
                  <w:vertAlign w:val="superscript"/>
                </w:rPr>
                <w:t>[3]</w:t>
              </w:r>
            </w:hyperlink>
            <w:r w:rsidRPr="56DAD599">
              <w:rPr>
                <w:rFonts w:ascii="Times New Roman" w:eastAsia="Times New Roman" w:hAnsi="Times New Roman"/>
                <w:color w:val="000000" w:themeColor="text1"/>
                <w:sz w:val="23"/>
                <w:szCs w:val="23"/>
              </w:rPr>
              <w:t>,</w:t>
            </w:r>
          </w:p>
          <w:p w14:paraId="0E9DE8B1" w14:textId="4099C68B" w:rsidR="56DAD599" w:rsidRDefault="56DAD599" w:rsidP="56DAD599">
            <w:pPr>
              <w:jc w:val="both"/>
            </w:pPr>
            <w:r w:rsidRPr="56DAD599">
              <w:rPr>
                <w:rFonts w:ascii="Times New Roman" w:eastAsia="Times New Roman" w:hAnsi="Times New Roman"/>
                <w:color w:val="000000" w:themeColor="text1"/>
                <w:sz w:val="23"/>
                <w:szCs w:val="23"/>
              </w:rPr>
              <w:t>90000076669</w:t>
            </w:r>
          </w:p>
        </w:tc>
        <w:tc>
          <w:tcPr>
            <w:tcW w:w="2800" w:type="dxa"/>
            <w:tcBorders>
              <w:top w:val="single" w:sz="8" w:space="0" w:color="3D87C7"/>
              <w:left w:val="nil"/>
              <w:bottom w:val="nil"/>
              <w:right w:val="single" w:sz="8" w:space="0" w:color="3D87C7"/>
            </w:tcBorders>
          </w:tcPr>
          <w:p w14:paraId="1F49E560" w14:textId="04AA02EA" w:rsidR="56DAD599" w:rsidRDefault="56DAD599" w:rsidP="56DAD599">
            <w:pPr>
              <w:jc w:val="center"/>
            </w:pPr>
            <w:r w:rsidRPr="56DAD599">
              <w:rPr>
                <w:rFonts w:ascii="Times New Roman" w:eastAsia="Times New Roman" w:hAnsi="Times New Roman"/>
                <w:color w:val="000000" w:themeColor="text1"/>
                <w:sz w:val="23"/>
                <w:szCs w:val="23"/>
              </w:rPr>
              <w:t>20 889</w:t>
            </w:r>
          </w:p>
        </w:tc>
      </w:tr>
      <w:tr w:rsidR="00BB094D" w14:paraId="2BB11679" w14:textId="77777777" w:rsidTr="56DAD599">
        <w:trPr>
          <w:trHeight w:val="435"/>
        </w:trPr>
        <w:tc>
          <w:tcPr>
            <w:tcW w:w="6260" w:type="dxa"/>
            <w:vMerge/>
            <w:vAlign w:val="center"/>
          </w:tcPr>
          <w:p w14:paraId="61413959" w14:textId="77777777" w:rsidR="001012B4" w:rsidRDefault="001012B4"/>
        </w:tc>
        <w:tc>
          <w:tcPr>
            <w:tcW w:w="2800" w:type="dxa"/>
            <w:tcBorders>
              <w:top w:val="single" w:sz="8" w:space="0" w:color="3D87C7"/>
              <w:left w:val="nil"/>
              <w:bottom w:val="single" w:sz="8" w:space="0" w:color="3D87C7"/>
              <w:right w:val="single" w:sz="8" w:space="0" w:color="3D87C7"/>
            </w:tcBorders>
          </w:tcPr>
          <w:p w14:paraId="145D0D86" w14:textId="57F13BEB" w:rsidR="56DAD599" w:rsidRDefault="56DAD599" w:rsidP="56DAD599">
            <w:pPr>
              <w:jc w:val="center"/>
            </w:pPr>
            <w:r w:rsidRPr="56DAD599">
              <w:rPr>
                <w:rFonts w:ascii="Times New Roman" w:eastAsia="Times New Roman" w:hAnsi="Times New Roman"/>
                <w:color w:val="000000" w:themeColor="text1"/>
                <w:sz w:val="23"/>
                <w:szCs w:val="23"/>
              </w:rPr>
              <w:t>20 826</w:t>
            </w:r>
          </w:p>
        </w:tc>
      </w:tr>
      <w:tr w:rsidR="00BB094D" w14:paraId="01FA0FAD" w14:textId="77777777" w:rsidTr="56DAD599">
        <w:trPr>
          <w:trHeight w:val="300"/>
        </w:trPr>
        <w:tc>
          <w:tcPr>
            <w:tcW w:w="6260" w:type="dxa"/>
            <w:vMerge/>
            <w:vAlign w:val="center"/>
          </w:tcPr>
          <w:p w14:paraId="6E3A6627" w14:textId="77777777" w:rsidR="001012B4" w:rsidRDefault="001012B4"/>
        </w:tc>
        <w:tc>
          <w:tcPr>
            <w:tcW w:w="2800" w:type="dxa"/>
            <w:tcBorders>
              <w:top w:val="single" w:sz="8" w:space="0" w:color="3D87C7"/>
              <w:left w:val="nil"/>
              <w:bottom w:val="nil"/>
              <w:right w:val="single" w:sz="8" w:space="0" w:color="3D87C7"/>
            </w:tcBorders>
          </w:tcPr>
          <w:p w14:paraId="74F60934" w14:textId="7BB87BCE" w:rsidR="56DAD599" w:rsidRDefault="56DAD599" w:rsidP="56DAD599">
            <w:pPr>
              <w:jc w:val="center"/>
            </w:pPr>
            <w:r w:rsidRPr="56DAD599">
              <w:rPr>
                <w:rFonts w:ascii="Times New Roman" w:eastAsia="Times New Roman" w:hAnsi="Times New Roman"/>
                <w:color w:val="000000" w:themeColor="text1"/>
                <w:sz w:val="23"/>
                <w:szCs w:val="23"/>
              </w:rPr>
              <w:t>26 296</w:t>
            </w:r>
          </w:p>
        </w:tc>
      </w:tr>
      <w:tr w:rsidR="00BB094D" w14:paraId="0F4D08B3" w14:textId="77777777" w:rsidTr="56DAD599">
        <w:trPr>
          <w:trHeight w:val="300"/>
        </w:trPr>
        <w:tc>
          <w:tcPr>
            <w:tcW w:w="6260" w:type="dxa"/>
            <w:vMerge/>
            <w:vAlign w:val="center"/>
          </w:tcPr>
          <w:p w14:paraId="5E8A22FA" w14:textId="77777777" w:rsidR="001012B4" w:rsidRDefault="001012B4"/>
        </w:tc>
        <w:tc>
          <w:tcPr>
            <w:tcW w:w="2800" w:type="dxa"/>
            <w:tcBorders>
              <w:top w:val="single" w:sz="8" w:space="0" w:color="3D87C7"/>
              <w:left w:val="nil"/>
              <w:bottom w:val="single" w:sz="8" w:space="0" w:color="3D87C7"/>
              <w:right w:val="single" w:sz="8" w:space="0" w:color="3D87C7"/>
            </w:tcBorders>
          </w:tcPr>
          <w:p w14:paraId="2FE98CA1" w14:textId="227683BD" w:rsidR="56DAD599" w:rsidRDefault="56DAD599" w:rsidP="56DAD599">
            <w:pPr>
              <w:jc w:val="center"/>
            </w:pPr>
            <w:r w:rsidRPr="56DAD599">
              <w:rPr>
                <w:rFonts w:ascii="Times New Roman" w:eastAsia="Times New Roman" w:hAnsi="Times New Roman"/>
                <w:color w:val="000000" w:themeColor="text1"/>
                <w:sz w:val="23"/>
                <w:szCs w:val="23"/>
              </w:rPr>
              <w:t>8812</w:t>
            </w:r>
          </w:p>
        </w:tc>
      </w:tr>
      <w:tr w:rsidR="56DAD599" w14:paraId="777CD3F6" w14:textId="77777777" w:rsidTr="56DAD599">
        <w:trPr>
          <w:trHeight w:val="330"/>
        </w:trPr>
        <w:tc>
          <w:tcPr>
            <w:tcW w:w="6260" w:type="dxa"/>
            <w:vMerge w:val="restart"/>
            <w:tcBorders>
              <w:top w:val="nil"/>
              <w:left w:val="single" w:sz="8" w:space="0" w:color="3D87C7"/>
              <w:bottom w:val="single" w:sz="8" w:space="0" w:color="3D87C7"/>
              <w:right w:val="nil"/>
            </w:tcBorders>
            <w:shd w:val="clear" w:color="auto" w:fill="FFFFFF" w:themeFill="background1"/>
          </w:tcPr>
          <w:p w14:paraId="2FFE46B6" w14:textId="75832F93" w:rsidR="56DAD599" w:rsidRDefault="56DAD599" w:rsidP="56DAD599">
            <w:pPr>
              <w:jc w:val="both"/>
            </w:pPr>
            <w:r w:rsidRPr="56DAD599">
              <w:rPr>
                <w:rFonts w:ascii="Times New Roman" w:eastAsia="Times New Roman" w:hAnsi="Times New Roman"/>
                <w:color w:val="000000" w:themeColor="text1"/>
                <w:sz w:val="23"/>
                <w:szCs w:val="23"/>
              </w:rPr>
              <w:t>SIA “LDZ ritošā sastāva serviss”</w:t>
            </w:r>
            <w:hyperlink r:id="rId11" w:anchor="_edn4">
              <w:r w:rsidRPr="56DAD599">
                <w:rPr>
                  <w:rStyle w:val="Hyperlink"/>
                  <w:rFonts w:ascii="Times New Roman" w:eastAsia="Times New Roman" w:hAnsi="Times New Roman"/>
                  <w:b/>
                  <w:bCs/>
                  <w:sz w:val="23"/>
                  <w:szCs w:val="23"/>
                  <w:vertAlign w:val="superscript"/>
                </w:rPr>
                <w:t>[4]</w:t>
              </w:r>
            </w:hyperlink>
            <w:r w:rsidRPr="56DAD599">
              <w:rPr>
                <w:rFonts w:ascii="Times New Roman" w:eastAsia="Times New Roman" w:hAnsi="Times New Roman"/>
                <w:color w:val="000000" w:themeColor="text1"/>
                <w:sz w:val="23"/>
                <w:szCs w:val="23"/>
              </w:rPr>
              <w:t>,</w:t>
            </w:r>
          </w:p>
          <w:p w14:paraId="02656A68" w14:textId="5141D538" w:rsidR="56DAD599" w:rsidRDefault="56DAD599" w:rsidP="56DAD599">
            <w:pPr>
              <w:jc w:val="both"/>
            </w:pPr>
            <w:r w:rsidRPr="56DAD599">
              <w:rPr>
                <w:rFonts w:ascii="Times New Roman" w:eastAsia="Times New Roman" w:hAnsi="Times New Roman"/>
                <w:color w:val="000000" w:themeColor="text1"/>
                <w:sz w:val="23"/>
                <w:szCs w:val="23"/>
              </w:rPr>
              <w:lastRenderedPageBreak/>
              <w:t>40003788351</w:t>
            </w:r>
          </w:p>
        </w:tc>
        <w:tc>
          <w:tcPr>
            <w:tcW w:w="2800" w:type="dxa"/>
            <w:tcBorders>
              <w:top w:val="single" w:sz="8" w:space="0" w:color="3D87C7"/>
              <w:left w:val="nil"/>
              <w:bottom w:val="nil"/>
              <w:right w:val="single" w:sz="8" w:space="0" w:color="3D87C7"/>
            </w:tcBorders>
          </w:tcPr>
          <w:p w14:paraId="66BDF567" w14:textId="361F6295" w:rsidR="56DAD599" w:rsidRDefault="56DAD599" w:rsidP="56DAD599">
            <w:pPr>
              <w:jc w:val="center"/>
            </w:pPr>
            <w:r w:rsidRPr="56DAD599">
              <w:rPr>
                <w:rFonts w:ascii="Times New Roman" w:eastAsia="Times New Roman" w:hAnsi="Times New Roman"/>
                <w:color w:val="000000" w:themeColor="text1"/>
                <w:sz w:val="23"/>
                <w:szCs w:val="23"/>
              </w:rPr>
              <w:lastRenderedPageBreak/>
              <w:t>39 289</w:t>
            </w:r>
          </w:p>
        </w:tc>
      </w:tr>
      <w:tr w:rsidR="00BB094D" w14:paraId="33863CB9" w14:textId="77777777" w:rsidTr="56DAD599">
        <w:trPr>
          <w:trHeight w:val="300"/>
        </w:trPr>
        <w:tc>
          <w:tcPr>
            <w:tcW w:w="6260" w:type="dxa"/>
            <w:vMerge/>
            <w:vAlign w:val="center"/>
          </w:tcPr>
          <w:p w14:paraId="67594026" w14:textId="77777777" w:rsidR="001012B4" w:rsidRDefault="001012B4"/>
        </w:tc>
        <w:tc>
          <w:tcPr>
            <w:tcW w:w="2800" w:type="dxa"/>
            <w:tcBorders>
              <w:top w:val="single" w:sz="8" w:space="0" w:color="3D87C7"/>
              <w:left w:val="nil"/>
              <w:bottom w:val="single" w:sz="8" w:space="0" w:color="3D87C7"/>
              <w:right w:val="single" w:sz="8" w:space="0" w:color="3D87C7"/>
            </w:tcBorders>
          </w:tcPr>
          <w:p w14:paraId="1CE5EE12" w14:textId="6D269FED" w:rsidR="56DAD599" w:rsidRDefault="56DAD599" w:rsidP="56DAD599">
            <w:pPr>
              <w:jc w:val="center"/>
            </w:pPr>
            <w:r w:rsidRPr="56DAD599">
              <w:rPr>
                <w:rFonts w:ascii="Times New Roman" w:eastAsia="Times New Roman" w:hAnsi="Times New Roman"/>
                <w:color w:val="000000" w:themeColor="text1"/>
                <w:sz w:val="23"/>
                <w:szCs w:val="23"/>
              </w:rPr>
              <w:t>31 939</w:t>
            </w:r>
          </w:p>
        </w:tc>
      </w:tr>
      <w:tr w:rsidR="00BB094D" w14:paraId="4ECB3E00" w14:textId="77777777" w:rsidTr="56DAD599">
        <w:trPr>
          <w:trHeight w:val="300"/>
        </w:trPr>
        <w:tc>
          <w:tcPr>
            <w:tcW w:w="6260" w:type="dxa"/>
            <w:vMerge/>
            <w:vAlign w:val="center"/>
          </w:tcPr>
          <w:p w14:paraId="2903DABA" w14:textId="77777777" w:rsidR="001012B4" w:rsidRDefault="001012B4"/>
        </w:tc>
        <w:tc>
          <w:tcPr>
            <w:tcW w:w="2800" w:type="dxa"/>
            <w:tcBorders>
              <w:top w:val="single" w:sz="8" w:space="0" w:color="3D87C7"/>
              <w:left w:val="nil"/>
              <w:bottom w:val="nil"/>
              <w:right w:val="single" w:sz="8" w:space="0" w:color="3D87C7"/>
            </w:tcBorders>
          </w:tcPr>
          <w:p w14:paraId="7D58B359" w14:textId="783EF08E" w:rsidR="56DAD599" w:rsidRDefault="56DAD599" w:rsidP="56DAD599">
            <w:pPr>
              <w:jc w:val="center"/>
            </w:pPr>
            <w:r w:rsidRPr="56DAD599">
              <w:rPr>
                <w:rFonts w:ascii="Times New Roman" w:eastAsia="Times New Roman" w:hAnsi="Times New Roman"/>
                <w:color w:val="000000" w:themeColor="text1"/>
                <w:sz w:val="23"/>
                <w:szCs w:val="23"/>
              </w:rPr>
              <w:t>19 729</w:t>
            </w:r>
          </w:p>
        </w:tc>
      </w:tr>
      <w:tr w:rsidR="00BB094D" w14:paraId="03B2496B" w14:textId="77777777" w:rsidTr="56DAD599">
        <w:trPr>
          <w:trHeight w:val="45"/>
        </w:trPr>
        <w:tc>
          <w:tcPr>
            <w:tcW w:w="6260" w:type="dxa"/>
            <w:vMerge/>
            <w:vAlign w:val="center"/>
          </w:tcPr>
          <w:p w14:paraId="2E1C839D" w14:textId="77777777" w:rsidR="001012B4" w:rsidRDefault="001012B4"/>
        </w:tc>
        <w:tc>
          <w:tcPr>
            <w:tcW w:w="2800" w:type="dxa"/>
            <w:tcBorders>
              <w:top w:val="single" w:sz="8" w:space="0" w:color="3D87C7"/>
              <w:left w:val="nil"/>
              <w:bottom w:val="single" w:sz="8" w:space="0" w:color="3D87C7"/>
              <w:right w:val="single" w:sz="8" w:space="0" w:color="3D87C7"/>
            </w:tcBorders>
          </w:tcPr>
          <w:p w14:paraId="7EC7DCD4" w14:textId="25D0F40E" w:rsidR="56DAD599" w:rsidRDefault="56DAD599" w:rsidP="56DAD599">
            <w:pPr>
              <w:jc w:val="center"/>
            </w:pPr>
            <w:r w:rsidRPr="56DAD599">
              <w:rPr>
                <w:rFonts w:ascii="Times New Roman" w:eastAsia="Times New Roman" w:hAnsi="Times New Roman"/>
                <w:color w:val="000000" w:themeColor="text1"/>
                <w:sz w:val="23"/>
                <w:szCs w:val="23"/>
              </w:rPr>
              <w:t>29 454</w:t>
            </w:r>
          </w:p>
        </w:tc>
      </w:tr>
      <w:tr w:rsidR="56DAD599" w14:paraId="0A2C9E02" w14:textId="77777777" w:rsidTr="56DAD599">
        <w:trPr>
          <w:trHeight w:val="300"/>
        </w:trPr>
        <w:tc>
          <w:tcPr>
            <w:tcW w:w="6260" w:type="dxa"/>
            <w:vMerge w:val="restart"/>
            <w:tcBorders>
              <w:top w:val="nil"/>
              <w:left w:val="single" w:sz="8" w:space="0" w:color="3D87C7"/>
              <w:bottom w:val="nil"/>
              <w:right w:val="nil"/>
            </w:tcBorders>
            <w:shd w:val="clear" w:color="auto" w:fill="FFFFFF" w:themeFill="background1"/>
          </w:tcPr>
          <w:p w14:paraId="0B0FB356" w14:textId="4952B3A8" w:rsidR="56DAD599" w:rsidRDefault="56DAD599" w:rsidP="56DAD599">
            <w:pPr>
              <w:jc w:val="both"/>
            </w:pPr>
            <w:r w:rsidRPr="56DAD599">
              <w:rPr>
                <w:rFonts w:ascii="Times New Roman" w:eastAsia="Times New Roman" w:hAnsi="Times New Roman"/>
                <w:color w:val="000000" w:themeColor="text1"/>
                <w:sz w:val="23"/>
                <w:szCs w:val="23"/>
              </w:rPr>
              <w:t>VAS “Latvijas dzelzceļš”</w:t>
            </w:r>
            <w:hyperlink r:id="rId12" w:anchor="_edn5">
              <w:r w:rsidRPr="56DAD599">
                <w:rPr>
                  <w:rStyle w:val="Hyperlink"/>
                  <w:rFonts w:ascii="Times New Roman" w:eastAsia="Times New Roman" w:hAnsi="Times New Roman"/>
                  <w:b/>
                  <w:bCs/>
                  <w:sz w:val="23"/>
                  <w:szCs w:val="23"/>
                  <w:vertAlign w:val="superscript"/>
                </w:rPr>
                <w:t>[5]</w:t>
              </w:r>
            </w:hyperlink>
            <w:r w:rsidRPr="56DAD599">
              <w:rPr>
                <w:rFonts w:ascii="Times New Roman" w:eastAsia="Times New Roman" w:hAnsi="Times New Roman"/>
                <w:color w:val="000000" w:themeColor="text1"/>
                <w:sz w:val="23"/>
                <w:szCs w:val="23"/>
              </w:rPr>
              <w:t>,</w:t>
            </w:r>
          </w:p>
          <w:p w14:paraId="049CA427" w14:textId="3A845A42" w:rsidR="56DAD599" w:rsidRDefault="56DAD599" w:rsidP="56DAD599">
            <w:pPr>
              <w:jc w:val="both"/>
            </w:pPr>
            <w:r w:rsidRPr="56DAD599">
              <w:rPr>
                <w:rFonts w:ascii="Times New Roman" w:eastAsia="Times New Roman" w:hAnsi="Times New Roman"/>
                <w:color w:val="000000" w:themeColor="text1"/>
                <w:sz w:val="23"/>
                <w:szCs w:val="23"/>
              </w:rPr>
              <w:t>40003032065</w:t>
            </w:r>
          </w:p>
          <w:p w14:paraId="0F8781F4" w14:textId="190120EF" w:rsidR="56DAD599" w:rsidRDefault="56DAD599" w:rsidP="56DAD599">
            <w:pPr>
              <w:jc w:val="both"/>
            </w:pPr>
            <w:r w:rsidRPr="56DAD599">
              <w:rPr>
                <w:rFonts w:ascii="Times New Roman" w:eastAsia="Times New Roman" w:hAnsi="Times New Roman"/>
                <w:color w:val="000000" w:themeColor="text1"/>
                <w:sz w:val="23"/>
                <w:szCs w:val="23"/>
              </w:rPr>
              <w:t xml:space="preserve"> </w:t>
            </w:r>
          </w:p>
        </w:tc>
        <w:tc>
          <w:tcPr>
            <w:tcW w:w="2800" w:type="dxa"/>
            <w:tcBorders>
              <w:top w:val="single" w:sz="8" w:space="0" w:color="3D87C7"/>
              <w:left w:val="nil"/>
              <w:bottom w:val="nil"/>
              <w:right w:val="single" w:sz="8" w:space="0" w:color="3D87C7"/>
            </w:tcBorders>
          </w:tcPr>
          <w:p w14:paraId="78396A2E" w14:textId="607FC9F1" w:rsidR="56DAD599" w:rsidRDefault="56DAD599" w:rsidP="56DAD599">
            <w:pPr>
              <w:jc w:val="center"/>
            </w:pPr>
            <w:r w:rsidRPr="56DAD599">
              <w:rPr>
                <w:rFonts w:ascii="Times New Roman" w:eastAsia="Times New Roman" w:hAnsi="Times New Roman"/>
                <w:color w:val="000000" w:themeColor="text1"/>
                <w:sz w:val="23"/>
                <w:szCs w:val="23"/>
              </w:rPr>
              <w:t>60 385</w:t>
            </w:r>
          </w:p>
        </w:tc>
      </w:tr>
      <w:tr w:rsidR="00BB094D" w14:paraId="37723812" w14:textId="77777777" w:rsidTr="56DAD599">
        <w:trPr>
          <w:trHeight w:val="300"/>
        </w:trPr>
        <w:tc>
          <w:tcPr>
            <w:tcW w:w="6260" w:type="dxa"/>
            <w:vMerge/>
            <w:vAlign w:val="center"/>
          </w:tcPr>
          <w:p w14:paraId="4B1F9C25" w14:textId="77777777" w:rsidR="001012B4" w:rsidRDefault="001012B4"/>
        </w:tc>
        <w:tc>
          <w:tcPr>
            <w:tcW w:w="2800" w:type="dxa"/>
            <w:tcBorders>
              <w:top w:val="single" w:sz="8" w:space="0" w:color="3D87C7"/>
              <w:left w:val="nil"/>
              <w:bottom w:val="single" w:sz="8" w:space="0" w:color="3D87C7"/>
              <w:right w:val="single" w:sz="8" w:space="0" w:color="3D87C7"/>
            </w:tcBorders>
          </w:tcPr>
          <w:p w14:paraId="0983B859" w14:textId="4041D771" w:rsidR="56DAD599" w:rsidRDefault="56DAD599" w:rsidP="56DAD599">
            <w:pPr>
              <w:jc w:val="center"/>
            </w:pPr>
            <w:r w:rsidRPr="56DAD599">
              <w:rPr>
                <w:rFonts w:ascii="Times New Roman" w:eastAsia="Times New Roman" w:hAnsi="Times New Roman"/>
                <w:color w:val="000000" w:themeColor="text1"/>
                <w:sz w:val="23"/>
                <w:szCs w:val="23"/>
              </w:rPr>
              <w:t>145 133</w:t>
            </w:r>
          </w:p>
        </w:tc>
      </w:tr>
      <w:tr w:rsidR="00BB094D" w14:paraId="63F95E9D" w14:textId="77777777" w:rsidTr="56DAD599">
        <w:trPr>
          <w:trHeight w:val="300"/>
        </w:trPr>
        <w:tc>
          <w:tcPr>
            <w:tcW w:w="6260" w:type="dxa"/>
            <w:vMerge/>
            <w:vAlign w:val="center"/>
          </w:tcPr>
          <w:p w14:paraId="3928E4B8" w14:textId="77777777" w:rsidR="001012B4" w:rsidRDefault="001012B4"/>
        </w:tc>
        <w:tc>
          <w:tcPr>
            <w:tcW w:w="2800" w:type="dxa"/>
            <w:tcBorders>
              <w:top w:val="single" w:sz="8" w:space="0" w:color="3D87C7"/>
              <w:left w:val="nil"/>
              <w:bottom w:val="nil"/>
              <w:right w:val="single" w:sz="8" w:space="0" w:color="3D87C7"/>
            </w:tcBorders>
          </w:tcPr>
          <w:p w14:paraId="60842A6D" w14:textId="5E9D64BB" w:rsidR="56DAD599" w:rsidRDefault="56DAD599" w:rsidP="56DAD599">
            <w:pPr>
              <w:jc w:val="center"/>
            </w:pPr>
            <w:r w:rsidRPr="56DAD599">
              <w:rPr>
                <w:rFonts w:ascii="Times New Roman" w:eastAsia="Times New Roman" w:hAnsi="Times New Roman"/>
                <w:color w:val="000000" w:themeColor="text1"/>
                <w:sz w:val="23"/>
                <w:szCs w:val="23"/>
              </w:rPr>
              <w:t>180 095</w:t>
            </w:r>
          </w:p>
        </w:tc>
      </w:tr>
      <w:tr w:rsidR="00BB094D" w14:paraId="1B70F30C" w14:textId="77777777" w:rsidTr="56DAD599">
        <w:trPr>
          <w:trHeight w:val="300"/>
        </w:trPr>
        <w:tc>
          <w:tcPr>
            <w:tcW w:w="6260" w:type="dxa"/>
            <w:vMerge/>
            <w:vAlign w:val="center"/>
          </w:tcPr>
          <w:p w14:paraId="20BA5627" w14:textId="77777777" w:rsidR="001012B4" w:rsidRDefault="001012B4"/>
        </w:tc>
        <w:tc>
          <w:tcPr>
            <w:tcW w:w="2800" w:type="dxa"/>
            <w:tcBorders>
              <w:top w:val="single" w:sz="8" w:space="0" w:color="3D87C7"/>
              <w:left w:val="nil"/>
              <w:bottom w:val="single" w:sz="8" w:space="0" w:color="3D87C7"/>
              <w:right w:val="single" w:sz="8" w:space="0" w:color="3D87C7"/>
            </w:tcBorders>
          </w:tcPr>
          <w:p w14:paraId="2B440EC6" w14:textId="4617E39E" w:rsidR="56DAD599" w:rsidRDefault="56DAD599" w:rsidP="56DAD599">
            <w:pPr>
              <w:jc w:val="center"/>
            </w:pPr>
            <w:r w:rsidRPr="56DAD599">
              <w:rPr>
                <w:rFonts w:ascii="Times New Roman" w:eastAsia="Times New Roman" w:hAnsi="Times New Roman"/>
                <w:color w:val="000000" w:themeColor="text1"/>
                <w:sz w:val="23"/>
                <w:szCs w:val="23"/>
              </w:rPr>
              <w:t>144 076</w:t>
            </w:r>
          </w:p>
        </w:tc>
      </w:tr>
      <w:tr w:rsidR="00BB094D" w14:paraId="52C84CC2" w14:textId="77777777" w:rsidTr="56DAD599">
        <w:trPr>
          <w:trHeight w:val="300"/>
        </w:trPr>
        <w:tc>
          <w:tcPr>
            <w:tcW w:w="6260" w:type="dxa"/>
            <w:vMerge/>
            <w:vAlign w:val="center"/>
          </w:tcPr>
          <w:p w14:paraId="1BD22AEA" w14:textId="77777777" w:rsidR="001012B4" w:rsidRDefault="001012B4"/>
        </w:tc>
        <w:tc>
          <w:tcPr>
            <w:tcW w:w="2800" w:type="dxa"/>
            <w:tcBorders>
              <w:top w:val="single" w:sz="8" w:space="0" w:color="3D87C7"/>
              <w:left w:val="nil"/>
              <w:bottom w:val="nil"/>
              <w:right w:val="single" w:sz="8" w:space="0" w:color="3D87C7"/>
            </w:tcBorders>
          </w:tcPr>
          <w:p w14:paraId="704BE91A" w14:textId="7C87B74E" w:rsidR="56DAD599" w:rsidRDefault="56DAD599" w:rsidP="56DAD599">
            <w:pPr>
              <w:jc w:val="center"/>
            </w:pPr>
            <w:r w:rsidRPr="56DAD599">
              <w:rPr>
                <w:rFonts w:ascii="Times New Roman" w:eastAsia="Times New Roman" w:hAnsi="Times New Roman"/>
                <w:color w:val="000000" w:themeColor="text1"/>
                <w:sz w:val="23"/>
                <w:szCs w:val="23"/>
              </w:rPr>
              <w:t>81 155</w:t>
            </w:r>
          </w:p>
        </w:tc>
      </w:tr>
      <w:tr w:rsidR="56DAD599" w14:paraId="293D896F" w14:textId="77777777" w:rsidTr="56DAD599">
        <w:trPr>
          <w:trHeight w:val="180"/>
        </w:trPr>
        <w:tc>
          <w:tcPr>
            <w:tcW w:w="6260" w:type="dxa"/>
            <w:vMerge w:val="restart"/>
            <w:tcBorders>
              <w:top w:val="single" w:sz="8" w:space="0" w:color="3D87C7"/>
              <w:left w:val="single" w:sz="8" w:space="0" w:color="3D87C7"/>
              <w:bottom w:val="nil"/>
              <w:right w:val="nil"/>
            </w:tcBorders>
            <w:shd w:val="clear" w:color="auto" w:fill="FFFFFF" w:themeFill="background1"/>
          </w:tcPr>
          <w:p w14:paraId="7790677A" w14:textId="254B9D8E" w:rsidR="56DAD599" w:rsidRDefault="56DAD599" w:rsidP="56DAD599">
            <w:pPr>
              <w:jc w:val="both"/>
            </w:pPr>
            <w:r w:rsidRPr="56DAD599">
              <w:rPr>
                <w:rFonts w:ascii="Times New Roman" w:eastAsia="Times New Roman" w:hAnsi="Times New Roman"/>
                <w:color w:val="000000" w:themeColor="text1"/>
                <w:sz w:val="23"/>
                <w:szCs w:val="23"/>
              </w:rPr>
              <w:t>VAS “Latvijas Pasts”</w:t>
            </w:r>
            <w:hyperlink r:id="rId13" w:anchor="_edn6">
              <w:r w:rsidRPr="56DAD599">
                <w:rPr>
                  <w:rStyle w:val="Hyperlink"/>
                  <w:rFonts w:ascii="Times New Roman" w:eastAsia="Times New Roman" w:hAnsi="Times New Roman"/>
                  <w:b/>
                  <w:bCs/>
                  <w:sz w:val="23"/>
                  <w:szCs w:val="23"/>
                  <w:vertAlign w:val="superscript"/>
                </w:rPr>
                <w:t>[6]</w:t>
              </w:r>
            </w:hyperlink>
            <w:r w:rsidRPr="56DAD599">
              <w:rPr>
                <w:rFonts w:ascii="Times New Roman" w:eastAsia="Times New Roman" w:hAnsi="Times New Roman"/>
                <w:color w:val="000000" w:themeColor="text1"/>
                <w:sz w:val="23"/>
                <w:szCs w:val="23"/>
              </w:rPr>
              <w:t>,</w:t>
            </w:r>
          </w:p>
          <w:p w14:paraId="2B79E42D" w14:textId="157FE917" w:rsidR="56DAD599" w:rsidRDefault="56DAD599" w:rsidP="56DAD599">
            <w:pPr>
              <w:jc w:val="both"/>
            </w:pPr>
            <w:r w:rsidRPr="56DAD599">
              <w:rPr>
                <w:rFonts w:ascii="Times New Roman" w:eastAsia="Times New Roman" w:hAnsi="Times New Roman"/>
                <w:color w:val="000000" w:themeColor="text1"/>
                <w:sz w:val="23"/>
                <w:szCs w:val="23"/>
              </w:rPr>
              <w:t>40003052790</w:t>
            </w:r>
          </w:p>
        </w:tc>
        <w:tc>
          <w:tcPr>
            <w:tcW w:w="2800" w:type="dxa"/>
            <w:tcBorders>
              <w:top w:val="single" w:sz="8" w:space="0" w:color="3D87C7"/>
              <w:left w:val="nil"/>
              <w:bottom w:val="single" w:sz="8" w:space="0" w:color="3D87C7"/>
              <w:right w:val="single" w:sz="8" w:space="0" w:color="3D87C7"/>
            </w:tcBorders>
          </w:tcPr>
          <w:p w14:paraId="55BD3461" w14:textId="7BE1BA33" w:rsidR="56DAD599" w:rsidRDefault="56DAD599" w:rsidP="56DAD599">
            <w:pPr>
              <w:jc w:val="center"/>
            </w:pPr>
            <w:r w:rsidRPr="56DAD599">
              <w:rPr>
                <w:rFonts w:ascii="Times New Roman" w:eastAsia="Times New Roman" w:hAnsi="Times New Roman"/>
                <w:color w:val="000000" w:themeColor="text1"/>
                <w:sz w:val="23"/>
                <w:szCs w:val="23"/>
              </w:rPr>
              <w:t>9000</w:t>
            </w:r>
          </w:p>
        </w:tc>
      </w:tr>
      <w:tr w:rsidR="00BB094D" w14:paraId="466D9514" w14:textId="77777777" w:rsidTr="56DAD599">
        <w:trPr>
          <w:trHeight w:val="315"/>
        </w:trPr>
        <w:tc>
          <w:tcPr>
            <w:tcW w:w="6260" w:type="dxa"/>
            <w:vMerge/>
            <w:vAlign w:val="center"/>
          </w:tcPr>
          <w:p w14:paraId="38222B5C" w14:textId="77777777" w:rsidR="001012B4" w:rsidRDefault="001012B4"/>
        </w:tc>
        <w:tc>
          <w:tcPr>
            <w:tcW w:w="2800" w:type="dxa"/>
            <w:tcBorders>
              <w:top w:val="single" w:sz="8" w:space="0" w:color="3D87C7"/>
              <w:left w:val="nil"/>
              <w:bottom w:val="nil"/>
              <w:right w:val="single" w:sz="8" w:space="0" w:color="3D87C7"/>
            </w:tcBorders>
          </w:tcPr>
          <w:p w14:paraId="1A4206C8" w14:textId="0D7C947F" w:rsidR="56DAD599" w:rsidRDefault="56DAD599" w:rsidP="56DAD599">
            <w:pPr>
              <w:jc w:val="center"/>
            </w:pPr>
            <w:r w:rsidRPr="56DAD599">
              <w:rPr>
                <w:rFonts w:ascii="Times New Roman" w:eastAsia="Times New Roman" w:hAnsi="Times New Roman"/>
                <w:color w:val="000000" w:themeColor="text1"/>
                <w:sz w:val="23"/>
                <w:szCs w:val="23"/>
              </w:rPr>
              <w:t>9000</w:t>
            </w:r>
          </w:p>
        </w:tc>
      </w:tr>
      <w:tr w:rsidR="56DAD599" w14:paraId="1EF21732" w14:textId="77777777" w:rsidTr="56DAD599">
        <w:trPr>
          <w:trHeight w:val="390"/>
        </w:trPr>
        <w:tc>
          <w:tcPr>
            <w:tcW w:w="6260" w:type="dxa"/>
            <w:tcBorders>
              <w:top w:val="single" w:sz="8" w:space="0" w:color="3D87C7"/>
              <w:left w:val="single" w:sz="8" w:space="0" w:color="3D87C7"/>
              <w:bottom w:val="single" w:sz="8" w:space="0" w:color="3D87C7"/>
              <w:right w:val="nil"/>
            </w:tcBorders>
            <w:shd w:val="clear" w:color="auto" w:fill="FFFFFF" w:themeFill="background1"/>
          </w:tcPr>
          <w:p w14:paraId="3F0055A4" w14:textId="752FF74C" w:rsidR="56DAD599" w:rsidRDefault="56DAD599" w:rsidP="56DAD599">
            <w:pPr>
              <w:jc w:val="both"/>
            </w:pPr>
            <w:r w:rsidRPr="56DAD599">
              <w:rPr>
                <w:rFonts w:ascii="Times New Roman" w:eastAsia="Times New Roman" w:hAnsi="Times New Roman"/>
                <w:color w:val="000000" w:themeColor="text1"/>
                <w:sz w:val="23"/>
                <w:szCs w:val="23"/>
              </w:rPr>
              <w:t>VAS “STARPTAUTISKĀ LIDOSTA “RĪGA””</w:t>
            </w:r>
            <w:hyperlink r:id="rId14" w:anchor="_edn7">
              <w:r w:rsidRPr="56DAD599">
                <w:rPr>
                  <w:rStyle w:val="Hyperlink"/>
                  <w:rFonts w:ascii="Times New Roman" w:eastAsia="Times New Roman" w:hAnsi="Times New Roman"/>
                  <w:b/>
                  <w:bCs/>
                  <w:sz w:val="23"/>
                  <w:szCs w:val="23"/>
                  <w:vertAlign w:val="superscript"/>
                </w:rPr>
                <w:t>[7]</w:t>
              </w:r>
            </w:hyperlink>
            <w:r w:rsidRPr="56DAD599">
              <w:rPr>
                <w:rFonts w:ascii="Times New Roman" w:eastAsia="Times New Roman" w:hAnsi="Times New Roman"/>
                <w:color w:val="000000" w:themeColor="text1"/>
                <w:sz w:val="23"/>
                <w:szCs w:val="23"/>
              </w:rPr>
              <w:t>,</w:t>
            </w:r>
          </w:p>
          <w:p w14:paraId="42301F3F" w14:textId="1BEEF27B" w:rsidR="56DAD599" w:rsidRDefault="56DAD599" w:rsidP="56DAD599">
            <w:pPr>
              <w:jc w:val="both"/>
            </w:pPr>
            <w:r w:rsidRPr="56DAD599">
              <w:rPr>
                <w:rFonts w:ascii="Times New Roman" w:eastAsia="Times New Roman" w:hAnsi="Times New Roman"/>
                <w:color w:val="000000" w:themeColor="text1"/>
                <w:sz w:val="23"/>
                <w:szCs w:val="23"/>
              </w:rPr>
              <w:t>40003028055</w:t>
            </w:r>
          </w:p>
        </w:tc>
        <w:tc>
          <w:tcPr>
            <w:tcW w:w="2800" w:type="dxa"/>
            <w:tcBorders>
              <w:top w:val="single" w:sz="8" w:space="0" w:color="3D87C7"/>
              <w:left w:val="nil"/>
              <w:bottom w:val="single" w:sz="8" w:space="0" w:color="3D87C7"/>
              <w:right w:val="single" w:sz="8" w:space="0" w:color="3D87C7"/>
            </w:tcBorders>
          </w:tcPr>
          <w:p w14:paraId="140B2D4D" w14:textId="2AC18A51" w:rsidR="56DAD599" w:rsidRDefault="56DAD599" w:rsidP="56DAD599">
            <w:pPr>
              <w:jc w:val="center"/>
            </w:pPr>
            <w:r w:rsidRPr="56DAD599">
              <w:rPr>
                <w:rFonts w:ascii="Times New Roman" w:eastAsia="Times New Roman" w:hAnsi="Times New Roman"/>
                <w:color w:val="000000" w:themeColor="text1"/>
                <w:sz w:val="23"/>
                <w:szCs w:val="23"/>
              </w:rPr>
              <w:t>62 658</w:t>
            </w:r>
          </w:p>
        </w:tc>
      </w:tr>
      <w:tr w:rsidR="56DAD599" w14:paraId="066DCF1B" w14:textId="77777777" w:rsidTr="56DAD599">
        <w:trPr>
          <w:trHeight w:val="390"/>
        </w:trPr>
        <w:tc>
          <w:tcPr>
            <w:tcW w:w="6260" w:type="dxa"/>
            <w:vMerge w:val="restart"/>
            <w:tcBorders>
              <w:top w:val="single" w:sz="8" w:space="0" w:color="3D87C7"/>
              <w:left w:val="single" w:sz="8" w:space="0" w:color="3D87C7"/>
              <w:bottom w:val="single" w:sz="8" w:space="0" w:color="3D87C7"/>
              <w:right w:val="nil"/>
            </w:tcBorders>
            <w:shd w:val="clear" w:color="auto" w:fill="FFFFFF" w:themeFill="background1"/>
          </w:tcPr>
          <w:p w14:paraId="09BEA11C" w14:textId="79FF2814" w:rsidR="56DAD599" w:rsidRDefault="56DAD599" w:rsidP="56DAD599">
            <w:pPr>
              <w:jc w:val="both"/>
            </w:pPr>
            <w:r w:rsidRPr="56DAD599">
              <w:rPr>
                <w:rFonts w:ascii="Times New Roman" w:eastAsia="Times New Roman" w:hAnsi="Times New Roman"/>
                <w:color w:val="000000" w:themeColor="text1"/>
                <w:sz w:val="23"/>
                <w:szCs w:val="23"/>
              </w:rPr>
              <w:t>SIA “LDZ CARGO”</w:t>
            </w:r>
            <w:hyperlink r:id="rId15" w:anchor="_edn8">
              <w:r w:rsidRPr="56DAD599">
                <w:rPr>
                  <w:rStyle w:val="Hyperlink"/>
                  <w:rFonts w:ascii="Times New Roman" w:eastAsia="Times New Roman" w:hAnsi="Times New Roman"/>
                  <w:b/>
                  <w:bCs/>
                  <w:sz w:val="23"/>
                  <w:szCs w:val="23"/>
                  <w:vertAlign w:val="superscript"/>
                </w:rPr>
                <w:t>[8]</w:t>
              </w:r>
            </w:hyperlink>
            <w:r w:rsidRPr="56DAD599">
              <w:rPr>
                <w:rFonts w:ascii="Times New Roman" w:eastAsia="Times New Roman" w:hAnsi="Times New Roman"/>
                <w:color w:val="000000" w:themeColor="text1"/>
                <w:sz w:val="23"/>
                <w:szCs w:val="23"/>
              </w:rPr>
              <w:t>,</w:t>
            </w:r>
          </w:p>
          <w:p w14:paraId="210EE6C3" w14:textId="2722F1B2" w:rsidR="56DAD599" w:rsidRDefault="56DAD599" w:rsidP="56DAD599">
            <w:pPr>
              <w:jc w:val="both"/>
            </w:pPr>
            <w:r w:rsidRPr="56DAD599">
              <w:rPr>
                <w:rFonts w:ascii="Times New Roman" w:eastAsia="Times New Roman" w:hAnsi="Times New Roman"/>
                <w:color w:val="000000" w:themeColor="text1"/>
                <w:sz w:val="23"/>
                <w:szCs w:val="23"/>
              </w:rPr>
              <w:t>40003788421</w:t>
            </w:r>
          </w:p>
        </w:tc>
        <w:tc>
          <w:tcPr>
            <w:tcW w:w="2800" w:type="dxa"/>
            <w:tcBorders>
              <w:top w:val="single" w:sz="8" w:space="0" w:color="3D87C7"/>
              <w:left w:val="nil"/>
              <w:bottom w:val="nil"/>
              <w:right w:val="single" w:sz="8" w:space="0" w:color="3D87C7"/>
            </w:tcBorders>
          </w:tcPr>
          <w:p w14:paraId="3BF533CC" w14:textId="13862F25" w:rsidR="56DAD599" w:rsidRDefault="56DAD599" w:rsidP="56DAD599">
            <w:pPr>
              <w:jc w:val="center"/>
            </w:pPr>
            <w:r w:rsidRPr="56DAD599">
              <w:rPr>
                <w:rFonts w:ascii="Times New Roman" w:eastAsia="Times New Roman" w:hAnsi="Times New Roman"/>
                <w:color w:val="000000" w:themeColor="text1"/>
                <w:sz w:val="23"/>
                <w:szCs w:val="23"/>
              </w:rPr>
              <w:t>121 197</w:t>
            </w:r>
          </w:p>
        </w:tc>
      </w:tr>
      <w:tr w:rsidR="00BB094D" w14:paraId="29F699C1" w14:textId="77777777" w:rsidTr="56DAD599">
        <w:trPr>
          <w:trHeight w:val="390"/>
        </w:trPr>
        <w:tc>
          <w:tcPr>
            <w:tcW w:w="6260" w:type="dxa"/>
            <w:vMerge/>
            <w:vAlign w:val="center"/>
          </w:tcPr>
          <w:p w14:paraId="03D0817A" w14:textId="77777777" w:rsidR="001012B4" w:rsidRDefault="001012B4"/>
        </w:tc>
        <w:tc>
          <w:tcPr>
            <w:tcW w:w="2800" w:type="dxa"/>
            <w:tcBorders>
              <w:top w:val="single" w:sz="8" w:space="0" w:color="3D87C7"/>
              <w:left w:val="nil"/>
              <w:bottom w:val="single" w:sz="8" w:space="0" w:color="3D87C7"/>
              <w:right w:val="single" w:sz="8" w:space="0" w:color="3D87C7"/>
            </w:tcBorders>
          </w:tcPr>
          <w:p w14:paraId="486C78DC" w14:textId="75D56025" w:rsidR="56DAD599" w:rsidRDefault="56DAD599" w:rsidP="56DAD599">
            <w:pPr>
              <w:jc w:val="center"/>
            </w:pPr>
            <w:r w:rsidRPr="56DAD599">
              <w:rPr>
                <w:rFonts w:ascii="Times New Roman" w:eastAsia="Times New Roman" w:hAnsi="Times New Roman"/>
                <w:color w:val="000000" w:themeColor="text1"/>
                <w:sz w:val="23"/>
                <w:szCs w:val="23"/>
              </w:rPr>
              <w:t>130 800</w:t>
            </w:r>
          </w:p>
        </w:tc>
      </w:tr>
      <w:tr w:rsidR="56DAD599" w14:paraId="0CC32902" w14:textId="77777777" w:rsidTr="56DAD599">
        <w:trPr>
          <w:trHeight w:val="390"/>
        </w:trPr>
        <w:tc>
          <w:tcPr>
            <w:tcW w:w="6260" w:type="dxa"/>
            <w:tcBorders>
              <w:top w:val="nil"/>
              <w:left w:val="single" w:sz="8" w:space="0" w:color="3D87C7"/>
              <w:bottom w:val="single" w:sz="8" w:space="0" w:color="3D87C7"/>
              <w:right w:val="nil"/>
            </w:tcBorders>
            <w:shd w:val="clear" w:color="auto" w:fill="FFFFFF" w:themeFill="background1"/>
          </w:tcPr>
          <w:p w14:paraId="47065948" w14:textId="6B1775C7" w:rsidR="56DAD599" w:rsidRDefault="56DAD599" w:rsidP="56DAD599">
            <w:pPr>
              <w:jc w:val="right"/>
            </w:pPr>
            <w:r w:rsidRPr="56DAD599">
              <w:rPr>
                <w:rFonts w:ascii="Times New Roman" w:eastAsia="Times New Roman" w:hAnsi="Times New Roman"/>
                <w:b/>
                <w:bCs/>
                <w:color w:val="333333"/>
                <w:sz w:val="24"/>
                <w:szCs w:val="24"/>
              </w:rPr>
              <w:t xml:space="preserve">KOPĀ:     </w:t>
            </w:r>
          </w:p>
        </w:tc>
        <w:tc>
          <w:tcPr>
            <w:tcW w:w="2800" w:type="dxa"/>
            <w:tcBorders>
              <w:top w:val="single" w:sz="8" w:space="0" w:color="3D87C7"/>
              <w:left w:val="nil"/>
              <w:bottom w:val="single" w:sz="8" w:space="0" w:color="3D87C7"/>
              <w:right w:val="single" w:sz="8" w:space="0" w:color="3D87C7"/>
            </w:tcBorders>
          </w:tcPr>
          <w:p w14:paraId="4175B1D4" w14:textId="05B453DD" w:rsidR="56DAD599" w:rsidRDefault="56DAD599" w:rsidP="56DAD599">
            <w:pPr>
              <w:jc w:val="center"/>
            </w:pPr>
            <w:r w:rsidRPr="56DAD599">
              <w:rPr>
                <w:rFonts w:ascii="Times New Roman" w:eastAsia="Times New Roman" w:hAnsi="Times New Roman"/>
                <w:b/>
                <w:bCs/>
                <w:color w:val="333333"/>
                <w:sz w:val="23"/>
                <w:szCs w:val="23"/>
              </w:rPr>
              <w:t>1 216 182</w:t>
            </w:r>
          </w:p>
        </w:tc>
      </w:tr>
    </w:tbl>
    <w:p w14:paraId="3AA72E1D" w14:textId="216C3A95" w:rsidR="00654188" w:rsidRDefault="007044CC" w:rsidP="56DAD599">
      <w:pPr>
        <w:spacing w:after="0" w:line="240" w:lineRule="auto"/>
        <w:jc w:val="both"/>
        <w:rPr>
          <w:rFonts w:ascii="Times New Roman" w:eastAsia="Times New Roman" w:hAnsi="Times New Roman"/>
          <w:color w:val="333333"/>
          <w:sz w:val="18"/>
          <w:szCs w:val="18"/>
        </w:rPr>
      </w:pPr>
      <w:hyperlink r:id="rId16" w:anchor="_ednref1">
        <w:r w:rsidR="56DAD599" w:rsidRPr="56DAD599">
          <w:rPr>
            <w:rStyle w:val="Hyperlink"/>
            <w:rFonts w:ascii="Times New Roman" w:eastAsia="Times New Roman" w:hAnsi="Times New Roman"/>
            <w:sz w:val="18"/>
            <w:szCs w:val="18"/>
            <w:vertAlign w:val="superscript"/>
          </w:rPr>
          <w:t>[1]</w:t>
        </w:r>
      </w:hyperlink>
      <w:r w:rsidR="56DAD599" w:rsidRPr="56DAD599">
        <w:rPr>
          <w:rFonts w:ascii="Times New Roman" w:eastAsia="Times New Roman" w:hAnsi="Times New Roman"/>
          <w:color w:val="333333"/>
          <w:sz w:val="18"/>
          <w:szCs w:val="18"/>
        </w:rPr>
        <w:t xml:space="preserve"> AS “Augstsprieguma tīkls” 14.11.2016. noslēgtā vienošanās par darba tiesisko attiecību izbeigšanu.</w:t>
      </w:r>
    </w:p>
    <w:p w14:paraId="088B57FF" w14:textId="0137FB80" w:rsidR="00654188" w:rsidRDefault="007044CC" w:rsidP="56DAD599">
      <w:pPr>
        <w:spacing w:after="0" w:line="257" w:lineRule="auto"/>
        <w:jc w:val="both"/>
        <w:rPr>
          <w:rFonts w:ascii="Times New Roman" w:eastAsia="Times New Roman" w:hAnsi="Times New Roman"/>
          <w:color w:val="333333"/>
          <w:sz w:val="18"/>
          <w:szCs w:val="18"/>
        </w:rPr>
      </w:pPr>
      <w:hyperlink r:id="rId17" w:anchor="_ednref2">
        <w:r w:rsidR="56DAD599" w:rsidRPr="56DAD599">
          <w:rPr>
            <w:rStyle w:val="Hyperlink"/>
            <w:rFonts w:ascii="Times New Roman" w:eastAsia="Times New Roman" w:hAnsi="Times New Roman"/>
            <w:sz w:val="18"/>
            <w:szCs w:val="18"/>
            <w:vertAlign w:val="superscript"/>
          </w:rPr>
          <w:t>[2]</w:t>
        </w:r>
      </w:hyperlink>
      <w:r w:rsidR="56DAD599" w:rsidRPr="56DAD599">
        <w:rPr>
          <w:rFonts w:ascii="Times New Roman" w:eastAsia="Times New Roman" w:hAnsi="Times New Roman"/>
          <w:color w:val="333333"/>
          <w:sz w:val="18"/>
          <w:szCs w:val="18"/>
        </w:rPr>
        <w:t xml:space="preserve"> AS “</w:t>
      </w:r>
      <w:proofErr w:type="spellStart"/>
      <w:r w:rsidR="56DAD599" w:rsidRPr="56DAD599">
        <w:rPr>
          <w:rFonts w:ascii="Times New Roman" w:eastAsia="Times New Roman" w:hAnsi="Times New Roman"/>
          <w:color w:val="333333"/>
          <w:sz w:val="18"/>
          <w:szCs w:val="18"/>
        </w:rPr>
        <w:t>LatRailNet</w:t>
      </w:r>
      <w:proofErr w:type="spellEnd"/>
      <w:r w:rsidR="56DAD599" w:rsidRPr="56DAD599">
        <w:rPr>
          <w:rFonts w:ascii="Times New Roman" w:eastAsia="Times New Roman" w:hAnsi="Times New Roman"/>
          <w:color w:val="333333"/>
          <w:sz w:val="18"/>
          <w:szCs w:val="18"/>
        </w:rPr>
        <w:t>” 26.07.2016. noslēgtā vienošanās par konkurences ierobežojumu, 23.03.2018. noslēgtā vienošanās par konkurences ierobežojumu.</w:t>
      </w:r>
    </w:p>
    <w:p w14:paraId="1D9F7C38" w14:textId="5B66F014" w:rsidR="00654188" w:rsidRDefault="007044CC" w:rsidP="56DAD599">
      <w:pPr>
        <w:spacing w:after="0" w:line="257" w:lineRule="auto"/>
        <w:ind w:left="714" w:hanging="714"/>
        <w:jc w:val="both"/>
        <w:rPr>
          <w:rFonts w:ascii="Times New Roman" w:eastAsia="Times New Roman" w:hAnsi="Times New Roman"/>
          <w:color w:val="333333"/>
          <w:sz w:val="18"/>
          <w:szCs w:val="18"/>
        </w:rPr>
      </w:pPr>
      <w:hyperlink r:id="rId18" w:anchor="_ednref3">
        <w:r w:rsidR="56DAD599" w:rsidRPr="56DAD599">
          <w:rPr>
            <w:rStyle w:val="Hyperlink"/>
            <w:rFonts w:ascii="Times New Roman" w:eastAsia="Times New Roman" w:hAnsi="Times New Roman"/>
            <w:sz w:val="18"/>
            <w:szCs w:val="18"/>
            <w:vertAlign w:val="superscript"/>
          </w:rPr>
          <w:t>[3]</w:t>
        </w:r>
      </w:hyperlink>
      <w:r w:rsidR="56DAD599" w:rsidRPr="56DAD599">
        <w:rPr>
          <w:rFonts w:ascii="Times New Roman" w:eastAsia="Times New Roman" w:hAnsi="Times New Roman"/>
          <w:color w:val="333333"/>
          <w:sz w:val="18"/>
          <w:szCs w:val="18"/>
          <w:vertAlign w:val="superscript"/>
        </w:rPr>
        <w:t xml:space="preserve"> </w:t>
      </w:r>
      <w:r w:rsidR="56DAD599" w:rsidRPr="56DAD599">
        <w:rPr>
          <w:rFonts w:ascii="Times New Roman" w:eastAsia="Times New Roman" w:hAnsi="Times New Roman"/>
          <w:color w:val="333333"/>
          <w:sz w:val="18"/>
          <w:szCs w:val="18"/>
        </w:rPr>
        <w:t>Latvijas Universitātes 27.08.2019. ar četriem darbiniekiem noslēgtās konfidencialitātes atrunas.</w:t>
      </w:r>
    </w:p>
    <w:p w14:paraId="55B2F2BB" w14:textId="6A698A1A" w:rsidR="00654188" w:rsidRDefault="007044CC" w:rsidP="56DAD599">
      <w:pPr>
        <w:spacing w:after="0" w:line="257" w:lineRule="auto"/>
        <w:jc w:val="both"/>
        <w:rPr>
          <w:rFonts w:ascii="Times New Roman" w:eastAsia="Times New Roman" w:hAnsi="Times New Roman"/>
          <w:color w:val="333333"/>
          <w:sz w:val="18"/>
          <w:szCs w:val="18"/>
        </w:rPr>
      </w:pPr>
      <w:hyperlink r:id="rId19" w:anchor="_ednref4">
        <w:r w:rsidR="56DAD599" w:rsidRPr="56DAD599">
          <w:rPr>
            <w:rStyle w:val="Hyperlink"/>
            <w:rFonts w:ascii="Times New Roman" w:eastAsia="Times New Roman" w:hAnsi="Times New Roman"/>
            <w:sz w:val="18"/>
            <w:szCs w:val="18"/>
            <w:vertAlign w:val="superscript"/>
          </w:rPr>
          <w:t>[4]</w:t>
        </w:r>
      </w:hyperlink>
      <w:r w:rsidR="56DAD599" w:rsidRPr="56DAD599">
        <w:rPr>
          <w:rFonts w:ascii="Times New Roman" w:eastAsia="Times New Roman" w:hAnsi="Times New Roman"/>
          <w:color w:val="333333"/>
          <w:sz w:val="18"/>
          <w:szCs w:val="18"/>
        </w:rPr>
        <w:t xml:space="preserve"> SIA “LDZ ritošā sastāva serviss” 20.12.2016. noslēgtā vienošanās par darba tiesisko attiecību izbeigšanu, 16.02.2017. noslēgtā vienošanās par darba tiesisko attiecību izbeigšanu, 01.10.2018. noslēgtā vienošanās, 24.07.2019. noslēgtā vienošanās par darba tiesisko attiecību izbeigšanu. </w:t>
      </w:r>
    </w:p>
    <w:p w14:paraId="78A8E587" w14:textId="3296A0AC" w:rsidR="00654188" w:rsidRDefault="007044CC" w:rsidP="56DAD599">
      <w:pPr>
        <w:spacing w:after="0" w:line="257" w:lineRule="auto"/>
        <w:jc w:val="both"/>
        <w:rPr>
          <w:rFonts w:ascii="Times New Roman" w:eastAsia="Times New Roman" w:hAnsi="Times New Roman"/>
          <w:color w:val="333333"/>
          <w:sz w:val="18"/>
          <w:szCs w:val="18"/>
        </w:rPr>
      </w:pPr>
      <w:hyperlink r:id="rId20" w:anchor="_ednref5">
        <w:r w:rsidR="56DAD599" w:rsidRPr="56DAD599">
          <w:rPr>
            <w:rStyle w:val="Hyperlink"/>
            <w:rFonts w:ascii="Times New Roman" w:eastAsia="Times New Roman" w:hAnsi="Times New Roman"/>
            <w:sz w:val="18"/>
            <w:szCs w:val="18"/>
            <w:vertAlign w:val="superscript"/>
          </w:rPr>
          <w:t>[5]</w:t>
        </w:r>
      </w:hyperlink>
      <w:r w:rsidR="56DAD599" w:rsidRPr="56DAD599">
        <w:rPr>
          <w:rFonts w:ascii="Times New Roman" w:eastAsia="Times New Roman" w:hAnsi="Times New Roman"/>
          <w:color w:val="333333"/>
          <w:sz w:val="18"/>
          <w:szCs w:val="18"/>
        </w:rPr>
        <w:t xml:space="preserve"> VAS “Latvijas dzelzceļš” 13.12.2011. vienošanās par darba tiesisko attiecību izbeigšanu un konkurences ierobežojumu, 22.12.2015. vienošanās par konkurences ierobežojumu, 23.01.2019. vienošanās, 25.07.2019. noslēgtās vienošanās par profesionālās darbības ierobežojumu (konkurences ierobežojumu).</w:t>
      </w:r>
    </w:p>
    <w:p w14:paraId="3429412D" w14:textId="5171B238" w:rsidR="00654188" w:rsidRDefault="007044CC" w:rsidP="56DAD599">
      <w:pPr>
        <w:spacing w:after="0" w:line="257" w:lineRule="auto"/>
        <w:jc w:val="both"/>
        <w:rPr>
          <w:rFonts w:ascii="Times New Roman" w:eastAsia="Times New Roman" w:hAnsi="Times New Roman"/>
          <w:color w:val="333333"/>
          <w:sz w:val="18"/>
          <w:szCs w:val="18"/>
        </w:rPr>
      </w:pPr>
      <w:hyperlink r:id="rId21" w:anchor="_ednref6">
        <w:r w:rsidR="56DAD599" w:rsidRPr="56DAD599">
          <w:rPr>
            <w:rStyle w:val="Hyperlink"/>
            <w:rFonts w:ascii="Times New Roman" w:eastAsia="Times New Roman" w:hAnsi="Times New Roman"/>
            <w:sz w:val="18"/>
            <w:szCs w:val="18"/>
            <w:vertAlign w:val="superscript"/>
          </w:rPr>
          <w:t>[6]</w:t>
        </w:r>
      </w:hyperlink>
      <w:r w:rsidR="56DAD599" w:rsidRPr="56DAD599">
        <w:rPr>
          <w:rFonts w:ascii="Times New Roman" w:eastAsia="Times New Roman" w:hAnsi="Times New Roman"/>
          <w:color w:val="333333"/>
          <w:sz w:val="18"/>
          <w:szCs w:val="18"/>
        </w:rPr>
        <w:t xml:space="preserve"> VAS “Latvijas Pasts” 19.05.2017., 13.03.2018. noslēgtās vienošanās par darba tiesisko attiecību izbeigšanu.</w:t>
      </w:r>
    </w:p>
    <w:p w14:paraId="18F1A881" w14:textId="68107C65" w:rsidR="00654188" w:rsidRDefault="007044CC" w:rsidP="56DAD599">
      <w:pPr>
        <w:spacing w:after="0" w:line="257" w:lineRule="auto"/>
        <w:jc w:val="both"/>
        <w:rPr>
          <w:rFonts w:ascii="Times New Roman" w:eastAsia="Times New Roman" w:hAnsi="Times New Roman"/>
          <w:color w:val="333333"/>
          <w:sz w:val="18"/>
          <w:szCs w:val="18"/>
        </w:rPr>
      </w:pPr>
      <w:hyperlink r:id="rId22" w:anchor="_ednref7">
        <w:r w:rsidR="56DAD599" w:rsidRPr="56DAD599">
          <w:rPr>
            <w:rStyle w:val="Hyperlink"/>
            <w:rFonts w:ascii="Times New Roman" w:eastAsia="Times New Roman" w:hAnsi="Times New Roman"/>
            <w:sz w:val="18"/>
            <w:szCs w:val="18"/>
            <w:vertAlign w:val="superscript"/>
          </w:rPr>
          <w:t>[7]</w:t>
        </w:r>
      </w:hyperlink>
      <w:r w:rsidR="56DAD599" w:rsidRPr="56DAD599">
        <w:rPr>
          <w:rFonts w:ascii="Times New Roman" w:eastAsia="Times New Roman" w:hAnsi="Times New Roman"/>
          <w:color w:val="333333"/>
          <w:sz w:val="18"/>
          <w:szCs w:val="18"/>
        </w:rPr>
        <w:t xml:space="preserve"> VAS “STARPTAUTISKĀ LIDOSTA “RĪGA”” 04.01.2018. noslēgtā vienošanās par darba tiesisko attiecību izbeigšanu un konkurences ierobežojumu.</w:t>
      </w:r>
    </w:p>
    <w:p w14:paraId="209D5AEE" w14:textId="2520626C" w:rsidR="00654188" w:rsidRDefault="007044CC" w:rsidP="56DAD599">
      <w:pPr>
        <w:spacing w:after="0" w:line="257" w:lineRule="auto"/>
        <w:jc w:val="both"/>
        <w:rPr>
          <w:rFonts w:ascii="Times New Roman" w:eastAsia="Times New Roman" w:hAnsi="Times New Roman"/>
          <w:color w:val="333333"/>
          <w:sz w:val="18"/>
          <w:szCs w:val="18"/>
        </w:rPr>
      </w:pPr>
      <w:hyperlink r:id="rId23" w:anchor="_ednref8">
        <w:r w:rsidR="56DAD599" w:rsidRPr="56DAD599">
          <w:rPr>
            <w:rStyle w:val="Hyperlink"/>
            <w:rFonts w:ascii="Times New Roman" w:eastAsia="Times New Roman" w:hAnsi="Times New Roman"/>
            <w:sz w:val="18"/>
            <w:szCs w:val="18"/>
            <w:vertAlign w:val="superscript"/>
          </w:rPr>
          <w:t>[8]</w:t>
        </w:r>
      </w:hyperlink>
      <w:r w:rsidR="56DAD599" w:rsidRPr="56DAD599">
        <w:rPr>
          <w:rFonts w:ascii="Times New Roman" w:eastAsia="Times New Roman" w:hAnsi="Times New Roman"/>
          <w:color w:val="333333"/>
          <w:sz w:val="18"/>
          <w:szCs w:val="18"/>
        </w:rPr>
        <w:t xml:space="preserve"> SIA “LDZ CARGO” 07.10.2015. un 10.06.2016. vienošanās.</w:t>
      </w:r>
    </w:p>
    <w:p w14:paraId="6BF79977" w14:textId="186DF50A" w:rsidR="00654188" w:rsidRPr="008C1ED9" w:rsidRDefault="00002C2A" w:rsidP="00AA16D0">
      <w:pPr>
        <w:spacing w:after="120" w:line="240" w:lineRule="auto"/>
        <w:jc w:val="both"/>
        <w:rPr>
          <w:rFonts w:ascii="Times New Roman" w:eastAsia="Times New Roman" w:hAnsi="Times New Roman"/>
          <w:color w:val="000000" w:themeColor="text1"/>
          <w:sz w:val="24"/>
          <w:szCs w:val="24"/>
          <w:highlight w:val="yellow"/>
        </w:rPr>
      </w:pPr>
      <w:r>
        <w:br/>
      </w:r>
      <w:r w:rsidR="56DAD599" w:rsidRPr="008C1ED9">
        <w:rPr>
          <w:rFonts w:ascii="Times New Roman" w:eastAsia="Times New Roman" w:hAnsi="Times New Roman"/>
          <w:color w:val="000000" w:themeColor="text1"/>
          <w:sz w:val="24"/>
          <w:szCs w:val="24"/>
        </w:rPr>
        <w:t xml:space="preserve">Vērtējot noslēgto profesionālās darbības ierobežojumu noteikšanas tiesisko pamatu, Valsts kontrole apskatījusi ierobežojumu tiesisko dabu, regulējuma priekšmetu un regulējuma robežas, kā arī vērsusi uzmanību uz kļūdām, kas tiek pieļautas publiskā sektora darba devējiem slēdzot vienošanās par profesionālās darbības ierobežojumiem ar saviem darbiniekiem. </w:t>
      </w:r>
    </w:p>
    <w:p w14:paraId="680960B2" w14:textId="1124D4DB" w:rsidR="00654188" w:rsidRPr="008C1ED9" w:rsidRDefault="56DAD599" w:rsidP="00420BB3">
      <w:pPr>
        <w:spacing w:after="120" w:line="240" w:lineRule="auto"/>
        <w:ind w:firstLine="720"/>
        <w:jc w:val="both"/>
        <w:rPr>
          <w:rFonts w:ascii="Times New Roman" w:hAnsi="Times New Roman"/>
        </w:rPr>
      </w:pPr>
      <w:r w:rsidRPr="008C1ED9">
        <w:rPr>
          <w:rFonts w:ascii="Times New Roman" w:eastAsia="Times New Roman" w:hAnsi="Times New Roman"/>
          <w:color w:val="000000" w:themeColor="text1"/>
          <w:sz w:val="24"/>
          <w:szCs w:val="24"/>
        </w:rPr>
        <w:t>Revīzijas ziņojumā norādīts uz šādiem, konstatētiem trūkumiem:</w:t>
      </w:r>
    </w:p>
    <w:p w14:paraId="53B52781" w14:textId="2A1C666F" w:rsidR="00654188" w:rsidRPr="008C1ED9" w:rsidRDefault="56DAD599" w:rsidP="00420BB3">
      <w:pPr>
        <w:pStyle w:val="ListParagraph"/>
        <w:numPr>
          <w:ilvl w:val="0"/>
          <w:numId w:val="6"/>
        </w:numPr>
        <w:spacing w:after="120" w:line="240" w:lineRule="auto"/>
        <w:ind w:left="851" w:firstLine="720"/>
        <w:jc w:val="both"/>
        <w:rPr>
          <w:rFonts w:ascii="Times New Roman" w:eastAsiaTheme="minorEastAsia" w:hAnsi="Times New Roman"/>
          <w:color w:val="000000" w:themeColor="text1"/>
          <w:sz w:val="24"/>
          <w:szCs w:val="24"/>
        </w:rPr>
      </w:pPr>
      <w:r w:rsidRPr="008C1ED9">
        <w:rPr>
          <w:rFonts w:ascii="Times New Roman" w:eastAsia="Times New Roman" w:hAnsi="Times New Roman"/>
          <w:color w:val="000000" w:themeColor="text1"/>
          <w:sz w:val="24"/>
          <w:szCs w:val="24"/>
        </w:rPr>
        <w:t>neskaidrs vai nepietiekams objektīvais pamatojums, lai noteiktu un piemērotu vienošanās ar darbiniekiem par profesionālās darbības ierobežojumu;</w:t>
      </w:r>
    </w:p>
    <w:p w14:paraId="291F120C" w14:textId="5F0E9323" w:rsidR="00654188" w:rsidRPr="008C1ED9" w:rsidRDefault="56DAD599" w:rsidP="00420BB3">
      <w:pPr>
        <w:pStyle w:val="ListParagraph"/>
        <w:numPr>
          <w:ilvl w:val="0"/>
          <w:numId w:val="6"/>
        </w:numPr>
        <w:spacing w:after="120" w:line="240" w:lineRule="auto"/>
        <w:ind w:left="851" w:firstLine="720"/>
        <w:jc w:val="both"/>
        <w:rPr>
          <w:rFonts w:ascii="Times New Roman" w:eastAsiaTheme="minorEastAsia" w:hAnsi="Times New Roman"/>
          <w:color w:val="000000" w:themeColor="text1"/>
          <w:sz w:val="24"/>
          <w:szCs w:val="24"/>
        </w:rPr>
      </w:pPr>
      <w:r w:rsidRPr="008C1ED9">
        <w:rPr>
          <w:rFonts w:ascii="Times New Roman" w:eastAsia="Times New Roman" w:hAnsi="Times New Roman"/>
          <w:color w:val="000000" w:themeColor="text1"/>
          <w:sz w:val="24"/>
          <w:szCs w:val="24"/>
        </w:rPr>
        <w:t>informācijas nesniegšana Valsts ieņēmumu dienestam (valsts sociālās apdrošināšanas regulējumā noteiktās informācijas nesniegšana) par darbiniekiem, ar kuriem ir noslēgtas vienošanās par profesionālās darbības ierobežojumu;</w:t>
      </w:r>
    </w:p>
    <w:p w14:paraId="008A5F30" w14:textId="3C8037CB" w:rsidR="00654188" w:rsidRPr="00B659E6" w:rsidRDefault="56DAD599" w:rsidP="00420BB3">
      <w:pPr>
        <w:pStyle w:val="ListParagraph"/>
        <w:numPr>
          <w:ilvl w:val="0"/>
          <w:numId w:val="6"/>
        </w:numPr>
        <w:spacing w:after="120" w:line="240" w:lineRule="auto"/>
        <w:ind w:left="851" w:firstLine="720"/>
        <w:jc w:val="both"/>
        <w:rPr>
          <w:rFonts w:ascii="Times New Roman" w:eastAsiaTheme="minorEastAsia" w:hAnsi="Times New Roman"/>
          <w:color w:val="000000" w:themeColor="text1"/>
          <w:sz w:val="24"/>
          <w:szCs w:val="24"/>
        </w:rPr>
      </w:pPr>
      <w:r w:rsidRPr="00B659E6">
        <w:rPr>
          <w:rFonts w:ascii="Times New Roman" w:eastAsia="Times New Roman" w:hAnsi="Times New Roman"/>
          <w:color w:val="000000" w:themeColor="text1"/>
          <w:sz w:val="24"/>
          <w:szCs w:val="24"/>
        </w:rPr>
        <w:t>atlīdzības par profesionālās darbības ierobežojumu izmaksāšana vienā maksājumā;</w:t>
      </w:r>
    </w:p>
    <w:p w14:paraId="50857921" w14:textId="1A6F5445" w:rsidR="00654188" w:rsidRPr="00B659E6" w:rsidRDefault="006C40F7" w:rsidP="00420BB3">
      <w:pPr>
        <w:pStyle w:val="ListParagraph"/>
        <w:numPr>
          <w:ilvl w:val="0"/>
          <w:numId w:val="6"/>
        </w:numPr>
        <w:spacing w:after="120" w:line="240" w:lineRule="auto"/>
        <w:ind w:left="851" w:firstLine="720"/>
        <w:jc w:val="both"/>
        <w:rPr>
          <w:rFonts w:ascii="Times New Roman" w:eastAsiaTheme="minorEastAsia" w:hAnsi="Times New Roman"/>
          <w:color w:val="000000" w:themeColor="text1"/>
          <w:sz w:val="24"/>
          <w:szCs w:val="24"/>
        </w:rPr>
      </w:pPr>
      <w:r w:rsidRPr="00B659E6">
        <w:rPr>
          <w:rFonts w:ascii="Times New Roman" w:hAnsi="Times New Roman"/>
          <w:sz w:val="24"/>
          <w:szCs w:val="24"/>
          <w:shd w:val="clear" w:color="auto" w:fill="FFFFFF"/>
        </w:rPr>
        <w:t>gadījumi, kuros publiskā sektora darba devējs atkārtoti pieņem darbā bijušos darbiniekus, kad aizvien ir spēkā savstarpējās iepriekš noslēgtās vienošanās par profesionālās darbības ierobežojumu, un kuros netiek veiktas darbības, lai atgūtu iepriekš izmaksātos finanšu līdzekļus par turpmāko laika periodu, uz kuru darba tiesisko attiecību atsākšanas dēļ profesionālās darbības ierobežojums vairs nav attiecināms</w:t>
      </w:r>
      <w:r w:rsidR="56DAD599" w:rsidRPr="00B659E6">
        <w:rPr>
          <w:rFonts w:ascii="Times New Roman" w:eastAsia="Times New Roman" w:hAnsi="Times New Roman"/>
          <w:color w:val="000000" w:themeColor="text1"/>
          <w:sz w:val="24"/>
          <w:szCs w:val="24"/>
        </w:rPr>
        <w:t xml:space="preserve">. </w:t>
      </w:r>
    </w:p>
    <w:p w14:paraId="18FB62E7" w14:textId="50101E1A" w:rsidR="00654188" w:rsidRPr="008C1ED9" w:rsidRDefault="56DAD599" w:rsidP="00420BB3">
      <w:pPr>
        <w:spacing w:after="120" w:line="240" w:lineRule="auto"/>
        <w:ind w:firstLine="720"/>
        <w:jc w:val="both"/>
        <w:rPr>
          <w:rFonts w:ascii="Times New Roman" w:hAnsi="Times New Roman"/>
        </w:rPr>
      </w:pPr>
      <w:r w:rsidRPr="008C1ED9">
        <w:rPr>
          <w:rFonts w:ascii="Times New Roman" w:eastAsia="Times New Roman" w:hAnsi="Times New Roman"/>
          <w:color w:val="000000" w:themeColor="text1"/>
          <w:sz w:val="24"/>
          <w:szCs w:val="24"/>
        </w:rPr>
        <w:t xml:space="preserve"> Revīzijas ziņojuma ietvaros norādīts, ka konstatētā profesionālās darbības ierobežojumu piemērošanas prakse rada ne vien būtisku risku nelietderīgai publiskās personas līdzekļu izmantošanai, līdz ar ko </w:t>
      </w:r>
      <w:r w:rsidRPr="008C1ED9">
        <w:rPr>
          <w:rFonts w:ascii="Times New Roman" w:eastAsia="Times New Roman" w:hAnsi="Times New Roman"/>
          <w:sz w:val="24"/>
          <w:szCs w:val="24"/>
        </w:rPr>
        <w:t xml:space="preserve">neatbilst </w:t>
      </w:r>
      <w:r w:rsidRPr="008C1ED9">
        <w:rPr>
          <w:rFonts w:ascii="Times New Roman" w:eastAsia="Times New Roman" w:hAnsi="Times New Roman"/>
          <w:color w:val="000000" w:themeColor="text1"/>
          <w:sz w:val="24"/>
          <w:szCs w:val="24"/>
        </w:rPr>
        <w:t xml:space="preserve">Publiskas personas finanšu līdzekļu un mantas </w:t>
      </w:r>
      <w:r w:rsidRPr="008C1ED9">
        <w:rPr>
          <w:rFonts w:ascii="Times New Roman" w:eastAsia="Times New Roman" w:hAnsi="Times New Roman"/>
          <w:color w:val="000000" w:themeColor="text1"/>
          <w:sz w:val="24"/>
          <w:szCs w:val="24"/>
        </w:rPr>
        <w:lastRenderedPageBreak/>
        <w:t>izšķērdēšanas novēršanas likumā noteiktajam lietderības pamatprincipam, bet arī rada valsts speciālā budžeta zaudējumu risku, jo dod iespēju personām vienlaikus gan saņemt atlīdzību par profesionālās darbības ierobežojumu, gan nepamatoti saņemt bezdarbnieka pabalstu.</w:t>
      </w:r>
    </w:p>
    <w:p w14:paraId="2BF50BEA" w14:textId="28C15387" w:rsidR="00654188" w:rsidRPr="008C1ED9" w:rsidRDefault="56DAD599" w:rsidP="00420BB3">
      <w:pPr>
        <w:spacing w:after="120" w:line="240" w:lineRule="auto"/>
        <w:ind w:firstLine="720"/>
        <w:jc w:val="both"/>
        <w:rPr>
          <w:rFonts w:ascii="Times New Roman" w:hAnsi="Times New Roman"/>
        </w:rPr>
      </w:pPr>
      <w:r w:rsidRPr="008C1ED9">
        <w:rPr>
          <w:rFonts w:ascii="Times New Roman" w:eastAsia="Times New Roman" w:hAnsi="Times New Roman"/>
          <w:color w:val="000000" w:themeColor="text1"/>
          <w:sz w:val="24"/>
          <w:szCs w:val="24"/>
        </w:rPr>
        <w:t xml:space="preserve">Ņemot vērā minēto, </w:t>
      </w:r>
      <w:r w:rsidR="00483F4D">
        <w:rPr>
          <w:rFonts w:ascii="Times New Roman" w:eastAsia="Times New Roman" w:hAnsi="Times New Roman"/>
          <w:color w:val="000000" w:themeColor="text1"/>
          <w:sz w:val="24"/>
          <w:szCs w:val="24"/>
        </w:rPr>
        <w:t>Valsts kanceleja</w:t>
      </w:r>
      <w:r w:rsidRPr="008C1ED9">
        <w:rPr>
          <w:rFonts w:ascii="Times New Roman" w:eastAsia="Times New Roman" w:hAnsi="Times New Roman"/>
          <w:color w:val="000000" w:themeColor="text1"/>
          <w:sz w:val="24"/>
          <w:szCs w:val="24"/>
        </w:rPr>
        <w:t>, izstrādājot Informatīvo ziņojumu, ņem vērā Valsts kontroles identificētos riskus, un Informatīvā ziņojuma ietvaros analizē esošā tiesiskā regulējuma pietiekamību identificēto risku vadībai, kā arī izstrādā ieteikumus profesionālās darbības ierobežojumu noteikšanas tiesiskā regulējuma un piemērošanas prakses uzlabošanai.</w:t>
      </w:r>
    </w:p>
    <w:p w14:paraId="100C3ADF" w14:textId="09632BE4" w:rsidR="00654188" w:rsidRPr="00B87E0E" w:rsidRDefault="00AA16D0" w:rsidP="00AA16D0">
      <w:pPr>
        <w:spacing w:after="120" w:line="240" w:lineRule="auto"/>
        <w:ind w:firstLine="720"/>
        <w:jc w:val="center"/>
        <w:rPr>
          <w:rFonts w:ascii="Times New Roman" w:eastAsiaTheme="minorEastAsia" w:hAnsi="Times New Roman"/>
          <w:b/>
          <w:bCs/>
          <w:sz w:val="24"/>
          <w:szCs w:val="24"/>
        </w:rPr>
      </w:pPr>
      <w:r w:rsidRPr="00AA16D0">
        <w:rPr>
          <w:rFonts w:ascii="Times New Roman" w:eastAsia="Times New Roman" w:hAnsi="Times New Roman"/>
          <w:b/>
          <w:bCs/>
          <w:color w:val="000000" w:themeColor="text1"/>
          <w:sz w:val="24"/>
          <w:szCs w:val="24"/>
        </w:rPr>
        <w:t xml:space="preserve">3. </w:t>
      </w:r>
      <w:r w:rsidR="56DAD599" w:rsidRPr="00AA16D0">
        <w:rPr>
          <w:rFonts w:ascii="Times New Roman" w:eastAsia="Times New Roman" w:hAnsi="Times New Roman"/>
          <w:b/>
          <w:bCs/>
          <w:sz w:val="24"/>
          <w:szCs w:val="24"/>
        </w:rPr>
        <w:t>Profesionālās</w:t>
      </w:r>
      <w:r w:rsidR="56DAD599" w:rsidRPr="00B87E0E">
        <w:rPr>
          <w:rFonts w:ascii="Times New Roman" w:eastAsia="Times New Roman" w:hAnsi="Times New Roman"/>
          <w:b/>
          <w:bCs/>
          <w:sz w:val="24"/>
          <w:szCs w:val="24"/>
        </w:rPr>
        <w:t xml:space="preserve"> darbības ierobežojumu regulējuma aspekti</w:t>
      </w:r>
    </w:p>
    <w:p w14:paraId="18821F2E" w14:textId="646691D9" w:rsidR="00654188" w:rsidRDefault="56DAD599" w:rsidP="00420BB3">
      <w:pPr>
        <w:spacing w:after="120" w:line="240" w:lineRule="auto"/>
        <w:ind w:firstLine="720"/>
        <w:jc w:val="both"/>
      </w:pPr>
      <w:r w:rsidRPr="00B87E0E">
        <w:rPr>
          <w:rFonts w:ascii="Times New Roman" w:eastAsia="Times New Roman" w:hAnsi="Times New Roman"/>
          <w:sz w:val="24"/>
          <w:szCs w:val="24"/>
        </w:rPr>
        <w:t>Profesionālās darbības ierobežojumi jeb nekonkurēšanas pienākums ir tiesisks mehānisms, kura mērķis ir nodrošināt konkurences apstākļos darbojošās uzņēmuma vienības aizsardzību pret zaudējumiem, ko varētu radīt</w:t>
      </w:r>
      <w:r w:rsidRPr="56DAD599">
        <w:rPr>
          <w:rFonts w:ascii="Times New Roman" w:eastAsia="Times New Roman" w:hAnsi="Times New Roman"/>
          <w:sz w:val="24"/>
          <w:szCs w:val="24"/>
        </w:rPr>
        <w:t xml:space="preserve"> nekontrolēta uzņēmuma komercdarbībai būtiskas informācijas nonākšana konkurenta rīcībā, sadarbības partneru tīkla vai noieta tīkla destrukcija. </w:t>
      </w:r>
    </w:p>
    <w:p w14:paraId="439D41A0" w14:textId="5E06A9D9" w:rsidR="00654188" w:rsidRDefault="56DAD599" w:rsidP="00420BB3">
      <w:pPr>
        <w:spacing w:after="120" w:line="240" w:lineRule="auto"/>
        <w:ind w:firstLine="720"/>
        <w:jc w:val="both"/>
      </w:pPr>
      <w:r w:rsidRPr="56DAD599">
        <w:rPr>
          <w:rFonts w:ascii="Times New Roman" w:eastAsia="Times New Roman" w:hAnsi="Times New Roman"/>
          <w:sz w:val="24"/>
          <w:szCs w:val="24"/>
        </w:rPr>
        <w:t>Profesionālās darbības ierobežojumi var tikt noteikti gan kā darba (amata) attiecības papildinošs elements, gan kā atsevišķa, patstāvīga vienošanās pēc darba (amata) attiecību izbeigšanas: pirmajā gadījumā profesionālās darbības ierobežojumi veidos daļu no darbinieka vai amatpersonas interešu konflikta novēršanas regulējuma mehānisma un netiks finansiāli kompensēti, savukārt, otrajā – šādiem ierobežojumiem būs patstāvīga, terminēta aizlieguma raksturs, kuram pastāvot faktiski tiek ierobežotas personas tiesības brīvi izvēlēties attiecīgu nodarbošanos, tādēļ personas tiesību ierobežojums atbilstoši kompensējams.</w:t>
      </w:r>
    </w:p>
    <w:p w14:paraId="613EB60B" w14:textId="1D0CBD14" w:rsidR="00654188" w:rsidRDefault="56DAD599" w:rsidP="00420BB3">
      <w:pPr>
        <w:spacing w:after="120" w:line="240" w:lineRule="auto"/>
        <w:ind w:firstLine="720"/>
        <w:jc w:val="both"/>
      </w:pPr>
      <w:r w:rsidRPr="56DAD599">
        <w:rPr>
          <w:rFonts w:ascii="Times New Roman" w:eastAsia="Times New Roman" w:hAnsi="Times New Roman"/>
          <w:sz w:val="24"/>
          <w:szCs w:val="24"/>
        </w:rPr>
        <w:t>Būtībā pievienojoties Revīzijas ziņojumā paustajām atziņām par profesionālās darbības ierobežojumu mērķi un tā piemērošanas prasībām</w:t>
      </w:r>
      <w:r w:rsidRPr="00C64312">
        <w:rPr>
          <w:rFonts w:ascii="Times New Roman" w:eastAsia="Times New Roman" w:hAnsi="Times New Roman"/>
          <w:sz w:val="24"/>
          <w:szCs w:val="24"/>
        </w:rPr>
        <w:t>, tomēr šī ziņojuma autori uzskata,</w:t>
      </w:r>
      <w:r w:rsidR="00247AC7" w:rsidRPr="00C64312">
        <w:rPr>
          <w:rFonts w:ascii="Times New Roman" w:eastAsia="Times New Roman" w:hAnsi="Times New Roman"/>
          <w:sz w:val="24"/>
          <w:szCs w:val="24"/>
        </w:rPr>
        <w:t xml:space="preserve"> </w:t>
      </w:r>
      <w:r w:rsidRPr="00C64312">
        <w:rPr>
          <w:rFonts w:ascii="Times New Roman" w:eastAsia="Times New Roman" w:hAnsi="Times New Roman"/>
          <w:sz w:val="24"/>
          <w:szCs w:val="24"/>
        </w:rPr>
        <w:t>ka profesionālās darbības ierobežojumi atsevišķos gadījumos varētu būt noteikti arī kapitālsabiedrību (tostarp publisku personu kapitālsabiedrību) valdes locekļiem, kā tas praksē nereti tiek darīts privātā sektora kapitālsabiedrībās.</w:t>
      </w:r>
      <w:r w:rsidR="005D4BB0" w:rsidRPr="00C64312">
        <w:rPr>
          <w:rFonts w:ascii="Times New Roman" w:eastAsia="Times New Roman" w:hAnsi="Times New Roman"/>
          <w:sz w:val="24"/>
          <w:szCs w:val="24"/>
        </w:rPr>
        <w:t xml:space="preserve"> </w:t>
      </w:r>
      <w:r w:rsidRPr="00C64312">
        <w:rPr>
          <w:rFonts w:ascii="Times New Roman" w:eastAsia="Times New Roman" w:hAnsi="Times New Roman"/>
          <w:sz w:val="24"/>
          <w:szCs w:val="24"/>
        </w:rPr>
        <w:t xml:space="preserve">Šāds secinājums izdarāms, ņemot vērā nekonkurēšanas pienākuma jēgu un mērķi, kā arī sistēmiski </w:t>
      </w:r>
      <w:r w:rsidRPr="56DAD599">
        <w:rPr>
          <w:rFonts w:ascii="Times New Roman" w:eastAsia="Times New Roman" w:hAnsi="Times New Roman"/>
          <w:color w:val="000000" w:themeColor="text1"/>
          <w:sz w:val="24"/>
          <w:szCs w:val="24"/>
        </w:rPr>
        <w:t>vērtējot gan darbinieku, gan valdes locekļu un kapitālsabiedrības attiecību struktūru.</w:t>
      </w:r>
    </w:p>
    <w:p w14:paraId="61B4472F" w14:textId="516973CD" w:rsidR="00654188" w:rsidRPr="00FE531D" w:rsidRDefault="56DAD599" w:rsidP="00420BB3">
      <w:pPr>
        <w:spacing w:after="120" w:line="240" w:lineRule="auto"/>
        <w:ind w:firstLine="720"/>
        <w:jc w:val="both"/>
        <w:rPr>
          <w:rFonts w:ascii="Times New Roman" w:eastAsia="Times New Roman" w:hAnsi="Times New Roman"/>
          <w:sz w:val="24"/>
          <w:szCs w:val="24"/>
          <w:vertAlign w:val="superscript"/>
        </w:rPr>
      </w:pPr>
      <w:r w:rsidRPr="56DAD599">
        <w:rPr>
          <w:rFonts w:ascii="Times New Roman" w:eastAsia="Times New Roman" w:hAnsi="Times New Roman"/>
          <w:color w:val="000000" w:themeColor="text1"/>
          <w:sz w:val="24"/>
          <w:szCs w:val="24"/>
        </w:rPr>
        <w:t>Gan darba, gan pilnvarojuma attiecības ir civiltiesisko saistību (līgumisko) attiecību veidi, uz kuru saturu attiecināms viens no būtiskākajiem civiltiesību principiem – līgumu brīvības princips – kas ļauj pusēm civiltiesisko attiecību ietvaros vienoties par jebkuru tām pieņemamu saistību veidu un apjomu, kas nav tieši aprobežots vai aizliegts ar konkrētām tiesību normām. Dr. iur. Kaspars Balodis, skaidrojot šo principu, ir norādījis: “</w:t>
      </w:r>
      <w:r w:rsidRPr="00FE531D">
        <w:rPr>
          <w:rFonts w:ascii="Times New Roman" w:eastAsia="Times New Roman" w:hAnsi="Times New Roman"/>
          <w:i/>
          <w:iCs/>
          <w:color w:val="000000" w:themeColor="text1"/>
          <w:sz w:val="24"/>
          <w:szCs w:val="24"/>
        </w:rPr>
        <w:t xml:space="preserve">Līgumu brīvības princips ir </w:t>
      </w:r>
      <w:proofErr w:type="spellStart"/>
      <w:r w:rsidRPr="00FE531D">
        <w:rPr>
          <w:rFonts w:ascii="Times New Roman" w:eastAsia="Times New Roman" w:hAnsi="Times New Roman"/>
          <w:i/>
          <w:iCs/>
          <w:color w:val="000000" w:themeColor="text1"/>
          <w:sz w:val="24"/>
          <w:szCs w:val="24"/>
        </w:rPr>
        <w:t>privātautonomijas</w:t>
      </w:r>
      <w:proofErr w:type="spellEnd"/>
      <w:r w:rsidRPr="00FE531D">
        <w:rPr>
          <w:rFonts w:ascii="Times New Roman" w:eastAsia="Times New Roman" w:hAnsi="Times New Roman"/>
          <w:i/>
          <w:iCs/>
          <w:color w:val="000000" w:themeColor="text1"/>
          <w:sz w:val="24"/>
          <w:szCs w:val="24"/>
        </w:rPr>
        <w:t xml:space="preserve"> nozīmīgākā izpausme. Līgumu brīvība nozīmē to, ka līdzēji var veidot līgumattiecības un noteikt līguma saturu uz savstarpējas saprašanās un brīvas izvēles pamata</w:t>
      </w:r>
      <w:r w:rsidR="00002C2A" w:rsidRPr="56DAD599">
        <w:rPr>
          <w:rStyle w:val="FootnoteReference"/>
          <w:rFonts w:ascii="Times New Roman" w:eastAsia="Times New Roman" w:hAnsi="Times New Roman"/>
          <w:color w:val="000000" w:themeColor="text1"/>
          <w:sz w:val="24"/>
          <w:szCs w:val="24"/>
        </w:rPr>
        <w:footnoteReference w:id="2"/>
      </w:r>
      <w:r w:rsidRPr="00FE531D">
        <w:rPr>
          <w:rFonts w:ascii="Times New Roman" w:eastAsia="Times New Roman" w:hAnsi="Times New Roman"/>
          <w:color w:val="000000" w:themeColor="text1"/>
          <w:sz w:val="24"/>
          <w:szCs w:val="24"/>
        </w:rPr>
        <w:t xml:space="preserve">.” Vienlaikus </w:t>
      </w:r>
      <w:proofErr w:type="spellStart"/>
      <w:r w:rsidRPr="00FE531D">
        <w:rPr>
          <w:rFonts w:ascii="Times New Roman" w:eastAsia="Times New Roman" w:hAnsi="Times New Roman"/>
          <w:color w:val="000000" w:themeColor="text1"/>
          <w:sz w:val="24"/>
          <w:szCs w:val="24"/>
        </w:rPr>
        <w:t>K.Balodis</w:t>
      </w:r>
      <w:proofErr w:type="spellEnd"/>
      <w:r w:rsidRPr="00FE531D">
        <w:rPr>
          <w:rFonts w:ascii="Times New Roman" w:eastAsia="Times New Roman" w:hAnsi="Times New Roman"/>
          <w:color w:val="000000" w:themeColor="text1"/>
          <w:sz w:val="24"/>
          <w:szCs w:val="24"/>
        </w:rPr>
        <w:t xml:space="preserve"> norāda, ka, lai gan viena no līguma brīvības principa izpausmēm, kā atzīts juridiskajā doktrīnā, ir līguma noslēgšanas brīvība, kas nozīmē, ka katrs tiesību subjekts var brīvi izlemt, vai noslēgt līgumu, tomēr “</w:t>
      </w:r>
      <w:r w:rsidRPr="00FE531D">
        <w:rPr>
          <w:rFonts w:ascii="Times New Roman" w:eastAsia="Times New Roman" w:hAnsi="Times New Roman"/>
          <w:i/>
          <w:iCs/>
          <w:color w:val="000000" w:themeColor="text1"/>
          <w:sz w:val="24"/>
          <w:szCs w:val="24"/>
        </w:rPr>
        <w:t>katrai no līguma brīvības principa izpausmēm likumā ir noteikti ierobežojum</w:t>
      </w:r>
      <w:r w:rsidRPr="00FE531D">
        <w:rPr>
          <w:rFonts w:ascii="Times New Roman" w:eastAsia="Times New Roman" w:hAnsi="Times New Roman"/>
          <w:color w:val="000000" w:themeColor="text1"/>
          <w:sz w:val="24"/>
          <w:szCs w:val="24"/>
        </w:rPr>
        <w:t>i”.</w:t>
      </w:r>
      <w:r w:rsidR="00002C2A" w:rsidRPr="56DAD599">
        <w:rPr>
          <w:rStyle w:val="FootnoteReference"/>
          <w:rFonts w:ascii="Times New Roman" w:eastAsia="Times New Roman" w:hAnsi="Times New Roman"/>
          <w:sz w:val="24"/>
          <w:szCs w:val="24"/>
          <w:lang w:val="en-US"/>
        </w:rPr>
        <w:footnoteReference w:id="3"/>
      </w:r>
    </w:p>
    <w:p w14:paraId="782DC1CB" w14:textId="1CAEC6B3" w:rsidR="008265BF" w:rsidRPr="00B659E6" w:rsidRDefault="56DAD599" w:rsidP="005D4BB0">
      <w:pPr>
        <w:spacing w:after="120" w:line="240" w:lineRule="auto"/>
        <w:ind w:firstLine="720"/>
        <w:jc w:val="both"/>
        <w:rPr>
          <w:rFonts w:ascii="Times New Roman" w:eastAsia="Times New Roman" w:hAnsi="Times New Roman"/>
          <w:sz w:val="24"/>
          <w:szCs w:val="24"/>
        </w:rPr>
      </w:pPr>
      <w:r w:rsidRPr="56DAD599">
        <w:rPr>
          <w:rFonts w:ascii="Times New Roman" w:eastAsia="Times New Roman" w:hAnsi="Times New Roman"/>
          <w:color w:val="000000" w:themeColor="text1"/>
          <w:sz w:val="24"/>
          <w:szCs w:val="24"/>
        </w:rPr>
        <w:t xml:space="preserve">Līdz ar norādīto, profesionālās darbības ierobežojumu normatīvais regulējums jāskata nevis kā atļaujošais priekšnosacījums, bet kā ierobežojums darba un pilnvarojuma tiesiskās attiecībās esošo subjektu līgumu brīvībai attiecībā uz profesionālās darbības ierobežojumu noteikšanu. Apzinoties, ka likumdevēja pienākums civiltiesisko attiecību sfērā ir radīt nevis visaptverošu regulējumu katram dzīves gadījumam, bet gan nodrošināt regulējumu tiesību/pienākumu līdzsvarošanai, likumā noteiktie līguma brīvības principa ierobežojumi vērtējami kā likumdevēja nodoms aizsargāt neaizsargātākā civiltiesisko attiecību dalībnieka intereses, kas darba tiesiskajās attiecībās ir darbinieks, bet </w:t>
      </w:r>
      <w:proofErr w:type="spellStart"/>
      <w:r w:rsidRPr="56DAD599">
        <w:rPr>
          <w:rFonts w:ascii="Times New Roman" w:eastAsia="Times New Roman" w:hAnsi="Times New Roman"/>
          <w:color w:val="000000" w:themeColor="text1"/>
          <w:sz w:val="24"/>
          <w:szCs w:val="24"/>
        </w:rPr>
        <w:t>komerctiesiskā</w:t>
      </w:r>
      <w:proofErr w:type="spellEnd"/>
      <w:r w:rsidRPr="56DAD599">
        <w:rPr>
          <w:rFonts w:ascii="Times New Roman" w:eastAsia="Times New Roman" w:hAnsi="Times New Roman"/>
          <w:color w:val="000000" w:themeColor="text1"/>
          <w:sz w:val="24"/>
          <w:szCs w:val="24"/>
        </w:rPr>
        <w:t xml:space="preserve"> pārvaldes institūciju pilnvarojuma gadījumā – kapitālsabiedrība (jeb akcionāra intereses), to pasīvā stāvokļa dēļ.</w:t>
      </w:r>
      <w:r w:rsidR="00247AC7">
        <w:rPr>
          <w:rFonts w:ascii="Times New Roman" w:eastAsia="Times New Roman" w:hAnsi="Times New Roman"/>
          <w:color w:val="000000" w:themeColor="text1"/>
          <w:sz w:val="24"/>
          <w:szCs w:val="24"/>
        </w:rPr>
        <w:t xml:space="preserve"> </w:t>
      </w:r>
      <w:r w:rsidR="00FA4FF8">
        <w:rPr>
          <w:rFonts w:ascii="Times New Roman" w:eastAsia="Times New Roman" w:hAnsi="Times New Roman"/>
          <w:color w:val="000000" w:themeColor="text1"/>
          <w:sz w:val="24"/>
          <w:szCs w:val="24"/>
        </w:rPr>
        <w:lastRenderedPageBreak/>
        <w:t xml:space="preserve">Publisko kapitālsabiedrību pārvaldības jomā jāņem vērā papildus apstāklis – visas sabiedrības kā publiskā kapitāla īpašnieka intereses un ziņojuma ietvaros jāvērtē to aizsardzības mehānisma pietiekamība. </w:t>
      </w:r>
      <w:r w:rsidR="00247AC7">
        <w:rPr>
          <w:rFonts w:ascii="Times New Roman" w:eastAsia="Times New Roman" w:hAnsi="Times New Roman"/>
          <w:color w:val="000000" w:themeColor="text1"/>
          <w:sz w:val="24"/>
          <w:szCs w:val="24"/>
        </w:rPr>
        <w:t xml:space="preserve">Publisko kapitālsabiedrību pārvaldības jomā jāņem vērā papildus apstāklis – visas sabiedrības kā publiskā kapitāla īpašnieka intereses, un ziņojuma ietvaros jāvērtē to aizsardzības mehānisma pietiekamība. </w:t>
      </w:r>
      <w:r w:rsidRPr="00B659E6">
        <w:rPr>
          <w:rFonts w:ascii="Times New Roman" w:eastAsia="Times New Roman" w:hAnsi="Times New Roman"/>
          <w:color w:val="000000" w:themeColor="text1"/>
          <w:sz w:val="24"/>
          <w:szCs w:val="24"/>
        </w:rPr>
        <w:t xml:space="preserve"> No minētā izriet, ka profesionālās darbības ierobežojumu noteikšana nav ne obligāta, ne arī  aizliegta komponente ne darba, ne valdes locekļu nodarbinātības attiecībās, tomēr nosakot to ietvaru, jāievēro tiesību aktos noteiktie ierobežojumi, ciktāl tie attiecināmi.</w:t>
      </w:r>
      <w:r w:rsidR="005F1CFF">
        <w:rPr>
          <w:rFonts w:ascii="Times New Roman" w:eastAsia="Times New Roman" w:hAnsi="Times New Roman"/>
          <w:color w:val="FF0000"/>
          <w:sz w:val="24"/>
          <w:szCs w:val="24"/>
        </w:rPr>
        <w:t xml:space="preserve"> </w:t>
      </w:r>
      <w:r w:rsidR="008265BF" w:rsidRPr="00B659E6">
        <w:rPr>
          <w:rFonts w:ascii="Times New Roman" w:eastAsia="Times New Roman" w:hAnsi="Times New Roman"/>
          <w:sz w:val="24"/>
          <w:szCs w:val="24"/>
        </w:rPr>
        <w:t>Tāpat jāņem vērā, ka vienošanās par konkurences ierobežojumu pēc būtības ir patstāvīgs līgums un attiecas uz laika posmu pēc darba (pilnvarojuma) tiesisko attiecību pārtraukšanas, minētais attiecas arī uz vienošanās ietvaros noteikto atlīdzību par ierobežojumu ievērošanu.</w:t>
      </w:r>
      <w:r w:rsidR="00622212" w:rsidRPr="00B659E6">
        <w:rPr>
          <w:rFonts w:ascii="Times New Roman" w:eastAsia="Times New Roman" w:hAnsi="Times New Roman"/>
          <w:sz w:val="24"/>
          <w:szCs w:val="24"/>
        </w:rPr>
        <w:t xml:space="preserve"> </w:t>
      </w:r>
    </w:p>
    <w:p w14:paraId="60EBE5FD" w14:textId="40AEC565" w:rsidR="005D4BB0" w:rsidRPr="00B659E6" w:rsidRDefault="008265BF" w:rsidP="00420BB3">
      <w:pPr>
        <w:spacing w:after="120" w:line="240" w:lineRule="auto"/>
        <w:ind w:firstLine="720"/>
        <w:jc w:val="both"/>
        <w:rPr>
          <w:rFonts w:ascii="Times New Roman" w:eastAsia="Times New Roman" w:hAnsi="Times New Roman"/>
          <w:sz w:val="24"/>
          <w:szCs w:val="24"/>
        </w:rPr>
      </w:pPr>
      <w:r w:rsidRPr="00B659E6">
        <w:rPr>
          <w:rFonts w:ascii="Times New Roman" w:eastAsia="Times New Roman" w:hAnsi="Times New Roman"/>
          <w:sz w:val="24"/>
          <w:szCs w:val="24"/>
        </w:rPr>
        <w:t xml:space="preserve">Papildus jānorāda, ka </w:t>
      </w:r>
      <w:r w:rsidR="005F1CFF" w:rsidRPr="00B659E6">
        <w:rPr>
          <w:rFonts w:ascii="Times New Roman" w:eastAsia="Times New Roman" w:hAnsi="Times New Roman"/>
          <w:sz w:val="24"/>
          <w:szCs w:val="24"/>
        </w:rPr>
        <w:t>valsts amatper</w:t>
      </w:r>
      <w:r w:rsidR="00265197" w:rsidRPr="00B659E6">
        <w:rPr>
          <w:rFonts w:ascii="Times New Roman" w:eastAsia="Times New Roman" w:hAnsi="Times New Roman"/>
          <w:sz w:val="24"/>
          <w:szCs w:val="24"/>
        </w:rPr>
        <w:t>s</w:t>
      </w:r>
      <w:r w:rsidR="005F1CFF" w:rsidRPr="00B659E6">
        <w:rPr>
          <w:rFonts w:ascii="Times New Roman" w:eastAsia="Times New Roman" w:hAnsi="Times New Roman"/>
          <w:sz w:val="24"/>
          <w:szCs w:val="24"/>
        </w:rPr>
        <w:t>onām</w:t>
      </w:r>
      <w:r w:rsidR="00265197" w:rsidRPr="00B659E6">
        <w:rPr>
          <w:rFonts w:ascii="Times New Roman" w:eastAsia="Times New Roman" w:hAnsi="Times New Roman"/>
          <w:sz w:val="24"/>
          <w:szCs w:val="24"/>
        </w:rPr>
        <w:t xml:space="preserve"> ir </w:t>
      </w:r>
      <w:r w:rsidRPr="00B659E6">
        <w:rPr>
          <w:rFonts w:ascii="Times New Roman" w:eastAsia="Times New Roman" w:hAnsi="Times New Roman"/>
          <w:sz w:val="24"/>
          <w:szCs w:val="24"/>
        </w:rPr>
        <w:t xml:space="preserve">jāievēro likuma “Par interešu konflikta novēršanu valsts amatpersonas darbībā” 10. panta septītā daļa, kas paredz aizliegumu divus gadus pēc tam, kad tā pieņēmusi lēmumu vai piedalījusies lēmuma pieņemšanā par publisko iepirkumu, partnerības iepirkumu, sabiedrisko pakalpojumu sniedzēju iepirkumu vai koncesiju, par publiskas personas finanšu līdzekļu piešķiršanu vai veikusi uzraudzības, kontroles, izmeklēšanas vai sodīšanas funkcijas, vai administrējusi maksātnespējas procesu, iegūt tāda komersanta mantu, kā arī kļūt par tādas komercsabiedrības dalībnieku, akcionāru, biedru vai ieņemt amatus komercsabiedrībā, attiecībā uz kuru šī valsts amatpersona, pildot savus pienākumus, pieņēmusi lēmumu vai piedalījusies lēmuma pieņemšanā par publisko iepirkumu, partnerības iepirkumu, sabiedrisko pakalpojumu sniedzēju iepirkumu vai koncesiju par publiskas personas finanšu līdzekļu piešķiršanu vai veikusi uzraudzības, kontroles, izmeklēšanas vai sodīšanas funkcijas, vai administrējusi maksātnespējas procesu. Par šī ierobežojuma ievērošanu </w:t>
      </w:r>
      <w:r w:rsidR="005D4BB0" w:rsidRPr="00B659E6">
        <w:rPr>
          <w:rFonts w:ascii="Times New Roman" w:eastAsia="Times New Roman" w:hAnsi="Times New Roman"/>
          <w:sz w:val="24"/>
          <w:szCs w:val="24"/>
        </w:rPr>
        <w:t xml:space="preserve">normatīvajos aktos </w:t>
      </w:r>
      <w:r w:rsidRPr="00B659E6">
        <w:rPr>
          <w:rFonts w:ascii="Times New Roman" w:eastAsia="Times New Roman" w:hAnsi="Times New Roman"/>
          <w:sz w:val="24"/>
          <w:szCs w:val="24"/>
        </w:rPr>
        <w:t>valsts amatpersonai nav paredzēta papildus atlīdzība</w:t>
      </w:r>
      <w:r w:rsidR="000F445F" w:rsidRPr="00B659E6">
        <w:rPr>
          <w:rFonts w:ascii="Times New Roman" w:eastAsia="Times New Roman" w:hAnsi="Times New Roman"/>
          <w:sz w:val="24"/>
          <w:szCs w:val="24"/>
        </w:rPr>
        <w:t xml:space="preserve">. </w:t>
      </w:r>
    </w:p>
    <w:p w14:paraId="40574FA7" w14:textId="6729AE67" w:rsidR="000F445F" w:rsidRPr="00B659E6" w:rsidRDefault="000F445F" w:rsidP="00420BB3">
      <w:pPr>
        <w:spacing w:after="120" w:line="240" w:lineRule="auto"/>
        <w:ind w:firstLine="720"/>
        <w:jc w:val="both"/>
        <w:rPr>
          <w:rFonts w:ascii="Times New Roman" w:eastAsia="Times New Roman" w:hAnsi="Times New Roman"/>
          <w:sz w:val="24"/>
          <w:szCs w:val="24"/>
        </w:rPr>
      </w:pPr>
      <w:r w:rsidRPr="00B659E6">
        <w:rPr>
          <w:rFonts w:ascii="Times New Roman" w:eastAsia="Times New Roman" w:hAnsi="Times New Roman"/>
          <w:sz w:val="24"/>
          <w:szCs w:val="24"/>
        </w:rPr>
        <w:t xml:space="preserve">Ņemot vērā minēto, ja tiek vērtēta nepieciešamība </w:t>
      </w:r>
      <w:r w:rsidR="00BC6B05" w:rsidRPr="00B659E6">
        <w:rPr>
          <w:rFonts w:ascii="Times New Roman" w:eastAsia="Times New Roman" w:hAnsi="Times New Roman"/>
          <w:sz w:val="24"/>
          <w:szCs w:val="24"/>
        </w:rPr>
        <w:t xml:space="preserve">slēgt vienošanos par profesionālās darbības ierobežojumu </w:t>
      </w:r>
      <w:r w:rsidRPr="00B659E6">
        <w:rPr>
          <w:rFonts w:ascii="Times New Roman" w:eastAsia="Times New Roman" w:hAnsi="Times New Roman"/>
          <w:sz w:val="24"/>
          <w:szCs w:val="24"/>
        </w:rPr>
        <w:t xml:space="preserve">ar publiskas personas kapitālsabiedrības valdes locekli, </w:t>
      </w:r>
      <w:r w:rsidRPr="00B659E6">
        <w:rPr>
          <w:rFonts w:ascii="Times New Roman" w:eastAsia="Times New Roman" w:hAnsi="Times New Roman"/>
          <w:sz w:val="24"/>
          <w:szCs w:val="24"/>
          <w:u w:val="single"/>
        </w:rPr>
        <w:t xml:space="preserve">ir </w:t>
      </w:r>
      <w:r w:rsidR="00154588" w:rsidRPr="00B659E6">
        <w:rPr>
          <w:rFonts w:ascii="Times New Roman" w:eastAsia="Times New Roman" w:hAnsi="Times New Roman"/>
          <w:sz w:val="24"/>
          <w:szCs w:val="24"/>
          <w:u w:val="single"/>
        </w:rPr>
        <w:t xml:space="preserve">jāievēro visi </w:t>
      </w:r>
      <w:r w:rsidR="004A54FE" w:rsidRPr="00B659E6">
        <w:rPr>
          <w:rFonts w:ascii="Times New Roman" w:eastAsia="Times New Roman" w:hAnsi="Times New Roman"/>
          <w:sz w:val="24"/>
          <w:szCs w:val="24"/>
          <w:u w:val="single"/>
        </w:rPr>
        <w:t xml:space="preserve">informatīvajā ziņojumā </w:t>
      </w:r>
      <w:r w:rsidR="00154588" w:rsidRPr="00B659E6">
        <w:rPr>
          <w:rFonts w:ascii="Times New Roman" w:eastAsia="Times New Roman" w:hAnsi="Times New Roman"/>
          <w:sz w:val="24"/>
          <w:szCs w:val="24"/>
          <w:u w:val="single"/>
        </w:rPr>
        <w:t>turpmāk minētie apsvērumi</w:t>
      </w:r>
      <w:r w:rsidR="00BC6B05" w:rsidRPr="00B659E6">
        <w:rPr>
          <w:rFonts w:ascii="Times New Roman" w:eastAsia="Times New Roman" w:hAnsi="Times New Roman"/>
          <w:sz w:val="24"/>
          <w:szCs w:val="24"/>
          <w:u w:val="single"/>
        </w:rPr>
        <w:t xml:space="preserve"> </w:t>
      </w:r>
      <w:r w:rsidR="00154588" w:rsidRPr="00B659E6">
        <w:rPr>
          <w:rFonts w:ascii="Times New Roman" w:eastAsia="Times New Roman" w:hAnsi="Times New Roman"/>
          <w:sz w:val="24"/>
          <w:szCs w:val="24"/>
          <w:u w:val="single"/>
        </w:rPr>
        <w:t>un ierobežojum</w:t>
      </w:r>
      <w:r w:rsidR="00BC6B05" w:rsidRPr="00B659E6">
        <w:rPr>
          <w:rFonts w:ascii="Times New Roman" w:eastAsia="Times New Roman" w:hAnsi="Times New Roman"/>
          <w:sz w:val="24"/>
          <w:szCs w:val="24"/>
          <w:u w:val="single"/>
        </w:rPr>
        <w:t>i</w:t>
      </w:r>
      <w:r w:rsidR="004A54FE" w:rsidRPr="00B659E6">
        <w:rPr>
          <w:rFonts w:ascii="Times New Roman" w:eastAsia="Times New Roman" w:hAnsi="Times New Roman"/>
          <w:sz w:val="24"/>
          <w:szCs w:val="24"/>
          <w:u w:val="single"/>
        </w:rPr>
        <w:t>, kas attiecināmi arī uz darbiniekiem</w:t>
      </w:r>
      <w:r w:rsidR="00154588" w:rsidRPr="00B659E6">
        <w:rPr>
          <w:rFonts w:ascii="Times New Roman" w:eastAsia="Times New Roman" w:hAnsi="Times New Roman"/>
          <w:sz w:val="24"/>
          <w:szCs w:val="24"/>
          <w:u w:val="single"/>
        </w:rPr>
        <w:t xml:space="preserve">, kā arī nav pamata slēgt vienošanos par </w:t>
      </w:r>
      <w:r w:rsidR="00CB6272" w:rsidRPr="00B659E6">
        <w:rPr>
          <w:rFonts w:ascii="Times New Roman" w:eastAsia="Times New Roman" w:hAnsi="Times New Roman"/>
          <w:sz w:val="24"/>
          <w:szCs w:val="24"/>
          <w:u w:val="single"/>
        </w:rPr>
        <w:t xml:space="preserve">valsts amatpersonai </w:t>
      </w:r>
      <w:r w:rsidR="00BC6B05" w:rsidRPr="00B659E6">
        <w:rPr>
          <w:rFonts w:ascii="Times New Roman" w:eastAsia="Times New Roman" w:hAnsi="Times New Roman"/>
          <w:sz w:val="24"/>
          <w:szCs w:val="24"/>
          <w:u w:val="single"/>
        </w:rPr>
        <w:t>normatīvajos aktos jau noteikto pienākumu, tai skaitā neatkarības prasību</w:t>
      </w:r>
      <w:r w:rsidR="00B659E6">
        <w:rPr>
          <w:rFonts w:ascii="Times New Roman" w:eastAsia="Times New Roman" w:hAnsi="Times New Roman"/>
          <w:sz w:val="24"/>
          <w:szCs w:val="24"/>
          <w:u w:val="single"/>
        </w:rPr>
        <w:t>,</w:t>
      </w:r>
      <w:r w:rsidR="00BC6B05" w:rsidRPr="00B659E6">
        <w:rPr>
          <w:rFonts w:ascii="Times New Roman" w:eastAsia="Times New Roman" w:hAnsi="Times New Roman"/>
          <w:sz w:val="24"/>
          <w:szCs w:val="24"/>
          <w:u w:val="single"/>
        </w:rPr>
        <w:t xml:space="preserve"> ievērošanu.</w:t>
      </w:r>
      <w:r w:rsidR="00BC6B05" w:rsidRPr="00B659E6">
        <w:rPr>
          <w:rFonts w:ascii="Times New Roman" w:eastAsia="Times New Roman" w:hAnsi="Times New Roman"/>
          <w:sz w:val="24"/>
          <w:szCs w:val="24"/>
        </w:rPr>
        <w:t xml:space="preserve"> </w:t>
      </w:r>
    </w:p>
    <w:p w14:paraId="32547863" w14:textId="2A61B4B7" w:rsidR="00654188" w:rsidRDefault="56DAD599" w:rsidP="004E1C4C">
      <w:pPr>
        <w:spacing w:after="120" w:line="240" w:lineRule="auto"/>
        <w:ind w:firstLine="720"/>
        <w:jc w:val="center"/>
        <w:rPr>
          <w:b/>
          <w:bCs/>
          <w:sz w:val="24"/>
          <w:szCs w:val="24"/>
        </w:rPr>
      </w:pPr>
      <w:r w:rsidRPr="56DAD599">
        <w:rPr>
          <w:rFonts w:ascii="Times New Roman" w:eastAsia="Times New Roman" w:hAnsi="Times New Roman"/>
          <w:b/>
          <w:bCs/>
          <w:sz w:val="24"/>
          <w:szCs w:val="24"/>
        </w:rPr>
        <w:t>3.1. Profesionālās darbības ierobežojumu noteikšanas objektīvais pamats jeb lietderība</w:t>
      </w:r>
    </w:p>
    <w:p w14:paraId="49475EFB" w14:textId="79B0D6E0" w:rsidR="00654188" w:rsidRPr="00B87E0E" w:rsidRDefault="56DAD599" w:rsidP="00420BB3">
      <w:pPr>
        <w:spacing w:after="120" w:line="240" w:lineRule="auto"/>
        <w:ind w:firstLine="720"/>
        <w:jc w:val="both"/>
        <w:rPr>
          <w:rFonts w:ascii="Arial" w:eastAsia="Arial" w:hAnsi="Arial" w:cs="Arial"/>
          <w:sz w:val="20"/>
          <w:szCs w:val="20"/>
        </w:rPr>
      </w:pPr>
      <w:r w:rsidRPr="00B87E0E">
        <w:rPr>
          <w:rFonts w:ascii="Times New Roman" w:eastAsia="Times New Roman" w:hAnsi="Times New Roman"/>
          <w:sz w:val="24"/>
          <w:szCs w:val="24"/>
        </w:rPr>
        <w:t xml:space="preserve">Kā norādīts šīs nodaļas ievadā, profesionālās darbības ierobežojumu noteikšanas mērķis ir nodrošināt </w:t>
      </w:r>
      <w:r w:rsidRPr="006A4AF8">
        <w:rPr>
          <w:rFonts w:ascii="Times New Roman" w:eastAsia="Times New Roman" w:hAnsi="Times New Roman"/>
          <w:sz w:val="24"/>
          <w:szCs w:val="24"/>
        </w:rPr>
        <w:t>konkurences apstākļos darbojošās uzņēmuma</w:t>
      </w:r>
      <w:r w:rsidRPr="00B87E0E">
        <w:rPr>
          <w:rFonts w:ascii="Times New Roman" w:eastAsia="Times New Roman" w:hAnsi="Times New Roman"/>
          <w:sz w:val="24"/>
          <w:szCs w:val="24"/>
        </w:rPr>
        <w:t xml:space="preserve"> vienības aizsardzību pret zaudējumiem, ko varētu radīt nekontrolēta uzņēmuma komercdarbībai būtiskas informācijas nonākšana konkurenta rīcībā, sadarbības partneru tīkla vai noieta tīkla destrukcija. Plašākā jēdziena izpratnē profesionālās darbības ierobežojumu spektrā ietilpst arī atsevišķi interešu konflikta novēršanas mehānismi, kuru mērķis ir nepieļaut situācijas, kurās tiesību subjekts, īstenojot savas intereses, apzināti nodara kaitējumu attiecīgajai uzņēmuma vienībai. Profesionālās darbības ierobežojumu mērķis ir preventīvi novērst Konkurences likuma 18.panta trešās daļas ceturtā apakšpunktā norādīto  apdraudējumu – negodīgas konkurences izpausmi – </w:t>
      </w:r>
      <w:r w:rsidRPr="006A4AF8">
        <w:rPr>
          <w:rFonts w:ascii="Times New Roman" w:eastAsia="Times New Roman" w:hAnsi="Times New Roman"/>
          <w:sz w:val="24"/>
          <w:szCs w:val="24"/>
        </w:rPr>
        <w:t>“cita tirgus dalībnieka</w:t>
      </w:r>
      <w:r w:rsidRPr="00B87E0E">
        <w:rPr>
          <w:rFonts w:ascii="Times New Roman" w:eastAsia="Times New Roman" w:hAnsi="Times New Roman"/>
          <w:sz w:val="24"/>
          <w:szCs w:val="24"/>
        </w:rPr>
        <w:t xml:space="preserve"> komercnoslēpumu ietverošas informācijas iegūšana, izmantošana vai izplatīšana bez tā piekrišanas”.</w:t>
      </w:r>
    </w:p>
    <w:p w14:paraId="4337A371" w14:textId="6EE37E46" w:rsidR="00654188" w:rsidRPr="00B87E0E" w:rsidRDefault="56DAD599" w:rsidP="00420BB3">
      <w:pPr>
        <w:spacing w:after="120" w:line="240" w:lineRule="auto"/>
        <w:ind w:firstLine="720"/>
        <w:jc w:val="both"/>
      </w:pPr>
      <w:r w:rsidRPr="00B87E0E">
        <w:rPr>
          <w:rFonts w:ascii="Times New Roman" w:eastAsia="Times New Roman" w:hAnsi="Times New Roman"/>
          <w:sz w:val="24"/>
          <w:szCs w:val="24"/>
        </w:rPr>
        <w:t xml:space="preserve">No minētās definīcijas izriet profesionālās darbības ierobežojumu noteikšanas objektīvais pamats – aizsardzība pret uzņēmuma (investoru) zaudējumu risku – līdz ar ko, gan ierobežojumu noteikšanas nepieciešamība, gan to robežas, gan kompensācijas apmērs par tā ievērošanu jāskata kontekstā ar zaudējumu definīciju.  </w:t>
      </w:r>
    </w:p>
    <w:p w14:paraId="1CED3039" w14:textId="4514A2A0" w:rsidR="00654188" w:rsidRDefault="56DAD599" w:rsidP="00420BB3">
      <w:pPr>
        <w:spacing w:after="120" w:line="240" w:lineRule="auto"/>
        <w:ind w:firstLine="720"/>
        <w:jc w:val="both"/>
      </w:pPr>
      <w:r w:rsidRPr="00B87E0E">
        <w:rPr>
          <w:rFonts w:ascii="Times New Roman" w:eastAsia="Times New Roman" w:hAnsi="Times New Roman"/>
          <w:sz w:val="24"/>
          <w:szCs w:val="24"/>
        </w:rPr>
        <w:t xml:space="preserve">Zaudējumu novērtēšanā, savukārt nošķirami 4 elementi: subjekta vainojama rīcība, rīcības cēloniskais sakars ar zaudējumu/kaitējuma faktu, </w:t>
      </w:r>
      <w:r w:rsidRPr="56DAD599">
        <w:rPr>
          <w:rFonts w:ascii="Times New Roman" w:eastAsia="Times New Roman" w:hAnsi="Times New Roman"/>
          <w:sz w:val="24"/>
          <w:szCs w:val="24"/>
        </w:rPr>
        <w:t xml:space="preserve">zaudējumu fakts un apmērs. </w:t>
      </w:r>
      <w:r w:rsidRPr="56DAD599">
        <w:rPr>
          <w:rFonts w:ascii="Times New Roman" w:eastAsia="Times New Roman" w:hAnsi="Times New Roman"/>
          <w:sz w:val="24"/>
          <w:szCs w:val="24"/>
        </w:rPr>
        <w:lastRenderedPageBreak/>
        <w:t>Novērtējot potenciālo zaudējumu risku nākotnē, zaudējumu fakts aizstājams ar potenciālo zaudējumu risku.</w:t>
      </w:r>
    </w:p>
    <w:p w14:paraId="57B8A3EE" w14:textId="14A39AE9" w:rsidR="00654188" w:rsidRDefault="56DAD599" w:rsidP="00420BB3">
      <w:pPr>
        <w:spacing w:after="120" w:line="240" w:lineRule="auto"/>
        <w:ind w:firstLine="720"/>
        <w:jc w:val="both"/>
      </w:pPr>
      <w:r w:rsidRPr="56DAD599">
        <w:rPr>
          <w:rFonts w:ascii="Times New Roman" w:eastAsia="Times New Roman" w:hAnsi="Times New Roman"/>
          <w:sz w:val="24"/>
          <w:szCs w:val="24"/>
        </w:rPr>
        <w:t xml:space="preserve"> Līdz ar norādīto, profesionālās darbības ierobežojumu noteikšanas objektīvo pamatu veido visu šo elementu kumulatīvais efekts: ja pastāv reāla iespēja, ka konkrētais tiesisko attiecību subjekts, izmantojot šajās attiecībās iegūto informāciju, zināšanas, ietekmi vai tml. uzņēmuma vienības vērtības, ir spējīgs veikt tādas darbības, kuru rezultātā uzņēmuma vienības konkurenti iegūst tā konkurencei būtisku informāciju, vai realizēt sadarbības partneru tīkla vai noieta tīkla destrukciju (var būt arī citas konkurenci ietekmējošas darbības), un šīm negatīvajām sekām ir nozīmīga ietekme uz attiecīgā uzņēmuma vienības konkurētspēju vai darbību, un tiesību aktos nav noteikti citi šāda riska aizsardzības mehānismi (piemēram, komercnoslēpums, konfidencialitātes pienākums), tad pastāv objektīva nepieciešamība novērst šādu risku, vienojoties par profesionālās darbības ierobežojumiem. </w:t>
      </w:r>
      <w:r w:rsidRPr="00B87E0E">
        <w:rPr>
          <w:rFonts w:ascii="Times New Roman" w:eastAsia="Times New Roman" w:hAnsi="Times New Roman"/>
          <w:sz w:val="24"/>
          <w:szCs w:val="24"/>
          <w:u w:val="single"/>
        </w:rPr>
        <w:t>Tikai pastāvot objektīvai nepieciešamībai novērst kaitējuma risku, profesionālās darbības ierobežojuma noteikšanu var uzskatīt par lietderīgu</w:t>
      </w:r>
      <w:r w:rsidRPr="56DAD599">
        <w:rPr>
          <w:rFonts w:ascii="Times New Roman" w:eastAsia="Times New Roman" w:hAnsi="Times New Roman"/>
          <w:sz w:val="24"/>
          <w:szCs w:val="24"/>
        </w:rPr>
        <w:t>.</w:t>
      </w:r>
    </w:p>
    <w:p w14:paraId="3CDCB7EF" w14:textId="00D1B577" w:rsidR="00654188" w:rsidRDefault="56DAD599" w:rsidP="00420BB3">
      <w:pPr>
        <w:spacing w:after="120" w:line="240" w:lineRule="auto"/>
        <w:ind w:left="681" w:firstLine="720"/>
        <w:jc w:val="center"/>
        <w:rPr>
          <w:b/>
          <w:bCs/>
          <w:sz w:val="24"/>
          <w:szCs w:val="24"/>
        </w:rPr>
      </w:pPr>
      <w:r w:rsidRPr="56DAD599">
        <w:rPr>
          <w:rFonts w:ascii="Times New Roman" w:eastAsia="Times New Roman" w:hAnsi="Times New Roman"/>
          <w:b/>
          <w:bCs/>
          <w:sz w:val="24"/>
          <w:szCs w:val="24"/>
        </w:rPr>
        <w:t>3.2. Uzņēmuma darbinieku profesionālās darbības ierobežojumu regulējums pēc darba tiesisko attiecību pārtraukšanas,  tiesību aizsardzība</w:t>
      </w:r>
    </w:p>
    <w:p w14:paraId="57CBFE36" w14:textId="1E1C5662" w:rsidR="00654188" w:rsidRDefault="56DAD599" w:rsidP="00420BB3">
      <w:pPr>
        <w:spacing w:after="120" w:line="240" w:lineRule="auto"/>
        <w:ind w:firstLine="720"/>
        <w:jc w:val="both"/>
      </w:pPr>
      <w:r w:rsidRPr="56DAD599">
        <w:rPr>
          <w:rFonts w:ascii="Times New Roman" w:eastAsia="Times New Roman" w:hAnsi="Times New Roman"/>
          <w:sz w:val="24"/>
          <w:szCs w:val="24"/>
        </w:rPr>
        <w:t xml:space="preserve">Kā iepriekš norādīts, profesionālās darbības ierobežojumu mērķis ir uzņēmuma vienības (darba devēja) interešu aizsardzība pret negodīgas konkurences izpausmi - </w:t>
      </w:r>
      <w:r w:rsidRPr="56DAD599">
        <w:rPr>
          <w:rFonts w:ascii="Times New Roman" w:eastAsia="Times New Roman" w:hAnsi="Times New Roman"/>
          <w:color w:val="414142"/>
          <w:sz w:val="24"/>
          <w:szCs w:val="24"/>
        </w:rPr>
        <w:t xml:space="preserve">cita tirgus dalībnieka </w:t>
      </w:r>
      <w:r w:rsidR="008005ED" w:rsidRPr="008005ED">
        <w:rPr>
          <w:rFonts w:ascii="Times New Roman" w:eastAsia="Times New Roman" w:hAnsi="Times New Roman"/>
          <w:color w:val="414142"/>
          <w:sz w:val="24"/>
          <w:szCs w:val="24"/>
        </w:rPr>
        <w:t>darbinieka rīcībā esoša</w:t>
      </w:r>
      <w:r w:rsidR="008005ED">
        <w:rPr>
          <w:rFonts w:ascii="Times New Roman" w:eastAsia="Times New Roman" w:hAnsi="Times New Roman"/>
          <w:color w:val="414142"/>
          <w:sz w:val="24"/>
          <w:szCs w:val="24"/>
        </w:rPr>
        <w:t>s</w:t>
      </w:r>
      <w:r w:rsidR="008005ED" w:rsidRPr="008005ED">
        <w:rPr>
          <w:rFonts w:ascii="Times New Roman" w:eastAsia="Times New Roman" w:hAnsi="Times New Roman"/>
          <w:color w:val="414142"/>
          <w:sz w:val="24"/>
          <w:szCs w:val="24"/>
        </w:rPr>
        <w:t xml:space="preserve"> būtis</w:t>
      </w:r>
      <w:r w:rsidR="008005ED">
        <w:rPr>
          <w:rFonts w:ascii="Times New Roman" w:eastAsia="Times New Roman" w:hAnsi="Times New Roman"/>
          <w:color w:val="414142"/>
          <w:sz w:val="24"/>
          <w:szCs w:val="24"/>
        </w:rPr>
        <w:t>kas</w:t>
      </w:r>
      <w:r w:rsidR="008005ED" w:rsidRPr="008005ED">
        <w:rPr>
          <w:rFonts w:ascii="Times New Roman" w:eastAsia="Times New Roman" w:hAnsi="Times New Roman"/>
          <w:color w:val="414142"/>
          <w:sz w:val="24"/>
          <w:szCs w:val="24"/>
        </w:rPr>
        <w:t xml:space="preserve"> un aizsargājama</w:t>
      </w:r>
      <w:r w:rsidR="008005ED">
        <w:rPr>
          <w:rFonts w:ascii="Times New Roman" w:eastAsia="Times New Roman" w:hAnsi="Times New Roman"/>
          <w:color w:val="414142"/>
          <w:sz w:val="24"/>
          <w:szCs w:val="24"/>
        </w:rPr>
        <w:t>s</w:t>
      </w:r>
      <w:r w:rsidR="008005ED" w:rsidRPr="008005ED">
        <w:rPr>
          <w:rFonts w:ascii="Times New Roman" w:eastAsia="Times New Roman" w:hAnsi="Times New Roman"/>
          <w:color w:val="414142"/>
          <w:sz w:val="24"/>
          <w:szCs w:val="24"/>
        </w:rPr>
        <w:t xml:space="preserve"> informācija</w:t>
      </w:r>
      <w:r w:rsidR="008005ED">
        <w:rPr>
          <w:rFonts w:ascii="Times New Roman" w:eastAsia="Times New Roman" w:hAnsi="Times New Roman"/>
          <w:color w:val="414142"/>
          <w:sz w:val="24"/>
          <w:szCs w:val="24"/>
        </w:rPr>
        <w:t>s</w:t>
      </w:r>
      <w:r w:rsidR="008005ED" w:rsidRPr="008005ED">
        <w:rPr>
          <w:rFonts w:ascii="Times New Roman" w:eastAsia="Times New Roman" w:hAnsi="Times New Roman"/>
          <w:color w:val="414142"/>
          <w:sz w:val="24"/>
          <w:szCs w:val="24"/>
        </w:rPr>
        <w:t>, kuras nonākšana pie konkurējoša uzņēmuma var apdraudēt uzņēmuma konkurētspēju</w:t>
      </w:r>
      <w:r w:rsidRPr="56DAD599">
        <w:rPr>
          <w:rFonts w:ascii="Times New Roman" w:eastAsia="Times New Roman" w:hAnsi="Times New Roman"/>
          <w:color w:val="414142"/>
          <w:sz w:val="24"/>
          <w:szCs w:val="24"/>
        </w:rPr>
        <w:t xml:space="preserve"> iegūšana, izmantošana vai izplatīšana bez tā piekrišanas. Līdz ar norādīto, šī ziņojuma autori pievienojas Revīzijas ziņojumā paustajam viedoklim, ka </w:t>
      </w:r>
      <w:r w:rsidRPr="56DAD599">
        <w:rPr>
          <w:rFonts w:ascii="Times New Roman" w:eastAsia="Times New Roman" w:hAnsi="Times New Roman"/>
          <w:sz w:val="24"/>
          <w:szCs w:val="24"/>
        </w:rPr>
        <w:t>priekšnoteikums vienošanās noslēgšanas iespējamībai publiskajā sektorā ir juridiskās personas tiesības nodarboties ar komercdarbību</w:t>
      </w:r>
      <w:r w:rsidR="00002C2A" w:rsidRPr="56DAD599">
        <w:rPr>
          <w:rStyle w:val="FootnoteReference"/>
          <w:rFonts w:ascii="Times New Roman" w:eastAsia="Times New Roman" w:hAnsi="Times New Roman"/>
          <w:sz w:val="24"/>
          <w:szCs w:val="24"/>
        </w:rPr>
        <w:footnoteReference w:id="4"/>
      </w:r>
      <w:r w:rsidRPr="56DAD599">
        <w:rPr>
          <w:rFonts w:ascii="Times New Roman" w:eastAsia="Times New Roman" w:hAnsi="Times New Roman"/>
          <w:sz w:val="24"/>
          <w:szCs w:val="24"/>
        </w:rPr>
        <w:t xml:space="preserve">, </w:t>
      </w:r>
      <w:r w:rsidRPr="006A4AF8">
        <w:rPr>
          <w:rFonts w:ascii="Times New Roman" w:eastAsia="Times New Roman" w:hAnsi="Times New Roman"/>
          <w:sz w:val="24"/>
          <w:szCs w:val="24"/>
        </w:rPr>
        <w:t>un šādas tiesības piemīt gan valsts augstskolām, gan publisku personu kapitālsabiedrībām</w:t>
      </w:r>
      <w:r w:rsidRPr="56DAD599">
        <w:rPr>
          <w:rFonts w:ascii="Times New Roman" w:eastAsia="Times New Roman" w:hAnsi="Times New Roman"/>
          <w:sz w:val="24"/>
          <w:szCs w:val="24"/>
        </w:rPr>
        <w:t xml:space="preserve">. </w:t>
      </w:r>
    </w:p>
    <w:p w14:paraId="7A8C6243" w14:textId="19EE6D49" w:rsidR="00654188" w:rsidRPr="00420BB3" w:rsidRDefault="56DAD599" w:rsidP="00420BB3">
      <w:pPr>
        <w:spacing w:after="120" w:line="240" w:lineRule="auto"/>
        <w:ind w:firstLine="720"/>
        <w:jc w:val="both"/>
      </w:pPr>
      <w:r w:rsidRPr="56DAD599">
        <w:rPr>
          <w:rFonts w:ascii="Times New Roman" w:eastAsia="Times New Roman" w:hAnsi="Times New Roman"/>
          <w:sz w:val="24"/>
          <w:szCs w:val="24"/>
        </w:rPr>
        <w:t xml:space="preserve">Ņemot vērā, ka uzņēmumā, tai skaitā publiskas personas kapitālsabiedrībā, ir atsevišķi darbinieki, kuru ikdienas pienākumu izpilde ir nesaraujami saistīta ar </w:t>
      </w:r>
      <w:r w:rsidR="008005ED" w:rsidRPr="008005ED">
        <w:rPr>
          <w:rFonts w:ascii="Times New Roman" w:eastAsia="Times New Roman" w:hAnsi="Times New Roman"/>
          <w:sz w:val="24"/>
          <w:szCs w:val="24"/>
        </w:rPr>
        <w:t>būtiska</w:t>
      </w:r>
      <w:r w:rsidR="008005ED">
        <w:rPr>
          <w:rFonts w:ascii="Times New Roman" w:eastAsia="Times New Roman" w:hAnsi="Times New Roman"/>
          <w:sz w:val="24"/>
          <w:szCs w:val="24"/>
        </w:rPr>
        <w:t>s</w:t>
      </w:r>
      <w:r w:rsidR="008005ED" w:rsidRPr="008005ED">
        <w:rPr>
          <w:rFonts w:ascii="Times New Roman" w:eastAsia="Times New Roman" w:hAnsi="Times New Roman"/>
          <w:sz w:val="24"/>
          <w:szCs w:val="24"/>
        </w:rPr>
        <w:t xml:space="preserve"> un aizsargājama</w:t>
      </w:r>
      <w:r w:rsidR="008005ED">
        <w:rPr>
          <w:rFonts w:ascii="Times New Roman" w:eastAsia="Times New Roman" w:hAnsi="Times New Roman"/>
          <w:sz w:val="24"/>
          <w:szCs w:val="24"/>
        </w:rPr>
        <w:t>s</w:t>
      </w:r>
      <w:r w:rsidR="008005ED" w:rsidRPr="008005ED">
        <w:rPr>
          <w:rFonts w:ascii="Times New Roman" w:eastAsia="Times New Roman" w:hAnsi="Times New Roman"/>
          <w:sz w:val="24"/>
          <w:szCs w:val="24"/>
        </w:rPr>
        <w:t xml:space="preserve"> informācija</w:t>
      </w:r>
      <w:r w:rsidR="008005ED">
        <w:rPr>
          <w:rFonts w:ascii="Times New Roman" w:eastAsia="Times New Roman" w:hAnsi="Times New Roman"/>
          <w:sz w:val="24"/>
          <w:szCs w:val="24"/>
        </w:rPr>
        <w:t>s</w:t>
      </w:r>
      <w:r w:rsidR="008005ED" w:rsidRPr="008005ED">
        <w:rPr>
          <w:rFonts w:ascii="Times New Roman" w:eastAsia="Times New Roman" w:hAnsi="Times New Roman"/>
          <w:sz w:val="24"/>
          <w:szCs w:val="24"/>
        </w:rPr>
        <w:t>, kuras nonākšana pie konkurējoša uzņēmuma var apdraudēt uzņēmuma konkurētspēju</w:t>
      </w:r>
      <w:r w:rsidRPr="56DAD599">
        <w:rPr>
          <w:rFonts w:ascii="Times New Roman" w:eastAsia="Times New Roman" w:hAnsi="Times New Roman"/>
          <w:sz w:val="24"/>
          <w:szCs w:val="24"/>
        </w:rPr>
        <w:t xml:space="preserve"> ieguvi, apstrādi un uzglabāšanu, ikvienam uzņēmumam ir leģitīma interese novērst šīs informācijas nonākšanu citu tirgus dalībnieku rīcībā, nosakot attiecīgajiem darbiniekiem informācijas izpaušanas aizliegumu un nekonkurēšanas pienākumu. Darba tiesisko attiecību pastāvēšanas laikā šis risks tiek vadīts, nosakot darbiniekam Darba likuma 83.pantā definēto neizpaušanas pienākumu un darbinieka tiesības var tikt </w:t>
      </w:r>
      <w:r w:rsidRPr="00420BB3">
        <w:rPr>
          <w:rFonts w:ascii="Times New Roman" w:eastAsia="Times New Roman" w:hAnsi="Times New Roman"/>
          <w:sz w:val="24"/>
          <w:szCs w:val="24"/>
        </w:rPr>
        <w:t>ierobežotas atbilstoši Darba likuma 91., 92.pantam, savukārt, darba tiesisko attiecību izbeigšanas gadījumā darbiniekam var tikt noteikts konkurences ierobežojums atbilstoši Darba likuma 84.pantam.</w:t>
      </w:r>
    </w:p>
    <w:p w14:paraId="00C3D8FA" w14:textId="2CF9E0E3" w:rsidR="00654188" w:rsidRPr="00420BB3" w:rsidRDefault="56DAD599" w:rsidP="00420BB3">
      <w:pPr>
        <w:spacing w:after="120" w:line="240" w:lineRule="auto"/>
        <w:ind w:firstLine="720"/>
        <w:jc w:val="both"/>
      </w:pPr>
      <w:r w:rsidRPr="00420BB3">
        <w:rPr>
          <w:rFonts w:ascii="Times New Roman" w:eastAsia="Times New Roman" w:hAnsi="Times New Roman"/>
          <w:sz w:val="24"/>
          <w:szCs w:val="24"/>
        </w:rPr>
        <w:t xml:space="preserve">Vienlaikus likumdevējs ņēmis vērā Satversmes 106.pantā garantētās personas </w:t>
      </w:r>
      <w:proofErr w:type="spellStart"/>
      <w:r w:rsidRPr="00420BB3">
        <w:rPr>
          <w:rFonts w:ascii="Times New Roman" w:eastAsia="Times New Roman" w:hAnsi="Times New Roman"/>
          <w:sz w:val="24"/>
          <w:szCs w:val="24"/>
        </w:rPr>
        <w:t>pamattiesības</w:t>
      </w:r>
      <w:proofErr w:type="spellEnd"/>
      <w:r w:rsidRPr="00420BB3">
        <w:rPr>
          <w:rFonts w:ascii="Times New Roman" w:eastAsia="Times New Roman" w:hAnsi="Times New Roman"/>
          <w:sz w:val="24"/>
          <w:szCs w:val="24"/>
        </w:rPr>
        <w:t xml:space="preserve"> brīvi izvēlēties nodarbošanos un darbavietu atbilstoši savām spējām un kvalifikācijai</w:t>
      </w:r>
      <w:r w:rsidR="00002C2A" w:rsidRPr="00420BB3">
        <w:rPr>
          <w:rStyle w:val="FootnoteReference"/>
          <w:rFonts w:ascii="Times New Roman" w:eastAsia="Times New Roman" w:hAnsi="Times New Roman"/>
          <w:sz w:val="24"/>
          <w:szCs w:val="24"/>
        </w:rPr>
        <w:footnoteReference w:id="5"/>
      </w:r>
      <w:r w:rsidRPr="00420BB3">
        <w:rPr>
          <w:rFonts w:ascii="Times New Roman" w:eastAsia="Times New Roman" w:hAnsi="Times New Roman"/>
          <w:sz w:val="24"/>
          <w:szCs w:val="24"/>
        </w:rPr>
        <w:t xml:space="preserve">, un radījis darba devēja un darbinieka interešu līdzsvarošanas mehānismu – noteicis saistošas tiesību ierobežojuma robežas, kuru pārkāpuma gadījumā vienošanās par profesionālās darbības ierobežojumiem nav spēkā. </w:t>
      </w:r>
    </w:p>
    <w:p w14:paraId="0825518B" w14:textId="3E05D6E9" w:rsidR="00654188" w:rsidRPr="00420BB3" w:rsidRDefault="56DAD599" w:rsidP="00420BB3">
      <w:pPr>
        <w:spacing w:after="120" w:line="240" w:lineRule="auto"/>
        <w:ind w:firstLine="720"/>
        <w:jc w:val="both"/>
      </w:pPr>
      <w:r w:rsidRPr="00420BB3">
        <w:rPr>
          <w:rFonts w:ascii="Times New Roman" w:eastAsia="Times New Roman" w:hAnsi="Times New Roman"/>
          <w:sz w:val="24"/>
          <w:szCs w:val="24"/>
        </w:rPr>
        <w:t>Darba likuma 84.pants nosaka, ka darbinieka un darba devēja vienošanās par darbinieka profesionālās darbības ierobežojumu ir pieļaujama vienīgi tad, ja minētā vienošanās atbilst šādām obligātām pazīmēm:</w:t>
      </w:r>
    </w:p>
    <w:p w14:paraId="57F0BC92" w14:textId="427021FD" w:rsidR="00654188" w:rsidRPr="00420BB3" w:rsidRDefault="56DAD599" w:rsidP="004E1C4C">
      <w:pPr>
        <w:pStyle w:val="ListParagraph"/>
        <w:numPr>
          <w:ilvl w:val="1"/>
          <w:numId w:val="4"/>
        </w:numPr>
        <w:spacing w:after="120" w:line="240" w:lineRule="auto"/>
        <w:ind w:left="0" w:firstLine="709"/>
        <w:jc w:val="both"/>
        <w:rPr>
          <w:rFonts w:asciiTheme="minorHAnsi" w:eastAsiaTheme="minorEastAsia" w:hAnsiTheme="minorHAnsi" w:cstheme="minorBidi"/>
          <w:b/>
          <w:bCs/>
          <w:sz w:val="24"/>
          <w:szCs w:val="24"/>
        </w:rPr>
      </w:pPr>
      <w:r w:rsidRPr="00420BB3">
        <w:rPr>
          <w:rFonts w:ascii="Times New Roman" w:eastAsia="Times New Roman" w:hAnsi="Times New Roman"/>
          <w:b/>
          <w:bCs/>
          <w:sz w:val="24"/>
          <w:szCs w:val="24"/>
        </w:rPr>
        <w:t>mērķis</w:t>
      </w:r>
      <w:r w:rsidRPr="00420BB3">
        <w:rPr>
          <w:rFonts w:ascii="Times New Roman" w:eastAsia="Times New Roman" w:hAnsi="Times New Roman"/>
          <w:sz w:val="24"/>
          <w:szCs w:val="24"/>
        </w:rPr>
        <w:t xml:space="preserve"> – aizsargāt darba devēju no tādas darbinieka profesionālās darbības, kas var radīt konkurenci darba devēja komercdarbībai, ņemot vērā darbinieka rīcībā esošo darba devēja aizsargājamo informāciju;</w:t>
      </w:r>
    </w:p>
    <w:p w14:paraId="1E5A01F1" w14:textId="64C7301E" w:rsidR="00654188" w:rsidRDefault="56DAD599" w:rsidP="004E1C4C">
      <w:pPr>
        <w:pStyle w:val="ListParagraph"/>
        <w:numPr>
          <w:ilvl w:val="1"/>
          <w:numId w:val="4"/>
        </w:numPr>
        <w:spacing w:after="120" w:line="240" w:lineRule="auto"/>
        <w:ind w:left="0" w:firstLine="709"/>
        <w:jc w:val="both"/>
        <w:rPr>
          <w:rFonts w:asciiTheme="minorHAnsi" w:eastAsiaTheme="minorEastAsia" w:hAnsiTheme="minorHAnsi" w:cstheme="minorBidi"/>
          <w:b/>
          <w:bCs/>
          <w:sz w:val="24"/>
          <w:szCs w:val="24"/>
        </w:rPr>
      </w:pPr>
      <w:r w:rsidRPr="56DAD599">
        <w:rPr>
          <w:rFonts w:ascii="Times New Roman" w:eastAsia="Times New Roman" w:hAnsi="Times New Roman"/>
          <w:b/>
          <w:bCs/>
          <w:sz w:val="24"/>
          <w:szCs w:val="24"/>
        </w:rPr>
        <w:lastRenderedPageBreak/>
        <w:t>termiņš</w:t>
      </w:r>
      <w:r w:rsidRPr="56DAD599">
        <w:rPr>
          <w:rFonts w:ascii="Times New Roman" w:eastAsia="Times New Roman" w:hAnsi="Times New Roman"/>
          <w:sz w:val="24"/>
          <w:szCs w:val="24"/>
        </w:rPr>
        <w:t xml:space="preserve"> – profesionālās darbības ierobežojuma termiņš nav ilgāks par diviem gadiem, skaitot no darba tiesisko attiecību izbeigšanās dienas;</w:t>
      </w:r>
    </w:p>
    <w:p w14:paraId="52154BF4" w14:textId="28466637" w:rsidR="00654188" w:rsidRDefault="56DAD599" w:rsidP="004E1C4C">
      <w:pPr>
        <w:pStyle w:val="ListParagraph"/>
        <w:numPr>
          <w:ilvl w:val="1"/>
          <w:numId w:val="4"/>
        </w:numPr>
        <w:spacing w:after="120" w:line="240" w:lineRule="auto"/>
        <w:ind w:left="0" w:firstLine="709"/>
        <w:jc w:val="both"/>
        <w:rPr>
          <w:rFonts w:asciiTheme="minorHAnsi" w:eastAsiaTheme="minorEastAsia" w:hAnsiTheme="minorHAnsi" w:cstheme="minorBidi"/>
          <w:b/>
          <w:bCs/>
          <w:sz w:val="24"/>
          <w:szCs w:val="24"/>
        </w:rPr>
      </w:pPr>
      <w:r w:rsidRPr="56DAD599">
        <w:rPr>
          <w:rFonts w:ascii="Times New Roman" w:eastAsia="Times New Roman" w:hAnsi="Times New Roman"/>
          <w:b/>
          <w:bCs/>
          <w:sz w:val="24"/>
          <w:szCs w:val="24"/>
        </w:rPr>
        <w:t>atlīdzība</w:t>
      </w:r>
      <w:r w:rsidRPr="56DAD599">
        <w:rPr>
          <w:rFonts w:ascii="Times New Roman" w:eastAsia="Times New Roman" w:hAnsi="Times New Roman"/>
          <w:sz w:val="24"/>
          <w:szCs w:val="24"/>
        </w:rPr>
        <w:t xml:space="preserve"> – visu profesionālās darbības ierobežojuma laiku pēc darba tiesisko attiecību izbeigšanās darba devējam noteikts pienākums maksāt darbiniekam atbilstošu ikmēneša atlīdzību par profesionālās darbības ierobežojuma ievērošanu.  </w:t>
      </w:r>
    </w:p>
    <w:p w14:paraId="3506F927" w14:textId="44BF82D9" w:rsidR="00654188" w:rsidRDefault="56DAD599" w:rsidP="00420BB3">
      <w:pPr>
        <w:spacing w:after="120" w:line="240" w:lineRule="auto"/>
        <w:ind w:firstLine="720"/>
        <w:jc w:val="both"/>
      </w:pPr>
      <w:r w:rsidRPr="0057705D">
        <w:rPr>
          <w:rFonts w:ascii="Times New Roman" w:eastAsia="Times New Roman" w:hAnsi="Times New Roman"/>
          <w:sz w:val="24"/>
          <w:szCs w:val="24"/>
        </w:rPr>
        <w:t xml:space="preserve">Turklāt Darba likums paredz, ka konkurences ierobežojums var attiekties tikai uz to darbības jomu, kurā darbinieks tika nodarbināts darba tiesisko attiecību pastāvēšanas laikā, tomēr aizliegums var tikt attiecināts uz dažādām konkurences formām, tajā skaitā uz darbinieka patstāvīgu konkurējošu saimniecisku darbību, darbinieka nodarbināšanu pie cita darba devēja, klientu vai bijušā darba devēja darbinieku nepārvilināšanu. Vienošanās par konkurences ierobežojumu nav spēkā, ciktāl tā atbilstoši konkurences ierobežojuma veidam, apmēram, vietai un laikam, kā arī, ņemot vērā darbiniekam izmaksājamo atlīdzību, uzskatāma par netaisnīgu darbinieka turpmākās profesionālās darbības ierobežojumu. Šāda vienošanās par konkurences </w:t>
      </w:r>
      <w:r w:rsidRPr="56DAD599">
        <w:rPr>
          <w:rFonts w:ascii="Times New Roman" w:eastAsia="Times New Roman" w:hAnsi="Times New Roman"/>
          <w:color w:val="000000" w:themeColor="text1"/>
          <w:sz w:val="24"/>
          <w:szCs w:val="24"/>
        </w:rPr>
        <w:t xml:space="preserve">ierobežojumu slēdzama </w:t>
      </w:r>
      <w:proofErr w:type="spellStart"/>
      <w:r w:rsidRPr="56DAD599">
        <w:rPr>
          <w:rFonts w:ascii="Times New Roman" w:eastAsia="Times New Roman" w:hAnsi="Times New Roman"/>
          <w:color w:val="000000" w:themeColor="text1"/>
          <w:sz w:val="24"/>
          <w:szCs w:val="24"/>
        </w:rPr>
        <w:t>rakstveidā</w:t>
      </w:r>
      <w:proofErr w:type="spellEnd"/>
      <w:r w:rsidRPr="56DAD599">
        <w:rPr>
          <w:rFonts w:ascii="Times New Roman" w:eastAsia="Times New Roman" w:hAnsi="Times New Roman"/>
          <w:color w:val="000000" w:themeColor="text1"/>
          <w:sz w:val="24"/>
          <w:szCs w:val="24"/>
        </w:rPr>
        <w:t>, norādot konkurences ierobežojuma veidu, apmēru, vietu, laiku un darbiniekam izmaksājamās atlīdzības apmēru.</w:t>
      </w:r>
    </w:p>
    <w:p w14:paraId="1FDD236E" w14:textId="1F16ADC8" w:rsidR="00654188" w:rsidRDefault="56DAD599" w:rsidP="00420BB3">
      <w:pPr>
        <w:spacing w:after="120" w:line="240" w:lineRule="auto"/>
        <w:ind w:firstLine="720"/>
        <w:jc w:val="both"/>
      </w:pPr>
      <w:r w:rsidRPr="56DAD599">
        <w:rPr>
          <w:rFonts w:ascii="Times New Roman" w:eastAsia="Times New Roman" w:hAnsi="Times New Roman"/>
          <w:sz w:val="24"/>
          <w:szCs w:val="24"/>
        </w:rPr>
        <w:t xml:space="preserve">Darba likums nenosaka konkurences ierobežojuma gadījumā darbiniekam izmaksājamās kompensācijas apmēru, vien norāda, ka </w:t>
      </w:r>
      <w:r w:rsidRPr="006A4AF8">
        <w:rPr>
          <w:rFonts w:ascii="Times New Roman" w:eastAsia="Times New Roman" w:hAnsi="Times New Roman"/>
          <w:sz w:val="24"/>
          <w:szCs w:val="24"/>
        </w:rPr>
        <w:t>tai jābūt taisnīgai</w:t>
      </w:r>
      <w:r w:rsidRPr="56DAD599">
        <w:rPr>
          <w:rFonts w:ascii="Times New Roman" w:eastAsia="Times New Roman" w:hAnsi="Times New Roman"/>
          <w:sz w:val="24"/>
          <w:szCs w:val="24"/>
        </w:rPr>
        <w:t xml:space="preserve">, ņemot vērā ierobežojuma specifiku – veidu, apmēru, vietu, laiku. Līdz ar norādīto, ierobežojuma lietderības un atlīdzības apmēra savstarpējās korelācijas </w:t>
      </w:r>
      <w:proofErr w:type="spellStart"/>
      <w:r w:rsidRPr="56DAD599">
        <w:rPr>
          <w:rFonts w:ascii="Times New Roman" w:eastAsia="Times New Roman" w:hAnsi="Times New Roman"/>
          <w:sz w:val="24"/>
          <w:szCs w:val="24"/>
        </w:rPr>
        <w:t>izvērtējums</w:t>
      </w:r>
      <w:proofErr w:type="spellEnd"/>
      <w:r w:rsidRPr="56DAD599">
        <w:rPr>
          <w:rFonts w:ascii="Times New Roman" w:eastAsia="Times New Roman" w:hAnsi="Times New Roman"/>
          <w:sz w:val="24"/>
          <w:szCs w:val="24"/>
        </w:rPr>
        <w:t xml:space="preserve"> un tajā norādītais pamatojums iegūst būtisku nozīmi, jo pastāv risks, ka, pārvērtējot apdraudējumu un nosakot neattaisnoti stingrus vai plašus ierobežojumus, uzņēmuma finanšu līdzekļi tiks iztērēti nelietderīgi. Jāņem vērā, ka Darba likuma 84.panta trešā daļas pašreizējā redakcija darbiniekam dod iespēju apstrīdēt vienošanos daļā, ko tas uzskata par netaisnīgu turpmākās profesionālās darbības ierobežojumu, kā rezultātā, Darba devējam nespējot pamatot ierobežojumu apmēru, var izrādīties, ka tas ir uzņēmies pārmērīgas kompensācijas izmaksas pienākumu par šaurāka apmēra ierobežojumiem, nekā sākotnēji plānojis. Lai gan vienošanās apstrīdēšana uz vispārējiem civiltiesiskiem pamatiem nav izslēgta, attiecībā uz Darba likuma 84.panta trešās daļas piemērošanu Latvijas Republikas Augstākā tiesa norādījusi, ka šī norma piešķir tiesai tiesības atzīt vienošanos par profesionālās darbības ierobežojumu pēc darba tiesisko attiecību izbeigšanas par spēkā neesošu tikai tajā daļā, kas uzskatāma par netaisnīgu darbinieka turpmākās profesionālās darbības ierobežošanai. Tāpēc arī nav pamata atzīt par spēkā neesošu visu vienošanos. Tiesa saglabā tos noteikumus, kuri atbilstoši apstākļiem nav uzskatāmi par netaisnīgu darbinieka turpmākās profesionālās darbības ierobežojumu, un atzīst par spēkā neesošiem tos noteikumus, kuri atbilstoši apstākļiem tādi nav, tādējādi it kā “pārrakstot” pušu noslēgto vienošanos”</w:t>
      </w:r>
      <w:r w:rsidR="00002C2A" w:rsidRPr="56DAD599">
        <w:rPr>
          <w:rStyle w:val="FootnoteReference"/>
          <w:rFonts w:ascii="Times New Roman" w:eastAsia="Times New Roman" w:hAnsi="Times New Roman"/>
          <w:sz w:val="24"/>
          <w:szCs w:val="24"/>
        </w:rPr>
        <w:footnoteReference w:id="6"/>
      </w:r>
      <w:r w:rsidRPr="56DAD599">
        <w:rPr>
          <w:rFonts w:ascii="Times New Roman" w:eastAsia="Times New Roman" w:hAnsi="Times New Roman"/>
          <w:sz w:val="24"/>
          <w:szCs w:val="24"/>
        </w:rPr>
        <w:t xml:space="preserve">. </w:t>
      </w:r>
    </w:p>
    <w:p w14:paraId="45BD33E7" w14:textId="77777777" w:rsidR="004A27E0" w:rsidRDefault="56DAD599" w:rsidP="00420BB3">
      <w:pPr>
        <w:spacing w:after="120" w:line="240" w:lineRule="auto"/>
        <w:ind w:firstLine="720"/>
        <w:jc w:val="both"/>
        <w:rPr>
          <w:rFonts w:ascii="Times New Roman" w:eastAsia="Times New Roman" w:hAnsi="Times New Roman"/>
          <w:color w:val="000000" w:themeColor="text1"/>
          <w:sz w:val="24"/>
          <w:szCs w:val="24"/>
        </w:rPr>
      </w:pPr>
      <w:r w:rsidRPr="56DAD599">
        <w:rPr>
          <w:rFonts w:ascii="Times New Roman" w:eastAsia="Times New Roman" w:hAnsi="Times New Roman"/>
          <w:sz w:val="24"/>
          <w:szCs w:val="24"/>
        </w:rPr>
        <w:t xml:space="preserve">Šeit jānorāda, ka profesionālās darbības ierobežojumu noteikšanā publiskajā sektorā un attiecībā uz publisko personu kapitālsabiedrību darbiniekiem, ir būtiski ievērot papildu aspektu </w:t>
      </w:r>
      <w:r w:rsidRPr="56DAD599">
        <w:rPr>
          <w:rFonts w:ascii="Times New Roman" w:eastAsia="Times New Roman" w:hAnsi="Times New Roman"/>
          <w:color w:val="000000" w:themeColor="text1"/>
          <w:sz w:val="24"/>
          <w:szCs w:val="24"/>
        </w:rPr>
        <w:t xml:space="preserve">– </w:t>
      </w:r>
      <w:r w:rsidRPr="006A4AF8">
        <w:rPr>
          <w:rFonts w:ascii="Times New Roman" w:eastAsia="Times New Roman" w:hAnsi="Times New Roman"/>
          <w:color w:val="000000" w:themeColor="text1"/>
          <w:sz w:val="24"/>
          <w:szCs w:val="24"/>
        </w:rPr>
        <w:t>robežas attiecīgās publiskās personas iesaistei komercdarbībā vai konkurences tirgū.</w:t>
      </w:r>
      <w:r w:rsidRPr="56DAD599">
        <w:rPr>
          <w:rFonts w:ascii="Times New Roman" w:eastAsia="Times New Roman" w:hAnsi="Times New Roman"/>
          <w:color w:val="000000" w:themeColor="text1"/>
          <w:sz w:val="24"/>
          <w:szCs w:val="24"/>
        </w:rPr>
        <w:t xml:space="preserve"> Valsts pārvaldes iekārtas likuma 88.panta pirmās daļa nosaka, ka publiskas personas iesaiste komercdarbībā ir pieļaujama tikai novēršot tirgus nepilnību, nodrošinot preces vai pakalpojumus, kas ir stratēģiski svarīgi valsts vai pašvaldības administratīvās teritorijas attīstībai vai valsts drošībai un pārvaldot pārvaldīti tādus īpašumus, kas ir stratēģiski svarīgi valsts vai pašvaldības administratīvās teritorijas attīstībai vai valsts drošībai. Līdz ar norādīto, publiskas personas kapitālsabiedrības darbiniekiem nosakāmo profesionālās darbības ierobežojumu apmērs nedrīkstētu pārsniegt pašas kapitālsabiedrības atļautās komercdarbības robežas.</w:t>
      </w:r>
      <w:r w:rsidR="00627A64">
        <w:rPr>
          <w:rFonts w:ascii="Times New Roman" w:eastAsia="Times New Roman" w:hAnsi="Times New Roman"/>
          <w:color w:val="000000" w:themeColor="text1"/>
          <w:sz w:val="24"/>
          <w:szCs w:val="24"/>
        </w:rPr>
        <w:t xml:space="preserve"> </w:t>
      </w:r>
    </w:p>
    <w:p w14:paraId="63D08F0C" w14:textId="122023EB" w:rsidR="00654188" w:rsidRDefault="00627A64" w:rsidP="00B6249F">
      <w:pPr>
        <w:spacing w:after="120" w:line="240" w:lineRule="auto"/>
        <w:ind w:firstLine="720"/>
        <w:jc w:val="both"/>
      </w:pPr>
      <w:r>
        <w:rPr>
          <w:rFonts w:ascii="Times New Roman" w:eastAsia="Times New Roman" w:hAnsi="Times New Roman"/>
          <w:color w:val="000000" w:themeColor="text1"/>
          <w:sz w:val="24"/>
          <w:szCs w:val="24"/>
        </w:rPr>
        <w:t xml:space="preserve">Turklāt, ja publiskas personas līdzdalība </w:t>
      </w:r>
      <w:r w:rsidR="003770F0">
        <w:rPr>
          <w:rFonts w:ascii="Times New Roman" w:eastAsia="Times New Roman" w:hAnsi="Times New Roman"/>
          <w:color w:val="000000" w:themeColor="text1"/>
          <w:sz w:val="24"/>
          <w:szCs w:val="24"/>
        </w:rPr>
        <w:t xml:space="preserve">kapitālsabiedrībā izriet no </w:t>
      </w:r>
      <w:r w:rsidR="003770F0" w:rsidRPr="56DAD599">
        <w:rPr>
          <w:rFonts w:ascii="Times New Roman" w:eastAsia="Times New Roman" w:hAnsi="Times New Roman"/>
          <w:color w:val="000000" w:themeColor="text1"/>
          <w:sz w:val="24"/>
          <w:szCs w:val="24"/>
        </w:rPr>
        <w:t>Valsts pārvaldes iekārtas likuma 88.panta pirmās daļ</w:t>
      </w:r>
      <w:r w:rsidR="003770F0">
        <w:rPr>
          <w:rFonts w:ascii="Times New Roman" w:eastAsia="Times New Roman" w:hAnsi="Times New Roman"/>
          <w:color w:val="000000" w:themeColor="text1"/>
          <w:sz w:val="24"/>
          <w:szCs w:val="24"/>
        </w:rPr>
        <w:t xml:space="preserve">as pirmā punkta, proti, </w:t>
      </w:r>
      <w:r w:rsidR="003770F0" w:rsidRPr="003770F0">
        <w:rPr>
          <w:rFonts w:ascii="Times New Roman" w:eastAsia="Times New Roman" w:hAnsi="Times New Roman"/>
          <w:color w:val="000000" w:themeColor="text1"/>
          <w:sz w:val="24"/>
          <w:szCs w:val="24"/>
        </w:rPr>
        <w:t>tiek novērsta tirgus nepilnība — situācija, kad tirgus nav spējīgs nodrošināt sabiedrības interešu īstenošanu attiecīgajā jomā</w:t>
      </w:r>
      <w:r w:rsidR="003770F0">
        <w:rPr>
          <w:rFonts w:ascii="Times New Roman" w:eastAsia="Times New Roman" w:hAnsi="Times New Roman"/>
          <w:color w:val="000000" w:themeColor="text1"/>
          <w:sz w:val="24"/>
          <w:szCs w:val="24"/>
        </w:rPr>
        <w:t xml:space="preserve">, </w:t>
      </w:r>
      <w:r w:rsidR="00D15434">
        <w:rPr>
          <w:rFonts w:ascii="Times New Roman" w:eastAsia="Times New Roman" w:hAnsi="Times New Roman"/>
          <w:color w:val="000000" w:themeColor="text1"/>
          <w:sz w:val="24"/>
          <w:szCs w:val="24"/>
        </w:rPr>
        <w:lastRenderedPageBreak/>
        <w:t xml:space="preserve">vērtējot vienošanās slēgšanas pamatotību ir īpaša uzmanība jāpievērš tās slēgšanas atbilstībai noteiktajam mērķim </w:t>
      </w:r>
      <w:r w:rsidR="004E1C4C">
        <w:rPr>
          <w:rFonts w:ascii="Times New Roman" w:eastAsia="Times New Roman" w:hAnsi="Times New Roman"/>
          <w:color w:val="000000" w:themeColor="text1"/>
          <w:sz w:val="24"/>
          <w:szCs w:val="24"/>
        </w:rPr>
        <w:t>–</w:t>
      </w:r>
      <w:r w:rsidR="00D15434">
        <w:rPr>
          <w:rFonts w:ascii="Times New Roman" w:eastAsia="Times New Roman" w:hAnsi="Times New Roman"/>
          <w:color w:val="000000" w:themeColor="text1"/>
          <w:sz w:val="24"/>
          <w:szCs w:val="24"/>
        </w:rPr>
        <w:t xml:space="preserve"> </w:t>
      </w:r>
      <w:r w:rsidR="007B2D5A" w:rsidRPr="00420BB3">
        <w:rPr>
          <w:rFonts w:ascii="Times New Roman" w:eastAsia="Times New Roman" w:hAnsi="Times New Roman"/>
          <w:sz w:val="24"/>
          <w:szCs w:val="24"/>
        </w:rPr>
        <w:t>aizsargāt darba devēju no tādas darbinieka profesionālās darbības, kas var radīt konkurenci darba devēja komercdarbībai</w:t>
      </w:r>
      <w:r w:rsidR="007B2D5A">
        <w:rPr>
          <w:rFonts w:ascii="Times New Roman" w:eastAsia="Times New Roman" w:hAnsi="Times New Roman"/>
          <w:sz w:val="24"/>
          <w:szCs w:val="24"/>
        </w:rPr>
        <w:t xml:space="preserve">. </w:t>
      </w:r>
      <w:r w:rsidR="006F2962">
        <w:rPr>
          <w:rFonts w:ascii="Times New Roman" w:eastAsia="Times New Roman" w:hAnsi="Times New Roman"/>
          <w:sz w:val="24"/>
          <w:szCs w:val="24"/>
        </w:rPr>
        <w:t>Tāpat jāņem vērā, ka publiskas personas kapitālsabiedrīb</w:t>
      </w:r>
      <w:r w:rsidR="0024351C">
        <w:rPr>
          <w:rFonts w:ascii="Times New Roman" w:eastAsia="Times New Roman" w:hAnsi="Times New Roman"/>
          <w:sz w:val="24"/>
          <w:szCs w:val="24"/>
        </w:rPr>
        <w:t xml:space="preserve">u darbība </w:t>
      </w:r>
      <w:r w:rsidR="00CB6272">
        <w:rPr>
          <w:rFonts w:ascii="Times New Roman" w:eastAsia="Times New Roman" w:hAnsi="Times New Roman"/>
          <w:sz w:val="24"/>
          <w:szCs w:val="24"/>
        </w:rPr>
        <w:t xml:space="preserve">bieži </w:t>
      </w:r>
      <w:r w:rsidR="0024351C">
        <w:rPr>
          <w:rFonts w:ascii="Times New Roman" w:eastAsia="Times New Roman" w:hAnsi="Times New Roman"/>
          <w:sz w:val="24"/>
          <w:szCs w:val="24"/>
        </w:rPr>
        <w:t xml:space="preserve">ir saistīta ar </w:t>
      </w:r>
      <w:r w:rsidR="0098392B">
        <w:rPr>
          <w:rFonts w:ascii="Times New Roman" w:eastAsia="Times New Roman" w:hAnsi="Times New Roman"/>
          <w:sz w:val="24"/>
          <w:szCs w:val="24"/>
        </w:rPr>
        <w:t xml:space="preserve">kapitālsabiedrībai </w:t>
      </w:r>
      <w:r w:rsidR="0024351C">
        <w:rPr>
          <w:rFonts w:ascii="Times New Roman" w:eastAsia="Times New Roman" w:hAnsi="Times New Roman"/>
          <w:sz w:val="24"/>
          <w:szCs w:val="24"/>
        </w:rPr>
        <w:t>deleģēto valsts pārvaldes uzdevum</w:t>
      </w:r>
      <w:r w:rsidR="00D45BFC">
        <w:rPr>
          <w:rFonts w:ascii="Times New Roman" w:eastAsia="Times New Roman" w:hAnsi="Times New Roman"/>
          <w:sz w:val="24"/>
          <w:szCs w:val="24"/>
        </w:rPr>
        <w:t>u</w:t>
      </w:r>
      <w:r w:rsidR="0024351C">
        <w:rPr>
          <w:rFonts w:ascii="Times New Roman" w:eastAsia="Times New Roman" w:hAnsi="Times New Roman"/>
          <w:sz w:val="24"/>
          <w:szCs w:val="24"/>
        </w:rPr>
        <w:t xml:space="preserve"> īstenošanu, </w:t>
      </w:r>
      <w:r w:rsidR="00CB6272">
        <w:rPr>
          <w:rFonts w:ascii="Times New Roman" w:eastAsia="Times New Roman" w:hAnsi="Times New Roman"/>
          <w:sz w:val="24"/>
          <w:szCs w:val="24"/>
        </w:rPr>
        <w:t>kapitālsabiedrībām</w:t>
      </w:r>
      <w:r w:rsidR="0024351C">
        <w:rPr>
          <w:rFonts w:ascii="Times New Roman" w:eastAsia="Times New Roman" w:hAnsi="Times New Roman"/>
          <w:sz w:val="24"/>
          <w:szCs w:val="24"/>
        </w:rPr>
        <w:t xml:space="preserve"> </w:t>
      </w:r>
      <w:r w:rsidR="00B6249F">
        <w:rPr>
          <w:rFonts w:ascii="Times New Roman" w:eastAsia="Times New Roman" w:hAnsi="Times New Roman"/>
          <w:sz w:val="24"/>
          <w:szCs w:val="24"/>
        </w:rPr>
        <w:t xml:space="preserve">var būt </w:t>
      </w:r>
      <w:r w:rsidR="0024351C">
        <w:rPr>
          <w:rFonts w:ascii="Times New Roman" w:eastAsia="Times New Roman" w:hAnsi="Times New Roman"/>
          <w:sz w:val="24"/>
          <w:szCs w:val="24"/>
        </w:rPr>
        <w:t xml:space="preserve">ar normatīvo aktu noteiktas ekskluzīvas tiesības sniegt pakalpojumu, </w:t>
      </w:r>
      <w:r w:rsidR="00B6249F">
        <w:rPr>
          <w:rFonts w:ascii="Times New Roman" w:eastAsia="Times New Roman" w:hAnsi="Times New Roman"/>
          <w:sz w:val="24"/>
          <w:szCs w:val="24"/>
        </w:rPr>
        <w:t xml:space="preserve">regulēts cenrādis vai </w:t>
      </w:r>
      <w:r w:rsidR="00B6249F" w:rsidRPr="00B6249F">
        <w:rPr>
          <w:rFonts w:ascii="Times New Roman" w:eastAsia="Times New Roman" w:hAnsi="Times New Roman"/>
          <w:sz w:val="24"/>
          <w:szCs w:val="24"/>
        </w:rPr>
        <w:t xml:space="preserve">izdevumus par pakalpojuma sniegšanu sedz </w:t>
      </w:r>
      <w:r w:rsidR="0098392B">
        <w:rPr>
          <w:rFonts w:ascii="Times New Roman" w:eastAsia="Times New Roman" w:hAnsi="Times New Roman"/>
          <w:sz w:val="24"/>
          <w:szCs w:val="24"/>
        </w:rPr>
        <w:t xml:space="preserve">no </w:t>
      </w:r>
      <w:r w:rsidR="00B6249F" w:rsidRPr="00B6249F">
        <w:rPr>
          <w:rFonts w:ascii="Times New Roman" w:eastAsia="Times New Roman" w:hAnsi="Times New Roman"/>
          <w:sz w:val="24"/>
          <w:szCs w:val="24"/>
        </w:rPr>
        <w:t>valsts budžeta dotācija</w:t>
      </w:r>
      <w:r w:rsidR="0098392B">
        <w:rPr>
          <w:rFonts w:ascii="Times New Roman" w:eastAsia="Times New Roman" w:hAnsi="Times New Roman"/>
          <w:sz w:val="24"/>
          <w:szCs w:val="24"/>
        </w:rPr>
        <w:t>s</w:t>
      </w:r>
      <w:r w:rsidR="003948BE">
        <w:rPr>
          <w:rFonts w:ascii="Times New Roman" w:eastAsia="Times New Roman" w:hAnsi="Times New Roman"/>
          <w:sz w:val="24"/>
          <w:szCs w:val="24"/>
        </w:rPr>
        <w:t>. Gadījumos, kad kapitālsabiedrība ne</w:t>
      </w:r>
      <w:r w:rsidR="004A54FE">
        <w:rPr>
          <w:rFonts w:ascii="Times New Roman" w:eastAsia="Times New Roman" w:hAnsi="Times New Roman"/>
          <w:sz w:val="24"/>
          <w:szCs w:val="24"/>
        </w:rPr>
        <w:t>darbojas</w:t>
      </w:r>
      <w:r w:rsidR="003948BE">
        <w:rPr>
          <w:rFonts w:ascii="Times New Roman" w:eastAsia="Times New Roman" w:hAnsi="Times New Roman"/>
          <w:sz w:val="24"/>
          <w:szCs w:val="24"/>
        </w:rPr>
        <w:t xml:space="preserve"> konkurences apstākļos, nav konstatējams pamats vienošanās par profesionālās darbības ierobežojumu slēgšanai.</w:t>
      </w:r>
    </w:p>
    <w:p w14:paraId="58A0D5E1" w14:textId="46C243D9" w:rsidR="00654188" w:rsidRDefault="56DAD599" w:rsidP="00420BB3">
      <w:pPr>
        <w:spacing w:after="120" w:line="240" w:lineRule="auto"/>
        <w:ind w:firstLine="720"/>
        <w:jc w:val="both"/>
      </w:pPr>
      <w:r w:rsidRPr="56DAD599">
        <w:rPr>
          <w:rFonts w:ascii="Times New Roman" w:eastAsia="Times New Roman" w:hAnsi="Times New Roman"/>
          <w:sz w:val="24"/>
          <w:szCs w:val="24"/>
        </w:rPr>
        <w:t xml:space="preserve"> </w:t>
      </w:r>
      <w:r w:rsidRPr="56DAD599">
        <w:rPr>
          <w:rFonts w:ascii="Times New Roman" w:eastAsia="Times New Roman" w:hAnsi="Times New Roman"/>
          <w:color w:val="000000" w:themeColor="text1"/>
          <w:sz w:val="24"/>
          <w:szCs w:val="24"/>
        </w:rPr>
        <w:t>Ņemot vērā iepriekš norādīto, par pareizu atzīstama Revīzijas ziņojumā paustā atziņa, ka “</w:t>
      </w:r>
      <w:r w:rsidRPr="006A4AF8">
        <w:rPr>
          <w:rFonts w:ascii="Times New Roman" w:eastAsia="Times New Roman" w:hAnsi="Times New Roman"/>
          <w:color w:val="000000" w:themeColor="text1"/>
          <w:sz w:val="24"/>
          <w:szCs w:val="24"/>
        </w:rPr>
        <w:t>vienošanās ar darbinieku par profesionālās darbības ierobežojumu publiskajā sektorā būtu jābūt izņēmumam, nevis ierastai praksei</w:t>
      </w:r>
      <w:r w:rsidRPr="00FD2347">
        <w:rPr>
          <w:rFonts w:ascii="Times New Roman" w:eastAsia="Times New Roman" w:hAnsi="Times New Roman"/>
          <w:color w:val="000000" w:themeColor="text1"/>
          <w:sz w:val="24"/>
          <w:szCs w:val="24"/>
        </w:rPr>
        <w:t>”</w:t>
      </w:r>
      <w:r w:rsidR="00002C2A" w:rsidRPr="56DAD599">
        <w:rPr>
          <w:rStyle w:val="FootnoteReference"/>
          <w:rFonts w:ascii="Times New Roman" w:eastAsia="Times New Roman" w:hAnsi="Times New Roman"/>
          <w:color w:val="000000" w:themeColor="text1"/>
          <w:sz w:val="24"/>
          <w:szCs w:val="24"/>
        </w:rPr>
        <w:footnoteReference w:id="7"/>
      </w:r>
      <w:r w:rsidRPr="00FD2347">
        <w:rPr>
          <w:rFonts w:ascii="Times New Roman" w:eastAsia="Times New Roman" w:hAnsi="Times New Roman"/>
          <w:color w:val="000000" w:themeColor="text1"/>
          <w:sz w:val="24"/>
          <w:szCs w:val="24"/>
        </w:rPr>
        <w:t>. Katrs šāds profesionālo ierobežojumu noteikšanas gadījums attiecībā uz publisko personu kapitālsabiedrību darbiniekiem būtu detalizēti jāvērtē gan no pieļaujamības, gan no risku, gan samērīguma aspekta.</w:t>
      </w:r>
      <w:r w:rsidR="0029185F">
        <w:rPr>
          <w:rFonts w:ascii="Times New Roman" w:eastAsia="Times New Roman" w:hAnsi="Times New Roman"/>
          <w:color w:val="000000" w:themeColor="text1"/>
          <w:sz w:val="24"/>
          <w:szCs w:val="24"/>
        </w:rPr>
        <w:t xml:space="preserve"> </w:t>
      </w:r>
    </w:p>
    <w:p w14:paraId="6D4FDBF2" w14:textId="57564A0D" w:rsidR="00654188" w:rsidRDefault="56DAD599" w:rsidP="00420BB3">
      <w:pPr>
        <w:spacing w:after="120" w:line="240" w:lineRule="auto"/>
        <w:ind w:firstLine="720"/>
        <w:jc w:val="both"/>
      </w:pPr>
      <w:r w:rsidRPr="56DAD599">
        <w:rPr>
          <w:rFonts w:ascii="Times New Roman" w:eastAsia="Times New Roman" w:hAnsi="Times New Roman"/>
          <w:color w:val="000000" w:themeColor="text1"/>
          <w:sz w:val="24"/>
          <w:szCs w:val="24"/>
        </w:rPr>
        <w:t xml:space="preserve">Tiesību aktos nav noteikts brīdis, kad noslēdzama vienošanās par profesionālās darbības ierobežojumu ievērošanu. Lai gan teorētiski tās noslēgšana ir iespējama gan nodibinot darba tiesiskās attiecības, gan to darbības laikā, gan pie attiecību pārtraukšanas, tomēr praksē, ņemot vērā, ka šāda vienošanās attiecināma uz periodu pēc darba attiecību izbeigšanas, var būt sarežģīti darba tiesisko attiecību nodibināšanas brīdī noteikt nepieciešamo lietderīgo </w:t>
      </w:r>
      <w:r w:rsidRPr="008C1ED9">
        <w:rPr>
          <w:rFonts w:ascii="Times New Roman" w:eastAsia="Times New Roman" w:hAnsi="Times New Roman"/>
          <w:sz w:val="24"/>
          <w:szCs w:val="24"/>
        </w:rPr>
        <w:t>ierobežojumu apjomu un tiem atbilstošu kompensācijas apmēru. Savukārt, darba tiesisko attiecību izbeigšanas gadījumā var būt neiespējami panākt abām pusēm izdevīgu vienošanos ar darbinieku, it īpaši, ja darbinieks izvēlējies pārtraukt darba tiesiskās attiecības, iesaistoties konkurējošā uzņēmuma darbībā. Jāņem vērā, ka  Darba likuma 85.pants paredz darba devēja tiesības vienpusēji atkāpties no vienošanās par konkurences ierobežojumu pirms uzteikuma vai vienlaikus ar to, vai pirms darba līguma izbeigšanās. Šī norma dod iespēju darba devējam atkārtoti vērtēt konkurences ierobežojumu lietderību, šoreiz jau ņemot vērā konkrēto darbinieka rīcībā esošās konkurencei nozīmīgās informācijas apjomu un specifiku. Tomēr esošajā regulējumā netiek risināts jautājums par iespēju darba devējam koriģēt darbinieka profesionālās darbības ierobežojumu apmēru un, attiecīgi, kompensācijas apmēru.</w:t>
      </w:r>
    </w:p>
    <w:p w14:paraId="5575D7B8" w14:textId="6DA98095" w:rsidR="00654188" w:rsidRDefault="56DAD599" w:rsidP="00AA16D0">
      <w:pPr>
        <w:spacing w:after="120" w:line="240" w:lineRule="auto"/>
        <w:ind w:firstLine="720"/>
        <w:jc w:val="center"/>
      </w:pPr>
      <w:r w:rsidRPr="56DAD599">
        <w:rPr>
          <w:rFonts w:ascii="Times New Roman" w:eastAsia="Times New Roman" w:hAnsi="Times New Roman"/>
          <w:b/>
          <w:bCs/>
          <w:sz w:val="24"/>
          <w:szCs w:val="24"/>
        </w:rPr>
        <w:t>3.3. Komersanta interešu aizsardzība</w:t>
      </w:r>
    </w:p>
    <w:p w14:paraId="32C56486" w14:textId="56DD28B7" w:rsidR="00654188" w:rsidRDefault="56DAD599" w:rsidP="00420BB3">
      <w:pPr>
        <w:keepNext/>
        <w:spacing w:after="120" w:line="240" w:lineRule="auto"/>
        <w:ind w:firstLine="720"/>
        <w:jc w:val="both"/>
        <w:rPr>
          <w:rFonts w:ascii="Times New Roman" w:eastAsia="ヒラギノ角ゴ Pro W3" w:hAnsi="Times New Roman"/>
          <w:color w:val="000000" w:themeColor="text1"/>
          <w:sz w:val="24"/>
          <w:szCs w:val="24"/>
          <w:lang w:eastAsia="lv-LV"/>
        </w:rPr>
      </w:pPr>
      <w:r w:rsidRPr="56DAD599">
        <w:rPr>
          <w:rFonts w:ascii="Times New Roman" w:eastAsia="ヒラギノ角ゴ Pro W3" w:hAnsi="Times New Roman"/>
          <w:color w:val="000000" w:themeColor="text1"/>
          <w:sz w:val="24"/>
          <w:szCs w:val="24"/>
          <w:lang w:eastAsia="lv-LV"/>
        </w:rPr>
        <w:t xml:space="preserve">Ņemot vērā, ka profesionālās darbības ierobežojumu noteikšana ir mehānisms, kas paredzēts darba devēja komerciālo interešu aizsardzībai, iniciatīva attiecībā uz šo ierobežojumu formu, apjomu un kompensācijas apmēru pieder komercdarbības veicējam (darba devējam). Darbinieks, novērtējot darba devēja ierosinātā nekonkurēšanas saistību samērīgumu ar savām interesēm uz attiecīgo nodarbošanos, var rosināt samazināt ierobežojumu apmēru, koriģēt to veidu, paaugstināt atlīdzības apmēru vai rosināt citus. Darba devēju ierobežojumu noteikšanas procesā saista Darba likuma 84.pantā noteiktās ierobežojumu robežas, un Darba devējam Darba likuma 85.pantā ir piešķirtas tiesības vienpusēji atkāpies no vienošanās par darbinieka profesionālās darbības ierobežojumiem. </w:t>
      </w:r>
    </w:p>
    <w:p w14:paraId="4616FD4C" w14:textId="00E9E129" w:rsidR="00654188" w:rsidRDefault="56DAD599" w:rsidP="00420BB3">
      <w:pPr>
        <w:keepNext/>
        <w:spacing w:after="120" w:line="240" w:lineRule="auto"/>
        <w:ind w:firstLine="720"/>
        <w:jc w:val="both"/>
        <w:rPr>
          <w:rFonts w:ascii="Times New Roman" w:eastAsia="ヒラギノ角ゴ Pro W3" w:hAnsi="Times New Roman"/>
          <w:color w:val="000000" w:themeColor="text1"/>
          <w:sz w:val="24"/>
          <w:szCs w:val="24"/>
          <w:lang w:eastAsia="lv-LV"/>
        </w:rPr>
      </w:pPr>
      <w:r w:rsidRPr="56DAD599">
        <w:rPr>
          <w:rFonts w:ascii="Times New Roman" w:eastAsia="ヒラギノ角ゴ Pro W3" w:hAnsi="Times New Roman"/>
          <w:color w:val="000000" w:themeColor="text1"/>
          <w:sz w:val="24"/>
          <w:szCs w:val="24"/>
          <w:lang w:eastAsia="lv-LV"/>
        </w:rPr>
        <w:t>Atšķirībā no darba devēja un darbinieka tiesību un saistību regulējuma darba tiesisko attiecību laikā, kur darbinieka tiesību minimālais apmērs noteikts ar vismaz garantēto minimālo robežvērtību palīdzību (minimālās algas prasības, atpūtas laika regulējums, slodzes ierobežojumi u.tml.), nekonkurēšanas pienākuma reglamentācijā likumdevējs iesaistījies minimāli</w:t>
      </w:r>
      <w:r w:rsidR="00247AC7">
        <w:rPr>
          <w:rFonts w:ascii="Times New Roman" w:eastAsia="ヒラギノ角ゴ Pro W3" w:hAnsi="Times New Roman"/>
          <w:color w:val="000000" w:themeColor="text1"/>
          <w:sz w:val="24"/>
          <w:szCs w:val="24"/>
          <w:lang w:eastAsia="lv-LV"/>
        </w:rPr>
        <w:t>:</w:t>
      </w:r>
      <w:r w:rsidRPr="56DAD599">
        <w:rPr>
          <w:rFonts w:ascii="Times New Roman" w:eastAsia="ヒラギノ角ゴ Pro W3" w:hAnsi="Times New Roman"/>
          <w:color w:val="000000" w:themeColor="text1"/>
          <w:sz w:val="24"/>
          <w:szCs w:val="24"/>
          <w:lang w:eastAsia="lv-LV"/>
        </w:rPr>
        <w:t xml:space="preserve"> tikai tik daudz, lai iezīmētu robežu, pie kuras indivīda Satversmes 106.pantā garantēto tiesību uz nodarbošanos ierobežojumi tiktu uzskatīti par acīmredzami pārmērīgiem to termiņa, </w:t>
      </w:r>
      <w:proofErr w:type="spellStart"/>
      <w:r w:rsidRPr="56DAD599">
        <w:rPr>
          <w:rFonts w:ascii="Times New Roman" w:eastAsia="ヒラギノ角ゴ Pro W3" w:hAnsi="Times New Roman"/>
          <w:color w:val="000000" w:themeColor="text1"/>
          <w:sz w:val="24"/>
          <w:szCs w:val="24"/>
          <w:lang w:eastAsia="lv-LV"/>
        </w:rPr>
        <w:t>neattiecināmības</w:t>
      </w:r>
      <w:proofErr w:type="spellEnd"/>
      <w:r w:rsidRPr="56DAD599">
        <w:rPr>
          <w:rFonts w:ascii="Times New Roman" w:eastAsia="ヒラギノ角ゴ Pro W3" w:hAnsi="Times New Roman"/>
          <w:color w:val="000000" w:themeColor="text1"/>
          <w:sz w:val="24"/>
          <w:szCs w:val="24"/>
          <w:lang w:eastAsia="lv-LV"/>
        </w:rPr>
        <w:t xml:space="preserve"> vai pārmērīga apgrūtinājuma dēļ. </w:t>
      </w:r>
    </w:p>
    <w:p w14:paraId="7ACD6E60" w14:textId="00238DD4" w:rsidR="00654188" w:rsidRDefault="56DAD599" w:rsidP="00420BB3">
      <w:pPr>
        <w:keepNext/>
        <w:spacing w:after="120" w:line="240" w:lineRule="auto"/>
        <w:ind w:firstLine="720"/>
        <w:jc w:val="both"/>
        <w:rPr>
          <w:color w:val="000000" w:themeColor="text1"/>
          <w:sz w:val="24"/>
          <w:szCs w:val="24"/>
          <w:lang w:eastAsia="lv-LV"/>
        </w:rPr>
      </w:pPr>
      <w:r w:rsidRPr="56DAD599">
        <w:rPr>
          <w:rFonts w:ascii="Times New Roman" w:eastAsia="ヒラギノ角ゴ Pro W3" w:hAnsi="Times New Roman"/>
          <w:color w:val="000000" w:themeColor="text1"/>
          <w:sz w:val="24"/>
          <w:szCs w:val="24"/>
          <w:lang w:eastAsia="lv-LV"/>
        </w:rPr>
        <w:t xml:space="preserve">Šāda pieeja attaisnojama ar civiltiesisko līgumu brīvības principa piemērošanu, kā arī ar apstākli, ka katra komersanta darbībai ir individuāla specifika, stāvoklis tirgū un darbības </w:t>
      </w:r>
      <w:r w:rsidRPr="56DAD599">
        <w:rPr>
          <w:rFonts w:ascii="Times New Roman" w:eastAsia="ヒラギノ角ゴ Pro W3" w:hAnsi="Times New Roman"/>
          <w:color w:val="000000" w:themeColor="text1"/>
          <w:sz w:val="24"/>
          <w:szCs w:val="24"/>
          <w:lang w:eastAsia="lv-LV"/>
        </w:rPr>
        <w:lastRenderedPageBreak/>
        <w:t xml:space="preserve">stratēģija, līdz ar ko nav iespējams izstrādāt vienotu, universāli piemērojamu nekonkurēšanas pienākuma noteikšanas vai atbilstošas atlīdzības aprēķina formulu. Katra komersanta pienākums ir individuāli izvērtēt ierobežojuma lietderības apsvērumus: potenciālā riska apmēru, pieļaujamo ierobežojumu apjomu un ietekmi uz riska mazināšanu, un atlīdzības apmēra samērīgumu ar riska iestāšanās gadījumā nodarīto potenciālo zaudējumu apmēru. Jāņem vērā, ka pat viena kvalifikācijas līmeņa vai vienas nozares darbinieku rīcībā darba pienākumu izpildes procesā var nonākt dažāda satura un konfidencialitātes līmeņa informācija, tādēļ darba devēja apsvērumi katrā atsevišķā gadījumā var atšķirties. </w:t>
      </w:r>
    </w:p>
    <w:p w14:paraId="096E3EE2" w14:textId="1AB6D861" w:rsidR="00654188" w:rsidRPr="00AA16D0" w:rsidRDefault="56DAD599" w:rsidP="00AA16D0">
      <w:pPr>
        <w:spacing w:after="120" w:line="240" w:lineRule="auto"/>
        <w:ind w:firstLine="720"/>
        <w:jc w:val="both"/>
        <w:rPr>
          <w:rFonts w:ascii="Times New Roman" w:eastAsia="ヒラギノ角ゴ Pro W3" w:hAnsi="Times New Roman"/>
          <w:color w:val="000000" w:themeColor="text1"/>
          <w:sz w:val="24"/>
          <w:szCs w:val="24"/>
          <w:lang w:eastAsia="lv-LV"/>
        </w:rPr>
      </w:pPr>
      <w:r w:rsidRPr="56DAD599">
        <w:rPr>
          <w:rFonts w:ascii="Times New Roman" w:eastAsia="ヒラギノ角ゴ Pro W3" w:hAnsi="Times New Roman"/>
          <w:color w:val="000000" w:themeColor="text1"/>
          <w:sz w:val="24"/>
          <w:szCs w:val="24"/>
          <w:lang w:eastAsia="lv-LV"/>
        </w:rPr>
        <w:t xml:space="preserve">Universāla regulējuma veidošana atšķirīgu situāciju vienādotai risināšanai var novest pie pārmērīga </w:t>
      </w:r>
      <w:proofErr w:type="spellStart"/>
      <w:r w:rsidRPr="56DAD599">
        <w:rPr>
          <w:rFonts w:ascii="Times New Roman" w:eastAsia="ヒラギノ角ゴ Pro W3" w:hAnsi="Times New Roman"/>
          <w:color w:val="000000" w:themeColor="text1"/>
          <w:sz w:val="24"/>
          <w:szCs w:val="24"/>
          <w:lang w:eastAsia="lv-LV"/>
        </w:rPr>
        <w:t>normatīvisma</w:t>
      </w:r>
      <w:proofErr w:type="spellEnd"/>
      <w:r w:rsidRPr="56DAD599">
        <w:rPr>
          <w:rFonts w:ascii="Times New Roman" w:eastAsia="ヒラギノ角ゴ Pro W3" w:hAnsi="Times New Roman"/>
          <w:color w:val="000000" w:themeColor="text1"/>
          <w:sz w:val="24"/>
          <w:szCs w:val="24"/>
          <w:lang w:eastAsia="lv-LV"/>
        </w:rPr>
        <w:t xml:space="preserve">, kurā nav iespējams nodrošināt vispusīgu, objektīvu lietderības apsvērumu iekļaušanu. Arī Revīzijas </w:t>
      </w:r>
      <w:r w:rsidR="00B259BA">
        <w:rPr>
          <w:rFonts w:ascii="Times New Roman" w:eastAsia="ヒラギノ角ゴ Pro W3" w:hAnsi="Times New Roman"/>
          <w:color w:val="000000" w:themeColor="text1"/>
          <w:sz w:val="24"/>
          <w:szCs w:val="24"/>
          <w:lang w:eastAsia="lv-LV"/>
        </w:rPr>
        <w:t>ziņojumā</w:t>
      </w:r>
      <w:r w:rsidRPr="56DAD599">
        <w:rPr>
          <w:rFonts w:ascii="Times New Roman" w:eastAsia="ヒラギノ角ゴ Pro W3" w:hAnsi="Times New Roman"/>
          <w:color w:val="000000" w:themeColor="text1"/>
          <w:sz w:val="24"/>
          <w:szCs w:val="24"/>
          <w:lang w:eastAsia="lv-LV"/>
        </w:rPr>
        <w:t xml:space="preserve"> norādīts nevis uz normatīvās bāzes trūkumiem vai nepilnībām, bet gan uz faktu, </w:t>
      </w:r>
      <w:r w:rsidRPr="006A4AF8">
        <w:rPr>
          <w:rFonts w:ascii="Times New Roman" w:eastAsia="ヒラギノ角ゴ Pro W3" w:hAnsi="Times New Roman"/>
          <w:color w:val="000000" w:themeColor="text1"/>
          <w:sz w:val="24"/>
          <w:szCs w:val="24"/>
          <w:lang w:eastAsia="lv-LV"/>
        </w:rPr>
        <w:t xml:space="preserve">ka revīzijas ietvaros konstatēts nepilnīgas lietderības apsvērumu </w:t>
      </w:r>
      <w:proofErr w:type="spellStart"/>
      <w:r w:rsidRPr="006A4AF8">
        <w:rPr>
          <w:rFonts w:ascii="Times New Roman" w:eastAsia="ヒラギノ角ゴ Pro W3" w:hAnsi="Times New Roman"/>
          <w:color w:val="000000" w:themeColor="text1"/>
          <w:sz w:val="24"/>
          <w:szCs w:val="24"/>
          <w:lang w:eastAsia="lv-LV"/>
        </w:rPr>
        <w:t>izvērtējums</w:t>
      </w:r>
      <w:proofErr w:type="spellEnd"/>
      <w:r w:rsidRPr="006A4AF8">
        <w:rPr>
          <w:rFonts w:ascii="Times New Roman" w:eastAsia="ヒラギノ角ゴ Pro W3" w:hAnsi="Times New Roman"/>
          <w:color w:val="000000" w:themeColor="text1"/>
          <w:sz w:val="24"/>
          <w:szCs w:val="24"/>
          <w:lang w:eastAsia="lv-LV"/>
        </w:rPr>
        <w:t xml:space="preserve"> un nepareiza tiesību normu piemērošana</w:t>
      </w:r>
      <w:r w:rsidRPr="56DAD599">
        <w:rPr>
          <w:rFonts w:ascii="Times New Roman" w:eastAsia="ヒラギノ角ゴ Pro W3" w:hAnsi="Times New Roman"/>
          <w:color w:val="000000" w:themeColor="text1"/>
          <w:sz w:val="24"/>
          <w:szCs w:val="24"/>
          <w:lang w:eastAsia="lv-LV"/>
        </w:rPr>
        <w:t>.</w:t>
      </w:r>
      <w:r w:rsidR="00002C2A" w:rsidRPr="56DAD599">
        <w:rPr>
          <w:rStyle w:val="FootnoteReference"/>
          <w:rFonts w:ascii="Times New Roman" w:eastAsia="ヒラギノ角ゴ Pro W3" w:hAnsi="Times New Roman"/>
          <w:color w:val="000000" w:themeColor="text1"/>
          <w:sz w:val="24"/>
          <w:szCs w:val="24"/>
          <w:lang w:eastAsia="lv-LV"/>
        </w:rPr>
        <w:footnoteReference w:id="8"/>
      </w:r>
    </w:p>
    <w:p w14:paraId="7CB3B484" w14:textId="6CC73999" w:rsidR="00654188" w:rsidRDefault="56DAD599" w:rsidP="00420BB3">
      <w:pPr>
        <w:spacing w:after="120" w:line="240" w:lineRule="auto"/>
        <w:ind w:firstLine="720"/>
        <w:jc w:val="both"/>
      </w:pPr>
      <w:r w:rsidRPr="56DAD599">
        <w:rPr>
          <w:rFonts w:ascii="Times New Roman" w:eastAsia="Times New Roman" w:hAnsi="Times New Roman"/>
          <w:b/>
          <w:bCs/>
          <w:sz w:val="24"/>
          <w:szCs w:val="24"/>
        </w:rPr>
        <w:t>3.</w:t>
      </w:r>
      <w:r w:rsidR="00561C86">
        <w:rPr>
          <w:rFonts w:ascii="Times New Roman" w:eastAsia="Times New Roman" w:hAnsi="Times New Roman"/>
          <w:b/>
          <w:bCs/>
          <w:sz w:val="24"/>
          <w:szCs w:val="24"/>
        </w:rPr>
        <w:t>4</w:t>
      </w:r>
      <w:r w:rsidRPr="56DAD599">
        <w:rPr>
          <w:rFonts w:ascii="Times New Roman" w:eastAsia="Times New Roman" w:hAnsi="Times New Roman"/>
          <w:b/>
          <w:bCs/>
          <w:sz w:val="24"/>
          <w:szCs w:val="24"/>
        </w:rPr>
        <w:t>. Publiskā kapitāla (sabiedrības) interešu aizsardzība</w:t>
      </w:r>
    </w:p>
    <w:p w14:paraId="45F31E3E" w14:textId="7F06DB7C" w:rsidR="00654188" w:rsidRDefault="56DAD599" w:rsidP="00420BB3">
      <w:pPr>
        <w:spacing w:before="240" w:after="120" w:line="240" w:lineRule="auto"/>
        <w:ind w:firstLine="720"/>
        <w:jc w:val="both"/>
        <w:rPr>
          <w:rFonts w:ascii="Times New Roman" w:eastAsia="Times New Roman" w:hAnsi="Times New Roman"/>
          <w:color w:val="000000" w:themeColor="text1"/>
          <w:sz w:val="24"/>
          <w:szCs w:val="24"/>
          <w:lang w:eastAsia="lv-LV"/>
        </w:rPr>
      </w:pPr>
      <w:r w:rsidRPr="56DAD599">
        <w:rPr>
          <w:rFonts w:ascii="Times New Roman" w:eastAsia="Times New Roman" w:hAnsi="Times New Roman"/>
          <w:color w:val="000000" w:themeColor="text1"/>
          <w:sz w:val="24"/>
          <w:szCs w:val="24"/>
        </w:rPr>
        <w:t>Atbilstoši OECD Valsts kapitālsabiedrību korporatīvās pārvaldības vadlīniju</w:t>
      </w:r>
      <w:r w:rsidR="00002C2A" w:rsidRPr="56DAD599">
        <w:rPr>
          <w:rStyle w:val="FootnoteReference"/>
          <w:rFonts w:ascii="Times New Roman" w:eastAsia="Times New Roman" w:hAnsi="Times New Roman"/>
          <w:color w:val="000000" w:themeColor="text1"/>
          <w:sz w:val="24"/>
          <w:szCs w:val="24"/>
        </w:rPr>
        <w:footnoteReference w:id="9"/>
      </w:r>
      <w:r w:rsidRPr="56DAD599">
        <w:rPr>
          <w:rFonts w:ascii="Times New Roman" w:eastAsia="Times New Roman" w:hAnsi="Times New Roman"/>
          <w:color w:val="000000" w:themeColor="text1"/>
          <w:sz w:val="24"/>
          <w:szCs w:val="24"/>
        </w:rPr>
        <w:t xml:space="preserve"> 1.sadaļas norādījumiem</w:t>
      </w:r>
      <w:r w:rsidRPr="56DAD599">
        <w:rPr>
          <w:rFonts w:ascii="Times New Roman" w:eastAsia="Times New Roman" w:hAnsi="Times New Roman"/>
          <w:color w:val="000000" w:themeColor="text1"/>
          <w:sz w:val="24"/>
          <w:szCs w:val="24"/>
          <w:lang w:eastAsia="lv-LV"/>
        </w:rPr>
        <w:t xml:space="preserve"> valsts līdzdalības nolūkam kapitālsabiedrībās jābūt sabiedriskā labuma paaugstināšanai, efektīvi izvietojot un pārraugot resursus. Sabiedrība gūst dažādus ieguvumus no publisko kapitālsabiedrību darbības, tai skaitā tiek veikti maksājumi budžetā par valsts kapitāla izmantošanu (dividendes), nodrošināta pakalpojumu pieejamība u.c. Lai sasniegtu minētos mērķus, valstij, pārvaldot kapitālsabiedrību, ir jārīkojas </w:t>
      </w:r>
      <w:r w:rsidRPr="006A4AF8">
        <w:rPr>
          <w:rFonts w:ascii="Times New Roman" w:eastAsia="Times New Roman" w:hAnsi="Times New Roman"/>
          <w:color w:val="000000" w:themeColor="text1"/>
          <w:sz w:val="24"/>
          <w:szCs w:val="24"/>
          <w:lang w:eastAsia="lv-LV"/>
        </w:rPr>
        <w:t>kā atbildīgam un ieinteresētam īpašniekam, tai skaitā pārliecinoties, ka kapitālsabiedrībā lēmumi tiek pieņemti, ievērojot noteiktas, caurskatāmas procedūras, veicot nepieciešamo izvērtējumu</w:t>
      </w:r>
      <w:r w:rsidRPr="56DAD599">
        <w:rPr>
          <w:rFonts w:ascii="Times New Roman" w:eastAsia="Times New Roman" w:hAnsi="Times New Roman"/>
          <w:color w:val="000000" w:themeColor="text1"/>
          <w:sz w:val="24"/>
          <w:szCs w:val="24"/>
          <w:lang w:eastAsia="lv-LV"/>
        </w:rPr>
        <w:t>.</w:t>
      </w:r>
    </w:p>
    <w:p w14:paraId="4F948BFC" w14:textId="0B94804C" w:rsidR="00654188" w:rsidRDefault="56DAD599" w:rsidP="00420BB3">
      <w:pPr>
        <w:spacing w:before="240" w:after="120" w:line="240" w:lineRule="auto"/>
        <w:ind w:firstLine="720"/>
        <w:jc w:val="both"/>
        <w:rPr>
          <w:rFonts w:ascii="Times New Roman" w:eastAsia="Times New Roman" w:hAnsi="Times New Roman"/>
          <w:color w:val="000000" w:themeColor="text1"/>
          <w:sz w:val="24"/>
          <w:szCs w:val="24"/>
          <w:lang w:eastAsia="lv-LV"/>
        </w:rPr>
      </w:pPr>
      <w:r w:rsidRPr="007F05C5">
        <w:rPr>
          <w:rFonts w:ascii="Times New Roman" w:eastAsia="Times New Roman" w:hAnsi="Times New Roman"/>
          <w:color w:val="000000" w:themeColor="text1"/>
          <w:sz w:val="24"/>
          <w:szCs w:val="24"/>
          <w:lang w:eastAsia="lv-LV"/>
        </w:rPr>
        <w:t xml:space="preserve">Publiskas personas kapitālsabiedrībai ir saistošs </w:t>
      </w:r>
      <w:r w:rsidR="007F05C5" w:rsidRPr="007F05C5">
        <w:rPr>
          <w:rFonts w:ascii="Times New Roman" w:eastAsia="Times New Roman" w:hAnsi="Times New Roman"/>
          <w:color w:val="000000" w:themeColor="text1"/>
          <w:sz w:val="24"/>
          <w:szCs w:val="24"/>
          <w:lang w:eastAsia="lv-LV"/>
        </w:rPr>
        <w:t>D</w:t>
      </w:r>
      <w:r w:rsidRPr="007F05C5">
        <w:rPr>
          <w:rFonts w:ascii="Times New Roman" w:eastAsia="Times New Roman" w:hAnsi="Times New Roman"/>
          <w:color w:val="000000" w:themeColor="text1"/>
          <w:sz w:val="24"/>
          <w:szCs w:val="24"/>
          <w:lang w:eastAsia="lv-LV"/>
        </w:rPr>
        <w:t>arba likuma regulējums un citi ar to saistītie normatīvie akti. Saskaņā ar Darba likuma 84. pantu viena no vienošanās par profesionālās darbības ierobežojumiem</w:t>
      </w:r>
      <w:r w:rsidRPr="56DAD599">
        <w:rPr>
          <w:rFonts w:ascii="Times New Roman" w:eastAsia="Times New Roman" w:hAnsi="Times New Roman"/>
          <w:color w:val="000000" w:themeColor="text1"/>
          <w:sz w:val="24"/>
          <w:szCs w:val="24"/>
          <w:lang w:eastAsia="lv-LV"/>
        </w:rPr>
        <w:t xml:space="preserve"> obligātajām pazīmēm ir atbilstoša ikmēneša atlīdzība darbiniekam par konkurences ierobežojuma ievērošanu. Tādejādi šādas vienošanās slēgšana ir saistīta ar finanšu līdzekļu izlietošanu.</w:t>
      </w:r>
    </w:p>
    <w:p w14:paraId="41FC0FB6" w14:textId="7B11C950" w:rsidR="00654188" w:rsidRDefault="56DAD599" w:rsidP="00420BB3">
      <w:pPr>
        <w:spacing w:before="240" w:after="120" w:line="240" w:lineRule="auto"/>
        <w:ind w:firstLine="720"/>
        <w:jc w:val="both"/>
        <w:rPr>
          <w:rFonts w:ascii="Times New Roman" w:eastAsia="Times New Roman" w:hAnsi="Times New Roman"/>
          <w:color w:val="000000" w:themeColor="text1"/>
          <w:sz w:val="24"/>
          <w:szCs w:val="24"/>
          <w:lang w:eastAsia="lv-LV"/>
        </w:rPr>
      </w:pPr>
      <w:r w:rsidRPr="56DAD599">
        <w:rPr>
          <w:rFonts w:ascii="Times New Roman" w:eastAsia="Times New Roman" w:hAnsi="Times New Roman"/>
          <w:color w:val="000000" w:themeColor="text1"/>
          <w:sz w:val="24"/>
          <w:szCs w:val="24"/>
          <w:lang w:eastAsia="lv-LV"/>
        </w:rPr>
        <w:t>Publiskā kapitāla interešu aizsardzības mehānisms ir nostiprināts Publiskas personas finanšu līdzekļu un mantas izšķērdēšanas novēršanas likumā, kurš ir saistošs ne vien publiskām personām, bet arī to kapitālsabiedrībām, un kura 2. un 3. pantā ir noteikts pienākums visiem likuma subjektiem ar finanšu līdzekļiem un mantu rīkoties likumīgi un lietderīgi. Publiskas personas finanšu līdzekļu un mantas izšķērdēšanas novēršanas likuma mērķis ir panākt, lai publiskas personas finanšu līdzekļi un manta tiktu izmantota likumīgi un atbilstoši iedzīvotāju interesēm, novērst to izšķērdēšanu un nelietderīgu izmantošanu, kā arī ierobežot valsts amatpersonu korupciju. Kā izriet no Publiskas personas finanšu līdzekļu un mantas izšķērdēšanas novēršanas likuma 2.panta trešās daļas, šis mērķis ir attiecināms arī uz publisko personu kapitālsabiedrībām. Tādēļ plašākā nozīmē publiskas personas kapitālsabiedrība, veicot jebkādu saimniecisko darbību vai pieņemot lēmumus, kam ir finansiāla ietekme, rīkojas ar publiskas personas mantu.</w:t>
      </w:r>
    </w:p>
    <w:p w14:paraId="0DDD10A7" w14:textId="77777777" w:rsidR="009D7AB4" w:rsidRDefault="56DAD599" w:rsidP="00420BB3">
      <w:pPr>
        <w:spacing w:before="240" w:after="120" w:line="240" w:lineRule="auto"/>
        <w:ind w:firstLine="720"/>
        <w:jc w:val="both"/>
        <w:rPr>
          <w:rFonts w:ascii="Times New Roman" w:eastAsia="Times New Roman" w:hAnsi="Times New Roman"/>
          <w:color w:val="000000" w:themeColor="text1"/>
          <w:sz w:val="24"/>
          <w:szCs w:val="24"/>
          <w:lang w:eastAsia="lv-LV"/>
        </w:rPr>
      </w:pPr>
      <w:r w:rsidRPr="56DAD599">
        <w:rPr>
          <w:rFonts w:ascii="Times New Roman" w:eastAsia="Times New Roman" w:hAnsi="Times New Roman"/>
          <w:color w:val="000000" w:themeColor="text1"/>
          <w:sz w:val="24"/>
          <w:szCs w:val="24"/>
          <w:lang w:eastAsia="lv-LV"/>
        </w:rPr>
        <w:t xml:space="preserve">Ņemot vērā minēto, lai nodrošinātu finanšu līdzekļu lietderīgu izlietojumu, </w:t>
      </w:r>
      <w:r w:rsidRPr="006A4AF8">
        <w:rPr>
          <w:rFonts w:ascii="Times New Roman" w:eastAsia="Times New Roman" w:hAnsi="Times New Roman"/>
          <w:color w:val="000000" w:themeColor="text1"/>
          <w:sz w:val="24"/>
          <w:szCs w:val="24"/>
          <w:lang w:eastAsia="lv-LV"/>
        </w:rPr>
        <w:t xml:space="preserve">publiskā sektora darba devējam </w:t>
      </w:r>
      <w:r w:rsidRPr="56DAD599">
        <w:rPr>
          <w:rFonts w:ascii="Times New Roman" w:eastAsia="Times New Roman" w:hAnsi="Times New Roman"/>
          <w:color w:val="000000" w:themeColor="text1"/>
          <w:sz w:val="24"/>
          <w:szCs w:val="24"/>
          <w:lang w:eastAsia="lv-LV"/>
        </w:rPr>
        <w:t>kā rūpīgam un atbildīgam saimniekam ir jārūpējas par to, lai pieņemtie lēmumu par vienošanās slēgšanu profesionālās darbības ierobežošanai ir pamatoti un izsekojami, t.i.,</w:t>
      </w:r>
      <w:r w:rsidRPr="00960C24">
        <w:rPr>
          <w:rFonts w:ascii="Times New Roman" w:eastAsia="Times New Roman" w:hAnsi="Times New Roman"/>
          <w:color w:val="000000" w:themeColor="text1"/>
          <w:sz w:val="24"/>
          <w:szCs w:val="24"/>
          <w:lang w:eastAsia="lv-LV"/>
        </w:rPr>
        <w:t xml:space="preserve"> publiskā sektora darba devējam jāspēj pierādīt pieņemtā lēmuma pamatotība. </w:t>
      </w:r>
      <w:r w:rsidRPr="00960C24">
        <w:rPr>
          <w:rFonts w:ascii="Times New Roman" w:eastAsia="Times New Roman" w:hAnsi="Times New Roman"/>
          <w:color w:val="000000" w:themeColor="text1"/>
          <w:sz w:val="24"/>
          <w:szCs w:val="24"/>
          <w:lang w:eastAsia="lv-LV"/>
        </w:rPr>
        <w:lastRenderedPageBreak/>
        <w:t>Minētais attiecas gan uz vienošanās slēgšanu kā tādu, gan uz atsevišķiem tās noteikumiem (termiņš, teritorija, atlīdzības apmērs).</w:t>
      </w:r>
      <w:r w:rsidRPr="56DAD599">
        <w:rPr>
          <w:rFonts w:ascii="Times New Roman" w:eastAsia="Times New Roman" w:hAnsi="Times New Roman"/>
          <w:color w:val="000000" w:themeColor="text1"/>
          <w:sz w:val="24"/>
          <w:szCs w:val="24"/>
          <w:lang w:eastAsia="lv-LV"/>
        </w:rPr>
        <w:t xml:space="preserve"> Šāds lēmuma pamatotības princips ir piemērojams arī citiem ar darbinieku atlīdzību saistītiem lēmumiem, kam jābūt izvērtētiem no lietderības aspekta un pamatotiem. </w:t>
      </w:r>
      <w:r w:rsidR="00513014">
        <w:rPr>
          <w:rFonts w:ascii="Times New Roman" w:eastAsia="Times New Roman" w:hAnsi="Times New Roman"/>
          <w:color w:val="000000" w:themeColor="text1"/>
          <w:sz w:val="24"/>
          <w:szCs w:val="24"/>
          <w:lang w:eastAsia="lv-LV"/>
        </w:rPr>
        <w:t xml:space="preserve"> </w:t>
      </w:r>
    </w:p>
    <w:p w14:paraId="28FE0045" w14:textId="745C23FA" w:rsidR="00654188" w:rsidRDefault="56DAD599" w:rsidP="00420BB3">
      <w:pPr>
        <w:spacing w:before="240" w:after="120" w:line="240" w:lineRule="auto"/>
        <w:ind w:firstLine="720"/>
        <w:jc w:val="both"/>
        <w:rPr>
          <w:rFonts w:ascii="Times New Roman" w:eastAsia="Times New Roman" w:hAnsi="Times New Roman"/>
          <w:color w:val="000000" w:themeColor="text1"/>
          <w:sz w:val="24"/>
          <w:szCs w:val="24"/>
          <w:lang w:eastAsia="lv-LV"/>
        </w:rPr>
      </w:pPr>
      <w:r w:rsidRPr="56DAD599">
        <w:rPr>
          <w:rFonts w:ascii="Times New Roman" w:eastAsia="Times New Roman" w:hAnsi="Times New Roman"/>
          <w:color w:val="000000" w:themeColor="text1"/>
          <w:sz w:val="24"/>
          <w:szCs w:val="24"/>
          <w:lang w:eastAsia="lv-LV"/>
        </w:rPr>
        <w:t>Vērtējot vienošanās slēgšanas objektīvo nepieciešamību jāvērtē tādi aspekti kā:</w:t>
      </w:r>
    </w:p>
    <w:p w14:paraId="05467033" w14:textId="7847D4D4" w:rsidR="00654188" w:rsidRDefault="56DAD599" w:rsidP="0021476C">
      <w:pPr>
        <w:pStyle w:val="ListParagraph"/>
        <w:numPr>
          <w:ilvl w:val="0"/>
          <w:numId w:val="1"/>
        </w:numPr>
        <w:spacing w:before="240" w:after="120" w:line="240" w:lineRule="auto"/>
        <w:ind w:hanging="294"/>
        <w:jc w:val="both"/>
        <w:rPr>
          <w:rFonts w:ascii="Times New Roman" w:eastAsia="Times New Roman" w:hAnsi="Times New Roman"/>
          <w:color w:val="000000" w:themeColor="text1"/>
          <w:sz w:val="24"/>
          <w:szCs w:val="24"/>
        </w:rPr>
      </w:pPr>
      <w:r w:rsidRPr="56DAD599">
        <w:rPr>
          <w:rFonts w:ascii="Times New Roman" w:eastAsia="Times New Roman" w:hAnsi="Times New Roman"/>
          <w:color w:val="000000" w:themeColor="text1"/>
          <w:sz w:val="24"/>
          <w:szCs w:val="24"/>
          <w:lang w:eastAsia="lv-LV"/>
        </w:rPr>
        <w:t xml:space="preserve">vai darbinieka rīcībā ir tāda informācija, </w:t>
      </w:r>
      <w:r w:rsidRPr="56DAD599">
        <w:rPr>
          <w:rFonts w:ascii="Times New Roman" w:eastAsia="Times New Roman" w:hAnsi="Times New Roman"/>
          <w:sz w:val="23"/>
          <w:szCs w:val="23"/>
        </w:rPr>
        <w:t>kas var radīt konkurenci darba devēja komercdarbībai;</w:t>
      </w:r>
    </w:p>
    <w:p w14:paraId="5755B87C" w14:textId="564439CF" w:rsidR="00654188" w:rsidRDefault="56DAD599" w:rsidP="0021476C">
      <w:pPr>
        <w:pStyle w:val="ListParagraph"/>
        <w:numPr>
          <w:ilvl w:val="0"/>
          <w:numId w:val="1"/>
        </w:numPr>
        <w:spacing w:before="240" w:after="120" w:line="240" w:lineRule="auto"/>
        <w:ind w:hanging="294"/>
        <w:jc w:val="both"/>
        <w:rPr>
          <w:rFonts w:ascii="Times New Roman" w:eastAsia="Times New Roman" w:hAnsi="Times New Roman"/>
          <w:color w:val="000000" w:themeColor="text1"/>
          <w:sz w:val="24"/>
          <w:szCs w:val="24"/>
        </w:rPr>
      </w:pPr>
      <w:r w:rsidRPr="56DAD599">
        <w:rPr>
          <w:rFonts w:ascii="Times New Roman" w:eastAsia="Times New Roman" w:hAnsi="Times New Roman"/>
          <w:color w:val="000000" w:themeColor="text1"/>
          <w:sz w:val="24"/>
          <w:szCs w:val="24"/>
          <w:lang w:eastAsia="lv-LV"/>
        </w:rPr>
        <w:t>vai ir iespēja, ka darbinieks var veikt</w:t>
      </w:r>
      <w:r w:rsidRPr="56DAD599">
        <w:rPr>
          <w:rFonts w:ascii="Times New Roman" w:eastAsia="Times New Roman" w:hAnsi="Times New Roman"/>
          <w:sz w:val="24"/>
          <w:szCs w:val="24"/>
        </w:rPr>
        <w:t xml:space="preserve"> konkurenci ietekmējošas darbības;</w:t>
      </w:r>
    </w:p>
    <w:p w14:paraId="5D413A5F" w14:textId="6EED5FB5" w:rsidR="00654188" w:rsidRDefault="00F4747C" w:rsidP="0021476C">
      <w:pPr>
        <w:pStyle w:val="ListParagraph"/>
        <w:numPr>
          <w:ilvl w:val="0"/>
          <w:numId w:val="1"/>
        </w:numPr>
        <w:spacing w:before="240" w:after="120" w:line="240" w:lineRule="auto"/>
        <w:ind w:hanging="294"/>
        <w:jc w:val="both"/>
        <w:rPr>
          <w:rFonts w:ascii="Times New Roman" w:eastAsia="Times New Roman" w:hAnsi="Times New Roman"/>
          <w:color w:val="000000" w:themeColor="text1"/>
          <w:sz w:val="24"/>
          <w:szCs w:val="24"/>
        </w:rPr>
      </w:pPr>
      <w:r>
        <w:rPr>
          <w:rFonts w:ascii="Times New Roman" w:eastAsia="Times New Roman" w:hAnsi="Times New Roman"/>
          <w:sz w:val="24"/>
          <w:szCs w:val="24"/>
        </w:rPr>
        <w:t>v</w:t>
      </w:r>
      <w:r w:rsidR="56DAD599" w:rsidRPr="56DAD599">
        <w:rPr>
          <w:rFonts w:ascii="Times New Roman" w:eastAsia="Times New Roman" w:hAnsi="Times New Roman"/>
          <w:sz w:val="24"/>
          <w:szCs w:val="24"/>
        </w:rPr>
        <w:t>ai šādām darbībām var būt ietekme uz attiecīgā uzņēmuma vienības konkurētspēju vai darbību</w:t>
      </w:r>
      <w:r>
        <w:rPr>
          <w:rFonts w:ascii="Times New Roman" w:eastAsia="Times New Roman" w:hAnsi="Times New Roman"/>
          <w:sz w:val="24"/>
          <w:szCs w:val="24"/>
        </w:rPr>
        <w:t>;</w:t>
      </w:r>
    </w:p>
    <w:p w14:paraId="764DCDED" w14:textId="237D8BCE" w:rsidR="006A35BA" w:rsidRPr="009D7AB4" w:rsidRDefault="00F4747C" w:rsidP="0021476C">
      <w:pPr>
        <w:pStyle w:val="ListParagraph"/>
        <w:numPr>
          <w:ilvl w:val="0"/>
          <w:numId w:val="1"/>
        </w:numPr>
        <w:spacing w:before="240" w:after="120" w:line="240" w:lineRule="auto"/>
        <w:ind w:hanging="294"/>
        <w:jc w:val="both"/>
        <w:rPr>
          <w:color w:val="000000" w:themeColor="text1"/>
          <w:sz w:val="24"/>
          <w:szCs w:val="24"/>
        </w:rPr>
      </w:pPr>
      <w:r>
        <w:rPr>
          <w:rFonts w:ascii="Times New Roman" w:eastAsia="Times New Roman" w:hAnsi="Times New Roman"/>
          <w:sz w:val="24"/>
          <w:szCs w:val="24"/>
        </w:rPr>
        <w:t>v</w:t>
      </w:r>
      <w:r w:rsidR="56DAD599" w:rsidRPr="56DAD599">
        <w:rPr>
          <w:rFonts w:ascii="Times New Roman" w:eastAsia="Times New Roman" w:hAnsi="Times New Roman"/>
          <w:sz w:val="24"/>
          <w:szCs w:val="24"/>
        </w:rPr>
        <w:t>ai paredzētā atlīdzība ir samērīga pret iespējamo zaudējumu</w:t>
      </w:r>
      <w:r w:rsidR="009B326D">
        <w:rPr>
          <w:rFonts w:ascii="Times New Roman" w:eastAsia="Times New Roman" w:hAnsi="Times New Roman"/>
          <w:sz w:val="24"/>
          <w:szCs w:val="24"/>
        </w:rPr>
        <w:t xml:space="preserve"> </w:t>
      </w:r>
      <w:r w:rsidR="00247AC7">
        <w:rPr>
          <w:rFonts w:ascii="Times New Roman" w:eastAsia="Times New Roman" w:hAnsi="Times New Roman"/>
          <w:sz w:val="24"/>
          <w:szCs w:val="24"/>
        </w:rPr>
        <w:t xml:space="preserve">risku </w:t>
      </w:r>
      <w:r w:rsidR="009B326D">
        <w:rPr>
          <w:rFonts w:ascii="Times New Roman" w:eastAsia="Times New Roman" w:hAnsi="Times New Roman"/>
          <w:sz w:val="24"/>
          <w:szCs w:val="24"/>
        </w:rPr>
        <w:t>darba devējam.</w:t>
      </w:r>
    </w:p>
    <w:p w14:paraId="75973088" w14:textId="77777777" w:rsidR="009D7AB4" w:rsidRPr="009D7AB4" w:rsidRDefault="009D7AB4" w:rsidP="00420BB3">
      <w:pPr>
        <w:pStyle w:val="ListParagraph"/>
        <w:spacing w:before="240" w:after="120" w:line="240" w:lineRule="auto"/>
        <w:ind w:firstLine="720"/>
        <w:jc w:val="both"/>
        <w:rPr>
          <w:color w:val="000000" w:themeColor="text1"/>
          <w:sz w:val="24"/>
          <w:szCs w:val="24"/>
        </w:rPr>
      </w:pPr>
    </w:p>
    <w:p w14:paraId="1C22D851" w14:textId="4AD5A366" w:rsidR="009D7AB4" w:rsidRPr="006A35BA" w:rsidRDefault="009D7AB4" w:rsidP="0021476C">
      <w:pPr>
        <w:pStyle w:val="ListParagraph"/>
        <w:spacing w:before="240" w:after="120" w:line="240" w:lineRule="auto"/>
        <w:ind w:left="142" w:firstLine="567"/>
        <w:jc w:val="both"/>
        <w:rPr>
          <w:color w:val="000000" w:themeColor="text1"/>
          <w:sz w:val="24"/>
          <w:szCs w:val="24"/>
        </w:rPr>
      </w:pPr>
      <w:r w:rsidRPr="006A4AF8">
        <w:rPr>
          <w:rFonts w:ascii="Times New Roman" w:eastAsia="Times New Roman" w:hAnsi="Times New Roman"/>
          <w:color w:val="000000" w:themeColor="text1"/>
          <w:sz w:val="24"/>
          <w:szCs w:val="24"/>
          <w:lang w:eastAsia="lv-LV"/>
        </w:rPr>
        <w:t>Vienlaikus jāsecina, ka publiskas personas kapitālsabiedrību gadījumā, ņemot vērā daudzu kapitālsabiedrību nekomerciālo mērķu īpatsvaru vai darbību tirgus nepilnības apstākļos, pamatot darbinieka iespējamo kaitējumu kapitālsabiedrības komerciālajām interesēm, radot konkurenci, varētu būt problemātiski</w:t>
      </w:r>
      <w:r>
        <w:rPr>
          <w:rFonts w:ascii="Times New Roman" w:eastAsia="Times New Roman" w:hAnsi="Times New Roman"/>
          <w:color w:val="000000" w:themeColor="text1"/>
          <w:sz w:val="24"/>
          <w:szCs w:val="24"/>
          <w:lang w:eastAsia="lv-LV"/>
        </w:rPr>
        <w:t>.</w:t>
      </w:r>
    </w:p>
    <w:p w14:paraId="6C3A61D1" w14:textId="70361B37" w:rsidR="00B54EB6" w:rsidRDefault="00EB596E" w:rsidP="00420BB3">
      <w:pPr>
        <w:spacing w:before="240" w:after="12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Atbilstoši l</w:t>
      </w:r>
      <w:r w:rsidRPr="00EB596E">
        <w:rPr>
          <w:rFonts w:ascii="Times New Roman" w:eastAsia="Times New Roman" w:hAnsi="Times New Roman"/>
          <w:sz w:val="24"/>
          <w:szCs w:val="24"/>
        </w:rPr>
        <w:t>aba</w:t>
      </w:r>
      <w:r>
        <w:rPr>
          <w:rFonts w:ascii="Times New Roman" w:eastAsia="Times New Roman" w:hAnsi="Times New Roman"/>
          <w:sz w:val="24"/>
          <w:szCs w:val="24"/>
        </w:rPr>
        <w:t>i</w:t>
      </w:r>
      <w:r w:rsidRPr="00EB596E">
        <w:rPr>
          <w:rFonts w:ascii="Times New Roman" w:eastAsia="Times New Roman" w:hAnsi="Times New Roman"/>
          <w:sz w:val="24"/>
          <w:szCs w:val="24"/>
        </w:rPr>
        <w:t xml:space="preserve"> personāla vadības prakse</w:t>
      </w:r>
      <w:r>
        <w:rPr>
          <w:rFonts w:ascii="Times New Roman" w:eastAsia="Times New Roman" w:hAnsi="Times New Roman"/>
          <w:sz w:val="24"/>
          <w:szCs w:val="24"/>
        </w:rPr>
        <w:t>i</w:t>
      </w:r>
      <w:r w:rsidRPr="00EB596E">
        <w:rPr>
          <w:rFonts w:ascii="Times New Roman" w:eastAsia="Times New Roman" w:hAnsi="Times New Roman"/>
          <w:sz w:val="24"/>
          <w:szCs w:val="24"/>
        </w:rPr>
        <w:t xml:space="preserve"> </w:t>
      </w:r>
      <w:r w:rsidR="00770790">
        <w:rPr>
          <w:rFonts w:ascii="Times New Roman" w:eastAsia="Times New Roman" w:hAnsi="Times New Roman"/>
          <w:sz w:val="24"/>
          <w:szCs w:val="24"/>
        </w:rPr>
        <w:t>kapitālsabiedrībā jābūt izstrādātai atalgojuma politikai</w:t>
      </w:r>
      <w:r w:rsidRPr="00EB596E">
        <w:rPr>
          <w:rFonts w:ascii="Times New Roman" w:eastAsia="Times New Roman" w:hAnsi="Times New Roman"/>
          <w:sz w:val="24"/>
          <w:szCs w:val="24"/>
        </w:rPr>
        <w:t>,</w:t>
      </w:r>
      <w:r w:rsidR="00770790">
        <w:rPr>
          <w:rFonts w:ascii="Times New Roman" w:eastAsia="Times New Roman" w:hAnsi="Times New Roman"/>
          <w:sz w:val="24"/>
          <w:szCs w:val="24"/>
        </w:rPr>
        <w:t xml:space="preserve"> kurā noteikti</w:t>
      </w:r>
      <w:r w:rsidR="00F560A7">
        <w:rPr>
          <w:rFonts w:ascii="Times New Roman" w:eastAsia="Times New Roman" w:hAnsi="Times New Roman"/>
          <w:sz w:val="24"/>
          <w:szCs w:val="24"/>
        </w:rPr>
        <w:t xml:space="preserve"> darbinieku</w:t>
      </w:r>
      <w:r w:rsidR="00770790">
        <w:rPr>
          <w:rFonts w:ascii="Times New Roman" w:eastAsia="Times New Roman" w:hAnsi="Times New Roman"/>
          <w:sz w:val="24"/>
          <w:szCs w:val="24"/>
        </w:rPr>
        <w:t xml:space="preserve"> a</w:t>
      </w:r>
      <w:r w:rsidR="00770790" w:rsidRPr="00770790">
        <w:rPr>
          <w:rFonts w:ascii="Times New Roman" w:eastAsia="Times New Roman" w:hAnsi="Times New Roman"/>
          <w:sz w:val="24"/>
          <w:szCs w:val="24"/>
        </w:rPr>
        <w:t>tlīdzības veidošanas</w:t>
      </w:r>
      <w:r w:rsidR="00F560A7">
        <w:rPr>
          <w:rFonts w:ascii="Times New Roman" w:eastAsia="Times New Roman" w:hAnsi="Times New Roman"/>
          <w:sz w:val="24"/>
          <w:szCs w:val="24"/>
        </w:rPr>
        <w:t xml:space="preserve"> būtiskākie</w:t>
      </w:r>
      <w:r w:rsidR="00770790" w:rsidRPr="00770790">
        <w:rPr>
          <w:rFonts w:ascii="Times New Roman" w:eastAsia="Times New Roman" w:hAnsi="Times New Roman"/>
          <w:sz w:val="24"/>
          <w:szCs w:val="24"/>
        </w:rPr>
        <w:t xml:space="preserve"> princip</w:t>
      </w:r>
      <w:r w:rsidR="00F560A7">
        <w:rPr>
          <w:rFonts w:ascii="Times New Roman" w:eastAsia="Times New Roman" w:hAnsi="Times New Roman"/>
          <w:sz w:val="24"/>
          <w:szCs w:val="24"/>
        </w:rPr>
        <w:t>i</w:t>
      </w:r>
      <w:r w:rsidR="004E1C4C">
        <w:rPr>
          <w:rFonts w:ascii="Times New Roman" w:eastAsia="Times New Roman" w:hAnsi="Times New Roman"/>
          <w:sz w:val="24"/>
          <w:szCs w:val="24"/>
        </w:rPr>
        <w:t>.</w:t>
      </w:r>
      <w:r w:rsidR="002E3079">
        <w:rPr>
          <w:rFonts w:ascii="Times New Roman" w:eastAsia="Times New Roman" w:hAnsi="Times New Roman"/>
          <w:sz w:val="24"/>
          <w:szCs w:val="24"/>
        </w:rPr>
        <w:t xml:space="preserve"> </w:t>
      </w:r>
      <w:r w:rsidR="00F560A7">
        <w:rPr>
          <w:rFonts w:ascii="Times New Roman" w:eastAsia="Times New Roman" w:hAnsi="Times New Roman"/>
          <w:sz w:val="24"/>
          <w:szCs w:val="24"/>
        </w:rPr>
        <w:t xml:space="preserve">Kapitālsabiedrības atalgojuma politikā </w:t>
      </w:r>
      <w:r w:rsidR="002E3079">
        <w:rPr>
          <w:rFonts w:ascii="Times New Roman" w:eastAsia="Times New Roman" w:hAnsi="Times New Roman"/>
          <w:sz w:val="24"/>
          <w:szCs w:val="24"/>
        </w:rPr>
        <w:t xml:space="preserve">vai citā </w:t>
      </w:r>
      <w:r w:rsidR="006B511F">
        <w:rPr>
          <w:rFonts w:ascii="Times New Roman" w:eastAsia="Times New Roman" w:hAnsi="Times New Roman"/>
          <w:sz w:val="24"/>
          <w:szCs w:val="24"/>
        </w:rPr>
        <w:t xml:space="preserve">iekšējā dokumentā </w:t>
      </w:r>
      <w:r w:rsidR="00F560A7">
        <w:rPr>
          <w:rFonts w:ascii="Times New Roman" w:eastAsia="Times New Roman" w:hAnsi="Times New Roman"/>
          <w:sz w:val="24"/>
          <w:szCs w:val="24"/>
        </w:rPr>
        <w:t>ir jāiekļauj nepieciešamais regulējums vienošanās slēgšanai par profesionālās darbības ierobežojumu</w:t>
      </w:r>
      <w:r w:rsidR="005446F2">
        <w:rPr>
          <w:rFonts w:ascii="Times New Roman" w:eastAsia="Times New Roman" w:hAnsi="Times New Roman"/>
          <w:sz w:val="24"/>
          <w:szCs w:val="24"/>
        </w:rPr>
        <w:t xml:space="preserve"> (ja ir konstatēta nepieciešamība slēgt šādu vienošanos).</w:t>
      </w:r>
    </w:p>
    <w:p w14:paraId="3EF4A070" w14:textId="0A57596E" w:rsidR="0066774F" w:rsidRDefault="00341D63" w:rsidP="0066774F">
      <w:pPr>
        <w:spacing w:before="240" w:after="12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Attiecībā uz publiskas personas kapitālsabiedrības </w:t>
      </w:r>
      <w:r w:rsidR="00BE693F">
        <w:rPr>
          <w:rFonts w:ascii="Times New Roman" w:eastAsia="Times New Roman" w:hAnsi="Times New Roman"/>
          <w:sz w:val="24"/>
          <w:szCs w:val="24"/>
        </w:rPr>
        <w:t>pārvaldes amatpersonām</w:t>
      </w:r>
      <w:r>
        <w:rPr>
          <w:rFonts w:ascii="Times New Roman" w:eastAsia="Times New Roman" w:hAnsi="Times New Roman"/>
          <w:sz w:val="24"/>
          <w:szCs w:val="24"/>
        </w:rPr>
        <w:t>, profesionālās darbības ierobežojumu jautājuma atspoguļojums atalgojuma politikā ir vēl jo svarīgāks</w:t>
      </w:r>
      <w:r w:rsidR="00BE693F">
        <w:rPr>
          <w:rFonts w:ascii="Times New Roman" w:eastAsia="Times New Roman" w:hAnsi="Times New Roman"/>
          <w:sz w:val="24"/>
          <w:szCs w:val="24"/>
        </w:rPr>
        <w:t>, jo tas skar ne vien amatos nodarbināto intereses, bet ietekmē visas sabiedrības attieksmi pret kapitālsabiedrību un veido sabiedrisko viedokli par valsts kapitālsabiedrību pārvaldības sistēmu. Kā norādīts OECD Korporatīvās pārvaldības vadlīniju</w:t>
      </w:r>
      <w:r w:rsidR="00BE693F">
        <w:rPr>
          <w:rStyle w:val="FootnoteReference"/>
          <w:rFonts w:ascii="Times New Roman" w:eastAsia="Times New Roman" w:hAnsi="Times New Roman"/>
          <w:sz w:val="24"/>
          <w:szCs w:val="24"/>
        </w:rPr>
        <w:footnoteReference w:id="10"/>
      </w:r>
      <w:r w:rsidR="00BE693F">
        <w:rPr>
          <w:rFonts w:ascii="Times New Roman" w:eastAsia="Times New Roman" w:hAnsi="Times New Roman"/>
          <w:sz w:val="24"/>
          <w:szCs w:val="24"/>
        </w:rPr>
        <w:t xml:space="preserve"> 6.nodaļas (Atklātība un caurskatāmība) anotācijā, “i</w:t>
      </w:r>
      <w:r w:rsidR="00BE693F" w:rsidRPr="00BE693F">
        <w:rPr>
          <w:rFonts w:ascii="Times New Roman" w:eastAsia="Times New Roman" w:hAnsi="Times New Roman"/>
          <w:sz w:val="24"/>
          <w:szCs w:val="24"/>
        </w:rPr>
        <w:t xml:space="preserve">r svarīgi, lai valsts uzņēmumi nodrošinātu augstu </w:t>
      </w:r>
      <w:proofErr w:type="spellStart"/>
      <w:r w:rsidR="00BE693F" w:rsidRPr="00BE693F">
        <w:rPr>
          <w:rFonts w:ascii="Times New Roman" w:eastAsia="Times New Roman" w:hAnsi="Times New Roman"/>
          <w:sz w:val="24"/>
          <w:szCs w:val="24"/>
        </w:rPr>
        <w:t>pārredzamības</w:t>
      </w:r>
      <w:proofErr w:type="spellEnd"/>
      <w:r w:rsidR="00BE693F" w:rsidRPr="00BE693F">
        <w:rPr>
          <w:rFonts w:ascii="Times New Roman" w:eastAsia="Times New Roman" w:hAnsi="Times New Roman"/>
          <w:sz w:val="24"/>
          <w:szCs w:val="24"/>
        </w:rPr>
        <w:t xml:space="preserve"> līmeni attiecībā uz valdes locekļu un galveno vadītāju atalgojumu. Nespēja nodrošināt atbilstošu informāciju sabiedrībai var radīt </w:t>
      </w:r>
      <w:r w:rsidR="00BE693F">
        <w:rPr>
          <w:rFonts w:ascii="Times New Roman" w:eastAsia="Times New Roman" w:hAnsi="Times New Roman"/>
          <w:sz w:val="24"/>
          <w:szCs w:val="24"/>
        </w:rPr>
        <w:t>sliktu</w:t>
      </w:r>
      <w:r w:rsidR="00BE693F" w:rsidRPr="00BE693F">
        <w:rPr>
          <w:rFonts w:ascii="Times New Roman" w:eastAsia="Times New Roman" w:hAnsi="Times New Roman"/>
          <w:sz w:val="24"/>
          <w:szCs w:val="24"/>
        </w:rPr>
        <w:t xml:space="preserve"> priekšstatu </w:t>
      </w:r>
      <w:r w:rsidR="00BE693F">
        <w:rPr>
          <w:rFonts w:ascii="Times New Roman" w:eastAsia="Times New Roman" w:hAnsi="Times New Roman"/>
          <w:sz w:val="24"/>
          <w:szCs w:val="24"/>
        </w:rPr>
        <w:t>un</w:t>
      </w:r>
      <w:r w:rsidR="00BE693F" w:rsidRPr="00BE693F">
        <w:rPr>
          <w:rFonts w:ascii="Times New Roman" w:eastAsia="Times New Roman" w:hAnsi="Times New Roman"/>
          <w:sz w:val="24"/>
          <w:szCs w:val="24"/>
        </w:rPr>
        <w:t xml:space="preserve"> </w:t>
      </w:r>
      <w:r w:rsidR="00BE693F">
        <w:rPr>
          <w:rFonts w:ascii="Times New Roman" w:eastAsia="Times New Roman" w:hAnsi="Times New Roman"/>
          <w:sz w:val="24"/>
          <w:szCs w:val="24"/>
        </w:rPr>
        <w:t xml:space="preserve">veicināt negatīvu reakciju </w:t>
      </w:r>
      <w:r w:rsidR="00BE693F" w:rsidRPr="00BE693F">
        <w:rPr>
          <w:rFonts w:ascii="Times New Roman" w:eastAsia="Times New Roman" w:hAnsi="Times New Roman"/>
          <w:sz w:val="24"/>
          <w:szCs w:val="24"/>
        </w:rPr>
        <w:t>pret īpašumtiesību subjektu</w:t>
      </w:r>
      <w:r w:rsidR="00BE693F">
        <w:rPr>
          <w:rFonts w:ascii="Times New Roman" w:eastAsia="Times New Roman" w:hAnsi="Times New Roman"/>
          <w:sz w:val="24"/>
          <w:szCs w:val="24"/>
        </w:rPr>
        <w:t xml:space="preserve"> (</w:t>
      </w:r>
      <w:r w:rsidR="00BE693F" w:rsidRPr="00CF26C3">
        <w:rPr>
          <w:rFonts w:ascii="Times New Roman" w:eastAsia="Times New Roman" w:hAnsi="Times New Roman"/>
          <w:i/>
          <w:iCs/>
          <w:sz w:val="24"/>
          <w:szCs w:val="24"/>
        </w:rPr>
        <w:t>publisko personu)</w:t>
      </w:r>
      <w:r w:rsidR="00BE693F" w:rsidRPr="00BE693F">
        <w:rPr>
          <w:rFonts w:ascii="Times New Roman" w:eastAsia="Times New Roman" w:hAnsi="Times New Roman"/>
          <w:sz w:val="24"/>
          <w:szCs w:val="24"/>
        </w:rPr>
        <w:t xml:space="preserve"> un atsevišķiem valsts uzņēmumiem</w:t>
      </w:r>
      <w:r w:rsidR="00BE693F">
        <w:rPr>
          <w:rFonts w:ascii="Times New Roman" w:eastAsia="Times New Roman" w:hAnsi="Times New Roman"/>
          <w:sz w:val="24"/>
          <w:szCs w:val="24"/>
        </w:rPr>
        <w:t>. Publiskojamai i</w:t>
      </w:r>
      <w:r w:rsidR="00BE693F" w:rsidRPr="00BE693F">
        <w:rPr>
          <w:rFonts w:ascii="Times New Roman" w:eastAsia="Times New Roman" w:hAnsi="Times New Roman"/>
          <w:sz w:val="24"/>
          <w:szCs w:val="24"/>
        </w:rPr>
        <w:t xml:space="preserve">nformācijai </w:t>
      </w:r>
      <w:r w:rsidR="00BE693F">
        <w:rPr>
          <w:rFonts w:ascii="Times New Roman" w:eastAsia="Times New Roman" w:hAnsi="Times New Roman"/>
          <w:sz w:val="24"/>
          <w:szCs w:val="24"/>
        </w:rPr>
        <w:t>jāatspoguļo</w:t>
      </w:r>
      <w:r w:rsidR="00BE693F" w:rsidRPr="00BE693F">
        <w:rPr>
          <w:rFonts w:ascii="Times New Roman" w:eastAsia="Times New Roman" w:hAnsi="Times New Roman"/>
          <w:sz w:val="24"/>
          <w:szCs w:val="24"/>
        </w:rPr>
        <w:t xml:space="preserve"> faktis</w:t>
      </w:r>
      <w:r w:rsidR="00BE693F">
        <w:rPr>
          <w:rFonts w:ascii="Times New Roman" w:eastAsia="Times New Roman" w:hAnsi="Times New Roman"/>
          <w:sz w:val="24"/>
          <w:szCs w:val="24"/>
        </w:rPr>
        <w:t>kos</w:t>
      </w:r>
      <w:r w:rsidR="00BE693F" w:rsidRPr="00BE693F">
        <w:rPr>
          <w:rFonts w:ascii="Times New Roman" w:eastAsia="Times New Roman" w:hAnsi="Times New Roman"/>
          <w:sz w:val="24"/>
          <w:szCs w:val="24"/>
        </w:rPr>
        <w:t xml:space="preserve"> atalgojuma līmeņ</w:t>
      </w:r>
      <w:r w:rsidR="00BE693F">
        <w:rPr>
          <w:rFonts w:ascii="Times New Roman" w:eastAsia="Times New Roman" w:hAnsi="Times New Roman"/>
          <w:sz w:val="24"/>
          <w:szCs w:val="24"/>
        </w:rPr>
        <w:t>us</w:t>
      </w:r>
      <w:r w:rsidR="00BE693F" w:rsidRPr="00BE693F">
        <w:rPr>
          <w:rFonts w:ascii="Times New Roman" w:eastAsia="Times New Roman" w:hAnsi="Times New Roman"/>
          <w:sz w:val="24"/>
          <w:szCs w:val="24"/>
        </w:rPr>
        <w:t xml:space="preserve"> un politik</w:t>
      </w:r>
      <w:r w:rsidR="00BE693F">
        <w:rPr>
          <w:rFonts w:ascii="Times New Roman" w:eastAsia="Times New Roman" w:hAnsi="Times New Roman"/>
          <w:sz w:val="24"/>
          <w:szCs w:val="24"/>
        </w:rPr>
        <w:t>as</w:t>
      </w:r>
      <w:r w:rsidR="00BE693F" w:rsidRPr="00BE693F">
        <w:rPr>
          <w:rFonts w:ascii="Times New Roman" w:eastAsia="Times New Roman" w:hAnsi="Times New Roman"/>
          <w:sz w:val="24"/>
          <w:szCs w:val="24"/>
        </w:rPr>
        <w:t>, kas ir to pamatā</w:t>
      </w:r>
      <w:r w:rsidR="00BE693F">
        <w:rPr>
          <w:rFonts w:ascii="Times New Roman" w:eastAsia="Times New Roman" w:hAnsi="Times New Roman"/>
          <w:sz w:val="24"/>
          <w:szCs w:val="24"/>
        </w:rPr>
        <w:t>.”</w:t>
      </w:r>
    </w:p>
    <w:p w14:paraId="40875A30" w14:textId="760EA358" w:rsidR="005E715E" w:rsidRPr="005E715E" w:rsidRDefault="005E715E" w:rsidP="005E715E">
      <w:pPr>
        <w:spacing w:before="240" w:after="120" w:line="240" w:lineRule="auto"/>
        <w:ind w:firstLine="720"/>
        <w:jc w:val="both"/>
        <w:rPr>
          <w:rFonts w:ascii="Times New Roman" w:eastAsia="Times New Roman" w:hAnsi="Times New Roman"/>
          <w:sz w:val="24"/>
          <w:szCs w:val="24"/>
        </w:rPr>
      </w:pPr>
      <w:r w:rsidRPr="005E715E">
        <w:rPr>
          <w:rFonts w:ascii="Times New Roman" w:eastAsia="Times New Roman" w:hAnsi="Times New Roman"/>
          <w:sz w:val="24"/>
          <w:szCs w:val="24"/>
        </w:rPr>
        <w:t xml:space="preserve">Precīzākas norādes par atalgojuma politikas izstrādi sniedz Tieslietu ministrijas izstrādātā Korporatīvās pārvaldības kodeksa 10.principa skaidrojumi, kas paredz valdes un padomes atalgojuma politikas ieviešanu uzņēmumā, un norāda atalgojuma politikas veidošanas kritērijus. Kodeksā norādīts uz atalgojuma līmeņu un komponenšu (arī kompensāciju) sasaisti ne vien ar uzņēmuma noteikto stratēģiju, komercdarbības mērķiem, ilgtermiņa interesēm, ekonomiskajiem apstākļiem u.tml., bet arī ar attiecīgās amatpersonas pienākumu apjomu, atbildību u.tml. Atalgojuma politikā paredzēts ietvert arī pabalstu un kompensāciju </w:t>
      </w:r>
      <w:r>
        <w:rPr>
          <w:rFonts w:ascii="Times New Roman" w:eastAsia="Times New Roman" w:hAnsi="Times New Roman"/>
          <w:sz w:val="24"/>
          <w:szCs w:val="24"/>
        </w:rPr>
        <w:t>mehānismus</w:t>
      </w:r>
      <w:r w:rsidRPr="005E715E">
        <w:rPr>
          <w:rFonts w:ascii="Times New Roman" w:eastAsia="Times New Roman" w:hAnsi="Times New Roman"/>
          <w:sz w:val="24"/>
          <w:szCs w:val="24"/>
        </w:rPr>
        <w:t>, kas piemērojam</w:t>
      </w:r>
      <w:r>
        <w:rPr>
          <w:rFonts w:ascii="Times New Roman" w:eastAsia="Times New Roman" w:hAnsi="Times New Roman"/>
          <w:sz w:val="24"/>
          <w:szCs w:val="24"/>
        </w:rPr>
        <w:t>i</w:t>
      </w:r>
      <w:r w:rsidRPr="005E715E">
        <w:rPr>
          <w:rFonts w:ascii="Times New Roman" w:eastAsia="Times New Roman" w:hAnsi="Times New Roman"/>
          <w:sz w:val="24"/>
          <w:szCs w:val="24"/>
        </w:rPr>
        <w:t xml:space="preserve">, izbeidzot amata pienākumu izpildi. Papildus minētajam, 10.principa 3.kritērijs imperatīvi norāda, ka padomes locekļiem atsaukšanas no amata vai amata atstāšanas gadījumā jebkādas kompensācijas neizmaksā. </w:t>
      </w:r>
    </w:p>
    <w:p w14:paraId="06875A93" w14:textId="2A9D50EB" w:rsidR="00341D63" w:rsidRDefault="005E715E" w:rsidP="005E715E">
      <w:pPr>
        <w:spacing w:before="240" w:after="120" w:line="240" w:lineRule="auto"/>
        <w:ind w:firstLine="720"/>
        <w:jc w:val="both"/>
        <w:rPr>
          <w:rFonts w:ascii="Times New Roman" w:eastAsia="Times New Roman" w:hAnsi="Times New Roman"/>
          <w:sz w:val="24"/>
          <w:szCs w:val="24"/>
        </w:rPr>
      </w:pPr>
      <w:r w:rsidRPr="005E715E">
        <w:rPr>
          <w:rFonts w:ascii="Times New Roman" w:eastAsia="Times New Roman" w:hAnsi="Times New Roman"/>
          <w:sz w:val="24"/>
          <w:szCs w:val="24"/>
        </w:rPr>
        <w:lastRenderedPageBreak/>
        <w:t xml:space="preserve">No norādītā secināms, ka, </w:t>
      </w:r>
      <w:proofErr w:type="spellStart"/>
      <w:r w:rsidR="00CB4CFA">
        <w:rPr>
          <w:rFonts w:ascii="Times New Roman" w:eastAsia="Times New Roman" w:hAnsi="Times New Roman"/>
          <w:sz w:val="24"/>
          <w:szCs w:val="24"/>
        </w:rPr>
        <w:t>pirmsšķietami</w:t>
      </w:r>
      <w:proofErr w:type="spellEnd"/>
      <w:r w:rsidR="00CB4CFA">
        <w:rPr>
          <w:rFonts w:ascii="Times New Roman" w:eastAsia="Times New Roman" w:hAnsi="Times New Roman"/>
          <w:sz w:val="24"/>
          <w:szCs w:val="24"/>
        </w:rPr>
        <w:t xml:space="preserve"> vērtējot, retajos gadījumos, </w:t>
      </w:r>
      <w:r w:rsidR="003C4B12">
        <w:rPr>
          <w:rFonts w:ascii="Times New Roman" w:eastAsia="Times New Roman" w:hAnsi="Times New Roman"/>
          <w:sz w:val="24"/>
          <w:szCs w:val="24"/>
        </w:rPr>
        <w:t xml:space="preserve">kapitālsabiedrības </w:t>
      </w:r>
      <w:r w:rsidRPr="005E715E">
        <w:rPr>
          <w:rFonts w:ascii="Times New Roman" w:eastAsia="Times New Roman" w:hAnsi="Times New Roman"/>
          <w:sz w:val="24"/>
          <w:szCs w:val="24"/>
        </w:rPr>
        <w:t>atalgojuma politikā tiek paredzētas kompensācijas par valdes locekļu profesionālās darbības ierobežojumu</w:t>
      </w:r>
      <w:r>
        <w:rPr>
          <w:rFonts w:ascii="Times New Roman" w:eastAsia="Times New Roman" w:hAnsi="Times New Roman"/>
          <w:sz w:val="24"/>
          <w:szCs w:val="24"/>
        </w:rPr>
        <w:t xml:space="preserve"> (padomes locekļiem tādas paredzēt nevar)</w:t>
      </w:r>
      <w:r w:rsidRPr="005E715E">
        <w:rPr>
          <w:rFonts w:ascii="Times New Roman" w:eastAsia="Times New Roman" w:hAnsi="Times New Roman"/>
          <w:sz w:val="24"/>
          <w:szCs w:val="24"/>
        </w:rPr>
        <w:t xml:space="preserve">, </w:t>
      </w:r>
      <w:r>
        <w:rPr>
          <w:rFonts w:ascii="Times New Roman" w:eastAsia="Times New Roman" w:hAnsi="Times New Roman"/>
          <w:sz w:val="24"/>
          <w:szCs w:val="24"/>
        </w:rPr>
        <w:t xml:space="preserve">atalgojuma </w:t>
      </w:r>
      <w:r w:rsidRPr="005E715E">
        <w:rPr>
          <w:rFonts w:ascii="Times New Roman" w:eastAsia="Times New Roman" w:hAnsi="Times New Roman"/>
          <w:sz w:val="24"/>
          <w:szCs w:val="24"/>
        </w:rPr>
        <w:t>politikā ir jāatspoguļo gan kapitālsabiedrības nepieciešamība noteikt profesionālās darbības ierobežojumus (kapitālsabiedrības intereses, tirgus, ekonomiskie apsvērumi), gan arī attiecīgās amatpersonas potenciālā negatīvā ietekme u</w:t>
      </w:r>
      <w:r w:rsidR="003C4B12">
        <w:rPr>
          <w:rFonts w:ascii="Times New Roman" w:eastAsia="Times New Roman" w:hAnsi="Times New Roman"/>
          <w:sz w:val="24"/>
          <w:szCs w:val="24"/>
        </w:rPr>
        <w:t>z</w:t>
      </w:r>
      <w:r w:rsidRPr="005E715E">
        <w:rPr>
          <w:rFonts w:ascii="Times New Roman" w:eastAsia="Times New Roman" w:hAnsi="Times New Roman"/>
          <w:sz w:val="24"/>
          <w:szCs w:val="24"/>
        </w:rPr>
        <w:t xml:space="preserve"> kapitālsabiedrības interesēm un tās </w:t>
      </w:r>
      <w:proofErr w:type="spellStart"/>
      <w:r w:rsidR="003C4B12">
        <w:rPr>
          <w:rFonts w:ascii="Times New Roman" w:eastAsia="Times New Roman" w:hAnsi="Times New Roman"/>
          <w:sz w:val="24"/>
          <w:szCs w:val="24"/>
        </w:rPr>
        <w:t>iz</w:t>
      </w:r>
      <w:r w:rsidRPr="005E715E">
        <w:rPr>
          <w:rFonts w:ascii="Times New Roman" w:eastAsia="Times New Roman" w:hAnsi="Times New Roman"/>
          <w:sz w:val="24"/>
          <w:szCs w:val="24"/>
        </w:rPr>
        <w:t>vērtējums</w:t>
      </w:r>
      <w:proofErr w:type="spellEnd"/>
      <w:r w:rsidR="003C4B12">
        <w:rPr>
          <w:rFonts w:ascii="Times New Roman" w:eastAsia="Times New Roman" w:hAnsi="Times New Roman"/>
          <w:sz w:val="24"/>
          <w:szCs w:val="24"/>
        </w:rPr>
        <w:t xml:space="preserve"> no finansiālā aspekta</w:t>
      </w:r>
      <w:r w:rsidRPr="005E715E">
        <w:rPr>
          <w:rFonts w:ascii="Times New Roman" w:eastAsia="Times New Roman" w:hAnsi="Times New Roman"/>
          <w:sz w:val="24"/>
          <w:szCs w:val="24"/>
        </w:rPr>
        <w:t>.</w:t>
      </w:r>
    </w:p>
    <w:p w14:paraId="4D2E750D" w14:textId="209F75AA" w:rsidR="005E715E" w:rsidRDefault="005E715E" w:rsidP="005E715E">
      <w:pPr>
        <w:spacing w:before="240" w:after="120" w:line="240" w:lineRule="auto"/>
        <w:ind w:firstLine="720"/>
        <w:jc w:val="both"/>
        <w:rPr>
          <w:rFonts w:ascii="Times New Roman" w:eastAsia="Times New Roman" w:hAnsi="Times New Roman"/>
          <w:sz w:val="24"/>
          <w:szCs w:val="24"/>
        </w:rPr>
      </w:pPr>
      <w:r w:rsidRPr="00A6168B">
        <w:rPr>
          <w:rFonts w:ascii="Times New Roman" w:eastAsia="Times New Roman" w:hAnsi="Times New Roman"/>
          <w:sz w:val="24"/>
          <w:szCs w:val="24"/>
        </w:rPr>
        <w:t>Tā kā atlīdzības</w:t>
      </w:r>
      <w:r w:rsidR="00ED36EB" w:rsidRPr="00A6168B">
        <w:rPr>
          <w:rFonts w:ascii="Times New Roman" w:eastAsia="Times New Roman" w:hAnsi="Times New Roman"/>
          <w:sz w:val="24"/>
          <w:szCs w:val="24"/>
        </w:rPr>
        <w:t xml:space="preserve"> un kompensāciju</w:t>
      </w:r>
      <w:r w:rsidRPr="00A6168B">
        <w:rPr>
          <w:rFonts w:ascii="Times New Roman" w:eastAsia="Times New Roman" w:hAnsi="Times New Roman"/>
          <w:sz w:val="24"/>
          <w:szCs w:val="24"/>
        </w:rPr>
        <w:t xml:space="preserve"> </w:t>
      </w:r>
      <w:r w:rsidR="003C4B12" w:rsidRPr="00A6168B">
        <w:rPr>
          <w:rFonts w:ascii="Times New Roman" w:eastAsia="Times New Roman" w:hAnsi="Times New Roman"/>
          <w:sz w:val="24"/>
          <w:szCs w:val="24"/>
        </w:rPr>
        <w:t>principu un apmēra</w:t>
      </w:r>
      <w:r w:rsidRPr="00A6168B">
        <w:rPr>
          <w:rFonts w:ascii="Times New Roman" w:eastAsia="Times New Roman" w:hAnsi="Times New Roman"/>
          <w:sz w:val="24"/>
          <w:szCs w:val="24"/>
        </w:rPr>
        <w:t xml:space="preserve"> noteikšana valdes locekļiem (tai skaitā atalgojuma politikas apstiprināšana) ir kapitālsabiedrības dalībnieka/akcionāra kompetences jautājums (ja nav izveidota padome),</w:t>
      </w:r>
      <w:r w:rsidR="003C4B12" w:rsidRPr="00A6168B">
        <w:rPr>
          <w:rFonts w:ascii="Times New Roman" w:eastAsia="Times New Roman" w:hAnsi="Times New Roman"/>
          <w:sz w:val="24"/>
          <w:szCs w:val="24"/>
        </w:rPr>
        <w:t xml:space="preserve"> publiskās kapitālsabiedrības valde nav tiesīga noteikt šādu kompensācijas veidu bez kapitāla daļu turētāja piekrišanas.</w:t>
      </w:r>
    </w:p>
    <w:p w14:paraId="0B6482DA" w14:textId="4D887190" w:rsidR="00654188" w:rsidRPr="00B259BA" w:rsidRDefault="56DAD599" w:rsidP="00420BB3">
      <w:pPr>
        <w:spacing w:after="120" w:line="240" w:lineRule="auto"/>
        <w:ind w:firstLine="720"/>
        <w:jc w:val="both"/>
        <w:rPr>
          <w:b/>
          <w:bCs/>
        </w:rPr>
      </w:pPr>
      <w:r w:rsidRPr="00B259BA">
        <w:rPr>
          <w:rFonts w:ascii="Times New Roman" w:eastAsia="Times New Roman" w:hAnsi="Times New Roman"/>
          <w:b/>
          <w:bCs/>
          <w:color w:val="000000" w:themeColor="text1"/>
          <w:sz w:val="24"/>
          <w:szCs w:val="24"/>
        </w:rPr>
        <w:t>3.</w:t>
      </w:r>
      <w:r w:rsidR="00561C86">
        <w:rPr>
          <w:rFonts w:ascii="Times New Roman" w:eastAsia="Times New Roman" w:hAnsi="Times New Roman"/>
          <w:b/>
          <w:bCs/>
          <w:color w:val="000000" w:themeColor="text1"/>
          <w:sz w:val="24"/>
          <w:szCs w:val="24"/>
        </w:rPr>
        <w:t>5</w:t>
      </w:r>
      <w:r w:rsidRPr="00B259BA">
        <w:rPr>
          <w:rFonts w:ascii="Times New Roman" w:eastAsia="Times New Roman" w:hAnsi="Times New Roman"/>
          <w:b/>
          <w:bCs/>
          <w:color w:val="000000" w:themeColor="text1"/>
          <w:sz w:val="24"/>
          <w:szCs w:val="24"/>
        </w:rPr>
        <w:t>. Profesionālās darbības ierobežojumu deklarēš</w:t>
      </w:r>
      <w:r w:rsidR="00B54EB6">
        <w:rPr>
          <w:rFonts w:ascii="Times New Roman" w:eastAsia="Times New Roman" w:hAnsi="Times New Roman"/>
          <w:b/>
          <w:bCs/>
          <w:color w:val="000000" w:themeColor="text1"/>
          <w:sz w:val="24"/>
          <w:szCs w:val="24"/>
        </w:rPr>
        <w:t>a</w:t>
      </w:r>
      <w:r w:rsidRPr="00B259BA">
        <w:rPr>
          <w:rFonts w:ascii="Times New Roman" w:eastAsia="Times New Roman" w:hAnsi="Times New Roman"/>
          <w:b/>
          <w:bCs/>
          <w:color w:val="000000" w:themeColor="text1"/>
          <w:sz w:val="24"/>
          <w:szCs w:val="24"/>
        </w:rPr>
        <w:t>nas prasības</w:t>
      </w:r>
    </w:p>
    <w:p w14:paraId="16119E9F" w14:textId="720BE3DA" w:rsidR="00654188" w:rsidRDefault="56DAD599" w:rsidP="00420BB3">
      <w:pPr>
        <w:spacing w:after="120" w:line="240" w:lineRule="auto"/>
        <w:ind w:firstLine="720"/>
        <w:jc w:val="both"/>
      </w:pPr>
      <w:r w:rsidRPr="56DAD599">
        <w:rPr>
          <w:rFonts w:ascii="Times New Roman" w:eastAsia="Times New Roman" w:hAnsi="Times New Roman"/>
          <w:sz w:val="24"/>
          <w:szCs w:val="24"/>
        </w:rPr>
        <w:t xml:space="preserve"> Likums “Par valsts sociālo apdrošināšanu” nosaka, ka persona, kurai pēc darba tiesisko attiecību izbeigšanās ir vienošanās par profesionālās darbības ierobežojumu, ir uzskatāma par “darba ņēmēju” šī likuma izpratnē. No minētā statusa, darba devējam kā izmaksu izdarītājam izriet pienākums reģistrēt Valsts ieņēmumu dienesta Elektroniskajā deklarēšanas sistēmā informāciju par katru darba ņēmēju, kurš ieguvis, mainījis vai zaudējis noteikto darba ņēmēja statusu, tai skaitā ar kuru noslēgta vienošanās par profesionālās darbības ierobežojumu.</w:t>
      </w:r>
    </w:p>
    <w:p w14:paraId="622DF8DF" w14:textId="7D9D922C" w:rsidR="00654188" w:rsidRDefault="56DAD599" w:rsidP="00420BB3">
      <w:pPr>
        <w:spacing w:after="120" w:line="240" w:lineRule="auto"/>
        <w:ind w:firstLine="720"/>
        <w:jc w:val="both"/>
        <w:rPr>
          <w:sz w:val="24"/>
          <w:szCs w:val="24"/>
        </w:rPr>
      </w:pPr>
      <w:r w:rsidRPr="56DAD599">
        <w:rPr>
          <w:rFonts w:ascii="Times New Roman" w:eastAsia="Times New Roman" w:hAnsi="Times New Roman"/>
          <w:sz w:val="24"/>
          <w:szCs w:val="24"/>
        </w:rPr>
        <w:t xml:space="preserve">Secināms, ka šobrīd likuma “Par valsts sociālo apdrošināšanu” regulējums nodrošina gan atbilstošu nodokļu </w:t>
      </w:r>
      <w:proofErr w:type="spellStart"/>
      <w:r w:rsidRPr="56DAD599">
        <w:rPr>
          <w:rFonts w:ascii="Times New Roman" w:eastAsia="Times New Roman" w:hAnsi="Times New Roman"/>
          <w:sz w:val="24"/>
          <w:szCs w:val="24"/>
        </w:rPr>
        <w:t>attiecināmību</w:t>
      </w:r>
      <w:proofErr w:type="spellEnd"/>
      <w:r w:rsidRPr="56DAD599">
        <w:rPr>
          <w:rFonts w:ascii="Times New Roman" w:eastAsia="Times New Roman" w:hAnsi="Times New Roman"/>
          <w:sz w:val="24"/>
          <w:szCs w:val="24"/>
        </w:rPr>
        <w:t xml:space="preserve"> uz ienākumu no profesionālās darbības ierobežojuma kompensācijas izmaksas, gan pietiekamas deklarēšanas prasības, tādēļ uzlabojumi šajā jomā nav nepieciešami.  </w:t>
      </w:r>
    </w:p>
    <w:p w14:paraId="530D816A" w14:textId="1DA95747" w:rsidR="00654188" w:rsidRPr="0078204C" w:rsidRDefault="0078204C" w:rsidP="00420BB3">
      <w:pPr>
        <w:spacing w:after="12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Revīzijas </w:t>
      </w:r>
      <w:r w:rsidRPr="0078204C">
        <w:rPr>
          <w:rFonts w:ascii="Times New Roman" w:eastAsia="Times New Roman" w:hAnsi="Times New Roman"/>
          <w:sz w:val="24"/>
          <w:szCs w:val="24"/>
        </w:rPr>
        <w:t>ziņojumā n</w:t>
      </w:r>
      <w:r w:rsidR="56DAD599" w:rsidRPr="0078204C">
        <w:rPr>
          <w:rFonts w:ascii="Times New Roman" w:eastAsia="Times New Roman" w:hAnsi="Times New Roman"/>
          <w:sz w:val="24"/>
          <w:szCs w:val="24"/>
        </w:rPr>
        <w:t>av konstatēti trūkumi regulējumā</w:t>
      </w:r>
      <w:r w:rsidRPr="0078204C">
        <w:rPr>
          <w:rFonts w:ascii="Times New Roman" w:eastAsia="Times New Roman" w:hAnsi="Times New Roman"/>
          <w:sz w:val="24"/>
          <w:szCs w:val="24"/>
        </w:rPr>
        <w:t xml:space="preserve"> attiecībā uz deklarēšanas pienākumu un izmaksas kārtību</w:t>
      </w:r>
      <w:r w:rsidR="56DAD599" w:rsidRPr="0078204C">
        <w:rPr>
          <w:rFonts w:ascii="Times New Roman" w:eastAsia="Times New Roman" w:hAnsi="Times New Roman"/>
          <w:sz w:val="24"/>
          <w:szCs w:val="24"/>
        </w:rPr>
        <w:t xml:space="preserve">, bet </w:t>
      </w:r>
      <w:r w:rsidRPr="0078204C">
        <w:rPr>
          <w:rFonts w:ascii="Times New Roman" w:eastAsia="Times New Roman" w:hAnsi="Times New Roman"/>
          <w:sz w:val="24"/>
          <w:szCs w:val="24"/>
        </w:rPr>
        <w:t xml:space="preserve">secināts tas, ka </w:t>
      </w:r>
      <w:r w:rsidR="56DAD599" w:rsidRPr="0078204C">
        <w:rPr>
          <w:rFonts w:ascii="Times New Roman" w:eastAsia="Times New Roman" w:hAnsi="Times New Roman"/>
          <w:sz w:val="24"/>
          <w:szCs w:val="24"/>
        </w:rPr>
        <w:t>netika ievērots noteiktais regulējums.</w:t>
      </w:r>
    </w:p>
    <w:p w14:paraId="6B17A1AA" w14:textId="52892D70" w:rsidR="00654188" w:rsidRPr="004E1C4C" w:rsidRDefault="004E1C4C" w:rsidP="004E1C4C">
      <w:pPr>
        <w:spacing w:after="120" w:line="240" w:lineRule="auto"/>
        <w:ind w:left="360"/>
        <w:jc w:val="center"/>
        <w:rPr>
          <w:rFonts w:ascii="Times New Roman" w:eastAsiaTheme="minorEastAsia" w:hAnsi="Times New Roman"/>
          <w:b/>
          <w:bCs/>
          <w:sz w:val="24"/>
          <w:szCs w:val="24"/>
        </w:rPr>
      </w:pPr>
      <w:bookmarkStart w:id="0" w:name="_Hlk37890123"/>
      <w:r>
        <w:rPr>
          <w:rFonts w:ascii="Times New Roman" w:eastAsia="Times New Roman" w:hAnsi="Times New Roman"/>
          <w:b/>
          <w:bCs/>
          <w:sz w:val="24"/>
          <w:szCs w:val="24"/>
        </w:rPr>
        <w:t xml:space="preserve">4. </w:t>
      </w:r>
      <w:r w:rsidR="56DAD599" w:rsidRPr="004E1C4C">
        <w:rPr>
          <w:rFonts w:ascii="Times New Roman" w:eastAsia="Times New Roman" w:hAnsi="Times New Roman"/>
          <w:b/>
          <w:bCs/>
          <w:sz w:val="24"/>
          <w:szCs w:val="24"/>
        </w:rPr>
        <w:t>Secinājumi par regulējuma pietiekamību vai trūkumiem risku vadīšanai. Iespējamie uzlabojumi – tiesību aktos vai izpratnes veicināšana</w:t>
      </w:r>
    </w:p>
    <w:p w14:paraId="091B1697" w14:textId="4A5F093E" w:rsidR="00654188" w:rsidRPr="0078204C" w:rsidRDefault="56DAD599" w:rsidP="00420BB3">
      <w:pPr>
        <w:spacing w:after="120" w:line="240" w:lineRule="auto"/>
        <w:ind w:right="-2" w:firstLine="720"/>
        <w:jc w:val="both"/>
        <w:rPr>
          <w:rFonts w:ascii="Times New Roman" w:eastAsia="Times New Roman" w:hAnsi="Times New Roman"/>
          <w:sz w:val="24"/>
          <w:szCs w:val="24"/>
        </w:rPr>
      </w:pPr>
      <w:r w:rsidRPr="0078204C">
        <w:rPr>
          <w:rFonts w:ascii="Times New Roman" w:eastAsia="Times New Roman" w:hAnsi="Times New Roman"/>
          <w:sz w:val="24"/>
          <w:szCs w:val="24"/>
        </w:rPr>
        <w:t>No informatīvā ziņojuma 3.nodaļā veiktā izvērtējuma izriet, ka pašreizējais tiesiskais regulējums pieļauj darbinieku profesionālās darbības ierobežojumu noteikšanu pēc darba tiesisko attiecību izbeigšanas gan privātajā, gan publiskajā sektorā.</w:t>
      </w:r>
    </w:p>
    <w:p w14:paraId="2C5746E6" w14:textId="0C401ED0" w:rsidR="00654188" w:rsidRPr="0078204C" w:rsidRDefault="56DAD599" w:rsidP="00420BB3">
      <w:pPr>
        <w:spacing w:after="120" w:line="240" w:lineRule="auto"/>
        <w:ind w:right="-2" w:firstLine="720"/>
        <w:jc w:val="both"/>
        <w:rPr>
          <w:rFonts w:ascii="Times New Roman" w:eastAsia="Times New Roman" w:hAnsi="Times New Roman"/>
          <w:sz w:val="24"/>
          <w:szCs w:val="24"/>
        </w:rPr>
      </w:pPr>
      <w:r w:rsidRPr="0078204C">
        <w:rPr>
          <w:rFonts w:ascii="Times New Roman" w:eastAsia="Times New Roman" w:hAnsi="Times New Roman"/>
          <w:sz w:val="24"/>
          <w:szCs w:val="24"/>
        </w:rPr>
        <w:t>Spēkā esošais regulējums nodrošina:</w:t>
      </w:r>
    </w:p>
    <w:p w14:paraId="53A3116E" w14:textId="15D4B0DC" w:rsidR="00654188" w:rsidRPr="00420BB3" w:rsidRDefault="56DAD599" w:rsidP="00420BB3">
      <w:pPr>
        <w:pStyle w:val="ListParagraph"/>
        <w:numPr>
          <w:ilvl w:val="0"/>
          <w:numId w:val="2"/>
        </w:numPr>
        <w:spacing w:after="120" w:line="240" w:lineRule="auto"/>
        <w:ind w:right="-2" w:hanging="294"/>
        <w:jc w:val="both"/>
        <w:rPr>
          <w:rFonts w:ascii="Times New Roman" w:eastAsia="Times New Roman" w:hAnsi="Times New Roman"/>
          <w:sz w:val="24"/>
          <w:szCs w:val="24"/>
        </w:rPr>
      </w:pPr>
      <w:r w:rsidRPr="00420BB3">
        <w:rPr>
          <w:rFonts w:ascii="Times New Roman" w:eastAsia="Times New Roman" w:hAnsi="Times New Roman"/>
          <w:sz w:val="24"/>
          <w:szCs w:val="24"/>
        </w:rPr>
        <w:t xml:space="preserve">komersanta interešu aizsardzību pret negodīgu konkurenci, kas var rasties darbinieka rīcībā esošas informācijas izmantošanā </w:t>
      </w:r>
      <w:r w:rsidRPr="00420BB3">
        <w:rPr>
          <w:rFonts w:ascii="Times New Roman" w:eastAsia="Times New Roman" w:hAnsi="Times New Roman"/>
          <w:sz w:val="24"/>
          <w:szCs w:val="24"/>
          <w:u w:val="single"/>
        </w:rPr>
        <w:t>konkurējošā</w:t>
      </w:r>
      <w:r w:rsidRPr="00420BB3">
        <w:rPr>
          <w:rFonts w:ascii="Times New Roman" w:eastAsia="Times New Roman" w:hAnsi="Times New Roman"/>
          <w:sz w:val="24"/>
          <w:szCs w:val="24"/>
        </w:rPr>
        <w:t xml:space="preserve"> uzņēmumā;</w:t>
      </w:r>
    </w:p>
    <w:p w14:paraId="70954FC4" w14:textId="32868D85" w:rsidR="00654188" w:rsidRPr="00420BB3" w:rsidRDefault="56DAD599" w:rsidP="00420BB3">
      <w:pPr>
        <w:pStyle w:val="ListParagraph"/>
        <w:numPr>
          <w:ilvl w:val="0"/>
          <w:numId w:val="2"/>
        </w:numPr>
        <w:spacing w:after="120" w:line="240" w:lineRule="auto"/>
        <w:ind w:right="-2" w:hanging="294"/>
        <w:jc w:val="both"/>
        <w:rPr>
          <w:rFonts w:ascii="Times New Roman" w:eastAsia="Times New Roman" w:hAnsi="Times New Roman"/>
          <w:sz w:val="24"/>
          <w:szCs w:val="24"/>
        </w:rPr>
      </w:pPr>
      <w:r w:rsidRPr="00420BB3">
        <w:rPr>
          <w:rFonts w:ascii="Times New Roman" w:eastAsia="Times New Roman" w:hAnsi="Times New Roman"/>
          <w:sz w:val="24"/>
          <w:szCs w:val="24"/>
          <w:u w:val="single"/>
        </w:rPr>
        <w:t>komersanta tiesības vienpusēji atkāpties</w:t>
      </w:r>
      <w:r w:rsidRPr="00420BB3">
        <w:rPr>
          <w:rFonts w:ascii="Times New Roman" w:eastAsia="Times New Roman" w:hAnsi="Times New Roman"/>
          <w:sz w:val="24"/>
          <w:szCs w:val="24"/>
        </w:rPr>
        <w:t xml:space="preserve"> no iepriekš noslēgtas vienošanās par nekonkurēšanas pienākuma noteikšanu darbiniekam, ja darba attiecību izbeigšanas brīdī komersants uzskata, ka šāda vienošanās nav nepieciešama;</w:t>
      </w:r>
    </w:p>
    <w:p w14:paraId="62568084" w14:textId="6B743E86" w:rsidR="00654188" w:rsidRPr="00420BB3" w:rsidRDefault="56DAD599" w:rsidP="00420BB3">
      <w:pPr>
        <w:pStyle w:val="ListParagraph"/>
        <w:numPr>
          <w:ilvl w:val="0"/>
          <w:numId w:val="2"/>
        </w:numPr>
        <w:spacing w:after="120" w:line="240" w:lineRule="auto"/>
        <w:ind w:right="-2" w:hanging="294"/>
        <w:jc w:val="both"/>
        <w:rPr>
          <w:rFonts w:ascii="Times New Roman" w:eastAsia="Times New Roman" w:hAnsi="Times New Roman"/>
          <w:sz w:val="24"/>
          <w:szCs w:val="24"/>
        </w:rPr>
      </w:pPr>
      <w:r w:rsidRPr="00420BB3">
        <w:rPr>
          <w:rFonts w:ascii="Times New Roman" w:eastAsia="Times New Roman" w:hAnsi="Times New Roman"/>
          <w:sz w:val="24"/>
          <w:szCs w:val="24"/>
          <w:u w:val="single"/>
        </w:rPr>
        <w:t>darba devēja un darbinieka interešu līdzsvarošanas mehānismu</w:t>
      </w:r>
      <w:r w:rsidRPr="00420BB3">
        <w:rPr>
          <w:rFonts w:ascii="Times New Roman" w:eastAsia="Times New Roman" w:hAnsi="Times New Roman"/>
          <w:sz w:val="24"/>
          <w:szCs w:val="24"/>
        </w:rPr>
        <w:t>, nosakot ierobežojumu temporālās, attaisnotā spektra un apmēra robežas, kā arī taisnīgas atlīdzības izmaksas pienākumu;</w:t>
      </w:r>
    </w:p>
    <w:p w14:paraId="1BE85503" w14:textId="3AC45815" w:rsidR="00654188" w:rsidRPr="00420BB3" w:rsidRDefault="56DAD599" w:rsidP="00420BB3">
      <w:pPr>
        <w:pStyle w:val="ListParagraph"/>
        <w:numPr>
          <w:ilvl w:val="0"/>
          <w:numId w:val="2"/>
        </w:numPr>
        <w:spacing w:after="120" w:line="240" w:lineRule="auto"/>
        <w:ind w:right="-2" w:hanging="294"/>
        <w:jc w:val="both"/>
        <w:rPr>
          <w:rFonts w:ascii="Times New Roman" w:eastAsia="Times New Roman" w:hAnsi="Times New Roman"/>
          <w:sz w:val="24"/>
          <w:szCs w:val="24"/>
        </w:rPr>
      </w:pPr>
      <w:r w:rsidRPr="00420BB3">
        <w:rPr>
          <w:rFonts w:ascii="Times New Roman" w:eastAsia="Times New Roman" w:hAnsi="Times New Roman"/>
          <w:sz w:val="24"/>
          <w:szCs w:val="24"/>
        </w:rPr>
        <w:t xml:space="preserve">darba ņēmēja tiesības vienpusēji atkāpties no iepriekš noslēgtas vienošanās par nekonkurēšanas pienākuma noteikšanu darbiniekam, ja darbinieks pārtrauc darba tiesiskās attiecības, pamatojoties uz tikumības un </w:t>
      </w:r>
      <w:proofErr w:type="spellStart"/>
      <w:r w:rsidRPr="00420BB3">
        <w:rPr>
          <w:rFonts w:ascii="Times New Roman" w:eastAsia="Times New Roman" w:hAnsi="Times New Roman"/>
          <w:sz w:val="24"/>
          <w:szCs w:val="24"/>
        </w:rPr>
        <w:t>taisnprātības</w:t>
      </w:r>
      <w:proofErr w:type="spellEnd"/>
      <w:r w:rsidRPr="00420BB3">
        <w:rPr>
          <w:rFonts w:ascii="Times New Roman" w:eastAsia="Times New Roman" w:hAnsi="Times New Roman"/>
          <w:sz w:val="24"/>
          <w:szCs w:val="24"/>
        </w:rPr>
        <w:t xml:space="preserve"> apsvērumiem, kas neļauj turpināt darba tiesiskās attiecības;</w:t>
      </w:r>
    </w:p>
    <w:p w14:paraId="24222CDE" w14:textId="1973F419" w:rsidR="00654188" w:rsidRPr="00420BB3" w:rsidRDefault="56DAD599" w:rsidP="00420BB3">
      <w:pPr>
        <w:pStyle w:val="ListParagraph"/>
        <w:numPr>
          <w:ilvl w:val="0"/>
          <w:numId w:val="2"/>
        </w:numPr>
        <w:spacing w:after="120" w:line="240" w:lineRule="auto"/>
        <w:ind w:right="-2" w:hanging="294"/>
        <w:jc w:val="both"/>
        <w:rPr>
          <w:rFonts w:ascii="Times New Roman" w:eastAsia="Times New Roman" w:hAnsi="Times New Roman"/>
          <w:sz w:val="24"/>
          <w:szCs w:val="24"/>
        </w:rPr>
      </w:pPr>
      <w:r w:rsidRPr="00420BB3">
        <w:rPr>
          <w:rFonts w:ascii="Times New Roman" w:eastAsia="Times New Roman" w:hAnsi="Times New Roman"/>
          <w:sz w:val="24"/>
          <w:szCs w:val="24"/>
        </w:rPr>
        <w:t>darbinieka, kuram noteikts profesionālās darbības aizliegums, atbilstošu sociālo apdrošināšanu, kā arī paredz izmaksu uzskaites kārtību, novēršot nepamatotas izmaksas no speciālā budžeta;</w:t>
      </w:r>
    </w:p>
    <w:p w14:paraId="4F7713DD" w14:textId="10682E17" w:rsidR="00654188" w:rsidRDefault="56DAD599" w:rsidP="00420BB3">
      <w:pPr>
        <w:pStyle w:val="ListParagraph"/>
        <w:numPr>
          <w:ilvl w:val="0"/>
          <w:numId w:val="2"/>
        </w:numPr>
        <w:spacing w:after="120" w:line="240" w:lineRule="auto"/>
        <w:ind w:right="-2" w:hanging="294"/>
        <w:jc w:val="both"/>
        <w:rPr>
          <w:rFonts w:ascii="Times New Roman" w:eastAsia="Times New Roman" w:hAnsi="Times New Roman"/>
          <w:sz w:val="24"/>
          <w:szCs w:val="24"/>
        </w:rPr>
      </w:pPr>
      <w:r w:rsidRPr="00420BB3">
        <w:rPr>
          <w:rFonts w:ascii="Times New Roman" w:eastAsia="Times New Roman" w:hAnsi="Times New Roman"/>
          <w:sz w:val="24"/>
          <w:szCs w:val="24"/>
          <w:u w:val="single"/>
        </w:rPr>
        <w:t>periodisku atlīdzības izmaksu</w:t>
      </w:r>
      <w:r w:rsidRPr="00420BB3">
        <w:rPr>
          <w:rFonts w:ascii="Times New Roman" w:eastAsia="Times New Roman" w:hAnsi="Times New Roman"/>
          <w:sz w:val="24"/>
          <w:szCs w:val="24"/>
        </w:rPr>
        <w:t xml:space="preserve">, kas mazina darba devēja zaudējumu risku gadījumos, kad persona, kam noteikts profesionālās </w:t>
      </w:r>
      <w:r w:rsidRPr="56DAD599">
        <w:rPr>
          <w:rFonts w:ascii="Times New Roman" w:eastAsia="Times New Roman" w:hAnsi="Times New Roman"/>
          <w:sz w:val="24"/>
          <w:szCs w:val="24"/>
        </w:rPr>
        <w:t>darbības ierobežojumi, neievēro noslēgto vienošanos un iesaistās konkurējošā komercdarbībā;</w:t>
      </w:r>
    </w:p>
    <w:p w14:paraId="42376D5C" w14:textId="2A9EA718" w:rsidR="00654188" w:rsidRDefault="00F4747C" w:rsidP="00420BB3">
      <w:pPr>
        <w:pStyle w:val="ListParagraph"/>
        <w:numPr>
          <w:ilvl w:val="0"/>
          <w:numId w:val="2"/>
        </w:numPr>
        <w:spacing w:after="120" w:line="240" w:lineRule="auto"/>
        <w:ind w:right="-2" w:hanging="294"/>
        <w:jc w:val="both"/>
        <w:rPr>
          <w:rFonts w:ascii="Times New Roman" w:eastAsia="Times New Roman" w:hAnsi="Times New Roman"/>
          <w:sz w:val="24"/>
          <w:szCs w:val="24"/>
        </w:rPr>
      </w:pPr>
      <w:r>
        <w:rPr>
          <w:rFonts w:ascii="Times New Roman" w:eastAsia="Times New Roman" w:hAnsi="Times New Roman"/>
          <w:sz w:val="24"/>
          <w:szCs w:val="24"/>
        </w:rPr>
        <w:lastRenderedPageBreak/>
        <w:t>a</w:t>
      </w:r>
      <w:r w:rsidR="56DAD599" w:rsidRPr="56DAD599">
        <w:rPr>
          <w:rFonts w:ascii="Times New Roman" w:eastAsia="Times New Roman" w:hAnsi="Times New Roman"/>
          <w:sz w:val="24"/>
          <w:szCs w:val="24"/>
        </w:rPr>
        <w:t xml:space="preserve">ttiecībā uz publiskā sektora darba devējiem ir noteikts </w:t>
      </w:r>
      <w:proofErr w:type="spellStart"/>
      <w:r w:rsidR="56DAD599" w:rsidRPr="56DAD599">
        <w:rPr>
          <w:rFonts w:ascii="Times New Roman" w:eastAsia="Times New Roman" w:hAnsi="Times New Roman"/>
          <w:sz w:val="24"/>
          <w:szCs w:val="24"/>
        </w:rPr>
        <w:t>vispārsaistošs</w:t>
      </w:r>
      <w:proofErr w:type="spellEnd"/>
      <w:r w:rsidR="56DAD599" w:rsidRPr="56DAD599">
        <w:rPr>
          <w:rFonts w:ascii="Times New Roman" w:eastAsia="Times New Roman" w:hAnsi="Times New Roman"/>
          <w:sz w:val="24"/>
          <w:szCs w:val="24"/>
        </w:rPr>
        <w:t xml:space="preserve"> pienākums, jebkurā darījumā (tai skaitā, vienojoties par atlīdzības izmaksu profesionālās darbības ierobežojumu gadījumā), </w:t>
      </w:r>
      <w:r w:rsidR="56DAD599" w:rsidRPr="00B54EB6">
        <w:rPr>
          <w:rFonts w:ascii="Times New Roman" w:eastAsia="Times New Roman" w:hAnsi="Times New Roman"/>
          <w:sz w:val="24"/>
          <w:szCs w:val="24"/>
          <w:u w:val="single"/>
        </w:rPr>
        <w:t>izvērtēt gan ierobežojumu piemērošanas lietderības, gan atbilstoša apmēra lietderības aspektus</w:t>
      </w:r>
      <w:r w:rsidR="56DAD599" w:rsidRPr="56DAD599">
        <w:rPr>
          <w:rFonts w:ascii="Times New Roman" w:eastAsia="Times New Roman" w:hAnsi="Times New Roman"/>
          <w:sz w:val="24"/>
          <w:szCs w:val="24"/>
        </w:rPr>
        <w:t>.</w:t>
      </w:r>
    </w:p>
    <w:p w14:paraId="65BD8B2F" w14:textId="5B9E49BE" w:rsidR="00654188" w:rsidRDefault="56DAD599" w:rsidP="00420BB3">
      <w:pPr>
        <w:spacing w:after="120" w:line="240" w:lineRule="auto"/>
        <w:ind w:right="-2" w:firstLine="720"/>
        <w:jc w:val="both"/>
        <w:rPr>
          <w:sz w:val="24"/>
          <w:szCs w:val="24"/>
        </w:rPr>
      </w:pPr>
      <w:r w:rsidRPr="56DAD599">
        <w:rPr>
          <w:rFonts w:ascii="Times New Roman" w:eastAsia="Times New Roman" w:hAnsi="Times New Roman"/>
          <w:sz w:val="24"/>
          <w:szCs w:val="24"/>
        </w:rPr>
        <w:t xml:space="preserve">Informatīvā ziņojuma autoru ieskatā, pareiza esošo tiesību normu piemērošana nodrošinātu komersantu, to darbinieku, kā arī publisko interešu ievērošanu, vienlaikus pārmērīgi neiesaistoties civiltiesiskās līgumu brīvības un komersanta darbības stratēģiskās plānošanas sfērā. </w:t>
      </w:r>
    </w:p>
    <w:p w14:paraId="56CAB627" w14:textId="6707E450" w:rsidR="00654188" w:rsidRDefault="56DAD599" w:rsidP="00420BB3">
      <w:pPr>
        <w:spacing w:after="120" w:line="240" w:lineRule="auto"/>
        <w:ind w:right="-2" w:firstLine="720"/>
        <w:jc w:val="both"/>
        <w:rPr>
          <w:rFonts w:ascii="Times New Roman" w:eastAsia="Times New Roman" w:hAnsi="Times New Roman"/>
          <w:sz w:val="24"/>
          <w:szCs w:val="24"/>
        </w:rPr>
      </w:pPr>
      <w:r w:rsidRPr="56DAD599">
        <w:rPr>
          <w:rFonts w:ascii="Times New Roman" w:eastAsia="Times New Roman" w:hAnsi="Times New Roman"/>
          <w:sz w:val="24"/>
          <w:szCs w:val="24"/>
        </w:rPr>
        <w:t xml:space="preserve">Ņemot vērā dažādās komersantu organizatoriskās struktūras, komercnoslēpuma jomas, individuālos konkurences tirgus aspektus, </w:t>
      </w:r>
      <w:proofErr w:type="spellStart"/>
      <w:r w:rsidRPr="56DAD599">
        <w:rPr>
          <w:rFonts w:ascii="Times New Roman" w:eastAsia="Times New Roman" w:hAnsi="Times New Roman"/>
          <w:sz w:val="24"/>
          <w:szCs w:val="24"/>
        </w:rPr>
        <w:t>vispārsaistoša</w:t>
      </w:r>
      <w:proofErr w:type="spellEnd"/>
      <w:r w:rsidRPr="56DAD599">
        <w:rPr>
          <w:rFonts w:ascii="Times New Roman" w:eastAsia="Times New Roman" w:hAnsi="Times New Roman"/>
          <w:sz w:val="24"/>
          <w:szCs w:val="24"/>
        </w:rPr>
        <w:t xml:space="preserve"> tiesību akta izstrāde būtu ne vien sarežģīta, bet varētu radīt risku, ka, paļaujoties uz tiesību normās nostiprināto iespēju slēgt vienošanās ar darbiniekiem, publiskā sektora darba devēji (kapitālsabiedrības) mazāk uzmanības veltītu ierobežojumu lietderības aspektu izvērtēšanai. </w:t>
      </w:r>
      <w:r w:rsidRPr="006A4AF8">
        <w:rPr>
          <w:rFonts w:ascii="Times New Roman" w:eastAsia="Times New Roman" w:hAnsi="Times New Roman"/>
          <w:sz w:val="24"/>
          <w:szCs w:val="24"/>
        </w:rPr>
        <w:t>Tādējādi tāda regulējuma veidošana, kas noteiktu formulu profesionālās darbības ierobežojumu noteikšanai un atlīdzības aprēķinam, drīzāk ignorētu, nevis veicinātu publiskā sektora darba devēju individuālās situācijas īpatnību ievērošanu.</w:t>
      </w:r>
      <w:r w:rsidRPr="56DAD599">
        <w:rPr>
          <w:rFonts w:ascii="Times New Roman" w:eastAsia="Times New Roman" w:hAnsi="Times New Roman"/>
          <w:sz w:val="24"/>
          <w:szCs w:val="24"/>
        </w:rPr>
        <w:t xml:space="preserve"> Rezultātā pastāv augsts risks, ka šāda regulējuma ieviešana nesasniegtu sākotnējo regulējuma mērķi - uzņēmuma aizsardzību pret konkrētu, identificējamu negodīgas konkurences apdraudējumu.</w:t>
      </w:r>
    </w:p>
    <w:p w14:paraId="0AFE340E" w14:textId="3532E5B2" w:rsidR="00654188" w:rsidRDefault="56DAD599" w:rsidP="00420BB3">
      <w:pPr>
        <w:spacing w:after="120" w:line="240" w:lineRule="auto"/>
        <w:ind w:right="-2" w:firstLine="720"/>
        <w:jc w:val="both"/>
        <w:rPr>
          <w:rFonts w:ascii="Times New Roman" w:eastAsia="Times New Roman" w:hAnsi="Times New Roman"/>
          <w:sz w:val="24"/>
          <w:szCs w:val="24"/>
        </w:rPr>
      </w:pPr>
      <w:r w:rsidRPr="56DAD599">
        <w:rPr>
          <w:rFonts w:ascii="Times New Roman" w:eastAsia="Times New Roman" w:hAnsi="Times New Roman"/>
          <w:sz w:val="24"/>
          <w:szCs w:val="24"/>
        </w:rPr>
        <w:t>Līdz ar norādīto, ziņojuma autoru ieskatā Revīzijas ziņojumā konstatētās nepilnības ir iespējams novērst, radot izpratni publiskā sektora darba devējos par profesionālās darbības ierobežojumu piemērošanas tiesiskajām īpatnībām, piemērošanas lietderības apsvērumiem un šādu atlīdzības izmaksu veikšanas un deklarēšanas kārtību un, kapitālsabiedrībām, kuras attiecībā uz savu komercdarbību identificē potenciālo apdraudējumu, izstrādājot atbilstošus nekonkurēšanas politikas principus.</w:t>
      </w:r>
    </w:p>
    <w:p w14:paraId="51672281" w14:textId="7F9A1527" w:rsidR="00654188" w:rsidRDefault="6001E7ED" w:rsidP="00420BB3">
      <w:pPr>
        <w:spacing w:after="120" w:line="240" w:lineRule="auto"/>
        <w:ind w:right="-2" w:firstLine="720"/>
        <w:jc w:val="both"/>
        <w:rPr>
          <w:rFonts w:ascii="Times New Roman" w:hAnsi="Times New Roman"/>
          <w:sz w:val="24"/>
          <w:szCs w:val="24"/>
        </w:rPr>
      </w:pPr>
      <w:r w:rsidRPr="56DAD599">
        <w:rPr>
          <w:rFonts w:ascii="Times New Roman" w:hAnsi="Times New Roman"/>
          <w:sz w:val="24"/>
          <w:szCs w:val="24"/>
        </w:rPr>
        <w:t xml:space="preserve">Informatīvā ziņojuma autori atzīst par pamatotu Valsts kontroles </w:t>
      </w:r>
      <w:r w:rsidR="652F1366" w:rsidRPr="56DAD599">
        <w:rPr>
          <w:rFonts w:ascii="Times New Roman" w:hAnsi="Times New Roman"/>
          <w:sz w:val="24"/>
          <w:szCs w:val="24"/>
        </w:rPr>
        <w:t>Revīzijas ziņojumā ietverto skaidrojumu par kārtību, kādā publiskā sektora darba devējam jāslēdz vienošanās par profesionālās darbības ierobežojumu, un piekrīt, ka šādas vienošanās noslēgšanas priekšnoteikumi ir:</w:t>
      </w:r>
    </w:p>
    <w:p w14:paraId="2974CBC8" w14:textId="77777777" w:rsidR="00654188" w:rsidRPr="00B54EB6" w:rsidRDefault="00654188" w:rsidP="00420BB3">
      <w:pPr>
        <w:pStyle w:val="ListParagraph"/>
        <w:numPr>
          <w:ilvl w:val="0"/>
          <w:numId w:val="11"/>
        </w:numPr>
        <w:spacing w:after="120" w:line="240" w:lineRule="auto"/>
        <w:ind w:right="-2" w:hanging="213"/>
        <w:jc w:val="both"/>
        <w:rPr>
          <w:rFonts w:ascii="Times New Roman" w:hAnsi="Times New Roman"/>
          <w:sz w:val="24"/>
          <w:szCs w:val="24"/>
        </w:rPr>
      </w:pPr>
      <w:r w:rsidRPr="00B54EB6">
        <w:rPr>
          <w:rFonts w:ascii="Times New Roman" w:hAnsi="Times New Roman"/>
          <w:sz w:val="24"/>
          <w:szCs w:val="24"/>
        </w:rPr>
        <w:t xml:space="preserve">vienošanās ir objektīvi nepieciešama un samērīga, </w:t>
      </w:r>
    </w:p>
    <w:p w14:paraId="0BFA3A06" w14:textId="7244B7D1" w:rsidR="00654188" w:rsidRPr="00B54EB6" w:rsidRDefault="00B54EB6" w:rsidP="00420BB3">
      <w:pPr>
        <w:pStyle w:val="ListParagraph"/>
        <w:numPr>
          <w:ilvl w:val="0"/>
          <w:numId w:val="11"/>
        </w:numPr>
        <w:spacing w:after="120" w:line="240" w:lineRule="auto"/>
        <w:ind w:right="-2" w:hanging="213"/>
        <w:jc w:val="both"/>
        <w:rPr>
          <w:rFonts w:ascii="Times New Roman" w:hAnsi="Times New Roman"/>
          <w:sz w:val="24"/>
          <w:szCs w:val="24"/>
        </w:rPr>
      </w:pPr>
      <w:r w:rsidRPr="00B54EB6">
        <w:rPr>
          <w:rFonts w:ascii="Times New Roman" w:hAnsi="Times New Roman"/>
          <w:sz w:val="24"/>
          <w:szCs w:val="24"/>
        </w:rPr>
        <w:t>v</w:t>
      </w:r>
      <w:r w:rsidR="652F1366" w:rsidRPr="00B54EB6">
        <w:rPr>
          <w:rFonts w:ascii="Times New Roman" w:hAnsi="Times New Roman"/>
          <w:sz w:val="24"/>
          <w:szCs w:val="24"/>
        </w:rPr>
        <w:t xml:space="preserve">ienošanās attaisno darba ņēmēja profesionālās darbības ierobežojumu, </w:t>
      </w:r>
    </w:p>
    <w:p w14:paraId="7A2AAB82" w14:textId="62AD944B" w:rsidR="009B71CF" w:rsidRDefault="652F1366" w:rsidP="00420BB3">
      <w:pPr>
        <w:pStyle w:val="ListParagraph"/>
        <w:numPr>
          <w:ilvl w:val="0"/>
          <w:numId w:val="11"/>
        </w:numPr>
        <w:spacing w:after="120" w:line="240" w:lineRule="auto"/>
        <w:ind w:right="-2" w:hanging="213"/>
        <w:jc w:val="both"/>
        <w:rPr>
          <w:rFonts w:ascii="Times New Roman" w:hAnsi="Times New Roman"/>
          <w:sz w:val="24"/>
          <w:szCs w:val="24"/>
        </w:rPr>
      </w:pPr>
      <w:r w:rsidRPr="00B54EB6">
        <w:rPr>
          <w:rFonts w:ascii="Times New Roman" w:hAnsi="Times New Roman"/>
          <w:sz w:val="24"/>
          <w:szCs w:val="24"/>
        </w:rPr>
        <w:t>kā arī publiskā sektora darba devēja rīcība ir bijusi tiesiska, proti, vienošanās noslēgta, ievērojot gan Darba likumu, gan Publiskas personas finanšu līdzekļu un mantas izšķērdēšanas novēršanas likumu, kā arī valsts sociālās apdrošināšanas regulējumā noteiktos pienākumus</w:t>
      </w:r>
      <w:r w:rsidR="0069301F">
        <w:rPr>
          <w:rFonts w:ascii="Times New Roman" w:hAnsi="Times New Roman"/>
          <w:sz w:val="24"/>
          <w:szCs w:val="24"/>
        </w:rPr>
        <w:t>.</w:t>
      </w:r>
    </w:p>
    <w:p w14:paraId="5C0C6A2C" w14:textId="66BEF0A2" w:rsidR="00002C2A" w:rsidRPr="00A6168B" w:rsidRDefault="0069301F" w:rsidP="00A6168B">
      <w:pPr>
        <w:spacing w:after="120" w:line="240" w:lineRule="auto"/>
        <w:ind w:right="-2" w:firstLine="709"/>
        <w:jc w:val="both"/>
        <w:rPr>
          <w:rFonts w:ascii="Times New Roman" w:hAnsi="Times New Roman"/>
          <w:sz w:val="24"/>
          <w:szCs w:val="24"/>
        </w:rPr>
      </w:pPr>
      <w:r>
        <w:rPr>
          <w:rFonts w:ascii="Times New Roman" w:hAnsi="Times New Roman"/>
          <w:sz w:val="24"/>
          <w:szCs w:val="24"/>
        </w:rPr>
        <w:t>P</w:t>
      </w:r>
      <w:r w:rsidR="009B71CF" w:rsidRPr="00A6168B">
        <w:rPr>
          <w:rFonts w:ascii="Times New Roman" w:hAnsi="Times New Roman"/>
          <w:sz w:val="24"/>
          <w:szCs w:val="24"/>
        </w:rPr>
        <w:t xml:space="preserve">apildus norādāms, ka attiecībā uz publisku personu kapitālsabiedrībām </w:t>
      </w:r>
      <w:r>
        <w:rPr>
          <w:rFonts w:ascii="Times New Roman" w:hAnsi="Times New Roman"/>
          <w:sz w:val="24"/>
          <w:szCs w:val="24"/>
        </w:rPr>
        <w:t xml:space="preserve">priekšnoteikums lēmuma pieņemšanai </w:t>
      </w:r>
      <w:r w:rsidR="009B71CF" w:rsidRPr="00A6168B">
        <w:rPr>
          <w:rFonts w:ascii="Times New Roman" w:hAnsi="Times New Roman"/>
          <w:sz w:val="24"/>
          <w:szCs w:val="24"/>
        </w:rPr>
        <w:t xml:space="preserve">par </w:t>
      </w:r>
      <w:r w:rsidR="008A1BF5">
        <w:rPr>
          <w:rFonts w:ascii="Times New Roman" w:hAnsi="Times New Roman"/>
          <w:sz w:val="24"/>
          <w:szCs w:val="24"/>
        </w:rPr>
        <w:t xml:space="preserve">kompensāciju sakarā ar </w:t>
      </w:r>
      <w:r w:rsidR="009B71CF" w:rsidRPr="00A6168B">
        <w:rPr>
          <w:rFonts w:ascii="Times New Roman" w:hAnsi="Times New Roman"/>
          <w:sz w:val="24"/>
          <w:szCs w:val="24"/>
        </w:rPr>
        <w:t>valdes locekļ</w:t>
      </w:r>
      <w:r w:rsidR="008A1BF5">
        <w:rPr>
          <w:rFonts w:ascii="Times New Roman" w:hAnsi="Times New Roman"/>
          <w:sz w:val="24"/>
          <w:szCs w:val="24"/>
        </w:rPr>
        <w:t>a</w:t>
      </w:r>
      <w:r w:rsidR="009B71CF" w:rsidRPr="00A6168B">
        <w:rPr>
          <w:rFonts w:ascii="Times New Roman" w:hAnsi="Times New Roman"/>
          <w:sz w:val="24"/>
          <w:szCs w:val="24"/>
        </w:rPr>
        <w:t xml:space="preserve"> konkurences ierobežojumiem pēc amata attiecību izbeigšanas </w:t>
      </w:r>
      <w:r w:rsidR="008A1BF5">
        <w:rPr>
          <w:rFonts w:ascii="Times New Roman" w:hAnsi="Times New Roman"/>
          <w:sz w:val="24"/>
          <w:szCs w:val="24"/>
        </w:rPr>
        <w:t xml:space="preserve">ir </w:t>
      </w:r>
      <w:r w:rsidR="009B71CF" w:rsidRPr="00A6168B">
        <w:rPr>
          <w:rFonts w:ascii="Times New Roman" w:hAnsi="Times New Roman"/>
          <w:sz w:val="24"/>
          <w:szCs w:val="24"/>
        </w:rPr>
        <w:t>kapitāla daļu turētāj</w:t>
      </w:r>
      <w:r w:rsidR="008A1BF5">
        <w:rPr>
          <w:rFonts w:ascii="Times New Roman" w:hAnsi="Times New Roman"/>
          <w:sz w:val="24"/>
          <w:szCs w:val="24"/>
        </w:rPr>
        <w:t xml:space="preserve">a </w:t>
      </w:r>
      <w:r w:rsidR="009B71CF" w:rsidRPr="00A6168B">
        <w:rPr>
          <w:rFonts w:ascii="Times New Roman" w:hAnsi="Times New Roman"/>
          <w:sz w:val="24"/>
          <w:szCs w:val="24"/>
        </w:rPr>
        <w:t xml:space="preserve"> </w:t>
      </w:r>
      <w:r w:rsidR="008A1BF5">
        <w:rPr>
          <w:rFonts w:ascii="Times New Roman" w:hAnsi="Times New Roman"/>
          <w:sz w:val="24"/>
          <w:szCs w:val="24"/>
        </w:rPr>
        <w:t>apstiprinājums,</w:t>
      </w:r>
      <w:r w:rsidR="009B71CF" w:rsidRPr="00A6168B">
        <w:rPr>
          <w:rFonts w:ascii="Times New Roman" w:hAnsi="Times New Roman"/>
          <w:sz w:val="24"/>
          <w:szCs w:val="24"/>
        </w:rPr>
        <w:t xml:space="preserve"> ka attiecīgās kapitālsabiedrības interesēm, stratēģijai un komercdarbības mērķiem atbilst šādu konkurences ierobežojumu noteikšana un kompensācijas izmaksa</w:t>
      </w:r>
      <w:r w:rsidR="004E1C4C">
        <w:rPr>
          <w:rFonts w:ascii="Times New Roman" w:hAnsi="Times New Roman"/>
          <w:sz w:val="24"/>
          <w:szCs w:val="24"/>
        </w:rPr>
        <w:t>.</w:t>
      </w:r>
    </w:p>
    <w:p w14:paraId="46B08F73" w14:textId="77777777" w:rsidR="00070CCA" w:rsidRDefault="00070CCA" w:rsidP="00420BB3">
      <w:pPr>
        <w:pStyle w:val="ListParagraph"/>
        <w:spacing w:after="120" w:line="240" w:lineRule="auto"/>
        <w:ind w:left="0" w:right="-2" w:firstLine="720"/>
        <w:jc w:val="both"/>
        <w:rPr>
          <w:rFonts w:ascii="Times New Roman" w:hAnsi="Times New Roman"/>
          <w:sz w:val="24"/>
          <w:szCs w:val="24"/>
        </w:rPr>
      </w:pPr>
    </w:p>
    <w:p w14:paraId="617B4668" w14:textId="5A760F25" w:rsidR="00654188" w:rsidRDefault="652F1366" w:rsidP="00420BB3">
      <w:pPr>
        <w:pStyle w:val="ListParagraph"/>
        <w:spacing w:after="120" w:line="240" w:lineRule="auto"/>
        <w:ind w:left="0" w:right="-2" w:firstLine="720"/>
        <w:jc w:val="both"/>
        <w:rPr>
          <w:rFonts w:ascii="Times New Roman" w:hAnsi="Times New Roman"/>
          <w:sz w:val="24"/>
          <w:szCs w:val="24"/>
        </w:rPr>
      </w:pPr>
      <w:r w:rsidRPr="00B54EB6">
        <w:rPr>
          <w:rFonts w:ascii="Times New Roman" w:hAnsi="Times New Roman"/>
          <w:sz w:val="24"/>
          <w:szCs w:val="24"/>
        </w:rPr>
        <w:t>Lai ievērotu iepriekš minēto, publiskas personas kapitālsabiedrībām, kā arī citiem publiskā sektora darba devējiem</w:t>
      </w:r>
      <w:r w:rsidR="00A52E32">
        <w:rPr>
          <w:rFonts w:ascii="Times New Roman" w:hAnsi="Times New Roman"/>
          <w:sz w:val="24"/>
          <w:szCs w:val="24"/>
        </w:rPr>
        <w:t xml:space="preserve"> </w:t>
      </w:r>
      <w:r w:rsidR="00A52E32" w:rsidRPr="00B54EB6">
        <w:rPr>
          <w:rFonts w:ascii="Times New Roman" w:hAnsi="Times New Roman"/>
          <w:sz w:val="24"/>
          <w:szCs w:val="24"/>
        </w:rPr>
        <w:t>(augstskolām)</w:t>
      </w:r>
      <w:r w:rsidRPr="00B54EB6">
        <w:rPr>
          <w:rFonts w:ascii="Times New Roman" w:hAnsi="Times New Roman"/>
          <w:sz w:val="24"/>
          <w:szCs w:val="24"/>
        </w:rPr>
        <w:t xml:space="preserve">, kas apsver nepieciešamību slēgt </w:t>
      </w:r>
      <w:bookmarkStart w:id="1" w:name="_Hlk98154128"/>
      <w:r w:rsidRPr="00B54EB6">
        <w:rPr>
          <w:rFonts w:ascii="Times New Roman" w:hAnsi="Times New Roman"/>
          <w:sz w:val="24"/>
          <w:szCs w:val="24"/>
        </w:rPr>
        <w:t>vienošanos par profesionālās darbības  ierobežojumu</w:t>
      </w:r>
      <w:bookmarkEnd w:id="1"/>
      <w:r w:rsidR="0054709D">
        <w:rPr>
          <w:rFonts w:ascii="Times New Roman" w:hAnsi="Times New Roman"/>
          <w:sz w:val="24"/>
          <w:szCs w:val="24"/>
        </w:rPr>
        <w:t>,</w:t>
      </w:r>
      <w:r w:rsidRPr="00B54EB6">
        <w:rPr>
          <w:rFonts w:ascii="Times New Roman" w:hAnsi="Times New Roman"/>
          <w:sz w:val="24"/>
          <w:szCs w:val="24"/>
        </w:rPr>
        <w:t xml:space="preserve"> būtu jāveic </w:t>
      </w:r>
      <w:r w:rsidR="00F34C2E">
        <w:rPr>
          <w:rFonts w:ascii="Times New Roman" w:hAnsi="Times New Roman"/>
          <w:sz w:val="24"/>
          <w:szCs w:val="24"/>
        </w:rPr>
        <w:t>tikai jau normatīvos aktos noteiktās</w:t>
      </w:r>
      <w:r w:rsidR="00F34C2E" w:rsidRPr="00B54EB6">
        <w:rPr>
          <w:rFonts w:ascii="Times New Roman" w:hAnsi="Times New Roman"/>
          <w:sz w:val="24"/>
          <w:szCs w:val="24"/>
        </w:rPr>
        <w:t xml:space="preserve"> </w:t>
      </w:r>
      <w:r w:rsidRPr="00B54EB6">
        <w:rPr>
          <w:rFonts w:ascii="Times New Roman" w:hAnsi="Times New Roman"/>
          <w:sz w:val="24"/>
          <w:szCs w:val="24"/>
        </w:rPr>
        <w:t>darbības lēmuma par vienošanās par profesionālās darbības ierobežojumu noslēgšanas pamatošanai</w:t>
      </w:r>
      <w:r w:rsidR="004C5BB3">
        <w:rPr>
          <w:rFonts w:ascii="Times New Roman" w:hAnsi="Times New Roman"/>
          <w:sz w:val="24"/>
          <w:szCs w:val="24"/>
        </w:rPr>
        <w:t>.</w:t>
      </w:r>
    </w:p>
    <w:p w14:paraId="4C5C6CA8" w14:textId="17B11058" w:rsidR="004975D9" w:rsidRDefault="004975D9" w:rsidP="00420BB3">
      <w:pPr>
        <w:pStyle w:val="ListParagraph"/>
        <w:spacing w:after="120" w:line="240" w:lineRule="auto"/>
        <w:ind w:left="0" w:right="-2" w:firstLine="720"/>
        <w:jc w:val="both"/>
        <w:rPr>
          <w:rFonts w:ascii="Times New Roman" w:hAnsi="Times New Roman"/>
          <w:sz w:val="24"/>
          <w:szCs w:val="24"/>
        </w:rPr>
      </w:pPr>
    </w:p>
    <w:p w14:paraId="7ECCB35E" w14:textId="0E0A0E38" w:rsidR="00644865" w:rsidRDefault="00644865" w:rsidP="00420BB3">
      <w:pPr>
        <w:pStyle w:val="ListParagraph"/>
        <w:spacing w:after="120" w:line="240" w:lineRule="auto"/>
        <w:ind w:left="0" w:right="-2" w:firstLine="720"/>
        <w:jc w:val="both"/>
        <w:rPr>
          <w:rFonts w:ascii="Times New Roman" w:hAnsi="Times New Roman"/>
          <w:sz w:val="24"/>
          <w:szCs w:val="24"/>
        </w:rPr>
      </w:pPr>
    </w:p>
    <w:p w14:paraId="32D03191" w14:textId="5732F404" w:rsidR="00CB6272" w:rsidRDefault="00CB6272">
      <w:pPr>
        <w:rPr>
          <w:rFonts w:ascii="Times New Roman" w:hAnsi="Times New Roman"/>
          <w:sz w:val="24"/>
          <w:szCs w:val="24"/>
        </w:rPr>
      </w:pPr>
      <w:r>
        <w:rPr>
          <w:rFonts w:ascii="Times New Roman" w:hAnsi="Times New Roman"/>
          <w:sz w:val="24"/>
          <w:szCs w:val="24"/>
        </w:rPr>
        <w:br w:type="page"/>
      </w:r>
    </w:p>
    <w:p w14:paraId="58C815DE" w14:textId="519F9FAE" w:rsidR="00644865" w:rsidRDefault="00CB6272" w:rsidP="00420BB3">
      <w:pPr>
        <w:pStyle w:val="ListParagraph"/>
        <w:spacing w:after="120" w:line="240" w:lineRule="auto"/>
        <w:ind w:left="0" w:right="-2" w:firstLine="720"/>
        <w:jc w:val="both"/>
        <w:rPr>
          <w:rFonts w:ascii="Times New Roman" w:hAnsi="Times New Roman"/>
          <w:sz w:val="24"/>
          <w:szCs w:val="24"/>
        </w:rPr>
      </w:pPr>
      <w:r>
        <w:rPr>
          <w:rFonts w:ascii="Times New Roman" w:hAnsi="Times New Roman"/>
          <w:noProof/>
          <w:sz w:val="24"/>
          <w:szCs w:val="24"/>
        </w:rPr>
        <w:lastRenderedPageBreak/>
        <mc:AlternateContent>
          <mc:Choice Requires="wpc">
            <w:drawing>
              <wp:inline distT="0" distB="0" distL="0" distR="0" wp14:anchorId="73BDA974" wp14:editId="4E1ABFC6">
                <wp:extent cx="5274310" cy="9558996"/>
                <wp:effectExtent l="0" t="0" r="497840" b="4445"/>
                <wp:docPr id="11" name="Canvas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3" name="Text Box 2"/>
                        <wps:cNvSpPr txBox="1">
                          <a:spLocks noChangeArrowheads="1"/>
                        </wps:cNvSpPr>
                        <wps:spPr bwMode="auto">
                          <a:xfrm>
                            <a:off x="35561" y="563880"/>
                            <a:ext cx="5724524" cy="48006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FE83FE" w14:textId="77777777" w:rsidR="00CB6272" w:rsidRDefault="00CB6272" w:rsidP="00CB6272">
                              <w:pPr>
                                <w:spacing w:line="256" w:lineRule="auto"/>
                                <w:jc w:val="both"/>
                              </w:pPr>
                              <w:r>
                                <w:t>Darba devēja izvērtējums, vai uzņēmumā ir ieviešams vienošanās par profesionālās darbības ierobežojumu rīks (stāvoklis tirgū, konkurences apdraudējuma risks, potenciālā negatīvā ietekme)</w:t>
                              </w:r>
                            </w:p>
                          </w:txbxContent>
                        </wps:txbx>
                        <wps:bodyPr rot="0" vert="horz" wrap="square" lIns="91440" tIns="45720" rIns="91440" bIns="45720" anchor="t" anchorCtr="0">
                          <a:noAutofit/>
                        </wps:bodyPr>
                      </wps:wsp>
                      <wps:wsp>
                        <wps:cNvPr id="14" name="Straight Arrow Connector 14"/>
                        <wps:cNvCnPr/>
                        <wps:spPr>
                          <a:xfrm>
                            <a:off x="2823857" y="1046482"/>
                            <a:ext cx="491469" cy="431798"/>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5" name="Straight Arrow Connector 15" descr="ir izmantojams"/>
                        <wps:cNvCnPr>
                          <a:stCxn id="13" idx="2"/>
                          <a:endCxn id="19" idx="0"/>
                        </wps:cNvCnPr>
                        <wps:spPr>
                          <a:xfrm flipH="1">
                            <a:off x="2894021" y="1043940"/>
                            <a:ext cx="3802" cy="9448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Text Box 2"/>
                        <wps:cNvSpPr txBox="1">
                          <a:spLocks noChangeArrowheads="1"/>
                        </wps:cNvSpPr>
                        <wps:spPr bwMode="auto">
                          <a:xfrm>
                            <a:off x="32037" y="1988820"/>
                            <a:ext cx="5723968" cy="6096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3FD6587" w14:textId="77777777" w:rsidR="00CB6272" w:rsidRPr="00293D14" w:rsidRDefault="00CB6272" w:rsidP="00CB6272">
                              <w:pPr>
                                <w:spacing w:line="256" w:lineRule="auto"/>
                                <w:jc w:val="both"/>
                              </w:pPr>
                              <w:r>
                                <w:t xml:space="preserve">ja rīks ir ieviešams, </w:t>
                              </w:r>
                              <w:r w:rsidRPr="00293D14">
                                <w:t>darba devēja izvērtējums par amatu kategorijām (darbiniekiem), kurās attiecīgu funkciju veikšanai ir pieejama tāda informācija, kuras nonākšana konkurentu rīcībā varētu darba devējam radīt zaudējumus</w:t>
                              </w:r>
                              <w:r>
                                <w:t xml:space="preserve"> (Darba likuma 84. panta pirmās daļas 1.punkts)</w:t>
                              </w:r>
                            </w:p>
                            <w:p w14:paraId="7B2CB638" w14:textId="77777777" w:rsidR="00CB6272" w:rsidRDefault="00CB6272" w:rsidP="00CB6272">
                              <w:pPr>
                                <w:spacing w:line="256" w:lineRule="auto"/>
                              </w:pPr>
                            </w:p>
                          </w:txbxContent>
                        </wps:txbx>
                        <wps:bodyPr rot="0" vert="horz" wrap="square" lIns="91440" tIns="45720" rIns="91440" bIns="45720" anchor="t" anchorCtr="0">
                          <a:noAutofit/>
                        </wps:bodyPr>
                      </wps:wsp>
                      <wps:wsp>
                        <wps:cNvPr id="20" name="Rectangle: Rounded Corners 20"/>
                        <wps:cNvSpPr/>
                        <wps:spPr>
                          <a:xfrm>
                            <a:off x="3315325" y="1043940"/>
                            <a:ext cx="2346537" cy="84582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5C8165" w14:textId="77777777" w:rsidR="00CB6272" w:rsidRDefault="00CB6272" w:rsidP="00CB6272">
                              <w:pPr>
                                <w:jc w:val="center"/>
                              </w:pPr>
                              <w:r>
                                <w:t>nav konstatēta potenciālā ietekme vai ietekme nav būtiska un rīka izmantošana nav nepieciešama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Straight Arrow Connector 21"/>
                        <wps:cNvCnPr>
                          <a:stCxn id="19" idx="2"/>
                        </wps:cNvCnPr>
                        <wps:spPr>
                          <a:xfrm>
                            <a:off x="2894021" y="2598420"/>
                            <a:ext cx="4021" cy="8743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Rectangle: Rounded Corners 23"/>
                        <wps:cNvSpPr/>
                        <wps:spPr>
                          <a:xfrm>
                            <a:off x="4015943" y="2766059"/>
                            <a:ext cx="1645920" cy="510541"/>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6D8350" w14:textId="77777777" w:rsidR="00CB6272" w:rsidRDefault="00CB6272" w:rsidP="00CB6272">
                              <w:pPr>
                                <w:jc w:val="center"/>
                              </w:pPr>
                              <w:r>
                                <w:t>secinājums, ka nav šādu amata kategoriju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Straight Arrow Connector 24"/>
                        <wps:cNvCnPr/>
                        <wps:spPr>
                          <a:xfrm>
                            <a:off x="2823857" y="2598420"/>
                            <a:ext cx="1192086" cy="446755"/>
                          </a:xfrm>
                          <a:prstGeom prst="bentConnector3">
                            <a:avLst>
                              <a:gd name="adj1" fmla="val 44886"/>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Text Box 2"/>
                        <wps:cNvSpPr txBox="1">
                          <a:spLocks noChangeArrowheads="1"/>
                        </wps:cNvSpPr>
                        <wps:spPr bwMode="auto">
                          <a:xfrm rot="10800000" flipV="1">
                            <a:off x="0" y="3484038"/>
                            <a:ext cx="5723524" cy="935561"/>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E003E64" w14:textId="77777777" w:rsidR="00CB6272" w:rsidRPr="00564CD0" w:rsidRDefault="00CB6272" w:rsidP="00CB6272">
                              <w:pPr>
                                <w:spacing w:line="256" w:lineRule="auto"/>
                                <w:jc w:val="both"/>
                              </w:pPr>
                              <w:r w:rsidRPr="0038272B">
                                <w:t xml:space="preserve">izvērtējuma rezultātā </w:t>
                              </w:r>
                              <w:r>
                                <w:t xml:space="preserve">darba </w:t>
                              </w:r>
                              <w:r w:rsidRPr="00D25D6A">
                                <w:t xml:space="preserve">devējs </w:t>
                              </w:r>
                              <w:r w:rsidRPr="0038272B">
                                <w:t>apstiprina amatu sarakstu, kuru funkciju veikšanai ir pieejama tāda informācija, kuras nonākšana konkurentu rīcībā varētu radīt darba devējam zaudējumus</w:t>
                              </w:r>
                              <w:r>
                                <w:t xml:space="preserve"> (Darba likuma 84. panta pirmās daļas 1.punkts)  un </w:t>
                              </w:r>
                              <w:r w:rsidRPr="00564CD0">
                                <w:t>izstrādā iekšējo kārtību, kas nosaka, kā notiek lēmuma par vienošanās par profesionālās darbības ierobežojumu pieņemšana</w:t>
                              </w:r>
                            </w:p>
                            <w:p w14:paraId="2A664FBB" w14:textId="77777777" w:rsidR="00CB6272" w:rsidRDefault="00CB6272" w:rsidP="00CB6272">
                              <w:pPr>
                                <w:spacing w:line="256" w:lineRule="auto"/>
                              </w:pPr>
                            </w:p>
                          </w:txbxContent>
                        </wps:txbx>
                        <wps:bodyPr rot="0" vert="horz" wrap="square" lIns="91440" tIns="45720" rIns="91440" bIns="45720" anchor="t" anchorCtr="0">
                          <a:noAutofit/>
                        </wps:bodyPr>
                      </wps:wsp>
                      <wps:wsp>
                        <wps:cNvPr id="29" name="Rectangle: Rounded Corners 29"/>
                        <wps:cNvSpPr/>
                        <wps:spPr>
                          <a:xfrm>
                            <a:off x="3736705" y="4579620"/>
                            <a:ext cx="2019300" cy="59436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AAFFC9" w14:textId="77777777" w:rsidR="00CB6272" w:rsidRDefault="00CB6272" w:rsidP="00CB6272">
                              <w:pPr>
                                <w:jc w:val="both"/>
                              </w:pPr>
                              <w:r>
                                <w:t>ja nav ietekmes uz konkurenci, vienošanos neslēdz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xt Box 2"/>
                        <wps:cNvSpPr txBox="1">
                          <a:spLocks noChangeArrowheads="1"/>
                        </wps:cNvSpPr>
                        <wps:spPr bwMode="auto">
                          <a:xfrm>
                            <a:off x="35561" y="5234599"/>
                            <a:ext cx="5724524" cy="63246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38F338D" w14:textId="77777777" w:rsidR="00CB6272" w:rsidRPr="004969ED" w:rsidRDefault="00CB6272" w:rsidP="00CB6272">
                              <w:pPr>
                                <w:spacing w:line="256" w:lineRule="auto"/>
                                <w:jc w:val="both"/>
                              </w:pPr>
                              <w:r>
                                <w:t xml:space="preserve">ja ir konstatēta objektīva nepieciešamība, iekļauj darba līgumā vai slēdz vienošanos </w:t>
                              </w:r>
                              <w:r w:rsidRPr="004969ED">
                                <w:t>par profesionālās darbības ierobežojumu</w:t>
                              </w:r>
                              <w:r>
                                <w:t xml:space="preserve"> un tajā</w:t>
                              </w:r>
                              <w:r w:rsidRPr="004969ED">
                                <w:t xml:space="preserve"> iekļauj nosacījumus, kas noteikti, pamatojoties uz ietekmes uz konkurenci novērtējumu, vienlaikus nodrošinot Darba likum</w:t>
                              </w:r>
                              <w:r>
                                <w:t>a 84.pantā</w:t>
                              </w:r>
                              <w:r w:rsidRPr="004969ED">
                                <w:t xml:space="preserve"> noteikto prasību ievērošanu</w:t>
                              </w:r>
                            </w:p>
                            <w:p w14:paraId="67B97A6B" w14:textId="77777777" w:rsidR="00CB6272" w:rsidRDefault="00CB6272" w:rsidP="00CB6272">
                              <w:pPr>
                                <w:spacing w:line="256" w:lineRule="auto"/>
                              </w:pPr>
                            </w:p>
                          </w:txbxContent>
                        </wps:txbx>
                        <wps:bodyPr rot="0" vert="horz" wrap="square" lIns="91440" tIns="45720" rIns="91440" bIns="45720" anchor="t" anchorCtr="0">
                          <a:noAutofit/>
                        </wps:bodyPr>
                      </wps:wsp>
                      <wps:wsp>
                        <wps:cNvPr id="192" name="Straight Arrow Connector 192"/>
                        <wps:cNvCnPr/>
                        <wps:spPr>
                          <a:xfrm>
                            <a:off x="2881807" y="4419600"/>
                            <a:ext cx="16235" cy="8149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3" name="Straight Arrow Connector 193"/>
                        <wps:cNvCnPr/>
                        <wps:spPr>
                          <a:xfrm>
                            <a:off x="3054736" y="4419600"/>
                            <a:ext cx="681969" cy="480401"/>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Text Box 2"/>
                        <wps:cNvSpPr txBox="1">
                          <a:spLocks noChangeArrowheads="1"/>
                        </wps:cNvSpPr>
                        <wps:spPr bwMode="auto">
                          <a:xfrm>
                            <a:off x="93440" y="6187439"/>
                            <a:ext cx="5662565" cy="609601"/>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5634A97" w14:textId="77777777" w:rsidR="00CB6272" w:rsidRDefault="00CB6272" w:rsidP="00CB6272">
                              <w:pPr>
                                <w:spacing w:line="256" w:lineRule="auto"/>
                                <w:jc w:val="both"/>
                              </w:pPr>
                              <w:r>
                                <w:t>izbeidzot darba tiesiskās attiecības, darba devējs izvērtē objektīvo nepieciešamību attiecībā uz konkrēto darbinieku turpināt vienošanos par profesionālās darbības ierobežojumu</w:t>
                              </w:r>
                            </w:p>
                          </w:txbxContent>
                        </wps:txbx>
                        <wps:bodyPr rot="0" vert="horz" wrap="square" lIns="91440" tIns="45720" rIns="91440" bIns="45720" anchor="t" anchorCtr="0">
                          <a:noAutofit/>
                        </wps:bodyPr>
                      </wps:wsp>
                      <wps:wsp>
                        <wps:cNvPr id="37" name="Text Box 2"/>
                        <wps:cNvSpPr txBox="1">
                          <a:spLocks noChangeArrowheads="1"/>
                        </wps:cNvSpPr>
                        <wps:spPr bwMode="auto">
                          <a:xfrm>
                            <a:off x="97520" y="7513320"/>
                            <a:ext cx="5658485" cy="135064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8061E20" w14:textId="77777777" w:rsidR="00CB6272" w:rsidRDefault="00CB6272" w:rsidP="00CB6272">
                              <w:pPr>
                                <w:spacing w:line="256" w:lineRule="auto"/>
                                <w:jc w:val="both"/>
                              </w:pPr>
                              <w:r>
                                <w:t xml:space="preserve">ja vienošanās tiek turpināta, darba devējs </w:t>
                              </w:r>
                              <w:r w:rsidRPr="00F34C2E">
                                <w:t>iesniedz Valsts ieņēmumu dienestam informāciju par noslēgto vienošanos par profesionālās darbības ierobežojumu, lai nodrošinātu sociālās apdrošināšanas regulējuma ievērošanu</w:t>
                              </w:r>
                              <w:r>
                                <w:t xml:space="preserve"> atbilstoši </w:t>
                              </w:r>
                              <w:r w:rsidRPr="00C55B1C">
                                <w:t xml:space="preserve">Ministru kabineta </w:t>
                              </w:r>
                              <w:r>
                                <w:t>07.09.2010</w:t>
                              </w:r>
                              <w:r w:rsidRPr="00C55B1C">
                                <w:t>. noteikumu “Nr.827 “Noteikumi par valsts sociālās apdrošināšanas obligāto iemaksu veicēju reģistrāciju un ziņojumiem par valsts sociālās apdrošināšanas obligātajām iemaksām un iedzīvotāju ienākuma nodokli” 8</w:t>
                              </w:r>
                              <w:r>
                                <w:rPr>
                                  <w:vertAlign w:val="superscript"/>
                                </w:rPr>
                                <w:t>4</w:t>
                              </w:r>
                              <w:r w:rsidRPr="00C55B1C">
                                <w:t>.punkt</w:t>
                              </w:r>
                              <w:r>
                                <w:t>am</w:t>
                              </w:r>
                            </w:p>
                          </w:txbxContent>
                        </wps:txbx>
                        <wps:bodyPr rot="0" vert="horz" wrap="square" lIns="91440" tIns="45720" rIns="91440" bIns="45720" anchor="t" anchorCtr="0">
                          <a:noAutofit/>
                        </wps:bodyPr>
                      </wps:wsp>
                      <wps:wsp>
                        <wps:cNvPr id="195" name="Rectangle: Rounded Corners 195"/>
                        <wps:cNvSpPr/>
                        <wps:spPr>
                          <a:xfrm>
                            <a:off x="3401222" y="6888480"/>
                            <a:ext cx="2354783" cy="56388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AC0BEC" w14:textId="77777777" w:rsidR="00CB6272" w:rsidRDefault="00CB6272" w:rsidP="00CB6272">
                              <w:pPr>
                                <w:jc w:val="center"/>
                              </w:pPr>
                              <w:r>
                                <w:t>darba devējs vienpusēji atkāpjas no vienošanās (Darba likuma 85.pants)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Straight Arrow Connector 196"/>
                        <wps:cNvCnPr/>
                        <wps:spPr>
                          <a:xfrm>
                            <a:off x="2898042" y="5867059"/>
                            <a:ext cx="0" cy="2975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 name="Straight Arrow Connector 197"/>
                        <wps:cNvCnPr/>
                        <wps:spPr>
                          <a:xfrm>
                            <a:off x="2926763" y="6797040"/>
                            <a:ext cx="25525" cy="6934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8" name="Straight Arrow Connector 198"/>
                        <wps:cNvCnPr/>
                        <wps:spPr>
                          <a:xfrm rot="16200000" flipH="1">
                            <a:off x="3134522" y="6880860"/>
                            <a:ext cx="350520" cy="182880"/>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Text Box 2"/>
                        <wps:cNvSpPr txBox="1">
                          <a:spLocks noChangeArrowheads="1"/>
                        </wps:cNvSpPr>
                        <wps:spPr bwMode="auto">
                          <a:xfrm>
                            <a:off x="0" y="129540"/>
                            <a:ext cx="5760085" cy="434340"/>
                          </a:xfrm>
                          <a:prstGeom prst="rect">
                            <a:avLst/>
                          </a:prstGeom>
                          <a:solidFill>
                            <a:srgbClr val="FFFFFF"/>
                          </a:solidFill>
                          <a:ln w="9525">
                            <a:solidFill>
                              <a:srgbClr val="000000"/>
                            </a:solidFill>
                            <a:miter lim="800000"/>
                            <a:headEnd/>
                            <a:tailEnd/>
                          </a:ln>
                        </wps:spPr>
                        <wps:txbx>
                          <w:txbxContent>
                            <w:p w14:paraId="254BD150" w14:textId="77777777" w:rsidR="00CB6272" w:rsidRPr="00FA6A13" w:rsidRDefault="00CB6272" w:rsidP="00CB6272">
                              <w:pPr>
                                <w:spacing w:line="256" w:lineRule="auto"/>
                                <w:rPr>
                                  <w:b/>
                                  <w:bCs/>
                                </w:rPr>
                              </w:pPr>
                              <w:r w:rsidRPr="00FA6A13">
                                <w:rPr>
                                  <w:b/>
                                  <w:bCs/>
                                </w:rPr>
                                <w:t> Veicamās darbības</w:t>
                              </w:r>
                              <w:r>
                                <w:rPr>
                                  <w:b/>
                                  <w:bCs/>
                                </w:rPr>
                                <w:t xml:space="preserve">, izvērtējot nepieciešamību </w:t>
                              </w:r>
                              <w:r w:rsidRPr="00FA6A13">
                                <w:rPr>
                                  <w:b/>
                                  <w:bCs/>
                                </w:rPr>
                                <w:t>profesionālās darbības  ierobežo</w:t>
                              </w:r>
                              <w:r>
                                <w:rPr>
                                  <w:b/>
                                  <w:bCs/>
                                </w:rPr>
                                <w:t>šanai</w:t>
                              </w:r>
                            </w:p>
                          </w:txbxContent>
                        </wps:txbx>
                        <wps:bodyPr rot="0" vert="horz" wrap="square" lIns="91440" tIns="45720" rIns="91440" bIns="45720" anchor="t" anchorCtr="0">
                          <a:noAutofit/>
                        </wps:bodyPr>
                      </wps:wsp>
                    </wpc:wpc>
                  </a:graphicData>
                </a:graphic>
              </wp:inline>
            </w:drawing>
          </mc:Choice>
          <mc:Fallback>
            <w:pict>
              <v:group w14:anchorId="73BDA974" id="Canvas 11" o:spid="_x0000_s1026" editas="canvas" style="width:415.3pt;height:752.7pt;mso-position-horizontal-relative:char;mso-position-vertical-relative:line" coordsize="52743,95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743;height:95586;visibility:visible;mso-wrap-style:square" filled="t">
                  <v:fill o:detectmouseclick="t"/>
                  <v:path o:connecttype="none"/>
                </v:shape>
                <v:shapetype id="_x0000_t202" coordsize="21600,21600" o:spt="202" path="m,l,21600r21600,l21600,xe">
                  <v:stroke joinstyle="miter"/>
                  <v:path gradientshapeok="t" o:connecttype="rect"/>
                </v:shapetype>
                <v:shape id="Text Box 2" o:spid="_x0000_s1028" type="#_x0000_t202" style="position:absolute;left:355;top:5638;width:57245;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" fillcolor="white [3201]" strokecolor="black [3200]" strokeweight="1pt">
                  <v:textbox>
                    <w:txbxContent>
                      <w:p w14:paraId="35FE83FE" w14:textId="77777777" w:rsidR="00CB6272" w:rsidRDefault="00CB6272" w:rsidP="00CB6272">
                        <w:pPr>
                          <w:spacing w:line="256" w:lineRule="auto"/>
                          <w:jc w:val="both"/>
                        </w:pPr>
                        <w:r>
                          <w:t>Darba devēja izvērtējums, vai uzņēmumā ir ieviešams vienošanās par profesionālās darbības ierobežojumu rīks (stāvoklis tirgū, konkurences apdraudējuma risks, potenciālā negatīvā ietekme)</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4" o:spid="_x0000_s1029" type="#_x0000_t34" style="position:absolute;left:28238;top:10464;width:4915;height:431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" strokecolor="black [3200]" strokeweight=".5pt">
                  <v:stroke endarrow="block"/>
                </v:shape>
                <v:shapetype id="_x0000_t32" coordsize="21600,21600" o:spt="32" o:oned="t" path="m,l21600,21600e" filled="f">
                  <v:path arrowok="t" fillok="f" o:connecttype="none"/>
                  <o:lock v:ext="edit" shapetype="t"/>
                </v:shapetype>
                <v:shape id="Straight Arrow Connector 15" o:spid="_x0000_s1030" type="#_x0000_t32" alt="ir izmantojams" style="position:absolute;left:28940;top:10439;width:38;height:9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" strokecolor="black [3200]" strokeweight=".5pt">
                  <v:stroke endarrow="block" joinstyle="miter"/>
                </v:shape>
                <v:shape id="Text Box 2" o:spid="_x0000_s1031" type="#_x0000_t202" style="position:absolute;left:320;top:19888;width:57240;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" fillcolor="white [3201]" strokecolor="black [3200]" strokeweight="1pt">
                  <v:textbox>
                    <w:txbxContent>
                      <w:p w14:paraId="13FD6587" w14:textId="77777777" w:rsidR="00CB6272" w:rsidRPr="00293D14" w:rsidRDefault="00CB6272" w:rsidP="00CB6272">
                        <w:pPr>
                          <w:spacing w:line="256" w:lineRule="auto"/>
                          <w:jc w:val="both"/>
                        </w:pPr>
                        <w:r>
                          <w:t xml:space="preserve">ja rīks ir ieviešams, </w:t>
                        </w:r>
                        <w:r w:rsidRPr="00293D14">
                          <w:t>darba devēja izvērtējums par amatu kategorijām (darbiniekiem), kurās attiecīgu funkciju veikšanai ir pieejama tāda informācija, kuras nonākšana konkurentu rīcībā varētu darba devējam radīt zaudējumus</w:t>
                        </w:r>
                        <w:r>
                          <w:t xml:space="preserve"> (Darba likuma 84. panta pirmās daļas 1.punkts)</w:t>
                        </w:r>
                      </w:p>
                      <w:p w14:paraId="7B2CB638" w14:textId="77777777" w:rsidR="00CB6272" w:rsidRDefault="00CB6272" w:rsidP="00CB6272">
                        <w:pPr>
                          <w:spacing w:line="256" w:lineRule="auto"/>
                        </w:pPr>
                      </w:p>
                    </w:txbxContent>
                  </v:textbox>
                </v:shape>
                <v:roundrect id="Rectangle: Rounded Corners 20" o:spid="_x0000_s1032" style="position:absolute;left:33153;top:10439;width:23465;height:84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" fillcolor="white [3201]" strokecolor="black [3213]" strokeweight="1pt">
                  <v:stroke joinstyle="miter"/>
                  <v:textbox>
                    <w:txbxContent>
                      <w:p w14:paraId="225C8165" w14:textId="77777777" w:rsidR="00CB6272" w:rsidRDefault="00CB6272" w:rsidP="00CB6272">
                        <w:pPr>
                          <w:jc w:val="center"/>
                        </w:pPr>
                        <w:r>
                          <w:t>nav konstatēta potenciālā ietekme vai ietekme nav būtiska un rīka izmantošana nav nepieciešama</w:t>
                        </w:r>
                      </w:p>
                    </w:txbxContent>
                  </v:textbox>
                </v:roundrect>
                <v:shape id="Straight Arrow Connector 21" o:spid="_x0000_s1033" type="#_x0000_t32" style="position:absolute;left:28940;top:25984;width:40;height:87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" strokecolor="black [3200]" strokeweight=".5pt">
                  <v:stroke endarrow="block" joinstyle="miter"/>
                </v:shape>
                <v:roundrect id="Rectangle: Rounded Corners 23" o:spid="_x0000_s1034" style="position:absolute;left:40159;top:27660;width:16459;height:51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" fillcolor="white [3201]" strokecolor="black [3213]" strokeweight="1pt">
                  <v:stroke joinstyle="miter"/>
                  <v:textbox>
                    <w:txbxContent>
                      <w:p w14:paraId="1B6D8350" w14:textId="77777777" w:rsidR="00CB6272" w:rsidRDefault="00CB6272" w:rsidP="00CB6272">
                        <w:pPr>
                          <w:jc w:val="center"/>
                        </w:pPr>
                        <w:r>
                          <w:t>secinājums, ka nav šādu amata kategoriju</w:t>
                        </w:r>
                      </w:p>
                    </w:txbxContent>
                  </v:textbox>
                </v:roundrect>
                <v:shape id="Straight Arrow Connector 24" o:spid="_x0000_s1035" type="#_x0000_t34" style="position:absolute;left:28238;top:25984;width:11921;height:446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" adj="9695" strokecolor="black [3200]" strokeweight=".5pt">
                  <v:stroke endarrow="block"/>
                </v:shape>
                <v:shape id="Text Box 2" o:spid="_x0000_s1036" type="#_x0000_t202" style="position:absolute;top:34840;width:57235;height:9355;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" fillcolor="white [3201]" strokecolor="black [3200]" strokeweight="1pt">
                  <v:textbox>
                    <w:txbxContent>
                      <w:p w14:paraId="3E003E64" w14:textId="77777777" w:rsidR="00CB6272" w:rsidRPr="00564CD0" w:rsidRDefault="00CB6272" w:rsidP="00CB6272">
                        <w:pPr>
                          <w:spacing w:line="256" w:lineRule="auto"/>
                          <w:jc w:val="both"/>
                        </w:pPr>
                        <w:r w:rsidRPr="0038272B">
                          <w:t xml:space="preserve">izvērtējuma rezultātā </w:t>
                        </w:r>
                        <w:r>
                          <w:t xml:space="preserve">darba </w:t>
                        </w:r>
                        <w:r w:rsidRPr="00D25D6A">
                          <w:t xml:space="preserve">devējs </w:t>
                        </w:r>
                        <w:r w:rsidRPr="0038272B">
                          <w:t>apstiprina amatu sarakstu, kuru funkciju veikšanai ir pieejama tāda informācija, kuras nonākšana konkurentu rīcībā varētu radīt darba devējam zaudējumus</w:t>
                        </w:r>
                        <w:r>
                          <w:t xml:space="preserve"> (Darba likuma 84. panta pirmās daļas 1.punkts)  un </w:t>
                        </w:r>
                        <w:r w:rsidRPr="00564CD0">
                          <w:t>izstrādā iekšējo kārtību, kas nosaka, kā notiek lēmuma par vienošanās par profesionālās darbības ierobežojumu pieņemšana</w:t>
                        </w:r>
                      </w:p>
                      <w:p w14:paraId="2A664FBB" w14:textId="77777777" w:rsidR="00CB6272" w:rsidRDefault="00CB6272" w:rsidP="00CB6272">
                        <w:pPr>
                          <w:spacing w:line="256" w:lineRule="auto"/>
                        </w:pPr>
                      </w:p>
                    </w:txbxContent>
                  </v:textbox>
                </v:shape>
                <v:roundrect id="Rectangle: Rounded Corners 29" o:spid="_x0000_s1037" style="position:absolute;left:37367;top:45796;width:20193;height:59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" fillcolor="white [3201]" strokecolor="black [3213]" strokeweight="1pt">
                  <v:stroke joinstyle="miter"/>
                  <v:textbox>
                    <w:txbxContent>
                      <w:p w14:paraId="4BAAFFC9" w14:textId="77777777" w:rsidR="00CB6272" w:rsidRDefault="00CB6272" w:rsidP="00CB6272">
                        <w:pPr>
                          <w:jc w:val="both"/>
                        </w:pPr>
                        <w:r>
                          <w:t>ja nav ietekmes uz konkurenci, vienošanos neslēdz</w:t>
                        </w:r>
                      </w:p>
                    </w:txbxContent>
                  </v:textbox>
                </v:roundrect>
                <v:shape id="Text Box 2" o:spid="_x0000_s1038" type="#_x0000_t202" style="position:absolute;left:355;top:52345;width:57245;height:6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" fillcolor="white [3201]" strokecolor="black [3200]" strokeweight="1pt">
                  <v:textbox>
                    <w:txbxContent>
                      <w:p w14:paraId="438F338D" w14:textId="77777777" w:rsidR="00CB6272" w:rsidRPr="004969ED" w:rsidRDefault="00CB6272" w:rsidP="00CB6272">
                        <w:pPr>
                          <w:spacing w:line="256" w:lineRule="auto"/>
                          <w:jc w:val="both"/>
                        </w:pPr>
                        <w:r>
                          <w:t xml:space="preserve">ja ir konstatēta objektīva nepieciešamība, iekļauj darba līgumā vai slēdz vienošanos </w:t>
                        </w:r>
                        <w:r w:rsidRPr="004969ED">
                          <w:t>par profesionālās darbības ierobežojumu</w:t>
                        </w:r>
                        <w:r>
                          <w:t xml:space="preserve"> un tajā</w:t>
                        </w:r>
                        <w:r w:rsidRPr="004969ED">
                          <w:t xml:space="preserve"> iekļauj nosacījumus, kas noteikti, pamatojoties uz ietekmes uz konkurenci novērtējumu, vienlaikus nodrošinot Darba likum</w:t>
                        </w:r>
                        <w:r>
                          <w:t>a 84.pantā</w:t>
                        </w:r>
                        <w:r w:rsidRPr="004969ED">
                          <w:t xml:space="preserve"> noteikto prasību ievērošanu</w:t>
                        </w:r>
                      </w:p>
                      <w:p w14:paraId="67B97A6B" w14:textId="77777777" w:rsidR="00CB6272" w:rsidRDefault="00CB6272" w:rsidP="00CB6272">
                        <w:pPr>
                          <w:spacing w:line="256" w:lineRule="auto"/>
                        </w:pPr>
                      </w:p>
                    </w:txbxContent>
                  </v:textbox>
                </v:shape>
                <v:shape id="Straight Arrow Connector 192" o:spid="_x0000_s1039" type="#_x0000_t32" style="position:absolute;left:28818;top:44196;width:162;height:81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" strokecolor="black [3200]" strokeweight=".5pt">
                  <v:stroke endarrow="block" joinstyle="miter"/>
                </v:shape>
                <v:shape id="Straight Arrow Connector 193" o:spid="_x0000_s1040" type="#_x0000_t34" style="position:absolute;left:30547;top:44196;width:6820;height:480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" strokecolor="black [3200]" strokeweight=".5pt">
                  <v:stroke endarrow="block"/>
                </v:shape>
                <v:shape id="Text Box 2" o:spid="_x0000_s1041" type="#_x0000_t202" style="position:absolute;left:934;top:61874;width:5662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" fillcolor="white [3201]" strokecolor="black [3200]" strokeweight="1pt">
                  <v:textbox>
                    <w:txbxContent>
                      <w:p w14:paraId="25634A97" w14:textId="77777777" w:rsidR="00CB6272" w:rsidRDefault="00CB6272" w:rsidP="00CB6272">
                        <w:pPr>
                          <w:spacing w:line="256" w:lineRule="auto"/>
                          <w:jc w:val="both"/>
                        </w:pPr>
                        <w:r>
                          <w:t>izbeidzot darba tiesiskās attiecības, darba devējs izvērtē objektīvo nepieciešamību attiecībā uz konkrēto darbinieku turpināt vienošanos par profesionālās darbības ierobežojumu</w:t>
                        </w:r>
                      </w:p>
                    </w:txbxContent>
                  </v:textbox>
                </v:shape>
                <v:shape id="Text Box 2" o:spid="_x0000_s1042" type="#_x0000_t202" style="position:absolute;left:975;top:75133;width:56585;height:1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" fillcolor="white [3201]" strokecolor="black [3200]" strokeweight="1pt">
                  <v:textbox>
                    <w:txbxContent>
                      <w:p w14:paraId="18061E20" w14:textId="77777777" w:rsidR="00CB6272" w:rsidRDefault="00CB6272" w:rsidP="00CB6272">
                        <w:pPr>
                          <w:spacing w:line="256" w:lineRule="auto"/>
                          <w:jc w:val="both"/>
                        </w:pPr>
                        <w:r>
                          <w:t xml:space="preserve">ja vienošanās tiek turpināta, darba devējs </w:t>
                        </w:r>
                        <w:r w:rsidRPr="00F34C2E">
                          <w:t>iesniedz Valsts ieņēmumu dienestam informāciju par noslēgto vienošanos par profesionālās darbības ierobežojumu, lai nodrošinātu sociālās apdrošināšanas regulējuma ievērošanu</w:t>
                        </w:r>
                        <w:r>
                          <w:t xml:space="preserve"> atbilstoši </w:t>
                        </w:r>
                        <w:r w:rsidRPr="00C55B1C">
                          <w:t xml:space="preserve">Ministru kabineta </w:t>
                        </w:r>
                        <w:r>
                          <w:t>07.09.2010</w:t>
                        </w:r>
                        <w:r w:rsidRPr="00C55B1C">
                          <w:t>. noteikumu “Nr.827 “Noteikumi par valsts sociālās apdrošināšanas obligāto iemaksu veicēju reģistrāciju un ziņojumiem par valsts sociālās apdrošināšanas obligātajām iemaksām un iedzīvotāju ienākuma nodokli” 8</w:t>
                        </w:r>
                        <w:r>
                          <w:rPr>
                            <w:vertAlign w:val="superscript"/>
                          </w:rPr>
                          <w:t>4</w:t>
                        </w:r>
                        <w:r w:rsidRPr="00C55B1C">
                          <w:t>.punkt</w:t>
                        </w:r>
                        <w:r>
                          <w:t>am</w:t>
                        </w:r>
                      </w:p>
                    </w:txbxContent>
                  </v:textbox>
                </v:shape>
                <v:roundrect id="Rectangle: Rounded Corners 195" o:spid="_x0000_s1043" style="position:absolute;left:34012;top:68884;width:23548;height:56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" fillcolor="white [3201]" strokecolor="black [3213]" strokeweight="1pt">
                  <v:stroke joinstyle="miter"/>
                  <v:textbox>
                    <w:txbxContent>
                      <w:p w14:paraId="4EAC0BEC" w14:textId="77777777" w:rsidR="00CB6272" w:rsidRDefault="00CB6272" w:rsidP="00CB6272">
                        <w:pPr>
                          <w:jc w:val="center"/>
                        </w:pPr>
                        <w:r>
                          <w:t>darba devējs vienpusēji atkāpjas no vienošanās (Darba likuma 85.pants)</w:t>
                        </w:r>
                      </w:p>
                    </w:txbxContent>
                  </v:textbox>
                </v:roundrect>
                <v:shape id="Straight Arrow Connector 196" o:spid="_x0000_s1044" type="#_x0000_t32" style="position:absolute;left:28980;top:58670;width:0;height:29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" strokecolor="black [3200]" strokeweight=".5pt">
                  <v:stroke endarrow="block" joinstyle="miter"/>
                </v:shape>
                <v:shape id="Straight Arrow Connector 197" o:spid="_x0000_s1045" type="#_x0000_t32" style="position:absolute;left:29267;top:67970;width:255;height:69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" strokecolor="black [3200]" strokeweight=".5pt">
                  <v:stroke endarrow="block" joinstyle="miter"/>
                </v:shape>
                <v:shapetype id="_x0000_t33" coordsize="21600,21600" o:spt="33" o:oned="t" path="m,l21600,r,21600e" filled="f">
                  <v:stroke joinstyle="miter"/>
                  <v:path arrowok="t" fillok="f" o:connecttype="none"/>
                  <o:lock v:ext="edit" shapetype="t"/>
                </v:shapetype>
                <v:shape id="Straight Arrow Connector 198" o:spid="_x0000_s1046" type="#_x0000_t33" style="position:absolute;left:31345;top:68808;width:3505;height:182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" strokecolor="black [3200]" strokeweight=".5pt">
                  <v:stroke endarrow="block"/>
                </v:shape>
                <v:shape id="Text Box 2" o:spid="_x0000_s1047" type="#_x0000_t202" style="position:absolute;top:1295;width:57600;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254BD150" w14:textId="77777777" w:rsidR="00CB6272" w:rsidRPr="00FA6A13" w:rsidRDefault="00CB6272" w:rsidP="00CB6272">
                        <w:pPr>
                          <w:spacing w:line="256" w:lineRule="auto"/>
                          <w:rPr>
                            <w:b/>
                            <w:bCs/>
                          </w:rPr>
                        </w:pPr>
                        <w:r w:rsidRPr="00FA6A13">
                          <w:rPr>
                            <w:b/>
                            <w:bCs/>
                          </w:rPr>
                          <w:t> Veicamās darbības</w:t>
                        </w:r>
                        <w:r>
                          <w:rPr>
                            <w:b/>
                            <w:bCs/>
                          </w:rPr>
                          <w:t xml:space="preserve">, izvērtējot nepieciešamību </w:t>
                        </w:r>
                        <w:r w:rsidRPr="00FA6A13">
                          <w:rPr>
                            <w:b/>
                            <w:bCs/>
                          </w:rPr>
                          <w:t>profesionālās darbības  ierobežo</w:t>
                        </w:r>
                        <w:r>
                          <w:rPr>
                            <w:b/>
                            <w:bCs/>
                          </w:rPr>
                          <w:t>šanai</w:t>
                        </w:r>
                      </w:p>
                    </w:txbxContent>
                  </v:textbox>
                </v:shape>
                <w10:anchorlock/>
              </v:group>
            </w:pict>
          </mc:Fallback>
        </mc:AlternateContent>
      </w:r>
    </w:p>
    <w:bookmarkEnd w:id="0"/>
    <w:p w14:paraId="6CED297F" w14:textId="2C3F7D33" w:rsidR="00A36684" w:rsidRPr="007372C0" w:rsidRDefault="000E35E3" w:rsidP="00A0004B">
      <w:pPr>
        <w:tabs>
          <w:tab w:val="left" w:pos="7655"/>
        </w:tabs>
        <w:spacing w:line="276" w:lineRule="auto"/>
        <w:jc w:val="both"/>
        <w:rPr>
          <w:rFonts w:ascii="Times New Roman" w:hAnsi="Times New Roman"/>
          <w:b/>
          <w:sz w:val="24"/>
        </w:rPr>
      </w:pPr>
      <w:r w:rsidRPr="007372C0">
        <w:rPr>
          <w:rFonts w:ascii="Times New Roman" w:hAnsi="Times New Roman"/>
          <w:b/>
          <w:sz w:val="24"/>
        </w:rPr>
        <w:lastRenderedPageBreak/>
        <w:t>5. Priekšlikumi</w:t>
      </w:r>
    </w:p>
    <w:p w14:paraId="1AE82F07" w14:textId="00790B3B" w:rsidR="000E35E3" w:rsidRPr="00012400" w:rsidRDefault="000E35E3" w:rsidP="00BF56EF">
      <w:pPr>
        <w:tabs>
          <w:tab w:val="left" w:pos="7655"/>
        </w:tabs>
        <w:spacing w:after="120" w:line="240" w:lineRule="auto"/>
        <w:ind w:firstLine="720"/>
        <w:jc w:val="both"/>
        <w:rPr>
          <w:rFonts w:ascii="Times New Roman" w:eastAsia="Times New Roman" w:hAnsi="Times New Roman"/>
          <w:sz w:val="24"/>
          <w:szCs w:val="24"/>
        </w:rPr>
      </w:pPr>
      <w:r w:rsidRPr="00626064">
        <w:rPr>
          <w:rFonts w:ascii="Times New Roman" w:hAnsi="Times New Roman"/>
          <w:bCs/>
          <w:sz w:val="24"/>
        </w:rPr>
        <w:t>Ņemot vērā</w:t>
      </w:r>
      <w:r w:rsidR="00626064">
        <w:rPr>
          <w:rFonts w:ascii="Times New Roman" w:hAnsi="Times New Roman"/>
          <w:bCs/>
          <w:sz w:val="24"/>
        </w:rPr>
        <w:t xml:space="preserve"> Valsts kontroles revīzijas ziņojumā ietverto priekšlikumu Ministru kabinetam</w:t>
      </w:r>
      <w:r w:rsidR="00012400">
        <w:rPr>
          <w:rFonts w:ascii="Times New Roman" w:hAnsi="Times New Roman"/>
          <w:bCs/>
          <w:sz w:val="24"/>
        </w:rPr>
        <w:t xml:space="preserve"> un I</w:t>
      </w:r>
      <w:r w:rsidRPr="00626064">
        <w:rPr>
          <w:rFonts w:ascii="Times New Roman" w:hAnsi="Times New Roman"/>
          <w:bCs/>
          <w:sz w:val="24"/>
        </w:rPr>
        <w:t xml:space="preserve">nformatīvajā ziņojumā secināto par </w:t>
      </w:r>
      <w:r w:rsidR="00323999" w:rsidRPr="00626064">
        <w:rPr>
          <w:rFonts w:ascii="Times New Roman" w:hAnsi="Times New Roman"/>
          <w:bCs/>
          <w:sz w:val="24"/>
        </w:rPr>
        <w:t xml:space="preserve">tiesiskā regulējuma pietiekamību attiecībā uz vienošanās slēgšanu par profesionālās darbības ierobežojumu, un </w:t>
      </w:r>
      <w:r w:rsidRPr="00626064">
        <w:rPr>
          <w:rFonts w:ascii="Times New Roman" w:hAnsi="Times New Roman"/>
          <w:bCs/>
          <w:sz w:val="24"/>
        </w:rPr>
        <w:t xml:space="preserve">nepieciešamību </w:t>
      </w:r>
      <w:r w:rsidR="00323999" w:rsidRPr="00626064">
        <w:rPr>
          <w:rFonts w:ascii="Times New Roman" w:hAnsi="Times New Roman"/>
          <w:bCs/>
          <w:sz w:val="24"/>
        </w:rPr>
        <w:t xml:space="preserve">veikt skaidrojošus pasākumus, </w:t>
      </w:r>
      <w:r w:rsidR="00323999" w:rsidRPr="00626064">
        <w:rPr>
          <w:rFonts w:ascii="Times New Roman" w:eastAsia="Times New Roman" w:hAnsi="Times New Roman"/>
          <w:sz w:val="24"/>
          <w:szCs w:val="24"/>
        </w:rPr>
        <w:t xml:space="preserve">radot izpratni publiskā sektora darba devējos par profesionālās darbības ierobežojumu piemērošanas tiesiskajām īpatnībām, piemērošanas lietderības apsvērumiem un </w:t>
      </w:r>
      <w:r w:rsidR="00323999" w:rsidRPr="00012400">
        <w:rPr>
          <w:rFonts w:ascii="Times New Roman" w:eastAsia="Times New Roman" w:hAnsi="Times New Roman"/>
          <w:sz w:val="24"/>
          <w:szCs w:val="24"/>
        </w:rPr>
        <w:t>šādu atlīdzības izmaksu veikšanas un deklarēšanas kārtību, sa</w:t>
      </w:r>
      <w:r w:rsidR="00626064" w:rsidRPr="00012400">
        <w:rPr>
          <w:rFonts w:ascii="Times New Roman" w:eastAsia="Times New Roman" w:hAnsi="Times New Roman"/>
          <w:sz w:val="24"/>
          <w:szCs w:val="24"/>
        </w:rPr>
        <w:t xml:space="preserve">gatavotais Ministru kabineta sēdes </w:t>
      </w:r>
      <w:proofErr w:type="spellStart"/>
      <w:r w:rsidR="00626064" w:rsidRPr="00012400">
        <w:rPr>
          <w:rFonts w:ascii="Times New Roman" w:eastAsia="Times New Roman" w:hAnsi="Times New Roman"/>
          <w:sz w:val="24"/>
          <w:szCs w:val="24"/>
        </w:rPr>
        <w:t>protokollēmuma</w:t>
      </w:r>
      <w:proofErr w:type="spellEnd"/>
      <w:r w:rsidR="00626064" w:rsidRPr="00012400">
        <w:rPr>
          <w:rFonts w:ascii="Times New Roman" w:eastAsia="Times New Roman" w:hAnsi="Times New Roman"/>
          <w:sz w:val="24"/>
          <w:szCs w:val="24"/>
        </w:rPr>
        <w:t xml:space="preserve"> projekts paredz:</w:t>
      </w:r>
    </w:p>
    <w:p w14:paraId="547A6F72" w14:textId="612D45FB" w:rsidR="00977544" w:rsidRPr="00977544" w:rsidRDefault="00977544" w:rsidP="0021476C">
      <w:pPr>
        <w:pStyle w:val="ListParagraph"/>
        <w:numPr>
          <w:ilvl w:val="0"/>
          <w:numId w:val="12"/>
        </w:numPr>
        <w:spacing w:after="120" w:line="240" w:lineRule="auto"/>
        <w:ind w:left="0" w:firstLine="709"/>
        <w:jc w:val="both"/>
        <w:rPr>
          <w:rFonts w:ascii="Times New Roman" w:hAnsi="Times New Roman"/>
          <w:sz w:val="24"/>
          <w:szCs w:val="24"/>
        </w:rPr>
      </w:pPr>
      <w:r>
        <w:rPr>
          <w:rFonts w:ascii="Times New Roman" w:hAnsi="Times New Roman"/>
          <w:sz w:val="24"/>
          <w:szCs w:val="24"/>
        </w:rPr>
        <w:t>k</w:t>
      </w:r>
      <w:r w:rsidRPr="00977544">
        <w:rPr>
          <w:rFonts w:ascii="Times New Roman" w:hAnsi="Times New Roman"/>
          <w:sz w:val="24"/>
          <w:szCs w:val="24"/>
        </w:rPr>
        <w:t>apitāla daļu turētājiem informēt valsts kapitālsabiedrības par to, ka, slēdzot vienošanos ar darbinieku  par profesionālās darbības ierobežojumu, nepieciešams veikt izvērtējumu, pamatojot vienošanās objektīvo nepieciešamību un tās nosacījumus, atbilstoši informatīvā ziņojumā norādītajam secīgo darbību kopumam</w:t>
      </w:r>
      <w:r w:rsidR="007B2E31">
        <w:rPr>
          <w:rFonts w:ascii="Times New Roman" w:hAnsi="Times New Roman"/>
          <w:sz w:val="24"/>
          <w:szCs w:val="24"/>
        </w:rPr>
        <w:t>;</w:t>
      </w:r>
    </w:p>
    <w:p w14:paraId="00B9B154" w14:textId="5E65181D" w:rsidR="00626064" w:rsidRDefault="00AD7CB2" w:rsidP="0021476C">
      <w:pPr>
        <w:pStyle w:val="ListParagraph"/>
        <w:numPr>
          <w:ilvl w:val="0"/>
          <w:numId w:val="12"/>
        </w:numPr>
        <w:spacing w:after="120" w:line="240" w:lineRule="auto"/>
        <w:ind w:left="0" w:firstLine="709"/>
        <w:jc w:val="both"/>
        <w:rPr>
          <w:rFonts w:ascii="Times New Roman" w:hAnsi="Times New Roman"/>
          <w:sz w:val="24"/>
          <w:szCs w:val="24"/>
        </w:rPr>
      </w:pPr>
      <w:r>
        <w:rPr>
          <w:rFonts w:ascii="Times New Roman" w:hAnsi="Times New Roman"/>
          <w:sz w:val="24"/>
          <w:szCs w:val="24"/>
        </w:rPr>
        <w:t>Izglītības un zinātnes ministrijai informēt valsts augstskolas</w:t>
      </w:r>
      <w:r w:rsidR="00626064" w:rsidRPr="00012400">
        <w:rPr>
          <w:rFonts w:ascii="Times New Roman" w:hAnsi="Times New Roman"/>
          <w:sz w:val="24"/>
          <w:szCs w:val="24"/>
        </w:rPr>
        <w:t xml:space="preserve"> un Vides aizsardzības un reģionālās attīstības ministrijai informēt pašvaldības par informatīvajā ziņojumā minēto kārtību vienošanās slēgšanai ar darbinieku par profesionālās darbības </w:t>
      </w:r>
      <w:r w:rsidR="00626064" w:rsidRPr="007B2E31">
        <w:rPr>
          <w:rFonts w:ascii="Times New Roman" w:hAnsi="Times New Roman"/>
          <w:sz w:val="24"/>
          <w:szCs w:val="24"/>
        </w:rPr>
        <w:t>ierobežojumu</w:t>
      </w:r>
      <w:r w:rsidR="00A049B4">
        <w:rPr>
          <w:rFonts w:ascii="Times New Roman" w:hAnsi="Times New Roman"/>
          <w:sz w:val="24"/>
          <w:szCs w:val="24"/>
        </w:rPr>
        <w:t>;</w:t>
      </w:r>
    </w:p>
    <w:p w14:paraId="44C9D25B" w14:textId="10CBF29E" w:rsidR="007B2E31" w:rsidRPr="007B2E31" w:rsidRDefault="001323F3" w:rsidP="0021476C">
      <w:pPr>
        <w:pStyle w:val="ListParagraph"/>
        <w:numPr>
          <w:ilvl w:val="0"/>
          <w:numId w:val="12"/>
        </w:numPr>
        <w:spacing w:after="120" w:line="240" w:lineRule="auto"/>
        <w:ind w:left="0" w:firstLine="709"/>
        <w:jc w:val="both"/>
        <w:rPr>
          <w:rFonts w:ascii="Times New Roman" w:hAnsi="Times New Roman"/>
          <w:sz w:val="24"/>
          <w:szCs w:val="24"/>
        </w:rPr>
      </w:pPr>
      <w:r>
        <w:rPr>
          <w:rFonts w:ascii="Times New Roman" w:hAnsi="Times New Roman"/>
          <w:sz w:val="24"/>
          <w:szCs w:val="24"/>
        </w:rPr>
        <w:t>Valsts kancelejai</w:t>
      </w:r>
      <w:r w:rsidR="00D34A10" w:rsidRPr="00D34A10">
        <w:rPr>
          <w:rFonts w:ascii="Times New Roman" w:hAnsi="Times New Roman"/>
          <w:sz w:val="24"/>
          <w:szCs w:val="24"/>
        </w:rPr>
        <w:t xml:space="preserve"> tīmekļvietnē </w:t>
      </w:r>
      <w:hyperlink r:id="rId24" w:history="1">
        <w:r w:rsidRPr="00877EF7">
          <w:rPr>
            <w:rStyle w:val="Hyperlink"/>
            <w:rFonts w:ascii="Times New Roman" w:hAnsi="Times New Roman"/>
            <w:sz w:val="24"/>
            <w:szCs w:val="24"/>
          </w:rPr>
          <w:t>www.valstskapitals.gov.lv</w:t>
        </w:r>
      </w:hyperlink>
      <w:r>
        <w:rPr>
          <w:rFonts w:ascii="Times New Roman" w:hAnsi="Times New Roman"/>
          <w:sz w:val="24"/>
          <w:szCs w:val="24"/>
        </w:rPr>
        <w:t xml:space="preserve"> </w:t>
      </w:r>
      <w:r w:rsidR="00D34A10" w:rsidRPr="00D34A10">
        <w:rPr>
          <w:rFonts w:ascii="Times New Roman" w:hAnsi="Times New Roman"/>
          <w:sz w:val="24"/>
          <w:szCs w:val="24"/>
        </w:rPr>
        <w:t>ievieto</w:t>
      </w:r>
      <w:r w:rsidR="00D34A10">
        <w:rPr>
          <w:rFonts w:ascii="Times New Roman" w:hAnsi="Times New Roman"/>
          <w:sz w:val="24"/>
          <w:szCs w:val="24"/>
        </w:rPr>
        <w:t>t</w:t>
      </w:r>
      <w:r w:rsidR="00D34A10" w:rsidRPr="00D34A10">
        <w:rPr>
          <w:rFonts w:ascii="Times New Roman" w:hAnsi="Times New Roman"/>
          <w:sz w:val="24"/>
          <w:szCs w:val="24"/>
        </w:rPr>
        <w:t xml:space="preserve"> skaidrojumu par veicamajām darbībām, slēdzot vienošanos ar darbinieku par profesionālās darbības ierobežojumu</w:t>
      </w:r>
      <w:r w:rsidR="00605536">
        <w:rPr>
          <w:rFonts w:ascii="Times New Roman" w:hAnsi="Times New Roman"/>
          <w:sz w:val="24"/>
          <w:szCs w:val="24"/>
        </w:rPr>
        <w:t>.</w:t>
      </w:r>
    </w:p>
    <w:p w14:paraId="616527EE" w14:textId="37D85EEC" w:rsidR="00626064" w:rsidRPr="0021476C" w:rsidRDefault="001F06A2" w:rsidP="0021476C">
      <w:pPr>
        <w:tabs>
          <w:tab w:val="left" w:pos="851"/>
        </w:tabs>
        <w:spacing w:line="257" w:lineRule="auto"/>
        <w:ind w:firstLine="851"/>
        <w:jc w:val="both"/>
        <w:rPr>
          <w:rFonts w:ascii="Times New Roman" w:hAnsi="Times New Roman"/>
          <w:sz w:val="24"/>
          <w:szCs w:val="24"/>
        </w:rPr>
      </w:pPr>
      <w:r w:rsidRPr="0021476C">
        <w:rPr>
          <w:rFonts w:ascii="Times New Roman" w:hAnsi="Times New Roman"/>
          <w:sz w:val="24"/>
          <w:szCs w:val="24"/>
        </w:rPr>
        <w:t xml:space="preserve">Ņemot vērā, ka Rezolūcijā dotais uzdevums ietver nepieciešamību </w:t>
      </w:r>
      <w:r w:rsidRPr="0021476C">
        <w:rPr>
          <w:rFonts w:ascii="Times New Roman" w:eastAsia="Times New Roman" w:hAnsi="Times New Roman"/>
          <w:sz w:val="24"/>
          <w:szCs w:val="24"/>
        </w:rPr>
        <w:t xml:space="preserve">izvērtēt publiskas personas kapitālsabiedrību rīcību gadījumos, kad ar </w:t>
      </w:r>
      <w:r w:rsidRPr="0021476C">
        <w:rPr>
          <w:rFonts w:ascii="Times New Roman" w:eastAsia="Times New Roman" w:hAnsi="Times New Roman"/>
          <w:b/>
          <w:bCs/>
          <w:sz w:val="24"/>
          <w:szCs w:val="24"/>
        </w:rPr>
        <w:t>darbinieku</w:t>
      </w:r>
      <w:r w:rsidRPr="0021476C">
        <w:rPr>
          <w:rFonts w:ascii="Times New Roman" w:eastAsia="Times New Roman" w:hAnsi="Times New Roman"/>
          <w:sz w:val="24"/>
          <w:szCs w:val="24"/>
        </w:rPr>
        <w:t xml:space="preserve"> tiek slēgta vienošanās par profesionālās darbības ierobežojumu, savukārt attiecībā uz valdes locekļu un publiskas personas kapitālsabiedrības amatam piesaistītā atalgojuma un citu izmaksu regulējumu notiek paralēls darbs, izstrādājot ziņojumu “Par priekšlikumiem turpmākai normatīvo aktu pilnveidošanai attiecībā uz publisko personu kapitālsabiedrību valdes locekļu un padomes locekļu atlīdzību”, šajā ziņojumā netiek virzīti priekšlikumi saistībā ar publisku personu kapitālsabiedrību valdes locekļu </w:t>
      </w:r>
      <w:r w:rsidR="007B61F8" w:rsidRPr="0021476C">
        <w:rPr>
          <w:rFonts w:ascii="Times New Roman" w:eastAsia="Times New Roman" w:hAnsi="Times New Roman"/>
          <w:sz w:val="24"/>
          <w:szCs w:val="24"/>
        </w:rPr>
        <w:t xml:space="preserve">kompensāciju </w:t>
      </w:r>
      <w:r w:rsidR="007B2E31" w:rsidRPr="0021476C">
        <w:rPr>
          <w:rFonts w:ascii="Times New Roman" w:eastAsia="Times New Roman" w:hAnsi="Times New Roman"/>
          <w:sz w:val="24"/>
          <w:szCs w:val="24"/>
        </w:rPr>
        <w:t>regulējumu</w:t>
      </w:r>
      <w:r w:rsidR="007B61F8" w:rsidRPr="0021476C">
        <w:rPr>
          <w:rFonts w:ascii="Times New Roman" w:eastAsia="Times New Roman" w:hAnsi="Times New Roman"/>
          <w:sz w:val="24"/>
          <w:szCs w:val="24"/>
        </w:rPr>
        <w:t>.</w:t>
      </w:r>
    </w:p>
    <w:p w14:paraId="5104890F" w14:textId="77777777" w:rsidR="00626064" w:rsidRDefault="00626064" w:rsidP="0029185F">
      <w:pPr>
        <w:tabs>
          <w:tab w:val="left" w:pos="7655"/>
        </w:tabs>
        <w:spacing w:line="276" w:lineRule="auto"/>
        <w:jc w:val="both"/>
        <w:rPr>
          <w:rFonts w:ascii="Times New Roman" w:hAnsi="Times New Roman"/>
          <w:bCs/>
          <w:sz w:val="24"/>
        </w:rPr>
      </w:pPr>
    </w:p>
    <w:p w14:paraId="17AE5FEB" w14:textId="77777777" w:rsidR="000E35E3" w:rsidRDefault="000E35E3" w:rsidP="00A0004B">
      <w:pPr>
        <w:tabs>
          <w:tab w:val="left" w:pos="7655"/>
        </w:tabs>
        <w:spacing w:line="276" w:lineRule="auto"/>
        <w:jc w:val="both"/>
        <w:rPr>
          <w:rFonts w:ascii="Times New Roman" w:hAnsi="Times New Roman"/>
          <w:bCs/>
          <w:sz w:val="24"/>
        </w:rPr>
      </w:pPr>
    </w:p>
    <w:p w14:paraId="35F4708A" w14:textId="0D2C05F4" w:rsidR="00A0004B" w:rsidRDefault="00A0004B" w:rsidP="00A0004B">
      <w:pPr>
        <w:tabs>
          <w:tab w:val="left" w:pos="7655"/>
        </w:tabs>
        <w:spacing w:line="276" w:lineRule="auto"/>
        <w:jc w:val="both"/>
        <w:rPr>
          <w:rFonts w:ascii="Times New Roman" w:hAnsi="Times New Roman"/>
          <w:bCs/>
          <w:sz w:val="24"/>
        </w:rPr>
      </w:pPr>
      <w:r w:rsidRPr="00801BE7">
        <w:rPr>
          <w:rFonts w:ascii="Times New Roman" w:hAnsi="Times New Roman"/>
          <w:bCs/>
          <w:sz w:val="24"/>
        </w:rPr>
        <w:t>Ministru prezidents</w:t>
      </w:r>
      <w:r>
        <w:rPr>
          <w:rFonts w:ascii="Times New Roman" w:hAnsi="Times New Roman"/>
          <w:bCs/>
          <w:sz w:val="24"/>
        </w:rPr>
        <w:tab/>
      </w:r>
      <w:r>
        <w:rPr>
          <w:rFonts w:ascii="Times New Roman" w:hAnsi="Times New Roman"/>
          <w:bCs/>
          <w:sz w:val="24"/>
        </w:rPr>
        <w:tab/>
        <w:t>A.K. Kariņš</w:t>
      </w:r>
    </w:p>
    <w:p w14:paraId="507B36FE" w14:textId="57C17754" w:rsidR="002024E8" w:rsidRPr="00813580" w:rsidRDefault="002024E8" w:rsidP="56DAD599">
      <w:pPr>
        <w:spacing w:after="0" w:line="240" w:lineRule="auto"/>
        <w:jc w:val="both"/>
        <w:rPr>
          <w:rStyle w:val="Hyperlink"/>
          <w:rFonts w:ascii="Times New Roman" w:hAnsi="Times New Roman"/>
          <w:color w:val="000000" w:themeColor="text1"/>
        </w:rPr>
      </w:pPr>
    </w:p>
    <w:p w14:paraId="05FB846D" w14:textId="60A95290" w:rsidR="56DAD599" w:rsidRDefault="56DAD599" w:rsidP="56DAD599">
      <w:pPr>
        <w:spacing w:after="0" w:line="240" w:lineRule="auto"/>
        <w:jc w:val="both"/>
        <w:rPr>
          <w:rStyle w:val="Hyperlink"/>
          <w:color w:val="000000" w:themeColor="text1"/>
        </w:rPr>
      </w:pPr>
    </w:p>
    <w:sectPr w:rsidR="56DAD599" w:rsidSect="00DF59A2">
      <w:headerReference w:type="default" r:id="rId25"/>
      <w:pgSz w:w="11906" w:h="16838"/>
      <w:pgMar w:top="85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04FBD" w14:textId="77777777" w:rsidR="007044CC" w:rsidRDefault="007044CC" w:rsidP="003C7AFD">
      <w:pPr>
        <w:spacing w:after="0" w:line="240" w:lineRule="auto"/>
      </w:pPr>
      <w:r>
        <w:separator/>
      </w:r>
    </w:p>
  </w:endnote>
  <w:endnote w:type="continuationSeparator" w:id="0">
    <w:p w14:paraId="1CD0DCF8" w14:textId="77777777" w:rsidR="007044CC" w:rsidRDefault="007044CC" w:rsidP="003C7AFD">
      <w:pPr>
        <w:spacing w:after="0" w:line="240" w:lineRule="auto"/>
      </w:pPr>
      <w:r>
        <w:continuationSeparator/>
      </w:r>
    </w:p>
  </w:endnote>
  <w:endnote w:type="continuationNotice" w:id="1">
    <w:p w14:paraId="5B9BBF02" w14:textId="77777777" w:rsidR="007044CC" w:rsidRDefault="007044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1EDA6" w14:textId="77777777" w:rsidR="007044CC" w:rsidRDefault="007044CC" w:rsidP="003C7AFD">
      <w:pPr>
        <w:spacing w:after="0" w:line="240" w:lineRule="auto"/>
      </w:pPr>
      <w:r>
        <w:separator/>
      </w:r>
    </w:p>
  </w:footnote>
  <w:footnote w:type="continuationSeparator" w:id="0">
    <w:p w14:paraId="0BA1FAB1" w14:textId="77777777" w:rsidR="007044CC" w:rsidRDefault="007044CC" w:rsidP="003C7AFD">
      <w:pPr>
        <w:spacing w:after="0" w:line="240" w:lineRule="auto"/>
      </w:pPr>
      <w:r>
        <w:continuationSeparator/>
      </w:r>
    </w:p>
  </w:footnote>
  <w:footnote w:type="continuationNotice" w:id="1">
    <w:p w14:paraId="0A770DC2" w14:textId="77777777" w:rsidR="007044CC" w:rsidRDefault="007044CC">
      <w:pPr>
        <w:spacing w:after="0" w:line="240" w:lineRule="auto"/>
      </w:pPr>
    </w:p>
  </w:footnote>
  <w:footnote w:id="2">
    <w:p w14:paraId="7C31A6E4" w14:textId="4E4DCD7C" w:rsidR="56DAD599" w:rsidRPr="00AA16D0" w:rsidRDefault="56DAD599" w:rsidP="00AA16D0">
      <w:pPr>
        <w:spacing w:after="0" w:line="240" w:lineRule="auto"/>
        <w:jc w:val="both"/>
        <w:rPr>
          <w:rFonts w:ascii="Times New Roman" w:hAnsi="Times New Roman"/>
        </w:rPr>
      </w:pPr>
      <w:r w:rsidRPr="00AA16D0">
        <w:rPr>
          <w:rStyle w:val="FootnoteReference"/>
          <w:rFonts w:ascii="Times New Roman" w:hAnsi="Times New Roman"/>
          <w:sz w:val="20"/>
          <w:szCs w:val="20"/>
        </w:rPr>
        <w:footnoteRef/>
      </w:r>
      <w:r w:rsidRPr="00AA16D0">
        <w:rPr>
          <w:rFonts w:ascii="Times New Roman" w:hAnsi="Times New Roman"/>
          <w:sz w:val="20"/>
          <w:szCs w:val="20"/>
        </w:rPr>
        <w:t xml:space="preserve"> </w:t>
      </w:r>
      <w:r w:rsidRPr="00AA16D0">
        <w:rPr>
          <w:rFonts w:ascii="Times New Roman" w:hAnsi="Times New Roman"/>
          <w:color w:val="000000" w:themeColor="text1"/>
          <w:sz w:val="20"/>
          <w:szCs w:val="20"/>
          <w:lang w:val="en-US"/>
        </w:rPr>
        <w:t>Kaspars Balodis. Ievads civiltiesībās Apgāds Zvaigzne ABC, 2007.,176.lpp.</w:t>
      </w:r>
    </w:p>
  </w:footnote>
  <w:footnote w:id="3">
    <w:p w14:paraId="14C15E24" w14:textId="5A0153FD" w:rsidR="56DAD599" w:rsidRDefault="56DAD599" w:rsidP="00AA16D0">
      <w:pPr>
        <w:pStyle w:val="FootnoteText"/>
        <w:rPr>
          <w:color w:val="000000" w:themeColor="text1"/>
        </w:rPr>
      </w:pPr>
      <w:r w:rsidRPr="00AA16D0">
        <w:rPr>
          <w:rStyle w:val="FootnoteReference"/>
          <w:rFonts w:ascii="Times New Roman" w:hAnsi="Times New Roman"/>
        </w:rPr>
        <w:footnoteRef/>
      </w:r>
      <w:r w:rsidRPr="00AA16D0">
        <w:rPr>
          <w:rFonts w:ascii="Times New Roman" w:hAnsi="Times New Roman"/>
        </w:rPr>
        <w:t xml:space="preserve"> </w:t>
      </w:r>
      <w:r w:rsidR="00FE531D" w:rsidRPr="00AA16D0">
        <w:rPr>
          <w:rFonts w:ascii="Times New Roman" w:hAnsi="Times New Roman"/>
        </w:rPr>
        <w:t>K</w:t>
      </w:r>
      <w:r w:rsidRPr="00AA16D0">
        <w:rPr>
          <w:rFonts w:ascii="Times New Roman" w:hAnsi="Times New Roman"/>
          <w:color w:val="000000" w:themeColor="text1"/>
        </w:rPr>
        <w:t>aspars Balodis. Ievads civiltiesībās Apgāds Zvaigzne ABC, 2007.,177.lpp.</w:t>
      </w:r>
    </w:p>
  </w:footnote>
  <w:footnote w:id="4">
    <w:p w14:paraId="4E966590" w14:textId="55543A36" w:rsidR="56DAD599" w:rsidRPr="00AA16D0" w:rsidRDefault="56DAD599" w:rsidP="56DAD599">
      <w:pPr>
        <w:pStyle w:val="FootnoteText"/>
        <w:rPr>
          <w:rFonts w:ascii="Times New Roman" w:hAnsi="Times New Roman"/>
          <w:lang w:val="lv-LV"/>
        </w:rPr>
      </w:pPr>
      <w:r w:rsidRPr="00AA16D0">
        <w:rPr>
          <w:rStyle w:val="FootnoteReference"/>
          <w:rFonts w:ascii="Times New Roman" w:hAnsi="Times New Roman"/>
        </w:rPr>
        <w:footnoteRef/>
      </w:r>
      <w:r w:rsidRPr="00AA16D0">
        <w:rPr>
          <w:rFonts w:ascii="Times New Roman" w:hAnsi="Times New Roman"/>
        </w:rPr>
        <w:t xml:space="preserve"> </w:t>
      </w:r>
      <w:r w:rsidRPr="00AA16D0">
        <w:rPr>
          <w:rFonts w:ascii="Times New Roman" w:hAnsi="Times New Roman"/>
          <w:lang w:val="lv-LV"/>
        </w:rPr>
        <w:t>Revīzijas ziņojums 13.lpp.</w:t>
      </w:r>
    </w:p>
  </w:footnote>
  <w:footnote w:id="5">
    <w:p w14:paraId="693E900D" w14:textId="6B0E5279" w:rsidR="56DAD599" w:rsidRDefault="56DAD599" w:rsidP="56DAD599">
      <w:pPr>
        <w:pStyle w:val="FootnoteText"/>
      </w:pPr>
      <w:r w:rsidRPr="00AA16D0">
        <w:rPr>
          <w:rStyle w:val="FootnoteReference"/>
          <w:rFonts w:ascii="Times New Roman" w:hAnsi="Times New Roman"/>
        </w:rPr>
        <w:footnoteRef/>
      </w:r>
      <w:r w:rsidRPr="00AA16D0">
        <w:rPr>
          <w:rFonts w:ascii="Times New Roman" w:hAnsi="Times New Roman"/>
        </w:rPr>
        <w:t xml:space="preserve"> </w:t>
      </w:r>
      <w:r w:rsidRPr="00AA16D0">
        <w:rPr>
          <w:rFonts w:ascii="Times New Roman" w:eastAsia="Times New Roman" w:hAnsi="Times New Roman"/>
          <w:color w:val="414142"/>
          <w:sz w:val="18"/>
          <w:szCs w:val="18"/>
        </w:rPr>
        <w:t>Satversme, 106.pants “Ikvienam ir tiesības brīvi izvēlēties nodarbošanos un darbavietu atbilstoši savām spējām un kvalifikācijai. Piespiedu darbs ir aizliegts. Par piespiedu darbu netiek uzskatīta iesaistīšana katastrofu un to seku likvidēšanā un nodarbināšana saskaņā ar tiesas nolēmumu.</w:t>
      </w:r>
      <w:r w:rsidRPr="00AA16D0">
        <w:rPr>
          <w:rFonts w:ascii="Times New Roman" w:eastAsia="Times New Roman" w:hAnsi="Times New Roman"/>
          <w:sz w:val="18"/>
          <w:szCs w:val="18"/>
        </w:rPr>
        <w:t>”</w:t>
      </w:r>
    </w:p>
  </w:footnote>
  <w:footnote w:id="6">
    <w:p w14:paraId="47D6D5ED" w14:textId="685FA96C" w:rsidR="56DAD599" w:rsidRPr="00B259BA" w:rsidRDefault="56DAD599" w:rsidP="56DAD599">
      <w:pPr>
        <w:pStyle w:val="FootnoteText"/>
        <w:rPr>
          <w:rFonts w:ascii="Times New Roman" w:hAnsi="Times New Roman"/>
        </w:rPr>
      </w:pPr>
      <w:r w:rsidRPr="00B259BA">
        <w:rPr>
          <w:rStyle w:val="FootnoteReference"/>
          <w:rFonts w:ascii="Times New Roman" w:hAnsi="Times New Roman"/>
        </w:rPr>
        <w:footnoteRef/>
      </w:r>
      <w:r w:rsidRPr="00B259BA">
        <w:rPr>
          <w:rFonts w:ascii="Times New Roman" w:hAnsi="Times New Roman"/>
        </w:rPr>
        <w:t xml:space="preserve"> Latvijas Republikas Augstākā tiesa. Tiesu prakse lietās par individuālajiem darba strīdiem, 2010/2011, 38.lpp.</w:t>
      </w:r>
    </w:p>
  </w:footnote>
  <w:footnote w:id="7">
    <w:p w14:paraId="6EDBAD92" w14:textId="6AE93496" w:rsidR="56DAD599" w:rsidRDefault="56DAD599" w:rsidP="56DAD599">
      <w:pPr>
        <w:pStyle w:val="FootnoteText"/>
        <w:rPr>
          <w:lang w:val="lv-LV"/>
        </w:rPr>
      </w:pPr>
      <w:r w:rsidRPr="00B259BA">
        <w:rPr>
          <w:rStyle w:val="FootnoteReference"/>
          <w:rFonts w:ascii="Times New Roman" w:hAnsi="Times New Roman"/>
        </w:rPr>
        <w:footnoteRef/>
      </w:r>
      <w:r w:rsidRPr="00B259BA">
        <w:rPr>
          <w:rFonts w:ascii="Times New Roman" w:hAnsi="Times New Roman"/>
        </w:rPr>
        <w:t xml:space="preserve"> </w:t>
      </w:r>
      <w:r w:rsidRPr="00B259BA">
        <w:rPr>
          <w:rFonts w:ascii="Times New Roman" w:hAnsi="Times New Roman"/>
          <w:lang w:val="lv-LV"/>
        </w:rPr>
        <w:t>Revīzijas ziņojuma 14.lpp</w:t>
      </w:r>
    </w:p>
  </w:footnote>
  <w:footnote w:id="8">
    <w:p w14:paraId="7ED9EC21" w14:textId="1B1D67B6" w:rsidR="56DAD599" w:rsidRPr="00960C24" w:rsidRDefault="56DAD599" w:rsidP="56DAD599">
      <w:pPr>
        <w:pStyle w:val="FootnoteText"/>
        <w:rPr>
          <w:rFonts w:ascii="Times New Roman" w:hAnsi="Times New Roman"/>
        </w:rPr>
      </w:pPr>
      <w:r w:rsidRPr="00960C24">
        <w:rPr>
          <w:rStyle w:val="FootnoteReference"/>
          <w:rFonts w:ascii="Times New Roman" w:hAnsi="Times New Roman"/>
        </w:rPr>
        <w:footnoteRef/>
      </w:r>
      <w:r w:rsidR="00960C24" w:rsidRPr="00960C24">
        <w:rPr>
          <w:rFonts w:ascii="Times New Roman" w:hAnsi="Times New Roman"/>
        </w:rPr>
        <w:t xml:space="preserve"> Skat., piemēram, </w:t>
      </w:r>
      <w:r w:rsidR="00AA16D0">
        <w:rPr>
          <w:rFonts w:ascii="Times New Roman" w:hAnsi="Times New Roman"/>
        </w:rPr>
        <w:t>R</w:t>
      </w:r>
      <w:r w:rsidR="00960C24" w:rsidRPr="00960C24">
        <w:rPr>
          <w:rFonts w:ascii="Times New Roman" w:hAnsi="Times New Roman"/>
        </w:rPr>
        <w:t xml:space="preserve">evīzijas </w:t>
      </w:r>
      <w:r w:rsidRPr="00960C24">
        <w:rPr>
          <w:rFonts w:ascii="Times New Roman" w:hAnsi="Times New Roman"/>
        </w:rPr>
        <w:t>ziņojum</w:t>
      </w:r>
      <w:r w:rsidR="00960C24" w:rsidRPr="00960C24">
        <w:rPr>
          <w:rFonts w:ascii="Times New Roman" w:hAnsi="Times New Roman"/>
        </w:rPr>
        <w:t>a 17.lpp.</w:t>
      </w:r>
    </w:p>
  </w:footnote>
  <w:footnote w:id="9">
    <w:p w14:paraId="5A7FC691" w14:textId="1717C92E" w:rsidR="56DAD599" w:rsidRDefault="56DAD599" w:rsidP="56DAD599">
      <w:pPr>
        <w:pStyle w:val="FootnoteText"/>
      </w:pPr>
      <w:r w:rsidRPr="00960C24">
        <w:rPr>
          <w:rStyle w:val="FootnoteReference"/>
        </w:rPr>
        <w:footnoteRef/>
      </w:r>
      <w:r w:rsidRPr="00960C24">
        <w:t xml:space="preserve"> </w:t>
      </w:r>
      <w:r w:rsidRPr="00960C24">
        <w:rPr>
          <w:rFonts w:ascii="Times New Roman" w:eastAsia="Times New Roman" w:hAnsi="Times New Roman"/>
        </w:rPr>
        <w:t xml:space="preserve">OECD </w:t>
      </w:r>
      <w:r w:rsidRPr="00960C24">
        <w:tab/>
      </w:r>
      <w:r w:rsidRPr="00960C24">
        <w:rPr>
          <w:rFonts w:ascii="Times New Roman" w:eastAsia="Times New Roman" w:hAnsi="Times New Roman"/>
        </w:rPr>
        <w:t xml:space="preserve">Guidelines on Corporate Governance of State-Owned Enterprises 2015 </w:t>
      </w:r>
      <w:r w:rsidRPr="00960C24">
        <w:tab/>
      </w:r>
      <w:r w:rsidRPr="00960C24">
        <w:rPr>
          <w:rFonts w:ascii="Times New Roman" w:eastAsia="Times New Roman" w:hAnsi="Times New Roman"/>
        </w:rPr>
        <w:t xml:space="preserve">Edition; pieejams:  </w:t>
      </w:r>
      <w:hyperlink r:id="rId1">
        <w:r w:rsidRPr="00960C24">
          <w:rPr>
            <w:rStyle w:val="Hyperlink"/>
            <w:rFonts w:ascii="Times New Roman" w:eastAsia="Times New Roman" w:hAnsi="Times New Roman"/>
          </w:rPr>
          <w:t>https://www.oecd-ilibrary.org/docserver/9789264244160-en.pdf?expires=1636639389&amp;id=id&amp;accname=guest&amp;checksum=9E839F764E51CD75FFD653A5C917D802</w:t>
        </w:r>
      </w:hyperlink>
    </w:p>
  </w:footnote>
  <w:footnote w:id="10">
    <w:p w14:paraId="63F85358" w14:textId="66198D46" w:rsidR="00BE693F" w:rsidRPr="00AA16D0" w:rsidRDefault="00BE693F">
      <w:pPr>
        <w:pStyle w:val="FootnoteText"/>
        <w:rPr>
          <w:rFonts w:ascii="Times New Roman" w:hAnsi="Times New Roman"/>
          <w:lang w:val="lv-LV"/>
        </w:rPr>
      </w:pPr>
      <w:r w:rsidRPr="00AA16D0">
        <w:rPr>
          <w:rStyle w:val="FootnoteReference"/>
          <w:rFonts w:ascii="Times New Roman" w:hAnsi="Times New Roman"/>
        </w:rPr>
        <w:footnoteRef/>
      </w:r>
      <w:r w:rsidRPr="00AA16D0">
        <w:rPr>
          <w:rFonts w:ascii="Times New Roman" w:hAnsi="Times New Roman"/>
        </w:rPr>
        <w:t xml:space="preserve"> OECD Guidelines on Corporate Governance of State-Owned Enterprises, 2015 Edition, pieejams: </w:t>
      </w:r>
      <w:hyperlink r:id="rId2" w:anchor=":~:text=The%20OECD%20Guidelines%20on%20Corporate,more%20competitive%2C%20efficient%20and%20transparent" w:history="1">
        <w:r w:rsidR="00CF26C3" w:rsidRPr="00AA16D0">
          <w:rPr>
            <w:rStyle w:val="Hyperlink"/>
            <w:rFonts w:ascii="Times New Roman" w:hAnsi="Times New Roman"/>
          </w:rPr>
          <w:t>https://www.oecd.org/corporate/guidelines-corporate-governance-soes.htm#:~:text=The%20OECD%20Guidelines%20on%20Corporate,more%20competitive%2C%20efficient%20and%20transparent</w:t>
        </w:r>
      </w:hyperlink>
      <w:r w:rsidR="00CF26C3" w:rsidRPr="00AA16D0">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637006"/>
      <w:docPartObj>
        <w:docPartGallery w:val="Page Numbers (Top of Page)"/>
        <w:docPartUnique/>
      </w:docPartObj>
    </w:sdtPr>
    <w:sdtEndPr>
      <w:rPr>
        <w:noProof/>
      </w:rPr>
    </w:sdtEndPr>
    <w:sdtContent>
      <w:p w14:paraId="146BDF1C" w14:textId="485CAD71" w:rsidR="00C44039" w:rsidRDefault="00C44039">
        <w:pPr>
          <w:pStyle w:val="Header"/>
          <w:jc w:val="center"/>
        </w:pPr>
        <w:r w:rsidRPr="00E46E6E">
          <w:rPr>
            <w:rFonts w:ascii="Times New Roman" w:hAnsi="Times New Roman"/>
          </w:rPr>
          <w:fldChar w:fldCharType="begin"/>
        </w:r>
        <w:r w:rsidRPr="00E46E6E">
          <w:rPr>
            <w:rFonts w:ascii="Times New Roman" w:hAnsi="Times New Roman"/>
          </w:rPr>
          <w:instrText xml:space="preserve"> PAGE   \* MERGEFORMAT </w:instrText>
        </w:r>
        <w:r w:rsidRPr="00E46E6E">
          <w:rPr>
            <w:rFonts w:ascii="Times New Roman" w:hAnsi="Times New Roman"/>
          </w:rPr>
          <w:fldChar w:fldCharType="separate"/>
        </w:r>
        <w:r w:rsidR="00EA485C">
          <w:rPr>
            <w:rFonts w:ascii="Times New Roman" w:hAnsi="Times New Roman"/>
            <w:noProof/>
          </w:rPr>
          <w:t>20</w:t>
        </w:r>
        <w:r w:rsidRPr="00E46E6E">
          <w:rPr>
            <w:rFonts w:ascii="Times New Roman" w:hAnsi="Times New Roman"/>
            <w:noProof/>
          </w:rPr>
          <w:fldChar w:fldCharType="end"/>
        </w:r>
      </w:p>
    </w:sdtContent>
  </w:sdt>
  <w:p w14:paraId="095AF6F6" w14:textId="77777777" w:rsidR="00C44039" w:rsidRDefault="00C44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6220F"/>
    <w:multiLevelType w:val="hybridMultilevel"/>
    <w:tmpl w:val="AAEA71BE"/>
    <w:lvl w:ilvl="0" w:tplc="F8766678">
      <w:start w:val="1"/>
      <w:numFmt w:val="bullet"/>
      <w:lvlText w:val="•"/>
      <w:lvlJc w:val="left"/>
      <w:pPr>
        <w:tabs>
          <w:tab w:val="num" w:pos="720"/>
        </w:tabs>
        <w:ind w:left="720" w:hanging="360"/>
      </w:pPr>
      <w:rPr>
        <w:rFonts w:ascii="Times New Roman" w:hAnsi="Times New Roman" w:hint="default"/>
      </w:rPr>
    </w:lvl>
    <w:lvl w:ilvl="1" w:tplc="83061D62" w:tentative="1">
      <w:start w:val="1"/>
      <w:numFmt w:val="bullet"/>
      <w:lvlText w:val="•"/>
      <w:lvlJc w:val="left"/>
      <w:pPr>
        <w:tabs>
          <w:tab w:val="num" w:pos="1440"/>
        </w:tabs>
        <w:ind w:left="1440" w:hanging="360"/>
      </w:pPr>
      <w:rPr>
        <w:rFonts w:ascii="Times New Roman" w:hAnsi="Times New Roman" w:hint="default"/>
      </w:rPr>
    </w:lvl>
    <w:lvl w:ilvl="2" w:tplc="9C9A6646" w:tentative="1">
      <w:start w:val="1"/>
      <w:numFmt w:val="bullet"/>
      <w:lvlText w:val="•"/>
      <w:lvlJc w:val="left"/>
      <w:pPr>
        <w:tabs>
          <w:tab w:val="num" w:pos="2160"/>
        </w:tabs>
        <w:ind w:left="2160" w:hanging="360"/>
      </w:pPr>
      <w:rPr>
        <w:rFonts w:ascii="Times New Roman" w:hAnsi="Times New Roman" w:hint="default"/>
      </w:rPr>
    </w:lvl>
    <w:lvl w:ilvl="3" w:tplc="F0C41236" w:tentative="1">
      <w:start w:val="1"/>
      <w:numFmt w:val="bullet"/>
      <w:lvlText w:val="•"/>
      <w:lvlJc w:val="left"/>
      <w:pPr>
        <w:tabs>
          <w:tab w:val="num" w:pos="2880"/>
        </w:tabs>
        <w:ind w:left="2880" w:hanging="360"/>
      </w:pPr>
      <w:rPr>
        <w:rFonts w:ascii="Times New Roman" w:hAnsi="Times New Roman" w:hint="default"/>
      </w:rPr>
    </w:lvl>
    <w:lvl w:ilvl="4" w:tplc="25988476" w:tentative="1">
      <w:start w:val="1"/>
      <w:numFmt w:val="bullet"/>
      <w:lvlText w:val="•"/>
      <w:lvlJc w:val="left"/>
      <w:pPr>
        <w:tabs>
          <w:tab w:val="num" w:pos="3600"/>
        </w:tabs>
        <w:ind w:left="3600" w:hanging="360"/>
      </w:pPr>
      <w:rPr>
        <w:rFonts w:ascii="Times New Roman" w:hAnsi="Times New Roman" w:hint="default"/>
      </w:rPr>
    </w:lvl>
    <w:lvl w:ilvl="5" w:tplc="43DEED8C" w:tentative="1">
      <w:start w:val="1"/>
      <w:numFmt w:val="bullet"/>
      <w:lvlText w:val="•"/>
      <w:lvlJc w:val="left"/>
      <w:pPr>
        <w:tabs>
          <w:tab w:val="num" w:pos="4320"/>
        </w:tabs>
        <w:ind w:left="4320" w:hanging="360"/>
      </w:pPr>
      <w:rPr>
        <w:rFonts w:ascii="Times New Roman" w:hAnsi="Times New Roman" w:hint="default"/>
      </w:rPr>
    </w:lvl>
    <w:lvl w:ilvl="6" w:tplc="9258D15A" w:tentative="1">
      <w:start w:val="1"/>
      <w:numFmt w:val="bullet"/>
      <w:lvlText w:val="•"/>
      <w:lvlJc w:val="left"/>
      <w:pPr>
        <w:tabs>
          <w:tab w:val="num" w:pos="5040"/>
        </w:tabs>
        <w:ind w:left="5040" w:hanging="360"/>
      </w:pPr>
      <w:rPr>
        <w:rFonts w:ascii="Times New Roman" w:hAnsi="Times New Roman" w:hint="default"/>
      </w:rPr>
    </w:lvl>
    <w:lvl w:ilvl="7" w:tplc="18DC2312" w:tentative="1">
      <w:start w:val="1"/>
      <w:numFmt w:val="bullet"/>
      <w:lvlText w:val="•"/>
      <w:lvlJc w:val="left"/>
      <w:pPr>
        <w:tabs>
          <w:tab w:val="num" w:pos="5760"/>
        </w:tabs>
        <w:ind w:left="5760" w:hanging="360"/>
      </w:pPr>
      <w:rPr>
        <w:rFonts w:ascii="Times New Roman" w:hAnsi="Times New Roman" w:hint="default"/>
      </w:rPr>
    </w:lvl>
    <w:lvl w:ilvl="8" w:tplc="E02A2CD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B426DAA"/>
    <w:multiLevelType w:val="multilevel"/>
    <w:tmpl w:val="26D07176"/>
    <w:lvl w:ilvl="0">
      <w:start w:val="1"/>
      <w:numFmt w:val="decimal"/>
      <w:lvlText w:val="%1."/>
      <w:lvlJc w:val="left"/>
      <w:pPr>
        <w:ind w:left="9647" w:hanging="360"/>
      </w:pPr>
    </w:lvl>
    <w:lvl w:ilvl="1">
      <w:start w:val="1"/>
      <w:numFmt w:val="decimal"/>
      <w:isLgl/>
      <w:lvlText w:val="%1.%2."/>
      <w:lvlJc w:val="left"/>
      <w:pPr>
        <w:ind w:left="9581" w:hanging="720"/>
      </w:pPr>
      <w:rPr>
        <w:b/>
        <w:bCs w:val="0"/>
        <w:sz w:val="22"/>
        <w:szCs w:val="22"/>
      </w:rPr>
    </w:lvl>
    <w:lvl w:ilvl="2">
      <w:start w:val="1"/>
      <w:numFmt w:val="decimal"/>
      <w:isLgl/>
      <w:lvlText w:val="%1.%2.%3."/>
      <w:lvlJc w:val="left"/>
      <w:pPr>
        <w:ind w:left="9941" w:hanging="720"/>
      </w:pPr>
      <w:rPr>
        <w:b/>
        <w:sz w:val="22"/>
        <w:szCs w:val="22"/>
      </w:rPr>
    </w:lvl>
    <w:lvl w:ilvl="3">
      <w:start w:val="1"/>
      <w:numFmt w:val="decimal"/>
      <w:isLgl/>
      <w:lvlText w:val="%1.%2.%3.%4."/>
      <w:lvlJc w:val="left"/>
      <w:pPr>
        <w:ind w:left="10301" w:hanging="1080"/>
      </w:pPr>
    </w:lvl>
    <w:lvl w:ilvl="4">
      <w:start w:val="1"/>
      <w:numFmt w:val="decimal"/>
      <w:isLgl/>
      <w:lvlText w:val="%1.%2.%3.%4.%5."/>
      <w:lvlJc w:val="left"/>
      <w:pPr>
        <w:ind w:left="10301" w:hanging="1080"/>
      </w:pPr>
    </w:lvl>
    <w:lvl w:ilvl="5">
      <w:start w:val="1"/>
      <w:numFmt w:val="decimal"/>
      <w:isLgl/>
      <w:lvlText w:val="%1.%2.%3.%4.%5.%6."/>
      <w:lvlJc w:val="left"/>
      <w:pPr>
        <w:ind w:left="10661" w:hanging="1440"/>
      </w:pPr>
    </w:lvl>
    <w:lvl w:ilvl="6">
      <w:start w:val="1"/>
      <w:numFmt w:val="decimal"/>
      <w:isLgl/>
      <w:lvlText w:val="%1.%2.%3.%4.%5.%6.%7."/>
      <w:lvlJc w:val="left"/>
      <w:pPr>
        <w:ind w:left="11021" w:hanging="1800"/>
      </w:pPr>
    </w:lvl>
    <w:lvl w:ilvl="7">
      <w:start w:val="1"/>
      <w:numFmt w:val="decimal"/>
      <w:isLgl/>
      <w:lvlText w:val="%1.%2.%3.%4.%5.%6.%7.%8."/>
      <w:lvlJc w:val="left"/>
      <w:pPr>
        <w:ind w:left="11021" w:hanging="1800"/>
      </w:pPr>
    </w:lvl>
    <w:lvl w:ilvl="8">
      <w:start w:val="1"/>
      <w:numFmt w:val="decimal"/>
      <w:isLgl/>
      <w:lvlText w:val="%1.%2.%3.%4.%5.%6.%7.%8.%9."/>
      <w:lvlJc w:val="left"/>
      <w:pPr>
        <w:ind w:left="11381" w:hanging="2160"/>
      </w:pPr>
    </w:lvl>
  </w:abstractNum>
  <w:abstractNum w:abstractNumId="2" w15:restartNumberingAfterBreak="0">
    <w:nsid w:val="1B8B4E31"/>
    <w:multiLevelType w:val="hybridMultilevel"/>
    <w:tmpl w:val="F362B71C"/>
    <w:lvl w:ilvl="0" w:tplc="305CB442">
      <w:start w:val="1"/>
      <w:numFmt w:val="bullet"/>
      <w:lvlText w:val="•"/>
      <w:lvlJc w:val="left"/>
      <w:pPr>
        <w:tabs>
          <w:tab w:val="num" w:pos="720"/>
        </w:tabs>
        <w:ind w:left="720" w:hanging="360"/>
      </w:pPr>
      <w:rPr>
        <w:rFonts w:ascii="Times New Roman" w:hAnsi="Times New Roman" w:hint="default"/>
      </w:rPr>
    </w:lvl>
    <w:lvl w:ilvl="1" w:tplc="C4B62A5A" w:tentative="1">
      <w:start w:val="1"/>
      <w:numFmt w:val="bullet"/>
      <w:lvlText w:val="•"/>
      <w:lvlJc w:val="left"/>
      <w:pPr>
        <w:tabs>
          <w:tab w:val="num" w:pos="1440"/>
        </w:tabs>
        <w:ind w:left="1440" w:hanging="360"/>
      </w:pPr>
      <w:rPr>
        <w:rFonts w:ascii="Times New Roman" w:hAnsi="Times New Roman" w:hint="default"/>
      </w:rPr>
    </w:lvl>
    <w:lvl w:ilvl="2" w:tplc="4C62BDC0" w:tentative="1">
      <w:start w:val="1"/>
      <w:numFmt w:val="bullet"/>
      <w:lvlText w:val="•"/>
      <w:lvlJc w:val="left"/>
      <w:pPr>
        <w:tabs>
          <w:tab w:val="num" w:pos="2160"/>
        </w:tabs>
        <w:ind w:left="2160" w:hanging="360"/>
      </w:pPr>
      <w:rPr>
        <w:rFonts w:ascii="Times New Roman" w:hAnsi="Times New Roman" w:hint="default"/>
      </w:rPr>
    </w:lvl>
    <w:lvl w:ilvl="3" w:tplc="E83E3988" w:tentative="1">
      <w:start w:val="1"/>
      <w:numFmt w:val="bullet"/>
      <w:lvlText w:val="•"/>
      <w:lvlJc w:val="left"/>
      <w:pPr>
        <w:tabs>
          <w:tab w:val="num" w:pos="2880"/>
        </w:tabs>
        <w:ind w:left="2880" w:hanging="360"/>
      </w:pPr>
      <w:rPr>
        <w:rFonts w:ascii="Times New Roman" w:hAnsi="Times New Roman" w:hint="default"/>
      </w:rPr>
    </w:lvl>
    <w:lvl w:ilvl="4" w:tplc="A3C2B49C" w:tentative="1">
      <w:start w:val="1"/>
      <w:numFmt w:val="bullet"/>
      <w:lvlText w:val="•"/>
      <w:lvlJc w:val="left"/>
      <w:pPr>
        <w:tabs>
          <w:tab w:val="num" w:pos="3600"/>
        </w:tabs>
        <w:ind w:left="3600" w:hanging="360"/>
      </w:pPr>
      <w:rPr>
        <w:rFonts w:ascii="Times New Roman" w:hAnsi="Times New Roman" w:hint="default"/>
      </w:rPr>
    </w:lvl>
    <w:lvl w:ilvl="5" w:tplc="6E2AA44C" w:tentative="1">
      <w:start w:val="1"/>
      <w:numFmt w:val="bullet"/>
      <w:lvlText w:val="•"/>
      <w:lvlJc w:val="left"/>
      <w:pPr>
        <w:tabs>
          <w:tab w:val="num" w:pos="4320"/>
        </w:tabs>
        <w:ind w:left="4320" w:hanging="360"/>
      </w:pPr>
      <w:rPr>
        <w:rFonts w:ascii="Times New Roman" w:hAnsi="Times New Roman" w:hint="default"/>
      </w:rPr>
    </w:lvl>
    <w:lvl w:ilvl="6" w:tplc="99327ABC" w:tentative="1">
      <w:start w:val="1"/>
      <w:numFmt w:val="bullet"/>
      <w:lvlText w:val="•"/>
      <w:lvlJc w:val="left"/>
      <w:pPr>
        <w:tabs>
          <w:tab w:val="num" w:pos="5040"/>
        </w:tabs>
        <w:ind w:left="5040" w:hanging="360"/>
      </w:pPr>
      <w:rPr>
        <w:rFonts w:ascii="Times New Roman" w:hAnsi="Times New Roman" w:hint="default"/>
      </w:rPr>
    </w:lvl>
    <w:lvl w:ilvl="7" w:tplc="EE6C490E" w:tentative="1">
      <w:start w:val="1"/>
      <w:numFmt w:val="bullet"/>
      <w:lvlText w:val="•"/>
      <w:lvlJc w:val="left"/>
      <w:pPr>
        <w:tabs>
          <w:tab w:val="num" w:pos="5760"/>
        </w:tabs>
        <w:ind w:left="5760" w:hanging="360"/>
      </w:pPr>
      <w:rPr>
        <w:rFonts w:ascii="Times New Roman" w:hAnsi="Times New Roman" w:hint="default"/>
      </w:rPr>
    </w:lvl>
    <w:lvl w:ilvl="8" w:tplc="F4F893D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C466F28"/>
    <w:multiLevelType w:val="multilevel"/>
    <w:tmpl w:val="5986CE9C"/>
    <w:lvl w:ilvl="0">
      <w:start w:val="1"/>
      <w:numFmt w:val="decimal"/>
      <w:lvlText w:val="%1."/>
      <w:lvlJc w:val="left"/>
      <w:pPr>
        <w:ind w:left="360" w:hanging="360"/>
      </w:pPr>
      <w:rPr>
        <w:rFonts w:hint="default"/>
        <w:b w:val="0"/>
        <w:i w:val="0"/>
        <w:sz w:val="20"/>
        <w:szCs w:val="20"/>
        <w:vertAlign w:val="baseline"/>
      </w:rPr>
    </w:lvl>
    <w:lvl w:ilvl="1">
      <w:start w:val="1"/>
      <w:numFmt w:val="bullet"/>
      <w:lvlText w:val=""/>
      <w:lvlJc w:val="left"/>
      <w:pPr>
        <w:ind w:left="1709" w:hanging="432"/>
      </w:pPr>
      <w:rPr>
        <w:rFonts w:ascii="Wingdings" w:hAnsi="Wingdings" w:hint="default"/>
        <w:b w:val="0"/>
        <w:i w:val="0"/>
        <w:color w:val="0070C0"/>
        <w:sz w:val="23"/>
        <w:szCs w:val="23"/>
      </w:rPr>
    </w:lvl>
    <w:lvl w:ilvl="2">
      <w:start w:val="1"/>
      <w:numFmt w:val="decimal"/>
      <w:lvlText w:val="%1.%2.%3."/>
      <w:lvlJc w:val="left"/>
      <w:pPr>
        <w:ind w:left="1224" w:hanging="504"/>
      </w:pPr>
      <w:rPr>
        <w:rFonts w:hint="default"/>
        <w:b w:val="0"/>
        <w:i w:val="0"/>
        <w:sz w:val="20"/>
        <w:szCs w:val="20"/>
      </w:rPr>
    </w:lvl>
    <w:lvl w:ilvl="3">
      <w:start w:val="1"/>
      <w:numFmt w:val="decimal"/>
      <w:lvlText w:val="%1.%2.%3.%4."/>
      <w:lvlJc w:val="left"/>
      <w:pPr>
        <w:ind w:left="1728" w:hanging="648"/>
      </w:pPr>
      <w:rPr>
        <w:rFonts w:hint="default"/>
        <w:b w:val="0"/>
        <w:i w:val="0"/>
        <w:sz w:val="20"/>
        <w:szCs w:val="20"/>
      </w:rPr>
    </w:lvl>
    <w:lvl w:ilvl="4">
      <w:start w:val="1"/>
      <w:numFmt w:val="decimal"/>
      <w:lvlText w:val="%1.%2.%3.%4.%5."/>
      <w:lvlJc w:val="left"/>
      <w:pPr>
        <w:ind w:left="2232" w:hanging="792"/>
      </w:pPr>
      <w:rPr>
        <w:sz w:val="20"/>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E43769"/>
    <w:multiLevelType w:val="hybridMultilevel"/>
    <w:tmpl w:val="E5E6350A"/>
    <w:lvl w:ilvl="0" w:tplc="192C0076">
      <w:start w:val="1"/>
      <w:numFmt w:val="decimal"/>
      <w:lvlText w:val="%1."/>
      <w:lvlJc w:val="left"/>
      <w:pPr>
        <w:ind w:left="720" w:hanging="360"/>
      </w:pPr>
    </w:lvl>
    <w:lvl w:ilvl="1" w:tplc="1FA2CD6E">
      <w:start w:val="1"/>
      <w:numFmt w:val="lowerLetter"/>
      <w:lvlText w:val="%2."/>
      <w:lvlJc w:val="left"/>
      <w:pPr>
        <w:ind w:left="1440" w:hanging="360"/>
      </w:pPr>
    </w:lvl>
    <w:lvl w:ilvl="2" w:tplc="A2CCEF94">
      <w:start w:val="1"/>
      <w:numFmt w:val="lowerRoman"/>
      <w:lvlText w:val="%3."/>
      <w:lvlJc w:val="right"/>
      <w:pPr>
        <w:ind w:left="2160" w:hanging="180"/>
      </w:pPr>
    </w:lvl>
    <w:lvl w:ilvl="3" w:tplc="8760056A">
      <w:start w:val="1"/>
      <w:numFmt w:val="decimal"/>
      <w:lvlText w:val="%4."/>
      <w:lvlJc w:val="left"/>
      <w:pPr>
        <w:ind w:left="2880" w:hanging="360"/>
      </w:pPr>
    </w:lvl>
    <w:lvl w:ilvl="4" w:tplc="1C9CDDC4">
      <w:start w:val="1"/>
      <w:numFmt w:val="lowerLetter"/>
      <w:lvlText w:val="%5."/>
      <w:lvlJc w:val="left"/>
      <w:pPr>
        <w:ind w:left="3600" w:hanging="360"/>
      </w:pPr>
    </w:lvl>
    <w:lvl w:ilvl="5" w:tplc="6AF0D3BE">
      <w:start w:val="1"/>
      <w:numFmt w:val="lowerRoman"/>
      <w:lvlText w:val="%6."/>
      <w:lvlJc w:val="right"/>
      <w:pPr>
        <w:ind w:left="4320" w:hanging="180"/>
      </w:pPr>
    </w:lvl>
    <w:lvl w:ilvl="6" w:tplc="D4CE7A48">
      <w:start w:val="1"/>
      <w:numFmt w:val="decimal"/>
      <w:lvlText w:val="%7."/>
      <w:lvlJc w:val="left"/>
      <w:pPr>
        <w:ind w:left="5040" w:hanging="360"/>
      </w:pPr>
    </w:lvl>
    <w:lvl w:ilvl="7" w:tplc="A19414CA">
      <w:start w:val="1"/>
      <w:numFmt w:val="lowerLetter"/>
      <w:lvlText w:val="%8."/>
      <w:lvlJc w:val="left"/>
      <w:pPr>
        <w:ind w:left="5760" w:hanging="360"/>
      </w:pPr>
    </w:lvl>
    <w:lvl w:ilvl="8" w:tplc="FC087E02">
      <w:start w:val="1"/>
      <w:numFmt w:val="lowerRoman"/>
      <w:lvlText w:val="%9."/>
      <w:lvlJc w:val="right"/>
      <w:pPr>
        <w:ind w:left="6480" w:hanging="180"/>
      </w:pPr>
    </w:lvl>
  </w:abstractNum>
  <w:abstractNum w:abstractNumId="5" w15:restartNumberingAfterBreak="0">
    <w:nsid w:val="2CAD286C"/>
    <w:multiLevelType w:val="hybridMultilevel"/>
    <w:tmpl w:val="C59099E4"/>
    <w:lvl w:ilvl="0" w:tplc="3F202C34">
      <w:start w:val="1"/>
      <w:numFmt w:val="bullet"/>
      <w:lvlText w:val="•"/>
      <w:lvlJc w:val="left"/>
      <w:pPr>
        <w:tabs>
          <w:tab w:val="num" w:pos="720"/>
        </w:tabs>
        <w:ind w:left="720" w:hanging="360"/>
      </w:pPr>
      <w:rPr>
        <w:rFonts w:ascii="Times New Roman" w:hAnsi="Times New Roman" w:hint="default"/>
      </w:rPr>
    </w:lvl>
    <w:lvl w:ilvl="1" w:tplc="25A23FD8" w:tentative="1">
      <w:start w:val="1"/>
      <w:numFmt w:val="bullet"/>
      <w:lvlText w:val="•"/>
      <w:lvlJc w:val="left"/>
      <w:pPr>
        <w:tabs>
          <w:tab w:val="num" w:pos="1440"/>
        </w:tabs>
        <w:ind w:left="1440" w:hanging="360"/>
      </w:pPr>
      <w:rPr>
        <w:rFonts w:ascii="Times New Roman" w:hAnsi="Times New Roman" w:hint="default"/>
      </w:rPr>
    </w:lvl>
    <w:lvl w:ilvl="2" w:tplc="8C205224" w:tentative="1">
      <w:start w:val="1"/>
      <w:numFmt w:val="bullet"/>
      <w:lvlText w:val="•"/>
      <w:lvlJc w:val="left"/>
      <w:pPr>
        <w:tabs>
          <w:tab w:val="num" w:pos="2160"/>
        </w:tabs>
        <w:ind w:left="2160" w:hanging="360"/>
      </w:pPr>
      <w:rPr>
        <w:rFonts w:ascii="Times New Roman" w:hAnsi="Times New Roman" w:hint="default"/>
      </w:rPr>
    </w:lvl>
    <w:lvl w:ilvl="3" w:tplc="A0A8E09E" w:tentative="1">
      <w:start w:val="1"/>
      <w:numFmt w:val="bullet"/>
      <w:lvlText w:val="•"/>
      <w:lvlJc w:val="left"/>
      <w:pPr>
        <w:tabs>
          <w:tab w:val="num" w:pos="2880"/>
        </w:tabs>
        <w:ind w:left="2880" w:hanging="360"/>
      </w:pPr>
      <w:rPr>
        <w:rFonts w:ascii="Times New Roman" w:hAnsi="Times New Roman" w:hint="default"/>
      </w:rPr>
    </w:lvl>
    <w:lvl w:ilvl="4" w:tplc="9A60E316" w:tentative="1">
      <w:start w:val="1"/>
      <w:numFmt w:val="bullet"/>
      <w:lvlText w:val="•"/>
      <w:lvlJc w:val="left"/>
      <w:pPr>
        <w:tabs>
          <w:tab w:val="num" w:pos="3600"/>
        </w:tabs>
        <w:ind w:left="3600" w:hanging="360"/>
      </w:pPr>
      <w:rPr>
        <w:rFonts w:ascii="Times New Roman" w:hAnsi="Times New Roman" w:hint="default"/>
      </w:rPr>
    </w:lvl>
    <w:lvl w:ilvl="5" w:tplc="410A89E8" w:tentative="1">
      <w:start w:val="1"/>
      <w:numFmt w:val="bullet"/>
      <w:lvlText w:val="•"/>
      <w:lvlJc w:val="left"/>
      <w:pPr>
        <w:tabs>
          <w:tab w:val="num" w:pos="4320"/>
        </w:tabs>
        <w:ind w:left="4320" w:hanging="360"/>
      </w:pPr>
      <w:rPr>
        <w:rFonts w:ascii="Times New Roman" w:hAnsi="Times New Roman" w:hint="default"/>
      </w:rPr>
    </w:lvl>
    <w:lvl w:ilvl="6" w:tplc="FD3EC8EC" w:tentative="1">
      <w:start w:val="1"/>
      <w:numFmt w:val="bullet"/>
      <w:lvlText w:val="•"/>
      <w:lvlJc w:val="left"/>
      <w:pPr>
        <w:tabs>
          <w:tab w:val="num" w:pos="5040"/>
        </w:tabs>
        <w:ind w:left="5040" w:hanging="360"/>
      </w:pPr>
      <w:rPr>
        <w:rFonts w:ascii="Times New Roman" w:hAnsi="Times New Roman" w:hint="default"/>
      </w:rPr>
    </w:lvl>
    <w:lvl w:ilvl="7" w:tplc="BB6C91DE" w:tentative="1">
      <w:start w:val="1"/>
      <w:numFmt w:val="bullet"/>
      <w:lvlText w:val="•"/>
      <w:lvlJc w:val="left"/>
      <w:pPr>
        <w:tabs>
          <w:tab w:val="num" w:pos="5760"/>
        </w:tabs>
        <w:ind w:left="5760" w:hanging="360"/>
      </w:pPr>
      <w:rPr>
        <w:rFonts w:ascii="Times New Roman" w:hAnsi="Times New Roman" w:hint="default"/>
      </w:rPr>
    </w:lvl>
    <w:lvl w:ilvl="8" w:tplc="87928D0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F311855"/>
    <w:multiLevelType w:val="hybridMultilevel"/>
    <w:tmpl w:val="70EEE558"/>
    <w:lvl w:ilvl="0" w:tplc="17BC079A">
      <w:start w:val="1"/>
      <w:numFmt w:val="decimal"/>
      <w:lvlText w:val="%1."/>
      <w:lvlJc w:val="left"/>
      <w:pPr>
        <w:ind w:left="720" w:hanging="360"/>
      </w:pPr>
    </w:lvl>
    <w:lvl w:ilvl="1" w:tplc="1A385D3E">
      <w:start w:val="1"/>
      <w:numFmt w:val="decimal"/>
      <w:lvlText w:val="%2."/>
      <w:lvlJc w:val="left"/>
      <w:pPr>
        <w:ind w:left="1440" w:hanging="360"/>
      </w:pPr>
    </w:lvl>
    <w:lvl w:ilvl="2" w:tplc="93187FF8">
      <w:start w:val="1"/>
      <w:numFmt w:val="lowerRoman"/>
      <w:lvlText w:val="%3."/>
      <w:lvlJc w:val="right"/>
      <w:pPr>
        <w:ind w:left="2160" w:hanging="180"/>
      </w:pPr>
    </w:lvl>
    <w:lvl w:ilvl="3" w:tplc="AE242F2C">
      <w:start w:val="1"/>
      <w:numFmt w:val="decimal"/>
      <w:lvlText w:val="%4."/>
      <w:lvlJc w:val="left"/>
      <w:pPr>
        <w:ind w:left="2880" w:hanging="360"/>
      </w:pPr>
    </w:lvl>
    <w:lvl w:ilvl="4" w:tplc="FA2E5446">
      <w:start w:val="1"/>
      <w:numFmt w:val="lowerLetter"/>
      <w:lvlText w:val="%5."/>
      <w:lvlJc w:val="left"/>
      <w:pPr>
        <w:ind w:left="3600" w:hanging="360"/>
      </w:pPr>
    </w:lvl>
    <w:lvl w:ilvl="5" w:tplc="7218A744">
      <w:start w:val="1"/>
      <w:numFmt w:val="lowerRoman"/>
      <w:lvlText w:val="%6."/>
      <w:lvlJc w:val="right"/>
      <w:pPr>
        <w:ind w:left="4320" w:hanging="180"/>
      </w:pPr>
    </w:lvl>
    <w:lvl w:ilvl="6" w:tplc="63B0D9C0">
      <w:start w:val="1"/>
      <w:numFmt w:val="decimal"/>
      <w:lvlText w:val="%7."/>
      <w:lvlJc w:val="left"/>
      <w:pPr>
        <w:ind w:left="5040" w:hanging="360"/>
      </w:pPr>
    </w:lvl>
    <w:lvl w:ilvl="7" w:tplc="426809CE">
      <w:start w:val="1"/>
      <w:numFmt w:val="lowerLetter"/>
      <w:lvlText w:val="%8."/>
      <w:lvlJc w:val="left"/>
      <w:pPr>
        <w:ind w:left="5760" w:hanging="360"/>
      </w:pPr>
    </w:lvl>
    <w:lvl w:ilvl="8" w:tplc="6C98A3F0">
      <w:start w:val="1"/>
      <w:numFmt w:val="lowerRoman"/>
      <w:lvlText w:val="%9."/>
      <w:lvlJc w:val="right"/>
      <w:pPr>
        <w:ind w:left="6480" w:hanging="180"/>
      </w:pPr>
    </w:lvl>
  </w:abstractNum>
  <w:abstractNum w:abstractNumId="7" w15:restartNumberingAfterBreak="0">
    <w:nsid w:val="32CD202B"/>
    <w:multiLevelType w:val="hybridMultilevel"/>
    <w:tmpl w:val="B4A0FA66"/>
    <w:lvl w:ilvl="0" w:tplc="C6EABD0C">
      <w:start w:val="1"/>
      <w:numFmt w:val="decimal"/>
      <w:lvlText w:val="%1."/>
      <w:lvlJc w:val="left"/>
      <w:pPr>
        <w:ind w:left="720" w:hanging="360"/>
      </w:pPr>
    </w:lvl>
    <w:lvl w:ilvl="1" w:tplc="01FA24A0">
      <w:start w:val="1"/>
      <w:numFmt w:val="lowerLetter"/>
      <w:lvlText w:val="%2."/>
      <w:lvlJc w:val="left"/>
      <w:pPr>
        <w:ind w:left="1440" w:hanging="360"/>
      </w:pPr>
    </w:lvl>
    <w:lvl w:ilvl="2" w:tplc="8E40C2E8">
      <w:start w:val="1"/>
      <w:numFmt w:val="lowerRoman"/>
      <w:lvlText w:val="%3."/>
      <w:lvlJc w:val="right"/>
      <w:pPr>
        <w:ind w:left="2160" w:hanging="180"/>
      </w:pPr>
    </w:lvl>
    <w:lvl w:ilvl="3" w:tplc="C70C93D2">
      <w:start w:val="1"/>
      <w:numFmt w:val="decimal"/>
      <w:lvlText w:val="%4."/>
      <w:lvlJc w:val="left"/>
      <w:pPr>
        <w:ind w:left="2880" w:hanging="360"/>
      </w:pPr>
    </w:lvl>
    <w:lvl w:ilvl="4" w:tplc="5A54A4D6">
      <w:start w:val="1"/>
      <w:numFmt w:val="lowerLetter"/>
      <w:lvlText w:val="%5."/>
      <w:lvlJc w:val="left"/>
      <w:pPr>
        <w:ind w:left="3600" w:hanging="360"/>
      </w:pPr>
    </w:lvl>
    <w:lvl w:ilvl="5" w:tplc="245EA63C">
      <w:start w:val="1"/>
      <w:numFmt w:val="lowerRoman"/>
      <w:lvlText w:val="%6."/>
      <w:lvlJc w:val="right"/>
      <w:pPr>
        <w:ind w:left="4320" w:hanging="180"/>
      </w:pPr>
    </w:lvl>
    <w:lvl w:ilvl="6" w:tplc="BB5AF682">
      <w:start w:val="1"/>
      <w:numFmt w:val="decimal"/>
      <w:lvlText w:val="%7."/>
      <w:lvlJc w:val="left"/>
      <w:pPr>
        <w:ind w:left="5040" w:hanging="360"/>
      </w:pPr>
    </w:lvl>
    <w:lvl w:ilvl="7" w:tplc="8B0A76EA">
      <w:start w:val="1"/>
      <w:numFmt w:val="lowerLetter"/>
      <w:lvlText w:val="%8."/>
      <w:lvlJc w:val="left"/>
      <w:pPr>
        <w:ind w:left="5760" w:hanging="360"/>
      </w:pPr>
    </w:lvl>
    <w:lvl w:ilvl="8" w:tplc="54329046">
      <w:start w:val="1"/>
      <w:numFmt w:val="lowerRoman"/>
      <w:lvlText w:val="%9."/>
      <w:lvlJc w:val="right"/>
      <w:pPr>
        <w:ind w:left="6480" w:hanging="180"/>
      </w:pPr>
    </w:lvl>
  </w:abstractNum>
  <w:abstractNum w:abstractNumId="8" w15:restartNumberingAfterBreak="0">
    <w:nsid w:val="3A823E66"/>
    <w:multiLevelType w:val="hybridMultilevel"/>
    <w:tmpl w:val="2F842DA0"/>
    <w:lvl w:ilvl="0" w:tplc="B0903814">
      <w:start w:val="1"/>
      <w:numFmt w:val="bullet"/>
      <w:lvlText w:val="•"/>
      <w:lvlJc w:val="left"/>
      <w:pPr>
        <w:tabs>
          <w:tab w:val="num" w:pos="720"/>
        </w:tabs>
        <w:ind w:left="720" w:hanging="360"/>
      </w:pPr>
      <w:rPr>
        <w:rFonts w:ascii="Times New Roman" w:hAnsi="Times New Roman" w:hint="default"/>
      </w:rPr>
    </w:lvl>
    <w:lvl w:ilvl="1" w:tplc="AC0491A6" w:tentative="1">
      <w:start w:val="1"/>
      <w:numFmt w:val="bullet"/>
      <w:lvlText w:val="•"/>
      <w:lvlJc w:val="left"/>
      <w:pPr>
        <w:tabs>
          <w:tab w:val="num" w:pos="1440"/>
        </w:tabs>
        <w:ind w:left="1440" w:hanging="360"/>
      </w:pPr>
      <w:rPr>
        <w:rFonts w:ascii="Times New Roman" w:hAnsi="Times New Roman" w:hint="default"/>
      </w:rPr>
    </w:lvl>
    <w:lvl w:ilvl="2" w:tplc="F998C9AE" w:tentative="1">
      <w:start w:val="1"/>
      <w:numFmt w:val="bullet"/>
      <w:lvlText w:val="•"/>
      <w:lvlJc w:val="left"/>
      <w:pPr>
        <w:tabs>
          <w:tab w:val="num" w:pos="2160"/>
        </w:tabs>
        <w:ind w:left="2160" w:hanging="360"/>
      </w:pPr>
      <w:rPr>
        <w:rFonts w:ascii="Times New Roman" w:hAnsi="Times New Roman" w:hint="default"/>
      </w:rPr>
    </w:lvl>
    <w:lvl w:ilvl="3" w:tplc="CC7059D0" w:tentative="1">
      <w:start w:val="1"/>
      <w:numFmt w:val="bullet"/>
      <w:lvlText w:val="•"/>
      <w:lvlJc w:val="left"/>
      <w:pPr>
        <w:tabs>
          <w:tab w:val="num" w:pos="2880"/>
        </w:tabs>
        <w:ind w:left="2880" w:hanging="360"/>
      </w:pPr>
      <w:rPr>
        <w:rFonts w:ascii="Times New Roman" w:hAnsi="Times New Roman" w:hint="default"/>
      </w:rPr>
    </w:lvl>
    <w:lvl w:ilvl="4" w:tplc="EE68ABB8" w:tentative="1">
      <w:start w:val="1"/>
      <w:numFmt w:val="bullet"/>
      <w:lvlText w:val="•"/>
      <w:lvlJc w:val="left"/>
      <w:pPr>
        <w:tabs>
          <w:tab w:val="num" w:pos="3600"/>
        </w:tabs>
        <w:ind w:left="3600" w:hanging="360"/>
      </w:pPr>
      <w:rPr>
        <w:rFonts w:ascii="Times New Roman" w:hAnsi="Times New Roman" w:hint="default"/>
      </w:rPr>
    </w:lvl>
    <w:lvl w:ilvl="5" w:tplc="35128542" w:tentative="1">
      <w:start w:val="1"/>
      <w:numFmt w:val="bullet"/>
      <w:lvlText w:val="•"/>
      <w:lvlJc w:val="left"/>
      <w:pPr>
        <w:tabs>
          <w:tab w:val="num" w:pos="4320"/>
        </w:tabs>
        <w:ind w:left="4320" w:hanging="360"/>
      </w:pPr>
      <w:rPr>
        <w:rFonts w:ascii="Times New Roman" w:hAnsi="Times New Roman" w:hint="default"/>
      </w:rPr>
    </w:lvl>
    <w:lvl w:ilvl="6" w:tplc="B9CA0E16" w:tentative="1">
      <w:start w:val="1"/>
      <w:numFmt w:val="bullet"/>
      <w:lvlText w:val="•"/>
      <w:lvlJc w:val="left"/>
      <w:pPr>
        <w:tabs>
          <w:tab w:val="num" w:pos="5040"/>
        </w:tabs>
        <w:ind w:left="5040" w:hanging="360"/>
      </w:pPr>
      <w:rPr>
        <w:rFonts w:ascii="Times New Roman" w:hAnsi="Times New Roman" w:hint="default"/>
      </w:rPr>
    </w:lvl>
    <w:lvl w:ilvl="7" w:tplc="B3483EFA" w:tentative="1">
      <w:start w:val="1"/>
      <w:numFmt w:val="bullet"/>
      <w:lvlText w:val="•"/>
      <w:lvlJc w:val="left"/>
      <w:pPr>
        <w:tabs>
          <w:tab w:val="num" w:pos="5760"/>
        </w:tabs>
        <w:ind w:left="5760" w:hanging="360"/>
      </w:pPr>
      <w:rPr>
        <w:rFonts w:ascii="Times New Roman" w:hAnsi="Times New Roman" w:hint="default"/>
      </w:rPr>
    </w:lvl>
    <w:lvl w:ilvl="8" w:tplc="77A2FC7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C9F5206"/>
    <w:multiLevelType w:val="hybridMultilevel"/>
    <w:tmpl w:val="C8C48968"/>
    <w:lvl w:ilvl="0" w:tplc="C7E2D86C">
      <w:start w:val="1"/>
      <w:numFmt w:val="decimal"/>
      <w:lvlText w:val="%1."/>
      <w:lvlJc w:val="left"/>
      <w:pPr>
        <w:ind w:left="720" w:hanging="360"/>
      </w:pPr>
    </w:lvl>
    <w:lvl w:ilvl="1" w:tplc="33F000BA">
      <w:start w:val="1"/>
      <w:numFmt w:val="decimal"/>
      <w:lvlText w:val="%2."/>
      <w:lvlJc w:val="left"/>
      <w:pPr>
        <w:ind w:left="1440" w:hanging="360"/>
      </w:pPr>
    </w:lvl>
    <w:lvl w:ilvl="2" w:tplc="27BE05B6">
      <w:start w:val="1"/>
      <w:numFmt w:val="lowerRoman"/>
      <w:lvlText w:val="%3."/>
      <w:lvlJc w:val="right"/>
      <w:pPr>
        <w:ind w:left="2160" w:hanging="180"/>
      </w:pPr>
    </w:lvl>
    <w:lvl w:ilvl="3" w:tplc="75E415CC">
      <w:start w:val="1"/>
      <w:numFmt w:val="decimal"/>
      <w:lvlText w:val="%4."/>
      <w:lvlJc w:val="left"/>
      <w:pPr>
        <w:ind w:left="2880" w:hanging="360"/>
      </w:pPr>
    </w:lvl>
    <w:lvl w:ilvl="4" w:tplc="BB58ABA4">
      <w:start w:val="1"/>
      <w:numFmt w:val="lowerLetter"/>
      <w:lvlText w:val="%5."/>
      <w:lvlJc w:val="left"/>
      <w:pPr>
        <w:ind w:left="3600" w:hanging="360"/>
      </w:pPr>
    </w:lvl>
    <w:lvl w:ilvl="5" w:tplc="24425F70">
      <w:start w:val="1"/>
      <w:numFmt w:val="lowerRoman"/>
      <w:lvlText w:val="%6."/>
      <w:lvlJc w:val="right"/>
      <w:pPr>
        <w:ind w:left="4320" w:hanging="180"/>
      </w:pPr>
    </w:lvl>
    <w:lvl w:ilvl="6" w:tplc="E67243C6">
      <w:start w:val="1"/>
      <w:numFmt w:val="decimal"/>
      <w:lvlText w:val="%7."/>
      <w:lvlJc w:val="left"/>
      <w:pPr>
        <w:ind w:left="5040" w:hanging="360"/>
      </w:pPr>
    </w:lvl>
    <w:lvl w:ilvl="7" w:tplc="5F4C7244">
      <w:start w:val="1"/>
      <w:numFmt w:val="lowerLetter"/>
      <w:lvlText w:val="%8."/>
      <w:lvlJc w:val="left"/>
      <w:pPr>
        <w:ind w:left="5760" w:hanging="360"/>
      </w:pPr>
    </w:lvl>
    <w:lvl w:ilvl="8" w:tplc="31B45744">
      <w:start w:val="1"/>
      <w:numFmt w:val="lowerRoman"/>
      <w:lvlText w:val="%9."/>
      <w:lvlJc w:val="right"/>
      <w:pPr>
        <w:ind w:left="6480" w:hanging="180"/>
      </w:pPr>
    </w:lvl>
  </w:abstractNum>
  <w:abstractNum w:abstractNumId="10" w15:restartNumberingAfterBreak="0">
    <w:nsid w:val="3DE0743F"/>
    <w:multiLevelType w:val="hybridMultilevel"/>
    <w:tmpl w:val="ED58D1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2250D54"/>
    <w:multiLevelType w:val="hybridMultilevel"/>
    <w:tmpl w:val="1572FF34"/>
    <w:lvl w:ilvl="0" w:tplc="07A49AE6">
      <w:start w:val="1"/>
      <w:numFmt w:val="bullet"/>
      <w:lvlText w:val=""/>
      <w:lvlJc w:val="left"/>
      <w:pPr>
        <w:ind w:left="720" w:hanging="360"/>
      </w:pPr>
      <w:rPr>
        <w:rFonts w:ascii="Symbol" w:hAnsi="Symbol" w:hint="default"/>
      </w:rPr>
    </w:lvl>
    <w:lvl w:ilvl="1" w:tplc="FCBAF02A">
      <w:start w:val="1"/>
      <w:numFmt w:val="bullet"/>
      <w:lvlText w:val="·"/>
      <w:lvlJc w:val="left"/>
      <w:pPr>
        <w:ind w:left="1440" w:hanging="360"/>
      </w:pPr>
      <w:rPr>
        <w:rFonts w:ascii="Symbol" w:hAnsi="Symbol" w:hint="default"/>
      </w:rPr>
    </w:lvl>
    <w:lvl w:ilvl="2" w:tplc="1FD21BD6">
      <w:start w:val="1"/>
      <w:numFmt w:val="bullet"/>
      <w:lvlText w:val=""/>
      <w:lvlJc w:val="left"/>
      <w:pPr>
        <w:ind w:left="2160" w:hanging="360"/>
      </w:pPr>
      <w:rPr>
        <w:rFonts w:ascii="Wingdings" w:hAnsi="Wingdings" w:hint="default"/>
      </w:rPr>
    </w:lvl>
    <w:lvl w:ilvl="3" w:tplc="55061A8C">
      <w:start w:val="1"/>
      <w:numFmt w:val="bullet"/>
      <w:lvlText w:val=""/>
      <w:lvlJc w:val="left"/>
      <w:pPr>
        <w:ind w:left="2880" w:hanging="360"/>
      </w:pPr>
      <w:rPr>
        <w:rFonts w:ascii="Symbol" w:hAnsi="Symbol" w:hint="default"/>
      </w:rPr>
    </w:lvl>
    <w:lvl w:ilvl="4" w:tplc="E6AC11B2">
      <w:start w:val="1"/>
      <w:numFmt w:val="bullet"/>
      <w:lvlText w:val="o"/>
      <w:lvlJc w:val="left"/>
      <w:pPr>
        <w:ind w:left="3600" w:hanging="360"/>
      </w:pPr>
      <w:rPr>
        <w:rFonts w:ascii="Courier New" w:hAnsi="Courier New" w:hint="default"/>
      </w:rPr>
    </w:lvl>
    <w:lvl w:ilvl="5" w:tplc="22B86224">
      <w:start w:val="1"/>
      <w:numFmt w:val="bullet"/>
      <w:lvlText w:val=""/>
      <w:lvlJc w:val="left"/>
      <w:pPr>
        <w:ind w:left="4320" w:hanging="360"/>
      </w:pPr>
      <w:rPr>
        <w:rFonts w:ascii="Wingdings" w:hAnsi="Wingdings" w:hint="default"/>
      </w:rPr>
    </w:lvl>
    <w:lvl w:ilvl="6" w:tplc="55E8FC04">
      <w:start w:val="1"/>
      <w:numFmt w:val="bullet"/>
      <w:lvlText w:val=""/>
      <w:lvlJc w:val="left"/>
      <w:pPr>
        <w:ind w:left="5040" w:hanging="360"/>
      </w:pPr>
      <w:rPr>
        <w:rFonts w:ascii="Symbol" w:hAnsi="Symbol" w:hint="default"/>
      </w:rPr>
    </w:lvl>
    <w:lvl w:ilvl="7" w:tplc="EFF08034">
      <w:start w:val="1"/>
      <w:numFmt w:val="bullet"/>
      <w:lvlText w:val="o"/>
      <w:lvlJc w:val="left"/>
      <w:pPr>
        <w:ind w:left="5760" w:hanging="360"/>
      </w:pPr>
      <w:rPr>
        <w:rFonts w:ascii="Courier New" w:hAnsi="Courier New" w:hint="default"/>
      </w:rPr>
    </w:lvl>
    <w:lvl w:ilvl="8" w:tplc="C68A11B4">
      <w:start w:val="1"/>
      <w:numFmt w:val="bullet"/>
      <w:lvlText w:val=""/>
      <w:lvlJc w:val="left"/>
      <w:pPr>
        <w:ind w:left="6480" w:hanging="360"/>
      </w:pPr>
      <w:rPr>
        <w:rFonts w:ascii="Wingdings" w:hAnsi="Wingdings" w:hint="default"/>
      </w:rPr>
    </w:lvl>
  </w:abstractNum>
  <w:abstractNum w:abstractNumId="12" w15:restartNumberingAfterBreak="0">
    <w:nsid w:val="57616A98"/>
    <w:multiLevelType w:val="hybridMultilevel"/>
    <w:tmpl w:val="A2A4E4F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5E3C6400"/>
    <w:multiLevelType w:val="hybridMultilevel"/>
    <w:tmpl w:val="466C2F5E"/>
    <w:lvl w:ilvl="0" w:tplc="7856207A">
      <w:start w:val="1"/>
      <w:numFmt w:val="decimal"/>
      <w:lvlText w:val="%1)"/>
      <w:lvlJc w:val="left"/>
      <w:pPr>
        <w:ind w:left="720" w:hanging="360"/>
      </w:pPr>
    </w:lvl>
    <w:lvl w:ilvl="1" w:tplc="5380B2C2">
      <w:start w:val="1"/>
      <w:numFmt w:val="lowerLetter"/>
      <w:lvlText w:val="%2."/>
      <w:lvlJc w:val="left"/>
      <w:pPr>
        <w:ind w:left="1440" w:hanging="360"/>
      </w:pPr>
    </w:lvl>
    <w:lvl w:ilvl="2" w:tplc="31782F60">
      <w:start w:val="1"/>
      <w:numFmt w:val="lowerRoman"/>
      <w:lvlText w:val="%3."/>
      <w:lvlJc w:val="right"/>
      <w:pPr>
        <w:ind w:left="2160" w:hanging="180"/>
      </w:pPr>
    </w:lvl>
    <w:lvl w:ilvl="3" w:tplc="D2C08DDE">
      <w:start w:val="1"/>
      <w:numFmt w:val="decimal"/>
      <w:lvlText w:val="%4."/>
      <w:lvlJc w:val="left"/>
      <w:pPr>
        <w:ind w:left="2880" w:hanging="360"/>
      </w:pPr>
    </w:lvl>
    <w:lvl w:ilvl="4" w:tplc="F71A4974">
      <w:start w:val="1"/>
      <w:numFmt w:val="lowerLetter"/>
      <w:lvlText w:val="%5."/>
      <w:lvlJc w:val="left"/>
      <w:pPr>
        <w:ind w:left="3600" w:hanging="360"/>
      </w:pPr>
    </w:lvl>
    <w:lvl w:ilvl="5" w:tplc="67D4CF46">
      <w:start w:val="1"/>
      <w:numFmt w:val="lowerRoman"/>
      <w:lvlText w:val="%6."/>
      <w:lvlJc w:val="right"/>
      <w:pPr>
        <w:ind w:left="4320" w:hanging="180"/>
      </w:pPr>
    </w:lvl>
    <w:lvl w:ilvl="6" w:tplc="66A42140">
      <w:start w:val="1"/>
      <w:numFmt w:val="decimal"/>
      <w:lvlText w:val="%7."/>
      <w:lvlJc w:val="left"/>
      <w:pPr>
        <w:ind w:left="5040" w:hanging="360"/>
      </w:pPr>
    </w:lvl>
    <w:lvl w:ilvl="7" w:tplc="E42CFED6">
      <w:start w:val="1"/>
      <w:numFmt w:val="lowerLetter"/>
      <w:lvlText w:val="%8."/>
      <w:lvlJc w:val="left"/>
      <w:pPr>
        <w:ind w:left="5760" w:hanging="360"/>
      </w:pPr>
    </w:lvl>
    <w:lvl w:ilvl="8" w:tplc="E3222972">
      <w:start w:val="1"/>
      <w:numFmt w:val="lowerRoman"/>
      <w:lvlText w:val="%9."/>
      <w:lvlJc w:val="right"/>
      <w:pPr>
        <w:ind w:left="6480" w:hanging="180"/>
      </w:pPr>
    </w:lvl>
  </w:abstractNum>
  <w:abstractNum w:abstractNumId="14" w15:restartNumberingAfterBreak="0">
    <w:nsid w:val="63673691"/>
    <w:multiLevelType w:val="hybridMultilevel"/>
    <w:tmpl w:val="4C420402"/>
    <w:lvl w:ilvl="0" w:tplc="244260E8">
      <w:start w:val="1"/>
      <w:numFmt w:val="bullet"/>
      <w:lvlText w:val="-"/>
      <w:lvlJc w:val="left"/>
      <w:pPr>
        <w:ind w:left="720" w:hanging="360"/>
      </w:pPr>
      <w:rPr>
        <w:rFonts w:ascii="Calibri" w:hAnsi="Calibri" w:hint="default"/>
      </w:rPr>
    </w:lvl>
    <w:lvl w:ilvl="1" w:tplc="18444D9C">
      <w:start w:val="1"/>
      <w:numFmt w:val="bullet"/>
      <w:lvlText w:val="o"/>
      <w:lvlJc w:val="left"/>
      <w:pPr>
        <w:ind w:left="1440" w:hanging="360"/>
      </w:pPr>
      <w:rPr>
        <w:rFonts w:ascii="Courier New" w:hAnsi="Courier New" w:hint="default"/>
      </w:rPr>
    </w:lvl>
    <w:lvl w:ilvl="2" w:tplc="A8C88C16">
      <w:start w:val="1"/>
      <w:numFmt w:val="bullet"/>
      <w:lvlText w:val=""/>
      <w:lvlJc w:val="left"/>
      <w:pPr>
        <w:ind w:left="2160" w:hanging="360"/>
      </w:pPr>
      <w:rPr>
        <w:rFonts w:ascii="Wingdings" w:hAnsi="Wingdings" w:hint="default"/>
      </w:rPr>
    </w:lvl>
    <w:lvl w:ilvl="3" w:tplc="A3B264A8">
      <w:start w:val="1"/>
      <w:numFmt w:val="bullet"/>
      <w:lvlText w:val=""/>
      <w:lvlJc w:val="left"/>
      <w:pPr>
        <w:ind w:left="2880" w:hanging="360"/>
      </w:pPr>
      <w:rPr>
        <w:rFonts w:ascii="Symbol" w:hAnsi="Symbol" w:hint="default"/>
      </w:rPr>
    </w:lvl>
    <w:lvl w:ilvl="4" w:tplc="FD009DAE">
      <w:start w:val="1"/>
      <w:numFmt w:val="bullet"/>
      <w:lvlText w:val="o"/>
      <w:lvlJc w:val="left"/>
      <w:pPr>
        <w:ind w:left="3600" w:hanging="360"/>
      </w:pPr>
      <w:rPr>
        <w:rFonts w:ascii="Courier New" w:hAnsi="Courier New" w:hint="default"/>
      </w:rPr>
    </w:lvl>
    <w:lvl w:ilvl="5" w:tplc="90C69C0A">
      <w:start w:val="1"/>
      <w:numFmt w:val="bullet"/>
      <w:lvlText w:val=""/>
      <w:lvlJc w:val="left"/>
      <w:pPr>
        <w:ind w:left="4320" w:hanging="360"/>
      </w:pPr>
      <w:rPr>
        <w:rFonts w:ascii="Wingdings" w:hAnsi="Wingdings" w:hint="default"/>
      </w:rPr>
    </w:lvl>
    <w:lvl w:ilvl="6" w:tplc="B99C3D5A">
      <w:start w:val="1"/>
      <w:numFmt w:val="bullet"/>
      <w:lvlText w:val=""/>
      <w:lvlJc w:val="left"/>
      <w:pPr>
        <w:ind w:left="5040" w:hanging="360"/>
      </w:pPr>
      <w:rPr>
        <w:rFonts w:ascii="Symbol" w:hAnsi="Symbol" w:hint="default"/>
      </w:rPr>
    </w:lvl>
    <w:lvl w:ilvl="7" w:tplc="2D4E8348">
      <w:start w:val="1"/>
      <w:numFmt w:val="bullet"/>
      <w:lvlText w:val="o"/>
      <w:lvlJc w:val="left"/>
      <w:pPr>
        <w:ind w:left="5760" w:hanging="360"/>
      </w:pPr>
      <w:rPr>
        <w:rFonts w:ascii="Courier New" w:hAnsi="Courier New" w:hint="default"/>
      </w:rPr>
    </w:lvl>
    <w:lvl w:ilvl="8" w:tplc="BFB8A1A4">
      <w:start w:val="1"/>
      <w:numFmt w:val="bullet"/>
      <w:lvlText w:val=""/>
      <w:lvlJc w:val="left"/>
      <w:pPr>
        <w:ind w:left="6480" w:hanging="360"/>
      </w:pPr>
      <w:rPr>
        <w:rFonts w:ascii="Wingdings" w:hAnsi="Wingdings" w:hint="default"/>
      </w:rPr>
    </w:lvl>
  </w:abstractNum>
  <w:abstractNum w:abstractNumId="15" w15:restartNumberingAfterBreak="0">
    <w:nsid w:val="70A82B79"/>
    <w:multiLevelType w:val="hybridMultilevel"/>
    <w:tmpl w:val="01C652F0"/>
    <w:lvl w:ilvl="0" w:tplc="47527906">
      <w:start w:val="1"/>
      <w:numFmt w:val="bullet"/>
      <w:lvlText w:val="•"/>
      <w:lvlJc w:val="left"/>
      <w:pPr>
        <w:tabs>
          <w:tab w:val="num" w:pos="720"/>
        </w:tabs>
        <w:ind w:left="720" w:hanging="360"/>
      </w:pPr>
      <w:rPr>
        <w:rFonts w:ascii="Times New Roman" w:hAnsi="Times New Roman" w:hint="default"/>
      </w:rPr>
    </w:lvl>
    <w:lvl w:ilvl="1" w:tplc="73029E2E" w:tentative="1">
      <w:start w:val="1"/>
      <w:numFmt w:val="bullet"/>
      <w:lvlText w:val="•"/>
      <w:lvlJc w:val="left"/>
      <w:pPr>
        <w:tabs>
          <w:tab w:val="num" w:pos="1440"/>
        </w:tabs>
        <w:ind w:left="1440" w:hanging="360"/>
      </w:pPr>
      <w:rPr>
        <w:rFonts w:ascii="Times New Roman" w:hAnsi="Times New Roman" w:hint="default"/>
      </w:rPr>
    </w:lvl>
    <w:lvl w:ilvl="2" w:tplc="BE60EE1A" w:tentative="1">
      <w:start w:val="1"/>
      <w:numFmt w:val="bullet"/>
      <w:lvlText w:val="•"/>
      <w:lvlJc w:val="left"/>
      <w:pPr>
        <w:tabs>
          <w:tab w:val="num" w:pos="2160"/>
        </w:tabs>
        <w:ind w:left="2160" w:hanging="360"/>
      </w:pPr>
      <w:rPr>
        <w:rFonts w:ascii="Times New Roman" w:hAnsi="Times New Roman" w:hint="default"/>
      </w:rPr>
    </w:lvl>
    <w:lvl w:ilvl="3" w:tplc="03D674CE" w:tentative="1">
      <w:start w:val="1"/>
      <w:numFmt w:val="bullet"/>
      <w:lvlText w:val="•"/>
      <w:lvlJc w:val="left"/>
      <w:pPr>
        <w:tabs>
          <w:tab w:val="num" w:pos="2880"/>
        </w:tabs>
        <w:ind w:left="2880" w:hanging="360"/>
      </w:pPr>
      <w:rPr>
        <w:rFonts w:ascii="Times New Roman" w:hAnsi="Times New Roman" w:hint="default"/>
      </w:rPr>
    </w:lvl>
    <w:lvl w:ilvl="4" w:tplc="750CE26A" w:tentative="1">
      <w:start w:val="1"/>
      <w:numFmt w:val="bullet"/>
      <w:lvlText w:val="•"/>
      <w:lvlJc w:val="left"/>
      <w:pPr>
        <w:tabs>
          <w:tab w:val="num" w:pos="3600"/>
        </w:tabs>
        <w:ind w:left="3600" w:hanging="360"/>
      </w:pPr>
      <w:rPr>
        <w:rFonts w:ascii="Times New Roman" w:hAnsi="Times New Roman" w:hint="default"/>
      </w:rPr>
    </w:lvl>
    <w:lvl w:ilvl="5" w:tplc="89947836" w:tentative="1">
      <w:start w:val="1"/>
      <w:numFmt w:val="bullet"/>
      <w:lvlText w:val="•"/>
      <w:lvlJc w:val="left"/>
      <w:pPr>
        <w:tabs>
          <w:tab w:val="num" w:pos="4320"/>
        </w:tabs>
        <w:ind w:left="4320" w:hanging="360"/>
      </w:pPr>
      <w:rPr>
        <w:rFonts w:ascii="Times New Roman" w:hAnsi="Times New Roman" w:hint="default"/>
      </w:rPr>
    </w:lvl>
    <w:lvl w:ilvl="6" w:tplc="49524AFE" w:tentative="1">
      <w:start w:val="1"/>
      <w:numFmt w:val="bullet"/>
      <w:lvlText w:val="•"/>
      <w:lvlJc w:val="left"/>
      <w:pPr>
        <w:tabs>
          <w:tab w:val="num" w:pos="5040"/>
        </w:tabs>
        <w:ind w:left="5040" w:hanging="360"/>
      </w:pPr>
      <w:rPr>
        <w:rFonts w:ascii="Times New Roman" w:hAnsi="Times New Roman" w:hint="default"/>
      </w:rPr>
    </w:lvl>
    <w:lvl w:ilvl="7" w:tplc="5DD05538" w:tentative="1">
      <w:start w:val="1"/>
      <w:numFmt w:val="bullet"/>
      <w:lvlText w:val="•"/>
      <w:lvlJc w:val="left"/>
      <w:pPr>
        <w:tabs>
          <w:tab w:val="num" w:pos="5760"/>
        </w:tabs>
        <w:ind w:left="5760" w:hanging="360"/>
      </w:pPr>
      <w:rPr>
        <w:rFonts w:ascii="Times New Roman" w:hAnsi="Times New Roman" w:hint="default"/>
      </w:rPr>
    </w:lvl>
    <w:lvl w:ilvl="8" w:tplc="C60C71F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CA22924"/>
    <w:multiLevelType w:val="hybridMultilevel"/>
    <w:tmpl w:val="C89E0490"/>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num w:numId="1">
    <w:abstractNumId w:val="14"/>
  </w:num>
  <w:num w:numId="2">
    <w:abstractNumId w:val="13"/>
  </w:num>
  <w:num w:numId="3">
    <w:abstractNumId w:val="4"/>
  </w:num>
  <w:num w:numId="4">
    <w:abstractNumId w:val="11"/>
  </w:num>
  <w:num w:numId="5">
    <w:abstractNumId w:val="9"/>
  </w:num>
  <w:num w:numId="6">
    <w:abstractNumId w:val="7"/>
  </w:num>
  <w:num w:numId="7">
    <w:abstractNumId w:val="6"/>
  </w:num>
  <w:num w:numId="8">
    <w:abstractNumId w:val="1"/>
  </w:num>
  <w:num w:numId="9">
    <w:abstractNumId w:val="12"/>
  </w:num>
  <w:num w:numId="10">
    <w:abstractNumId w:val="3"/>
  </w:num>
  <w:num w:numId="11">
    <w:abstractNumId w:val="16"/>
  </w:num>
  <w:num w:numId="12">
    <w:abstractNumId w:val="10"/>
  </w:num>
  <w:num w:numId="13">
    <w:abstractNumId w:val="0"/>
  </w:num>
  <w:num w:numId="14">
    <w:abstractNumId w:val="15"/>
  </w:num>
  <w:num w:numId="15">
    <w:abstractNumId w:val="8"/>
  </w:num>
  <w:num w:numId="16">
    <w:abstractNumId w:val="5"/>
  </w:num>
  <w:num w:numId="1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27"/>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C9"/>
    <w:rsid w:val="0000044E"/>
    <w:rsid w:val="00002C2A"/>
    <w:rsid w:val="00002D34"/>
    <w:rsid w:val="00005325"/>
    <w:rsid w:val="00005B14"/>
    <w:rsid w:val="00006AA5"/>
    <w:rsid w:val="00010798"/>
    <w:rsid w:val="00011B15"/>
    <w:rsid w:val="00012048"/>
    <w:rsid w:val="0001208D"/>
    <w:rsid w:val="00012400"/>
    <w:rsid w:val="000124E4"/>
    <w:rsid w:val="000165AB"/>
    <w:rsid w:val="000216FB"/>
    <w:rsid w:val="00022170"/>
    <w:rsid w:val="00026BB6"/>
    <w:rsid w:val="00027085"/>
    <w:rsid w:val="00027255"/>
    <w:rsid w:val="00030308"/>
    <w:rsid w:val="00031A03"/>
    <w:rsid w:val="00031CBC"/>
    <w:rsid w:val="000323D0"/>
    <w:rsid w:val="00032476"/>
    <w:rsid w:val="00032E14"/>
    <w:rsid w:val="00034893"/>
    <w:rsid w:val="0004342E"/>
    <w:rsid w:val="00044954"/>
    <w:rsid w:val="00046BE1"/>
    <w:rsid w:val="00047DCD"/>
    <w:rsid w:val="0005167F"/>
    <w:rsid w:val="000524DE"/>
    <w:rsid w:val="00055D22"/>
    <w:rsid w:val="000573AB"/>
    <w:rsid w:val="0006094D"/>
    <w:rsid w:val="0006462A"/>
    <w:rsid w:val="000678E7"/>
    <w:rsid w:val="00070CCA"/>
    <w:rsid w:val="00071CC9"/>
    <w:rsid w:val="00072A0E"/>
    <w:rsid w:val="000743F5"/>
    <w:rsid w:val="0007497F"/>
    <w:rsid w:val="00077140"/>
    <w:rsid w:val="00080365"/>
    <w:rsid w:val="00082EEC"/>
    <w:rsid w:val="00083408"/>
    <w:rsid w:val="000838D0"/>
    <w:rsid w:val="00084DD7"/>
    <w:rsid w:val="000871E2"/>
    <w:rsid w:val="000874B8"/>
    <w:rsid w:val="0009098B"/>
    <w:rsid w:val="00094426"/>
    <w:rsid w:val="000A2D22"/>
    <w:rsid w:val="000A4660"/>
    <w:rsid w:val="000A7811"/>
    <w:rsid w:val="000A7D02"/>
    <w:rsid w:val="000B29F2"/>
    <w:rsid w:val="000B5B4F"/>
    <w:rsid w:val="000B7AF0"/>
    <w:rsid w:val="000C02D6"/>
    <w:rsid w:val="000C02ED"/>
    <w:rsid w:val="000C0522"/>
    <w:rsid w:val="000C2B01"/>
    <w:rsid w:val="000C38DE"/>
    <w:rsid w:val="000C4761"/>
    <w:rsid w:val="000C77EA"/>
    <w:rsid w:val="000D0DB9"/>
    <w:rsid w:val="000D3E70"/>
    <w:rsid w:val="000D543E"/>
    <w:rsid w:val="000D5E0E"/>
    <w:rsid w:val="000D620F"/>
    <w:rsid w:val="000D635B"/>
    <w:rsid w:val="000D7D9D"/>
    <w:rsid w:val="000E0CFA"/>
    <w:rsid w:val="000E0EB8"/>
    <w:rsid w:val="000E20D7"/>
    <w:rsid w:val="000E358D"/>
    <w:rsid w:val="000E35E3"/>
    <w:rsid w:val="000E36E5"/>
    <w:rsid w:val="000E3E99"/>
    <w:rsid w:val="000E53CF"/>
    <w:rsid w:val="000E6E4F"/>
    <w:rsid w:val="000E75D7"/>
    <w:rsid w:val="000E777D"/>
    <w:rsid w:val="000F0D5D"/>
    <w:rsid w:val="000F445F"/>
    <w:rsid w:val="000F4694"/>
    <w:rsid w:val="00100304"/>
    <w:rsid w:val="001012B4"/>
    <w:rsid w:val="00102D1C"/>
    <w:rsid w:val="00103A3D"/>
    <w:rsid w:val="00104B91"/>
    <w:rsid w:val="00105115"/>
    <w:rsid w:val="0010607E"/>
    <w:rsid w:val="00106DE5"/>
    <w:rsid w:val="0010700D"/>
    <w:rsid w:val="00107E52"/>
    <w:rsid w:val="001167F7"/>
    <w:rsid w:val="001175A6"/>
    <w:rsid w:val="00117D34"/>
    <w:rsid w:val="00120FF9"/>
    <w:rsid w:val="0012172F"/>
    <w:rsid w:val="00127AE1"/>
    <w:rsid w:val="001323F3"/>
    <w:rsid w:val="001338F5"/>
    <w:rsid w:val="00133E5B"/>
    <w:rsid w:val="0013476B"/>
    <w:rsid w:val="001360BD"/>
    <w:rsid w:val="00136836"/>
    <w:rsid w:val="00140E10"/>
    <w:rsid w:val="00141796"/>
    <w:rsid w:val="00142A60"/>
    <w:rsid w:val="00142B27"/>
    <w:rsid w:val="00144C97"/>
    <w:rsid w:val="0014505E"/>
    <w:rsid w:val="0015119C"/>
    <w:rsid w:val="00151369"/>
    <w:rsid w:val="00151524"/>
    <w:rsid w:val="00151980"/>
    <w:rsid w:val="00154588"/>
    <w:rsid w:val="00155B0F"/>
    <w:rsid w:val="00155E29"/>
    <w:rsid w:val="00156BFE"/>
    <w:rsid w:val="00157F42"/>
    <w:rsid w:val="00157FE0"/>
    <w:rsid w:val="00160707"/>
    <w:rsid w:val="0016252C"/>
    <w:rsid w:val="00162BC6"/>
    <w:rsid w:val="00162E5E"/>
    <w:rsid w:val="00163927"/>
    <w:rsid w:val="00164986"/>
    <w:rsid w:val="00167CF6"/>
    <w:rsid w:val="00167ECA"/>
    <w:rsid w:val="0017061A"/>
    <w:rsid w:val="00170A7F"/>
    <w:rsid w:val="00171427"/>
    <w:rsid w:val="00175647"/>
    <w:rsid w:val="001811F2"/>
    <w:rsid w:val="00181394"/>
    <w:rsid w:val="0018202F"/>
    <w:rsid w:val="00182977"/>
    <w:rsid w:val="00183028"/>
    <w:rsid w:val="00183806"/>
    <w:rsid w:val="001839D9"/>
    <w:rsid w:val="00185489"/>
    <w:rsid w:val="00194DA4"/>
    <w:rsid w:val="001969A4"/>
    <w:rsid w:val="001978FD"/>
    <w:rsid w:val="001A0903"/>
    <w:rsid w:val="001A0F5C"/>
    <w:rsid w:val="001A332D"/>
    <w:rsid w:val="001A4871"/>
    <w:rsid w:val="001A6DAE"/>
    <w:rsid w:val="001B07DA"/>
    <w:rsid w:val="001B151E"/>
    <w:rsid w:val="001B3009"/>
    <w:rsid w:val="001B327D"/>
    <w:rsid w:val="001B501B"/>
    <w:rsid w:val="001B6042"/>
    <w:rsid w:val="001C0A48"/>
    <w:rsid w:val="001C0FA9"/>
    <w:rsid w:val="001C1600"/>
    <w:rsid w:val="001C1E93"/>
    <w:rsid w:val="001C2533"/>
    <w:rsid w:val="001C3933"/>
    <w:rsid w:val="001C3D68"/>
    <w:rsid w:val="001C5988"/>
    <w:rsid w:val="001C74A3"/>
    <w:rsid w:val="001D105D"/>
    <w:rsid w:val="001D1829"/>
    <w:rsid w:val="001D3525"/>
    <w:rsid w:val="001D3EDC"/>
    <w:rsid w:val="001D5D82"/>
    <w:rsid w:val="001D66B0"/>
    <w:rsid w:val="001D6F3B"/>
    <w:rsid w:val="001E26C3"/>
    <w:rsid w:val="001E6A3A"/>
    <w:rsid w:val="001E7E58"/>
    <w:rsid w:val="001F06A2"/>
    <w:rsid w:val="001F1954"/>
    <w:rsid w:val="001F1AF9"/>
    <w:rsid w:val="001F1FF6"/>
    <w:rsid w:val="001F2F2D"/>
    <w:rsid w:val="001F2F36"/>
    <w:rsid w:val="001F3B2A"/>
    <w:rsid w:val="001F3F82"/>
    <w:rsid w:val="001F4C7B"/>
    <w:rsid w:val="001F5434"/>
    <w:rsid w:val="001F630D"/>
    <w:rsid w:val="001F769B"/>
    <w:rsid w:val="001F76C7"/>
    <w:rsid w:val="00200309"/>
    <w:rsid w:val="0020138F"/>
    <w:rsid w:val="002024E8"/>
    <w:rsid w:val="00202DED"/>
    <w:rsid w:val="00206347"/>
    <w:rsid w:val="00207372"/>
    <w:rsid w:val="00210D36"/>
    <w:rsid w:val="00213E26"/>
    <w:rsid w:val="0021476C"/>
    <w:rsid w:val="00215E9B"/>
    <w:rsid w:val="002231BB"/>
    <w:rsid w:val="002249A4"/>
    <w:rsid w:val="00224C2C"/>
    <w:rsid w:val="00225980"/>
    <w:rsid w:val="00225B81"/>
    <w:rsid w:val="00226158"/>
    <w:rsid w:val="00230DCC"/>
    <w:rsid w:val="00231EE3"/>
    <w:rsid w:val="00233D77"/>
    <w:rsid w:val="00234E20"/>
    <w:rsid w:val="002355D1"/>
    <w:rsid w:val="002368A5"/>
    <w:rsid w:val="0024045A"/>
    <w:rsid w:val="00241D6F"/>
    <w:rsid w:val="0024255C"/>
    <w:rsid w:val="0024351C"/>
    <w:rsid w:val="002457AC"/>
    <w:rsid w:val="0024596F"/>
    <w:rsid w:val="00245F34"/>
    <w:rsid w:val="00246C7F"/>
    <w:rsid w:val="00247458"/>
    <w:rsid w:val="00247AC7"/>
    <w:rsid w:val="0025006C"/>
    <w:rsid w:val="002509D3"/>
    <w:rsid w:val="00253391"/>
    <w:rsid w:val="00255446"/>
    <w:rsid w:val="00255F64"/>
    <w:rsid w:val="00256600"/>
    <w:rsid w:val="00256813"/>
    <w:rsid w:val="0025757D"/>
    <w:rsid w:val="00262F22"/>
    <w:rsid w:val="002648D0"/>
    <w:rsid w:val="00265197"/>
    <w:rsid w:val="002652BA"/>
    <w:rsid w:val="00265451"/>
    <w:rsid w:val="00266364"/>
    <w:rsid w:val="00267B44"/>
    <w:rsid w:val="002716DC"/>
    <w:rsid w:val="00273176"/>
    <w:rsid w:val="002770D6"/>
    <w:rsid w:val="00281013"/>
    <w:rsid w:val="00284F75"/>
    <w:rsid w:val="00286A36"/>
    <w:rsid w:val="002870EC"/>
    <w:rsid w:val="00287E1E"/>
    <w:rsid w:val="002910E8"/>
    <w:rsid w:val="0029185F"/>
    <w:rsid w:val="0029229E"/>
    <w:rsid w:val="00293D14"/>
    <w:rsid w:val="0029413A"/>
    <w:rsid w:val="0029426A"/>
    <w:rsid w:val="002947CE"/>
    <w:rsid w:val="002968F4"/>
    <w:rsid w:val="002A3C70"/>
    <w:rsid w:val="002A4471"/>
    <w:rsid w:val="002A642F"/>
    <w:rsid w:val="002B010C"/>
    <w:rsid w:val="002B11EA"/>
    <w:rsid w:val="002B36E5"/>
    <w:rsid w:val="002B3A12"/>
    <w:rsid w:val="002B59E7"/>
    <w:rsid w:val="002B66F0"/>
    <w:rsid w:val="002B7A18"/>
    <w:rsid w:val="002C054B"/>
    <w:rsid w:val="002C1837"/>
    <w:rsid w:val="002C1BEB"/>
    <w:rsid w:val="002C2783"/>
    <w:rsid w:val="002C3837"/>
    <w:rsid w:val="002C4C7C"/>
    <w:rsid w:val="002C6277"/>
    <w:rsid w:val="002D00DA"/>
    <w:rsid w:val="002D3F19"/>
    <w:rsid w:val="002D4461"/>
    <w:rsid w:val="002D5C71"/>
    <w:rsid w:val="002E25D5"/>
    <w:rsid w:val="002E2D14"/>
    <w:rsid w:val="002E2D92"/>
    <w:rsid w:val="002E3079"/>
    <w:rsid w:val="002E704D"/>
    <w:rsid w:val="002E7D36"/>
    <w:rsid w:val="002F0BA6"/>
    <w:rsid w:val="002F0CB9"/>
    <w:rsid w:val="002F3764"/>
    <w:rsid w:val="002F3AEB"/>
    <w:rsid w:val="002F459F"/>
    <w:rsid w:val="002F5903"/>
    <w:rsid w:val="002F5FF7"/>
    <w:rsid w:val="002F6524"/>
    <w:rsid w:val="002F71BF"/>
    <w:rsid w:val="00301F48"/>
    <w:rsid w:val="00302E25"/>
    <w:rsid w:val="00303233"/>
    <w:rsid w:val="00303D90"/>
    <w:rsid w:val="00311094"/>
    <w:rsid w:val="00313F23"/>
    <w:rsid w:val="003142BC"/>
    <w:rsid w:val="00315F26"/>
    <w:rsid w:val="003170D0"/>
    <w:rsid w:val="0031755D"/>
    <w:rsid w:val="003214DD"/>
    <w:rsid w:val="00321D1B"/>
    <w:rsid w:val="00323999"/>
    <w:rsid w:val="00323E28"/>
    <w:rsid w:val="00325AC2"/>
    <w:rsid w:val="0032639B"/>
    <w:rsid w:val="003263A6"/>
    <w:rsid w:val="003300F6"/>
    <w:rsid w:val="00333659"/>
    <w:rsid w:val="00334E55"/>
    <w:rsid w:val="00336422"/>
    <w:rsid w:val="0033798C"/>
    <w:rsid w:val="00340957"/>
    <w:rsid w:val="0034199C"/>
    <w:rsid w:val="00341D63"/>
    <w:rsid w:val="00344229"/>
    <w:rsid w:val="00346277"/>
    <w:rsid w:val="003462E3"/>
    <w:rsid w:val="0035297F"/>
    <w:rsid w:val="00352A58"/>
    <w:rsid w:val="00352C8B"/>
    <w:rsid w:val="00354C13"/>
    <w:rsid w:val="0035583A"/>
    <w:rsid w:val="003562FC"/>
    <w:rsid w:val="003575E2"/>
    <w:rsid w:val="00362A6D"/>
    <w:rsid w:val="00362B59"/>
    <w:rsid w:val="0036620E"/>
    <w:rsid w:val="00370D5A"/>
    <w:rsid w:val="0037158F"/>
    <w:rsid w:val="00372290"/>
    <w:rsid w:val="00373313"/>
    <w:rsid w:val="00373366"/>
    <w:rsid w:val="0037360C"/>
    <w:rsid w:val="00373D12"/>
    <w:rsid w:val="003764DE"/>
    <w:rsid w:val="003769D0"/>
    <w:rsid w:val="003770F0"/>
    <w:rsid w:val="00377161"/>
    <w:rsid w:val="00377ABA"/>
    <w:rsid w:val="0038272B"/>
    <w:rsid w:val="00384FC4"/>
    <w:rsid w:val="00386F9A"/>
    <w:rsid w:val="0038731C"/>
    <w:rsid w:val="00391069"/>
    <w:rsid w:val="003918B5"/>
    <w:rsid w:val="00392EC6"/>
    <w:rsid w:val="00393C8F"/>
    <w:rsid w:val="003948BE"/>
    <w:rsid w:val="00394F96"/>
    <w:rsid w:val="0039589B"/>
    <w:rsid w:val="003A43D4"/>
    <w:rsid w:val="003A50DE"/>
    <w:rsid w:val="003A5E20"/>
    <w:rsid w:val="003B50C2"/>
    <w:rsid w:val="003C061C"/>
    <w:rsid w:val="003C0645"/>
    <w:rsid w:val="003C4B12"/>
    <w:rsid w:val="003C70EA"/>
    <w:rsid w:val="003C7AFD"/>
    <w:rsid w:val="003D1C82"/>
    <w:rsid w:val="003D2B6F"/>
    <w:rsid w:val="003D4039"/>
    <w:rsid w:val="003D6DE0"/>
    <w:rsid w:val="003D711F"/>
    <w:rsid w:val="003D79F0"/>
    <w:rsid w:val="003E0D1D"/>
    <w:rsid w:val="003E1257"/>
    <w:rsid w:val="003E4C11"/>
    <w:rsid w:val="003E621F"/>
    <w:rsid w:val="003E6B71"/>
    <w:rsid w:val="003F1823"/>
    <w:rsid w:val="004101E4"/>
    <w:rsid w:val="004139B0"/>
    <w:rsid w:val="00416916"/>
    <w:rsid w:val="004178B4"/>
    <w:rsid w:val="00420BB3"/>
    <w:rsid w:val="00422339"/>
    <w:rsid w:val="00422606"/>
    <w:rsid w:val="00423EB1"/>
    <w:rsid w:val="004301C3"/>
    <w:rsid w:val="00430D62"/>
    <w:rsid w:val="00430F1A"/>
    <w:rsid w:val="004318E5"/>
    <w:rsid w:val="00434E18"/>
    <w:rsid w:val="004413BD"/>
    <w:rsid w:val="00441C9B"/>
    <w:rsid w:val="00441D4E"/>
    <w:rsid w:val="004420AF"/>
    <w:rsid w:val="00444201"/>
    <w:rsid w:val="0044428A"/>
    <w:rsid w:val="00444357"/>
    <w:rsid w:val="00446F2C"/>
    <w:rsid w:val="00447804"/>
    <w:rsid w:val="0044786F"/>
    <w:rsid w:val="00447D7C"/>
    <w:rsid w:val="00451D4C"/>
    <w:rsid w:val="00457D2A"/>
    <w:rsid w:val="00457DBB"/>
    <w:rsid w:val="00463639"/>
    <w:rsid w:val="00465942"/>
    <w:rsid w:val="00465EE6"/>
    <w:rsid w:val="004675A5"/>
    <w:rsid w:val="0047065A"/>
    <w:rsid w:val="00471076"/>
    <w:rsid w:val="00472001"/>
    <w:rsid w:val="00475B91"/>
    <w:rsid w:val="00476257"/>
    <w:rsid w:val="004765E8"/>
    <w:rsid w:val="00476898"/>
    <w:rsid w:val="00480AA3"/>
    <w:rsid w:val="0048176B"/>
    <w:rsid w:val="00483290"/>
    <w:rsid w:val="004834B0"/>
    <w:rsid w:val="00483F4D"/>
    <w:rsid w:val="00486284"/>
    <w:rsid w:val="00486D48"/>
    <w:rsid w:val="00493297"/>
    <w:rsid w:val="004951AD"/>
    <w:rsid w:val="00496006"/>
    <w:rsid w:val="0049645C"/>
    <w:rsid w:val="004969ED"/>
    <w:rsid w:val="00497399"/>
    <w:rsid w:val="004975D9"/>
    <w:rsid w:val="004A0959"/>
    <w:rsid w:val="004A2155"/>
    <w:rsid w:val="004A27E0"/>
    <w:rsid w:val="004A54FE"/>
    <w:rsid w:val="004A745B"/>
    <w:rsid w:val="004B340C"/>
    <w:rsid w:val="004B772A"/>
    <w:rsid w:val="004B79C3"/>
    <w:rsid w:val="004C5BB3"/>
    <w:rsid w:val="004C7CC6"/>
    <w:rsid w:val="004D13C7"/>
    <w:rsid w:val="004D1921"/>
    <w:rsid w:val="004D1D74"/>
    <w:rsid w:val="004D227D"/>
    <w:rsid w:val="004D2562"/>
    <w:rsid w:val="004D38F3"/>
    <w:rsid w:val="004D43CF"/>
    <w:rsid w:val="004E1C4C"/>
    <w:rsid w:val="004E2497"/>
    <w:rsid w:val="004E4355"/>
    <w:rsid w:val="004E482C"/>
    <w:rsid w:val="004E7C28"/>
    <w:rsid w:val="00502085"/>
    <w:rsid w:val="00502794"/>
    <w:rsid w:val="00502A8F"/>
    <w:rsid w:val="005032F8"/>
    <w:rsid w:val="00505C0E"/>
    <w:rsid w:val="00510CA1"/>
    <w:rsid w:val="005121B8"/>
    <w:rsid w:val="00513014"/>
    <w:rsid w:val="00514A25"/>
    <w:rsid w:val="00514A6D"/>
    <w:rsid w:val="00515A1E"/>
    <w:rsid w:val="005162EF"/>
    <w:rsid w:val="00517F94"/>
    <w:rsid w:val="00524B1F"/>
    <w:rsid w:val="00526EEC"/>
    <w:rsid w:val="00530243"/>
    <w:rsid w:val="00531813"/>
    <w:rsid w:val="00532773"/>
    <w:rsid w:val="00533329"/>
    <w:rsid w:val="00533ADA"/>
    <w:rsid w:val="005353FF"/>
    <w:rsid w:val="00535524"/>
    <w:rsid w:val="00540A15"/>
    <w:rsid w:val="00543E8C"/>
    <w:rsid w:val="005446F2"/>
    <w:rsid w:val="005448FD"/>
    <w:rsid w:val="00546603"/>
    <w:rsid w:val="005467B6"/>
    <w:rsid w:val="0054709D"/>
    <w:rsid w:val="0055070B"/>
    <w:rsid w:val="005537AF"/>
    <w:rsid w:val="00553AE2"/>
    <w:rsid w:val="005562B3"/>
    <w:rsid w:val="00561C86"/>
    <w:rsid w:val="005647A2"/>
    <w:rsid w:val="00564CD0"/>
    <w:rsid w:val="00564DB0"/>
    <w:rsid w:val="00565CEB"/>
    <w:rsid w:val="00566A33"/>
    <w:rsid w:val="00570600"/>
    <w:rsid w:val="0057212B"/>
    <w:rsid w:val="00572A02"/>
    <w:rsid w:val="00573AAD"/>
    <w:rsid w:val="00575037"/>
    <w:rsid w:val="0057705D"/>
    <w:rsid w:val="005851C1"/>
    <w:rsid w:val="0059064E"/>
    <w:rsid w:val="00591EEC"/>
    <w:rsid w:val="005A179F"/>
    <w:rsid w:val="005A2510"/>
    <w:rsid w:val="005A3BF4"/>
    <w:rsid w:val="005A634E"/>
    <w:rsid w:val="005A77C6"/>
    <w:rsid w:val="005A7F31"/>
    <w:rsid w:val="005B0086"/>
    <w:rsid w:val="005B152E"/>
    <w:rsid w:val="005B6D17"/>
    <w:rsid w:val="005B7E33"/>
    <w:rsid w:val="005C5B20"/>
    <w:rsid w:val="005D0E66"/>
    <w:rsid w:val="005D2D42"/>
    <w:rsid w:val="005D4BB0"/>
    <w:rsid w:val="005D4E69"/>
    <w:rsid w:val="005D5A30"/>
    <w:rsid w:val="005D6B32"/>
    <w:rsid w:val="005D71F5"/>
    <w:rsid w:val="005D75F0"/>
    <w:rsid w:val="005D7D94"/>
    <w:rsid w:val="005E26D3"/>
    <w:rsid w:val="005E2BE4"/>
    <w:rsid w:val="005E38B1"/>
    <w:rsid w:val="005E5488"/>
    <w:rsid w:val="005E5930"/>
    <w:rsid w:val="005E715E"/>
    <w:rsid w:val="005E730F"/>
    <w:rsid w:val="005E77FF"/>
    <w:rsid w:val="005F0122"/>
    <w:rsid w:val="005F1679"/>
    <w:rsid w:val="005F1CFF"/>
    <w:rsid w:val="005F5DF3"/>
    <w:rsid w:val="0060000C"/>
    <w:rsid w:val="00601B82"/>
    <w:rsid w:val="00605331"/>
    <w:rsid w:val="00605536"/>
    <w:rsid w:val="00610746"/>
    <w:rsid w:val="00610962"/>
    <w:rsid w:val="00613B49"/>
    <w:rsid w:val="00614175"/>
    <w:rsid w:val="006146C9"/>
    <w:rsid w:val="00616283"/>
    <w:rsid w:val="0061700C"/>
    <w:rsid w:val="00620469"/>
    <w:rsid w:val="00622212"/>
    <w:rsid w:val="0062355F"/>
    <w:rsid w:val="006238E6"/>
    <w:rsid w:val="00623B2B"/>
    <w:rsid w:val="00626064"/>
    <w:rsid w:val="00627A64"/>
    <w:rsid w:val="006308D0"/>
    <w:rsid w:val="00630C76"/>
    <w:rsid w:val="00631154"/>
    <w:rsid w:val="00631724"/>
    <w:rsid w:val="00632F2C"/>
    <w:rsid w:val="0063458A"/>
    <w:rsid w:val="00634D7B"/>
    <w:rsid w:val="00637AD9"/>
    <w:rsid w:val="0064264E"/>
    <w:rsid w:val="00642A45"/>
    <w:rsid w:val="00644172"/>
    <w:rsid w:val="00644865"/>
    <w:rsid w:val="00645FF1"/>
    <w:rsid w:val="006463A8"/>
    <w:rsid w:val="00646749"/>
    <w:rsid w:val="00651296"/>
    <w:rsid w:val="006519BB"/>
    <w:rsid w:val="006521F1"/>
    <w:rsid w:val="00653CF1"/>
    <w:rsid w:val="00654188"/>
    <w:rsid w:val="006546FF"/>
    <w:rsid w:val="006624FF"/>
    <w:rsid w:val="00663181"/>
    <w:rsid w:val="00663BF6"/>
    <w:rsid w:val="00664408"/>
    <w:rsid w:val="00665820"/>
    <w:rsid w:val="0066774F"/>
    <w:rsid w:val="00667C94"/>
    <w:rsid w:val="00670DB5"/>
    <w:rsid w:val="00671280"/>
    <w:rsid w:val="006726D0"/>
    <w:rsid w:val="0067655C"/>
    <w:rsid w:val="00676B84"/>
    <w:rsid w:val="006800C0"/>
    <w:rsid w:val="00683864"/>
    <w:rsid w:val="006843F4"/>
    <w:rsid w:val="006852C6"/>
    <w:rsid w:val="00687BF0"/>
    <w:rsid w:val="006911BB"/>
    <w:rsid w:val="00692F5C"/>
    <w:rsid w:val="0069301F"/>
    <w:rsid w:val="00695733"/>
    <w:rsid w:val="00697F6F"/>
    <w:rsid w:val="006A0DEC"/>
    <w:rsid w:val="006A1C08"/>
    <w:rsid w:val="006A2CD3"/>
    <w:rsid w:val="006A35BA"/>
    <w:rsid w:val="006A4AF8"/>
    <w:rsid w:val="006A57C2"/>
    <w:rsid w:val="006A6183"/>
    <w:rsid w:val="006A65AE"/>
    <w:rsid w:val="006B0355"/>
    <w:rsid w:val="006B171C"/>
    <w:rsid w:val="006B511F"/>
    <w:rsid w:val="006B762C"/>
    <w:rsid w:val="006B7CE8"/>
    <w:rsid w:val="006C0F3C"/>
    <w:rsid w:val="006C14B4"/>
    <w:rsid w:val="006C3CA6"/>
    <w:rsid w:val="006C40F7"/>
    <w:rsid w:val="006C46A5"/>
    <w:rsid w:val="006C6807"/>
    <w:rsid w:val="006C74A6"/>
    <w:rsid w:val="006D0062"/>
    <w:rsid w:val="006D0874"/>
    <w:rsid w:val="006D2F66"/>
    <w:rsid w:val="006D4416"/>
    <w:rsid w:val="006D5F2C"/>
    <w:rsid w:val="006E03B8"/>
    <w:rsid w:val="006E21F1"/>
    <w:rsid w:val="006E2641"/>
    <w:rsid w:val="006E707D"/>
    <w:rsid w:val="006F2962"/>
    <w:rsid w:val="006F336C"/>
    <w:rsid w:val="006F48FD"/>
    <w:rsid w:val="006F6D62"/>
    <w:rsid w:val="006F6E37"/>
    <w:rsid w:val="006F78DE"/>
    <w:rsid w:val="007002BF"/>
    <w:rsid w:val="00701B3C"/>
    <w:rsid w:val="007044CC"/>
    <w:rsid w:val="00707BB0"/>
    <w:rsid w:val="00710531"/>
    <w:rsid w:val="00710BF0"/>
    <w:rsid w:val="00711D15"/>
    <w:rsid w:val="00712151"/>
    <w:rsid w:val="007147A5"/>
    <w:rsid w:val="00715171"/>
    <w:rsid w:val="00716FDC"/>
    <w:rsid w:val="00717430"/>
    <w:rsid w:val="00720104"/>
    <w:rsid w:val="007229B2"/>
    <w:rsid w:val="00724BCA"/>
    <w:rsid w:val="007262FD"/>
    <w:rsid w:val="00727DC1"/>
    <w:rsid w:val="00731188"/>
    <w:rsid w:val="00731DE4"/>
    <w:rsid w:val="00732012"/>
    <w:rsid w:val="007322A0"/>
    <w:rsid w:val="007329C8"/>
    <w:rsid w:val="00734C4F"/>
    <w:rsid w:val="00736070"/>
    <w:rsid w:val="007372C0"/>
    <w:rsid w:val="00743004"/>
    <w:rsid w:val="0074429B"/>
    <w:rsid w:val="00745396"/>
    <w:rsid w:val="00746CA2"/>
    <w:rsid w:val="0075001E"/>
    <w:rsid w:val="00750271"/>
    <w:rsid w:val="00751711"/>
    <w:rsid w:val="00752E7E"/>
    <w:rsid w:val="00753E1E"/>
    <w:rsid w:val="0075507A"/>
    <w:rsid w:val="00755654"/>
    <w:rsid w:val="00755E13"/>
    <w:rsid w:val="007610AE"/>
    <w:rsid w:val="0076127A"/>
    <w:rsid w:val="00761801"/>
    <w:rsid w:val="00770790"/>
    <w:rsid w:val="00770C4F"/>
    <w:rsid w:val="00771993"/>
    <w:rsid w:val="00773097"/>
    <w:rsid w:val="007737CA"/>
    <w:rsid w:val="007755DD"/>
    <w:rsid w:val="00780DC1"/>
    <w:rsid w:val="0078204C"/>
    <w:rsid w:val="00782A8C"/>
    <w:rsid w:val="00790CC9"/>
    <w:rsid w:val="00795E5E"/>
    <w:rsid w:val="00797576"/>
    <w:rsid w:val="007A37D8"/>
    <w:rsid w:val="007A3D1E"/>
    <w:rsid w:val="007A4B86"/>
    <w:rsid w:val="007A5163"/>
    <w:rsid w:val="007A5786"/>
    <w:rsid w:val="007A57D2"/>
    <w:rsid w:val="007A75E4"/>
    <w:rsid w:val="007B2D5A"/>
    <w:rsid w:val="007B2E31"/>
    <w:rsid w:val="007B4C42"/>
    <w:rsid w:val="007B5A61"/>
    <w:rsid w:val="007B5C96"/>
    <w:rsid w:val="007B61F8"/>
    <w:rsid w:val="007B6BFD"/>
    <w:rsid w:val="007B776A"/>
    <w:rsid w:val="007B77A8"/>
    <w:rsid w:val="007C289D"/>
    <w:rsid w:val="007C3D2E"/>
    <w:rsid w:val="007C4C91"/>
    <w:rsid w:val="007C63A9"/>
    <w:rsid w:val="007C7726"/>
    <w:rsid w:val="007D0CEA"/>
    <w:rsid w:val="007D1F1B"/>
    <w:rsid w:val="007D42E1"/>
    <w:rsid w:val="007DF183"/>
    <w:rsid w:val="007E0C7C"/>
    <w:rsid w:val="007E3BDE"/>
    <w:rsid w:val="007F05C5"/>
    <w:rsid w:val="007F1259"/>
    <w:rsid w:val="007F24DE"/>
    <w:rsid w:val="007F61DE"/>
    <w:rsid w:val="00800009"/>
    <w:rsid w:val="008005ED"/>
    <w:rsid w:val="00800A9C"/>
    <w:rsid w:val="00801B28"/>
    <w:rsid w:val="008025C1"/>
    <w:rsid w:val="00804418"/>
    <w:rsid w:val="008052E7"/>
    <w:rsid w:val="008101FE"/>
    <w:rsid w:val="008120E3"/>
    <w:rsid w:val="0081354B"/>
    <w:rsid w:val="00813580"/>
    <w:rsid w:val="00813AFF"/>
    <w:rsid w:val="00815023"/>
    <w:rsid w:val="00815883"/>
    <w:rsid w:val="00817B66"/>
    <w:rsid w:val="008204A1"/>
    <w:rsid w:val="008207CF"/>
    <w:rsid w:val="008207F5"/>
    <w:rsid w:val="0082125B"/>
    <w:rsid w:val="0082194E"/>
    <w:rsid w:val="008265BF"/>
    <w:rsid w:val="00827BE6"/>
    <w:rsid w:val="00833D9E"/>
    <w:rsid w:val="00836615"/>
    <w:rsid w:val="00843493"/>
    <w:rsid w:val="00843758"/>
    <w:rsid w:val="00847779"/>
    <w:rsid w:val="00850350"/>
    <w:rsid w:val="008518DA"/>
    <w:rsid w:val="00851EE5"/>
    <w:rsid w:val="00852C9A"/>
    <w:rsid w:val="008549DC"/>
    <w:rsid w:val="008557BB"/>
    <w:rsid w:val="0085660B"/>
    <w:rsid w:val="008637B5"/>
    <w:rsid w:val="00864794"/>
    <w:rsid w:val="00864A91"/>
    <w:rsid w:val="00871D2E"/>
    <w:rsid w:val="008746A0"/>
    <w:rsid w:val="00876B5F"/>
    <w:rsid w:val="00877538"/>
    <w:rsid w:val="00880BBC"/>
    <w:rsid w:val="008816BC"/>
    <w:rsid w:val="008870BB"/>
    <w:rsid w:val="00887A09"/>
    <w:rsid w:val="00887E24"/>
    <w:rsid w:val="0089011B"/>
    <w:rsid w:val="008911BD"/>
    <w:rsid w:val="00891F80"/>
    <w:rsid w:val="00893218"/>
    <w:rsid w:val="00893BF0"/>
    <w:rsid w:val="00895CF2"/>
    <w:rsid w:val="008A05A3"/>
    <w:rsid w:val="008A0DD4"/>
    <w:rsid w:val="008A0F8C"/>
    <w:rsid w:val="008A1BF5"/>
    <w:rsid w:val="008A2323"/>
    <w:rsid w:val="008A3462"/>
    <w:rsid w:val="008A3695"/>
    <w:rsid w:val="008A3971"/>
    <w:rsid w:val="008A4C6E"/>
    <w:rsid w:val="008A73BC"/>
    <w:rsid w:val="008B0CC7"/>
    <w:rsid w:val="008B351E"/>
    <w:rsid w:val="008B354E"/>
    <w:rsid w:val="008B4120"/>
    <w:rsid w:val="008B6249"/>
    <w:rsid w:val="008C0B59"/>
    <w:rsid w:val="008C1CC2"/>
    <w:rsid w:val="008C1ED9"/>
    <w:rsid w:val="008C423C"/>
    <w:rsid w:val="008C5D10"/>
    <w:rsid w:val="008C7B15"/>
    <w:rsid w:val="008D0804"/>
    <w:rsid w:val="008D0BF2"/>
    <w:rsid w:val="008D2089"/>
    <w:rsid w:val="008D2111"/>
    <w:rsid w:val="008D2444"/>
    <w:rsid w:val="008D51BC"/>
    <w:rsid w:val="008D6610"/>
    <w:rsid w:val="008E06A9"/>
    <w:rsid w:val="008E14CD"/>
    <w:rsid w:val="008E4695"/>
    <w:rsid w:val="008E7E87"/>
    <w:rsid w:val="008E7F05"/>
    <w:rsid w:val="008F0949"/>
    <w:rsid w:val="008F2C50"/>
    <w:rsid w:val="008F35DF"/>
    <w:rsid w:val="008F496E"/>
    <w:rsid w:val="008F5625"/>
    <w:rsid w:val="0090006A"/>
    <w:rsid w:val="00902D94"/>
    <w:rsid w:val="00903317"/>
    <w:rsid w:val="009046FB"/>
    <w:rsid w:val="00904913"/>
    <w:rsid w:val="00905151"/>
    <w:rsid w:val="009076B1"/>
    <w:rsid w:val="0091276D"/>
    <w:rsid w:val="009136A8"/>
    <w:rsid w:val="009145D5"/>
    <w:rsid w:val="00914AAE"/>
    <w:rsid w:val="00915C7B"/>
    <w:rsid w:val="00915FEE"/>
    <w:rsid w:val="009169BF"/>
    <w:rsid w:val="00917C25"/>
    <w:rsid w:val="00921211"/>
    <w:rsid w:val="009213B8"/>
    <w:rsid w:val="009225A5"/>
    <w:rsid w:val="00922DE2"/>
    <w:rsid w:val="00923408"/>
    <w:rsid w:val="009235F3"/>
    <w:rsid w:val="0092495F"/>
    <w:rsid w:val="00925FD9"/>
    <w:rsid w:val="0092651C"/>
    <w:rsid w:val="009311CB"/>
    <w:rsid w:val="00932A96"/>
    <w:rsid w:val="009409F2"/>
    <w:rsid w:val="009412EA"/>
    <w:rsid w:val="00941BF1"/>
    <w:rsid w:val="0094570B"/>
    <w:rsid w:val="00945A10"/>
    <w:rsid w:val="00947C54"/>
    <w:rsid w:val="00950FDF"/>
    <w:rsid w:val="00954FE7"/>
    <w:rsid w:val="00955049"/>
    <w:rsid w:val="00956FF8"/>
    <w:rsid w:val="00960C24"/>
    <w:rsid w:val="00960F9C"/>
    <w:rsid w:val="009617FB"/>
    <w:rsid w:val="00961DEC"/>
    <w:rsid w:val="009637D2"/>
    <w:rsid w:val="00965DD0"/>
    <w:rsid w:val="0097047A"/>
    <w:rsid w:val="00971956"/>
    <w:rsid w:val="0097212B"/>
    <w:rsid w:val="00973846"/>
    <w:rsid w:val="00977507"/>
    <w:rsid w:val="00977544"/>
    <w:rsid w:val="009809D7"/>
    <w:rsid w:val="00980C11"/>
    <w:rsid w:val="0098392B"/>
    <w:rsid w:val="00985722"/>
    <w:rsid w:val="00986102"/>
    <w:rsid w:val="00986CD9"/>
    <w:rsid w:val="009877B6"/>
    <w:rsid w:val="009903B5"/>
    <w:rsid w:val="0099408D"/>
    <w:rsid w:val="00994CFF"/>
    <w:rsid w:val="00997CDA"/>
    <w:rsid w:val="009A0885"/>
    <w:rsid w:val="009A2218"/>
    <w:rsid w:val="009A66F4"/>
    <w:rsid w:val="009A783B"/>
    <w:rsid w:val="009B326D"/>
    <w:rsid w:val="009B67E1"/>
    <w:rsid w:val="009B71CF"/>
    <w:rsid w:val="009C0949"/>
    <w:rsid w:val="009C2E99"/>
    <w:rsid w:val="009C372A"/>
    <w:rsid w:val="009C4A8C"/>
    <w:rsid w:val="009C5A4C"/>
    <w:rsid w:val="009C780F"/>
    <w:rsid w:val="009D2A89"/>
    <w:rsid w:val="009D3BD8"/>
    <w:rsid w:val="009D4F46"/>
    <w:rsid w:val="009D5551"/>
    <w:rsid w:val="009D5CC6"/>
    <w:rsid w:val="009D67F6"/>
    <w:rsid w:val="009D7AB4"/>
    <w:rsid w:val="009E1979"/>
    <w:rsid w:val="009E1EC8"/>
    <w:rsid w:val="009E3FD5"/>
    <w:rsid w:val="009E5131"/>
    <w:rsid w:val="009E5612"/>
    <w:rsid w:val="009E5CD6"/>
    <w:rsid w:val="009F1C21"/>
    <w:rsid w:val="009F2AEB"/>
    <w:rsid w:val="009F2F85"/>
    <w:rsid w:val="009F496C"/>
    <w:rsid w:val="009F5850"/>
    <w:rsid w:val="00A0004B"/>
    <w:rsid w:val="00A03B51"/>
    <w:rsid w:val="00A049B4"/>
    <w:rsid w:val="00A0718B"/>
    <w:rsid w:val="00A10226"/>
    <w:rsid w:val="00A119F8"/>
    <w:rsid w:val="00A1305A"/>
    <w:rsid w:val="00A20B3E"/>
    <w:rsid w:val="00A2136B"/>
    <w:rsid w:val="00A26786"/>
    <w:rsid w:val="00A31BCB"/>
    <w:rsid w:val="00A329E6"/>
    <w:rsid w:val="00A33FF7"/>
    <w:rsid w:val="00A3495D"/>
    <w:rsid w:val="00A35542"/>
    <w:rsid w:val="00A36684"/>
    <w:rsid w:val="00A375E7"/>
    <w:rsid w:val="00A378A4"/>
    <w:rsid w:val="00A41BD1"/>
    <w:rsid w:val="00A421F0"/>
    <w:rsid w:val="00A47D26"/>
    <w:rsid w:val="00A5049A"/>
    <w:rsid w:val="00A511BE"/>
    <w:rsid w:val="00A5276E"/>
    <w:rsid w:val="00A52E32"/>
    <w:rsid w:val="00A5588C"/>
    <w:rsid w:val="00A60628"/>
    <w:rsid w:val="00A6168B"/>
    <w:rsid w:val="00A62D70"/>
    <w:rsid w:val="00A6415A"/>
    <w:rsid w:val="00A64E82"/>
    <w:rsid w:val="00A659E4"/>
    <w:rsid w:val="00A67ABC"/>
    <w:rsid w:val="00A754D9"/>
    <w:rsid w:val="00A76B0A"/>
    <w:rsid w:val="00A76F83"/>
    <w:rsid w:val="00A81BF1"/>
    <w:rsid w:val="00A91621"/>
    <w:rsid w:val="00A93FBE"/>
    <w:rsid w:val="00A95EA3"/>
    <w:rsid w:val="00A97612"/>
    <w:rsid w:val="00AA16D0"/>
    <w:rsid w:val="00AA308A"/>
    <w:rsid w:val="00AA32C2"/>
    <w:rsid w:val="00AA53C7"/>
    <w:rsid w:val="00AA5A4D"/>
    <w:rsid w:val="00AB03E8"/>
    <w:rsid w:val="00AB1F85"/>
    <w:rsid w:val="00AB2CBF"/>
    <w:rsid w:val="00AB2D5C"/>
    <w:rsid w:val="00AB43BC"/>
    <w:rsid w:val="00AB68AD"/>
    <w:rsid w:val="00AB79FD"/>
    <w:rsid w:val="00AC1161"/>
    <w:rsid w:val="00AC1F69"/>
    <w:rsid w:val="00AC4FA8"/>
    <w:rsid w:val="00AC5190"/>
    <w:rsid w:val="00AC5B83"/>
    <w:rsid w:val="00AC7F2E"/>
    <w:rsid w:val="00AD1A08"/>
    <w:rsid w:val="00AD20B5"/>
    <w:rsid w:val="00AD3A59"/>
    <w:rsid w:val="00AD641B"/>
    <w:rsid w:val="00AD7CB2"/>
    <w:rsid w:val="00AE0567"/>
    <w:rsid w:val="00AE329B"/>
    <w:rsid w:val="00AE37B1"/>
    <w:rsid w:val="00AE430F"/>
    <w:rsid w:val="00AF08D1"/>
    <w:rsid w:val="00AF09FF"/>
    <w:rsid w:val="00AF1EE4"/>
    <w:rsid w:val="00AF6A6D"/>
    <w:rsid w:val="00AF7C50"/>
    <w:rsid w:val="00B01332"/>
    <w:rsid w:val="00B02A55"/>
    <w:rsid w:val="00B02E4D"/>
    <w:rsid w:val="00B04654"/>
    <w:rsid w:val="00B04B4F"/>
    <w:rsid w:val="00B0561F"/>
    <w:rsid w:val="00B05BA5"/>
    <w:rsid w:val="00B06219"/>
    <w:rsid w:val="00B07798"/>
    <w:rsid w:val="00B1073A"/>
    <w:rsid w:val="00B10EB9"/>
    <w:rsid w:val="00B13A12"/>
    <w:rsid w:val="00B155D5"/>
    <w:rsid w:val="00B1797F"/>
    <w:rsid w:val="00B20BEA"/>
    <w:rsid w:val="00B2355A"/>
    <w:rsid w:val="00B24641"/>
    <w:rsid w:val="00B259BA"/>
    <w:rsid w:val="00B271EE"/>
    <w:rsid w:val="00B27531"/>
    <w:rsid w:val="00B348AC"/>
    <w:rsid w:val="00B36D30"/>
    <w:rsid w:val="00B436FE"/>
    <w:rsid w:val="00B43C31"/>
    <w:rsid w:val="00B45E5A"/>
    <w:rsid w:val="00B46064"/>
    <w:rsid w:val="00B50946"/>
    <w:rsid w:val="00B523B0"/>
    <w:rsid w:val="00B5350A"/>
    <w:rsid w:val="00B545AF"/>
    <w:rsid w:val="00B54A3F"/>
    <w:rsid w:val="00B54EB6"/>
    <w:rsid w:val="00B6249F"/>
    <w:rsid w:val="00B624C9"/>
    <w:rsid w:val="00B659E6"/>
    <w:rsid w:val="00B65C7E"/>
    <w:rsid w:val="00B70BD8"/>
    <w:rsid w:val="00B7248B"/>
    <w:rsid w:val="00B72805"/>
    <w:rsid w:val="00B73D09"/>
    <w:rsid w:val="00B74E09"/>
    <w:rsid w:val="00B75597"/>
    <w:rsid w:val="00B75A19"/>
    <w:rsid w:val="00B82EDA"/>
    <w:rsid w:val="00B86470"/>
    <w:rsid w:val="00B86F7D"/>
    <w:rsid w:val="00B87E0E"/>
    <w:rsid w:val="00B92F8A"/>
    <w:rsid w:val="00B93F30"/>
    <w:rsid w:val="00B94B39"/>
    <w:rsid w:val="00B971F1"/>
    <w:rsid w:val="00BA11A9"/>
    <w:rsid w:val="00BB094D"/>
    <w:rsid w:val="00BB15E4"/>
    <w:rsid w:val="00BB1B13"/>
    <w:rsid w:val="00BB45B8"/>
    <w:rsid w:val="00BB7EC7"/>
    <w:rsid w:val="00BC0FA8"/>
    <w:rsid w:val="00BC6B05"/>
    <w:rsid w:val="00BD0A0C"/>
    <w:rsid w:val="00BD1447"/>
    <w:rsid w:val="00BD212C"/>
    <w:rsid w:val="00BD21C1"/>
    <w:rsid w:val="00BD32B8"/>
    <w:rsid w:val="00BD363B"/>
    <w:rsid w:val="00BD48A3"/>
    <w:rsid w:val="00BD49DD"/>
    <w:rsid w:val="00BD6CA2"/>
    <w:rsid w:val="00BD7862"/>
    <w:rsid w:val="00BE00FC"/>
    <w:rsid w:val="00BE0261"/>
    <w:rsid w:val="00BE0888"/>
    <w:rsid w:val="00BE19C5"/>
    <w:rsid w:val="00BE2A75"/>
    <w:rsid w:val="00BE2E60"/>
    <w:rsid w:val="00BE392E"/>
    <w:rsid w:val="00BE527E"/>
    <w:rsid w:val="00BE5889"/>
    <w:rsid w:val="00BE5FC7"/>
    <w:rsid w:val="00BE693F"/>
    <w:rsid w:val="00BE711A"/>
    <w:rsid w:val="00BF0536"/>
    <w:rsid w:val="00BF297B"/>
    <w:rsid w:val="00BF3111"/>
    <w:rsid w:val="00BF38F1"/>
    <w:rsid w:val="00BF462A"/>
    <w:rsid w:val="00BF4D4E"/>
    <w:rsid w:val="00BF5576"/>
    <w:rsid w:val="00BF56EF"/>
    <w:rsid w:val="00BF602B"/>
    <w:rsid w:val="00C01B01"/>
    <w:rsid w:val="00C0210C"/>
    <w:rsid w:val="00C036C0"/>
    <w:rsid w:val="00C10982"/>
    <w:rsid w:val="00C10C5D"/>
    <w:rsid w:val="00C10E99"/>
    <w:rsid w:val="00C12C4E"/>
    <w:rsid w:val="00C14AF9"/>
    <w:rsid w:val="00C14C74"/>
    <w:rsid w:val="00C14FA0"/>
    <w:rsid w:val="00C1613D"/>
    <w:rsid w:val="00C24730"/>
    <w:rsid w:val="00C27AA2"/>
    <w:rsid w:val="00C30580"/>
    <w:rsid w:val="00C318F5"/>
    <w:rsid w:val="00C33183"/>
    <w:rsid w:val="00C3476E"/>
    <w:rsid w:val="00C366B2"/>
    <w:rsid w:val="00C36D4B"/>
    <w:rsid w:val="00C4263F"/>
    <w:rsid w:val="00C44039"/>
    <w:rsid w:val="00C44876"/>
    <w:rsid w:val="00C47EED"/>
    <w:rsid w:val="00C51D26"/>
    <w:rsid w:val="00C5471B"/>
    <w:rsid w:val="00C55B1C"/>
    <w:rsid w:val="00C569FA"/>
    <w:rsid w:val="00C57649"/>
    <w:rsid w:val="00C57E01"/>
    <w:rsid w:val="00C61242"/>
    <w:rsid w:val="00C63671"/>
    <w:rsid w:val="00C64312"/>
    <w:rsid w:val="00C711F0"/>
    <w:rsid w:val="00C72BCB"/>
    <w:rsid w:val="00C72D1B"/>
    <w:rsid w:val="00C731A6"/>
    <w:rsid w:val="00C736BA"/>
    <w:rsid w:val="00C75219"/>
    <w:rsid w:val="00C7621F"/>
    <w:rsid w:val="00C802B3"/>
    <w:rsid w:val="00C80AFF"/>
    <w:rsid w:val="00C82666"/>
    <w:rsid w:val="00C82B5C"/>
    <w:rsid w:val="00C82BDD"/>
    <w:rsid w:val="00C8517F"/>
    <w:rsid w:val="00C87E2A"/>
    <w:rsid w:val="00C925D1"/>
    <w:rsid w:val="00C92E58"/>
    <w:rsid w:val="00C949DA"/>
    <w:rsid w:val="00C949FF"/>
    <w:rsid w:val="00C96605"/>
    <w:rsid w:val="00C979DF"/>
    <w:rsid w:val="00C97BDB"/>
    <w:rsid w:val="00CA03C7"/>
    <w:rsid w:val="00CA2539"/>
    <w:rsid w:val="00CB034F"/>
    <w:rsid w:val="00CB0551"/>
    <w:rsid w:val="00CB0B8C"/>
    <w:rsid w:val="00CB22ED"/>
    <w:rsid w:val="00CB3F64"/>
    <w:rsid w:val="00CB4CFA"/>
    <w:rsid w:val="00CB54C1"/>
    <w:rsid w:val="00CB6272"/>
    <w:rsid w:val="00CC17E3"/>
    <w:rsid w:val="00CC263E"/>
    <w:rsid w:val="00CC3051"/>
    <w:rsid w:val="00CC3BA2"/>
    <w:rsid w:val="00CC44B7"/>
    <w:rsid w:val="00CC4FB7"/>
    <w:rsid w:val="00CD49FC"/>
    <w:rsid w:val="00CD6FAE"/>
    <w:rsid w:val="00CD73F6"/>
    <w:rsid w:val="00CE36D9"/>
    <w:rsid w:val="00CE44FB"/>
    <w:rsid w:val="00CE4E2A"/>
    <w:rsid w:val="00CF202B"/>
    <w:rsid w:val="00CF2062"/>
    <w:rsid w:val="00CF26C3"/>
    <w:rsid w:val="00CF4F2F"/>
    <w:rsid w:val="00CF6994"/>
    <w:rsid w:val="00CF7B4E"/>
    <w:rsid w:val="00D01FBA"/>
    <w:rsid w:val="00D036C2"/>
    <w:rsid w:val="00D05B34"/>
    <w:rsid w:val="00D07B4B"/>
    <w:rsid w:val="00D07EB5"/>
    <w:rsid w:val="00D10022"/>
    <w:rsid w:val="00D127E1"/>
    <w:rsid w:val="00D15434"/>
    <w:rsid w:val="00D1690A"/>
    <w:rsid w:val="00D17A74"/>
    <w:rsid w:val="00D210A3"/>
    <w:rsid w:val="00D22B15"/>
    <w:rsid w:val="00D230C9"/>
    <w:rsid w:val="00D25056"/>
    <w:rsid w:val="00D25D6A"/>
    <w:rsid w:val="00D25E47"/>
    <w:rsid w:val="00D26350"/>
    <w:rsid w:val="00D3124C"/>
    <w:rsid w:val="00D34A10"/>
    <w:rsid w:val="00D36211"/>
    <w:rsid w:val="00D450B6"/>
    <w:rsid w:val="00D45BFC"/>
    <w:rsid w:val="00D467CC"/>
    <w:rsid w:val="00D46C55"/>
    <w:rsid w:val="00D50C2A"/>
    <w:rsid w:val="00D56651"/>
    <w:rsid w:val="00D57C52"/>
    <w:rsid w:val="00D601B8"/>
    <w:rsid w:val="00D60BD5"/>
    <w:rsid w:val="00D63785"/>
    <w:rsid w:val="00D6380A"/>
    <w:rsid w:val="00D64486"/>
    <w:rsid w:val="00D6648C"/>
    <w:rsid w:val="00D66518"/>
    <w:rsid w:val="00D703F9"/>
    <w:rsid w:val="00D715A1"/>
    <w:rsid w:val="00D741A4"/>
    <w:rsid w:val="00D764B2"/>
    <w:rsid w:val="00D76AB8"/>
    <w:rsid w:val="00D76DEB"/>
    <w:rsid w:val="00D76EDE"/>
    <w:rsid w:val="00D77D53"/>
    <w:rsid w:val="00D851D5"/>
    <w:rsid w:val="00D87ABA"/>
    <w:rsid w:val="00D90DB6"/>
    <w:rsid w:val="00D92DEB"/>
    <w:rsid w:val="00D93630"/>
    <w:rsid w:val="00D942EF"/>
    <w:rsid w:val="00D94641"/>
    <w:rsid w:val="00D94F3B"/>
    <w:rsid w:val="00D95148"/>
    <w:rsid w:val="00D963DF"/>
    <w:rsid w:val="00D97766"/>
    <w:rsid w:val="00DA217A"/>
    <w:rsid w:val="00DA30DE"/>
    <w:rsid w:val="00DA4A13"/>
    <w:rsid w:val="00DA55A4"/>
    <w:rsid w:val="00DA6D8E"/>
    <w:rsid w:val="00DA7C15"/>
    <w:rsid w:val="00DB365C"/>
    <w:rsid w:val="00DB7D5D"/>
    <w:rsid w:val="00DC2A76"/>
    <w:rsid w:val="00DC5788"/>
    <w:rsid w:val="00DC5854"/>
    <w:rsid w:val="00DC6B62"/>
    <w:rsid w:val="00DD0913"/>
    <w:rsid w:val="00DD1F90"/>
    <w:rsid w:val="00DD2784"/>
    <w:rsid w:val="00DD39F1"/>
    <w:rsid w:val="00DD51CB"/>
    <w:rsid w:val="00DD6F31"/>
    <w:rsid w:val="00DE0B6B"/>
    <w:rsid w:val="00DE0F55"/>
    <w:rsid w:val="00DE21CE"/>
    <w:rsid w:val="00DE67FC"/>
    <w:rsid w:val="00DE7AC0"/>
    <w:rsid w:val="00DF0780"/>
    <w:rsid w:val="00DF07F9"/>
    <w:rsid w:val="00DF0FA2"/>
    <w:rsid w:val="00DF3015"/>
    <w:rsid w:val="00DF38BA"/>
    <w:rsid w:val="00DF4873"/>
    <w:rsid w:val="00DF59A2"/>
    <w:rsid w:val="00DF6471"/>
    <w:rsid w:val="00DF6C2E"/>
    <w:rsid w:val="00DF743A"/>
    <w:rsid w:val="00DF7703"/>
    <w:rsid w:val="00E0196D"/>
    <w:rsid w:val="00E03F11"/>
    <w:rsid w:val="00E04C77"/>
    <w:rsid w:val="00E05BC7"/>
    <w:rsid w:val="00E07757"/>
    <w:rsid w:val="00E07F2F"/>
    <w:rsid w:val="00E11307"/>
    <w:rsid w:val="00E114F2"/>
    <w:rsid w:val="00E119EB"/>
    <w:rsid w:val="00E120BC"/>
    <w:rsid w:val="00E12757"/>
    <w:rsid w:val="00E15D94"/>
    <w:rsid w:val="00E173A2"/>
    <w:rsid w:val="00E2308A"/>
    <w:rsid w:val="00E24CD9"/>
    <w:rsid w:val="00E2640C"/>
    <w:rsid w:val="00E3063E"/>
    <w:rsid w:val="00E31997"/>
    <w:rsid w:val="00E31F25"/>
    <w:rsid w:val="00E32ED1"/>
    <w:rsid w:val="00E3318F"/>
    <w:rsid w:val="00E3597B"/>
    <w:rsid w:val="00E35998"/>
    <w:rsid w:val="00E35E64"/>
    <w:rsid w:val="00E40102"/>
    <w:rsid w:val="00E42AF7"/>
    <w:rsid w:val="00E446A9"/>
    <w:rsid w:val="00E46B26"/>
    <w:rsid w:val="00E46E6E"/>
    <w:rsid w:val="00E4737F"/>
    <w:rsid w:val="00E51AB5"/>
    <w:rsid w:val="00E52358"/>
    <w:rsid w:val="00E6101D"/>
    <w:rsid w:val="00E63892"/>
    <w:rsid w:val="00E677B8"/>
    <w:rsid w:val="00E716C1"/>
    <w:rsid w:val="00E76C89"/>
    <w:rsid w:val="00E776BE"/>
    <w:rsid w:val="00E80A31"/>
    <w:rsid w:val="00E82F2F"/>
    <w:rsid w:val="00E83F59"/>
    <w:rsid w:val="00E85DCF"/>
    <w:rsid w:val="00E90801"/>
    <w:rsid w:val="00E90C52"/>
    <w:rsid w:val="00E916FB"/>
    <w:rsid w:val="00E9228F"/>
    <w:rsid w:val="00E933C6"/>
    <w:rsid w:val="00E9485E"/>
    <w:rsid w:val="00E95947"/>
    <w:rsid w:val="00E9672A"/>
    <w:rsid w:val="00EA043A"/>
    <w:rsid w:val="00EA20CE"/>
    <w:rsid w:val="00EA485C"/>
    <w:rsid w:val="00EA588F"/>
    <w:rsid w:val="00EA6091"/>
    <w:rsid w:val="00EA7751"/>
    <w:rsid w:val="00EB12BC"/>
    <w:rsid w:val="00EB3A47"/>
    <w:rsid w:val="00EB5437"/>
    <w:rsid w:val="00EB596E"/>
    <w:rsid w:val="00EB69A2"/>
    <w:rsid w:val="00EB7F2A"/>
    <w:rsid w:val="00EC6DB9"/>
    <w:rsid w:val="00EC7C77"/>
    <w:rsid w:val="00ED0314"/>
    <w:rsid w:val="00ED33C8"/>
    <w:rsid w:val="00ED36EB"/>
    <w:rsid w:val="00ED3ABA"/>
    <w:rsid w:val="00ED3F07"/>
    <w:rsid w:val="00EE3D6A"/>
    <w:rsid w:val="00EE7448"/>
    <w:rsid w:val="00EF1C41"/>
    <w:rsid w:val="00EF3F72"/>
    <w:rsid w:val="00EF4774"/>
    <w:rsid w:val="00EF76FE"/>
    <w:rsid w:val="00F027FE"/>
    <w:rsid w:val="00F06AF1"/>
    <w:rsid w:val="00F07227"/>
    <w:rsid w:val="00F07CCE"/>
    <w:rsid w:val="00F07D06"/>
    <w:rsid w:val="00F16448"/>
    <w:rsid w:val="00F201A3"/>
    <w:rsid w:val="00F21141"/>
    <w:rsid w:val="00F22BB2"/>
    <w:rsid w:val="00F23EB5"/>
    <w:rsid w:val="00F25853"/>
    <w:rsid w:val="00F31794"/>
    <w:rsid w:val="00F3278B"/>
    <w:rsid w:val="00F33BF5"/>
    <w:rsid w:val="00F34C2E"/>
    <w:rsid w:val="00F37925"/>
    <w:rsid w:val="00F402BB"/>
    <w:rsid w:val="00F4174B"/>
    <w:rsid w:val="00F41AFB"/>
    <w:rsid w:val="00F454FA"/>
    <w:rsid w:val="00F46BA5"/>
    <w:rsid w:val="00F46D7B"/>
    <w:rsid w:val="00F4747C"/>
    <w:rsid w:val="00F47DA4"/>
    <w:rsid w:val="00F509BE"/>
    <w:rsid w:val="00F51097"/>
    <w:rsid w:val="00F52314"/>
    <w:rsid w:val="00F52778"/>
    <w:rsid w:val="00F5347B"/>
    <w:rsid w:val="00F54385"/>
    <w:rsid w:val="00F560A7"/>
    <w:rsid w:val="00F564CE"/>
    <w:rsid w:val="00F61EB5"/>
    <w:rsid w:val="00F62F4A"/>
    <w:rsid w:val="00F62F7B"/>
    <w:rsid w:val="00F67047"/>
    <w:rsid w:val="00F7087C"/>
    <w:rsid w:val="00F73882"/>
    <w:rsid w:val="00F73BD8"/>
    <w:rsid w:val="00F75FA7"/>
    <w:rsid w:val="00F77945"/>
    <w:rsid w:val="00F77C2C"/>
    <w:rsid w:val="00F86C4D"/>
    <w:rsid w:val="00F875C9"/>
    <w:rsid w:val="00F877B0"/>
    <w:rsid w:val="00F92527"/>
    <w:rsid w:val="00F943B6"/>
    <w:rsid w:val="00F94811"/>
    <w:rsid w:val="00F94D65"/>
    <w:rsid w:val="00F95900"/>
    <w:rsid w:val="00F969D8"/>
    <w:rsid w:val="00FA45D9"/>
    <w:rsid w:val="00FA4BAD"/>
    <w:rsid w:val="00FA4C0A"/>
    <w:rsid w:val="00FA4CBC"/>
    <w:rsid w:val="00FA4FF8"/>
    <w:rsid w:val="00FA56B3"/>
    <w:rsid w:val="00FA61AC"/>
    <w:rsid w:val="00FA655F"/>
    <w:rsid w:val="00FA6866"/>
    <w:rsid w:val="00FA6A13"/>
    <w:rsid w:val="00FB1D75"/>
    <w:rsid w:val="00FB1E06"/>
    <w:rsid w:val="00FB4681"/>
    <w:rsid w:val="00FB4DEB"/>
    <w:rsid w:val="00FB76DF"/>
    <w:rsid w:val="00FB7E98"/>
    <w:rsid w:val="00FD2347"/>
    <w:rsid w:val="00FD2E81"/>
    <w:rsid w:val="00FD3882"/>
    <w:rsid w:val="00FD6812"/>
    <w:rsid w:val="00FD750F"/>
    <w:rsid w:val="00FE13EF"/>
    <w:rsid w:val="00FE163F"/>
    <w:rsid w:val="00FE2365"/>
    <w:rsid w:val="00FE47C6"/>
    <w:rsid w:val="00FE531D"/>
    <w:rsid w:val="00FE5506"/>
    <w:rsid w:val="00FE78BF"/>
    <w:rsid w:val="00FF301C"/>
    <w:rsid w:val="00FF4978"/>
    <w:rsid w:val="00FF7E76"/>
    <w:rsid w:val="0210C3F1"/>
    <w:rsid w:val="0219C1E4"/>
    <w:rsid w:val="03CA1569"/>
    <w:rsid w:val="04063762"/>
    <w:rsid w:val="04782040"/>
    <w:rsid w:val="04800DC6"/>
    <w:rsid w:val="0586334D"/>
    <w:rsid w:val="058A3C9B"/>
    <w:rsid w:val="05A207C3"/>
    <w:rsid w:val="06015D9A"/>
    <w:rsid w:val="0620F2FB"/>
    <w:rsid w:val="067CA8D4"/>
    <w:rsid w:val="06A0A0AA"/>
    <w:rsid w:val="06B097BD"/>
    <w:rsid w:val="06DADD50"/>
    <w:rsid w:val="075EED0C"/>
    <w:rsid w:val="07AEF7B4"/>
    <w:rsid w:val="08257FAC"/>
    <w:rsid w:val="08705F55"/>
    <w:rsid w:val="08D9A885"/>
    <w:rsid w:val="09B4EBA6"/>
    <w:rsid w:val="09FE7798"/>
    <w:rsid w:val="0AC7D67A"/>
    <w:rsid w:val="0B35DDED"/>
    <w:rsid w:val="0B50BC07"/>
    <w:rsid w:val="0BB417F1"/>
    <w:rsid w:val="0BF69F05"/>
    <w:rsid w:val="0C6BF9E5"/>
    <w:rsid w:val="0C90347F"/>
    <w:rsid w:val="0D58F22E"/>
    <w:rsid w:val="0D766933"/>
    <w:rsid w:val="0DB3D3C5"/>
    <w:rsid w:val="0E26F00C"/>
    <w:rsid w:val="0E8DD85F"/>
    <w:rsid w:val="0EDE0426"/>
    <w:rsid w:val="0F936C25"/>
    <w:rsid w:val="0FBAD2E7"/>
    <w:rsid w:val="101D63FC"/>
    <w:rsid w:val="10F01762"/>
    <w:rsid w:val="11B393A4"/>
    <w:rsid w:val="11DDA761"/>
    <w:rsid w:val="11F73465"/>
    <w:rsid w:val="139304C6"/>
    <w:rsid w:val="142447B7"/>
    <w:rsid w:val="14EADA57"/>
    <w:rsid w:val="1561A6D2"/>
    <w:rsid w:val="1611E70D"/>
    <w:rsid w:val="165F5AFE"/>
    <w:rsid w:val="169DA3E9"/>
    <w:rsid w:val="173AC6F7"/>
    <w:rsid w:val="17CDD252"/>
    <w:rsid w:val="18C8AE6B"/>
    <w:rsid w:val="19022A83"/>
    <w:rsid w:val="193F7250"/>
    <w:rsid w:val="194D81DC"/>
    <w:rsid w:val="195BB648"/>
    <w:rsid w:val="1A427F77"/>
    <w:rsid w:val="1A557820"/>
    <w:rsid w:val="1A848A86"/>
    <w:rsid w:val="1AB8D37E"/>
    <w:rsid w:val="1B2A154D"/>
    <w:rsid w:val="1BAD8082"/>
    <w:rsid w:val="1BDA1041"/>
    <w:rsid w:val="1C5606C0"/>
    <w:rsid w:val="1DF1D721"/>
    <w:rsid w:val="1EA49225"/>
    <w:rsid w:val="1EE01846"/>
    <w:rsid w:val="2076EBAA"/>
    <w:rsid w:val="20A8A365"/>
    <w:rsid w:val="20B22F1A"/>
    <w:rsid w:val="20B6AD02"/>
    <w:rsid w:val="20C4B9A4"/>
    <w:rsid w:val="2114497A"/>
    <w:rsid w:val="211D402E"/>
    <w:rsid w:val="21A2716F"/>
    <w:rsid w:val="228573BE"/>
    <w:rsid w:val="23B65C64"/>
    <w:rsid w:val="24995A96"/>
    <w:rsid w:val="257808E2"/>
    <w:rsid w:val="2586EFF0"/>
    <w:rsid w:val="25A1260B"/>
    <w:rsid w:val="25CFD7FA"/>
    <w:rsid w:val="25E3C0A9"/>
    <w:rsid w:val="25FCCAE4"/>
    <w:rsid w:val="2720C813"/>
    <w:rsid w:val="274C8C0D"/>
    <w:rsid w:val="27668850"/>
    <w:rsid w:val="279CACE0"/>
    <w:rsid w:val="282D86B1"/>
    <w:rsid w:val="28342802"/>
    <w:rsid w:val="28886C22"/>
    <w:rsid w:val="28E6BFBB"/>
    <w:rsid w:val="28EDE9F9"/>
    <w:rsid w:val="291C8ECC"/>
    <w:rsid w:val="292C034E"/>
    <w:rsid w:val="2936FB5C"/>
    <w:rsid w:val="29573449"/>
    <w:rsid w:val="29A9DA3A"/>
    <w:rsid w:val="2A140F7D"/>
    <w:rsid w:val="2A5A6113"/>
    <w:rsid w:val="2A75DB61"/>
    <w:rsid w:val="2AAF09DA"/>
    <w:rsid w:val="2B1E9F64"/>
    <w:rsid w:val="2C9132EB"/>
    <w:rsid w:val="2CFB2F3E"/>
    <w:rsid w:val="2E67CC1A"/>
    <w:rsid w:val="2EECF578"/>
    <w:rsid w:val="2EFA976B"/>
    <w:rsid w:val="2F17D80E"/>
    <w:rsid w:val="2F2DD236"/>
    <w:rsid w:val="2F4B3310"/>
    <w:rsid w:val="2FE77529"/>
    <w:rsid w:val="30887D7C"/>
    <w:rsid w:val="308C8D9B"/>
    <w:rsid w:val="30B3A86F"/>
    <w:rsid w:val="30C9119A"/>
    <w:rsid w:val="314F6D28"/>
    <w:rsid w:val="31A50DF1"/>
    <w:rsid w:val="31EA9151"/>
    <w:rsid w:val="32021F10"/>
    <w:rsid w:val="32E0A3EA"/>
    <w:rsid w:val="33015A63"/>
    <w:rsid w:val="335E298D"/>
    <w:rsid w:val="338661B2"/>
    <w:rsid w:val="33C01E3E"/>
    <w:rsid w:val="33C7BAD1"/>
    <w:rsid w:val="3424AB2D"/>
    <w:rsid w:val="3432A80C"/>
    <w:rsid w:val="35704F15"/>
    <w:rsid w:val="35C07B8E"/>
    <w:rsid w:val="36652EFD"/>
    <w:rsid w:val="3671B0E7"/>
    <w:rsid w:val="36F7BF00"/>
    <w:rsid w:val="3792B368"/>
    <w:rsid w:val="37A418D6"/>
    <w:rsid w:val="37A78A20"/>
    <w:rsid w:val="37D880B4"/>
    <w:rsid w:val="3849A341"/>
    <w:rsid w:val="38DEF3F3"/>
    <w:rsid w:val="38F81C50"/>
    <w:rsid w:val="39621486"/>
    <w:rsid w:val="39A951A9"/>
    <w:rsid w:val="39F2432B"/>
    <w:rsid w:val="3A40F7A5"/>
    <w:rsid w:val="3B1FEED4"/>
    <w:rsid w:val="3B4E4DA8"/>
    <w:rsid w:val="3B6447D0"/>
    <w:rsid w:val="3B6699C1"/>
    <w:rsid w:val="3C055BB6"/>
    <w:rsid w:val="3C0C553E"/>
    <w:rsid w:val="3C3668FB"/>
    <w:rsid w:val="3CA83CA9"/>
    <w:rsid w:val="3CD0C3E9"/>
    <w:rsid w:val="3D0D0EF8"/>
    <w:rsid w:val="3D3E294C"/>
    <w:rsid w:val="3D9BFF9C"/>
    <w:rsid w:val="3DC14DFC"/>
    <w:rsid w:val="3F938B31"/>
    <w:rsid w:val="3FB67751"/>
    <w:rsid w:val="3FCCBB69"/>
    <w:rsid w:val="40395E3C"/>
    <w:rsid w:val="404DE9DD"/>
    <w:rsid w:val="40A9D61E"/>
    <w:rsid w:val="41E42CB3"/>
    <w:rsid w:val="41FCF804"/>
    <w:rsid w:val="4242A78A"/>
    <w:rsid w:val="4280FAB1"/>
    <w:rsid w:val="43DE2F8E"/>
    <w:rsid w:val="441CCB12"/>
    <w:rsid w:val="447DC6D1"/>
    <w:rsid w:val="44A1EB97"/>
    <w:rsid w:val="450B2A16"/>
    <w:rsid w:val="456D3982"/>
    <w:rsid w:val="4587EA3F"/>
    <w:rsid w:val="45D69F58"/>
    <w:rsid w:val="45DE455E"/>
    <w:rsid w:val="464A0A1B"/>
    <w:rsid w:val="46791C81"/>
    <w:rsid w:val="4715D050"/>
    <w:rsid w:val="477A15BF"/>
    <w:rsid w:val="47AB3FAA"/>
    <w:rsid w:val="48246CE4"/>
    <w:rsid w:val="4851D184"/>
    <w:rsid w:val="4936E0A7"/>
    <w:rsid w:val="49664D78"/>
    <w:rsid w:val="49C2CCFB"/>
    <w:rsid w:val="49EDA1E5"/>
    <w:rsid w:val="4A2BE3F9"/>
    <w:rsid w:val="4A56480A"/>
    <w:rsid w:val="4AEDD87A"/>
    <w:rsid w:val="4AFB3861"/>
    <w:rsid w:val="4C4F08C7"/>
    <w:rsid w:val="4C9708C2"/>
    <w:rsid w:val="4CA053F8"/>
    <w:rsid w:val="4CCDBF56"/>
    <w:rsid w:val="4D2C8013"/>
    <w:rsid w:val="4D40D80C"/>
    <w:rsid w:val="4D4DE92E"/>
    <w:rsid w:val="4E73A84C"/>
    <w:rsid w:val="4E98E3FF"/>
    <w:rsid w:val="4F5F1CD3"/>
    <w:rsid w:val="4F8A3848"/>
    <w:rsid w:val="507EA9F8"/>
    <w:rsid w:val="51016A8D"/>
    <w:rsid w:val="51F2A862"/>
    <w:rsid w:val="523F2AC6"/>
    <w:rsid w:val="52512B6D"/>
    <w:rsid w:val="527B21FE"/>
    <w:rsid w:val="53201C4E"/>
    <w:rsid w:val="538FBCF6"/>
    <w:rsid w:val="53D8F756"/>
    <w:rsid w:val="54794072"/>
    <w:rsid w:val="547F0908"/>
    <w:rsid w:val="54BBECAF"/>
    <w:rsid w:val="55B78F7A"/>
    <w:rsid w:val="5644D080"/>
    <w:rsid w:val="56501FE3"/>
    <w:rsid w:val="56BC65AA"/>
    <w:rsid w:val="56C75DB8"/>
    <w:rsid w:val="56DAD599"/>
    <w:rsid w:val="57109818"/>
    <w:rsid w:val="57EBF044"/>
    <w:rsid w:val="58185F83"/>
    <w:rsid w:val="582E8B6E"/>
    <w:rsid w:val="58AC6879"/>
    <w:rsid w:val="58D463D4"/>
    <w:rsid w:val="58F02CE7"/>
    <w:rsid w:val="5920F631"/>
    <w:rsid w:val="5950856B"/>
    <w:rsid w:val="5A05AA63"/>
    <w:rsid w:val="5A4838DA"/>
    <w:rsid w:val="5B00F1BC"/>
    <w:rsid w:val="5B662C30"/>
    <w:rsid w:val="5C1B3BF8"/>
    <w:rsid w:val="5CCF6F69"/>
    <w:rsid w:val="5D17EBFB"/>
    <w:rsid w:val="5D187F0D"/>
    <w:rsid w:val="5EAF07C9"/>
    <w:rsid w:val="5ECD2639"/>
    <w:rsid w:val="5F451BAA"/>
    <w:rsid w:val="5FC29A89"/>
    <w:rsid w:val="5FDDD9CC"/>
    <w:rsid w:val="6001E7ED"/>
    <w:rsid w:val="6004DA28"/>
    <w:rsid w:val="600A490B"/>
    <w:rsid w:val="604AD82A"/>
    <w:rsid w:val="605234B3"/>
    <w:rsid w:val="607A984C"/>
    <w:rsid w:val="60C64D5C"/>
    <w:rsid w:val="6211B665"/>
    <w:rsid w:val="621E4A87"/>
    <w:rsid w:val="626582F3"/>
    <w:rsid w:val="62D43E28"/>
    <w:rsid w:val="62E4AAF5"/>
    <w:rsid w:val="639B09D1"/>
    <w:rsid w:val="63B978D8"/>
    <w:rsid w:val="63CFB8EC"/>
    <w:rsid w:val="63DEB0B1"/>
    <w:rsid w:val="642A030B"/>
    <w:rsid w:val="652F1366"/>
    <w:rsid w:val="65495727"/>
    <w:rsid w:val="657F6F04"/>
    <w:rsid w:val="65B7B0B2"/>
    <w:rsid w:val="65D14CC7"/>
    <w:rsid w:val="65F0E12D"/>
    <w:rsid w:val="660E5415"/>
    <w:rsid w:val="66221707"/>
    <w:rsid w:val="66F1199A"/>
    <w:rsid w:val="6761A3CD"/>
    <w:rsid w:val="68A5736A"/>
    <w:rsid w:val="69B12B51"/>
    <w:rsid w:val="69BA450D"/>
    <w:rsid w:val="69E86D1F"/>
    <w:rsid w:val="6A1E853A"/>
    <w:rsid w:val="6A6D2FA2"/>
    <w:rsid w:val="6A9A228C"/>
    <w:rsid w:val="6B3AA13F"/>
    <w:rsid w:val="6B4A1D80"/>
    <w:rsid w:val="6BED64F2"/>
    <w:rsid w:val="6C090003"/>
    <w:rsid w:val="6C315FC2"/>
    <w:rsid w:val="6CD3DD8A"/>
    <w:rsid w:val="6DE1B2EB"/>
    <w:rsid w:val="6DF48BF1"/>
    <w:rsid w:val="6E39A81C"/>
    <w:rsid w:val="6EEC516E"/>
    <w:rsid w:val="6F0AB3C2"/>
    <w:rsid w:val="707ED383"/>
    <w:rsid w:val="70D58BAE"/>
    <w:rsid w:val="7105EBC5"/>
    <w:rsid w:val="718E1120"/>
    <w:rsid w:val="722FC7B5"/>
    <w:rsid w:val="7252C151"/>
    <w:rsid w:val="7307837A"/>
    <w:rsid w:val="73762708"/>
    <w:rsid w:val="738AF4BB"/>
    <w:rsid w:val="73E04B38"/>
    <w:rsid w:val="74B66FD5"/>
    <w:rsid w:val="750A3923"/>
    <w:rsid w:val="7534C7C5"/>
    <w:rsid w:val="75CE7976"/>
    <w:rsid w:val="75FDCCD6"/>
    <w:rsid w:val="7602E1AA"/>
    <w:rsid w:val="766B9DFA"/>
    <w:rsid w:val="76C12DC9"/>
    <w:rsid w:val="782F9BE8"/>
    <w:rsid w:val="785081BC"/>
    <w:rsid w:val="789F0939"/>
    <w:rsid w:val="78A55795"/>
    <w:rsid w:val="78CBF292"/>
    <w:rsid w:val="79389BCD"/>
    <w:rsid w:val="79925DF4"/>
    <w:rsid w:val="79CF3CA1"/>
    <w:rsid w:val="7AB02A0C"/>
    <w:rsid w:val="7AD13DF9"/>
    <w:rsid w:val="7B957C4A"/>
    <w:rsid w:val="7BD6A9FB"/>
    <w:rsid w:val="7C1CF838"/>
    <w:rsid w:val="7D6917E7"/>
    <w:rsid w:val="7D86B725"/>
    <w:rsid w:val="7D9C1FE1"/>
    <w:rsid w:val="7DC2E1B4"/>
    <w:rsid w:val="7DCC37DE"/>
    <w:rsid w:val="7DCED542"/>
    <w:rsid w:val="7EB57F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58583"/>
  <w15:docId w15:val="{60131CD2-5EA1-4BC0-997E-1E8CF9B5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C9"/>
    <w:rPr>
      <w:rFonts w:ascii="Calibri" w:eastAsia="Calibri" w:hAnsi="Calibri" w:cs="Times New Roman"/>
    </w:rPr>
  </w:style>
  <w:style w:type="paragraph" w:styleId="Heading1">
    <w:name w:val="heading 1"/>
    <w:basedOn w:val="Normal"/>
    <w:next w:val="Normal"/>
    <w:link w:val="Heading1Char"/>
    <w:uiPriority w:val="9"/>
    <w:qFormat/>
    <w:rsid w:val="00752E7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870B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90CC9"/>
    <w:rPr>
      <w:color w:val="0000FF"/>
      <w:u w:val="single"/>
    </w:rPr>
  </w:style>
  <w:style w:type="paragraph" w:styleId="NoSpacing">
    <w:name w:val="No Spacing"/>
    <w:basedOn w:val="Normal"/>
    <w:uiPriority w:val="1"/>
    <w:qFormat/>
    <w:rsid w:val="00790CC9"/>
    <w:pPr>
      <w:spacing w:after="0" w:line="240" w:lineRule="auto"/>
    </w:pPr>
    <w:rPr>
      <w:rFonts w:eastAsiaTheme="minorHAnsi"/>
    </w:rPr>
  </w:style>
  <w:style w:type="character" w:customStyle="1" w:styleId="spelle">
    <w:name w:val="spelle"/>
    <w:basedOn w:val="DefaultParagraphFont"/>
    <w:rsid w:val="00790CC9"/>
  </w:style>
  <w:style w:type="paragraph" w:styleId="NormalWeb">
    <w:name w:val="Normal (Web)"/>
    <w:basedOn w:val="Normal"/>
    <w:uiPriority w:val="99"/>
    <w:unhideWhenUsed/>
    <w:rsid w:val="006624FF"/>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6624FF"/>
    <w:rPr>
      <w:b/>
      <w:bCs/>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2C2783"/>
    <w:pPr>
      <w:ind w:left="720"/>
      <w:contextualSpacing/>
    </w:pPr>
  </w:style>
  <w:style w:type="paragraph" w:styleId="BodyTextIndent">
    <w:name w:val="Body Text Indent"/>
    <w:basedOn w:val="Normal"/>
    <w:link w:val="BodyTextIndentChar"/>
    <w:uiPriority w:val="99"/>
    <w:semiHidden/>
    <w:unhideWhenUsed/>
    <w:rsid w:val="00C569FA"/>
    <w:pPr>
      <w:spacing w:after="120"/>
      <w:ind w:left="283"/>
    </w:pPr>
  </w:style>
  <w:style w:type="character" w:customStyle="1" w:styleId="BodyTextIndentChar">
    <w:name w:val="Body Text Indent Char"/>
    <w:basedOn w:val="DefaultParagraphFont"/>
    <w:link w:val="BodyTextIndent"/>
    <w:uiPriority w:val="99"/>
    <w:semiHidden/>
    <w:rsid w:val="00C569FA"/>
    <w:rPr>
      <w:rFonts w:ascii="Calibri" w:eastAsia="Calibri" w:hAnsi="Calibri" w:cs="Times New Roman"/>
    </w:rPr>
  </w:style>
  <w:style w:type="paragraph" w:styleId="Header">
    <w:name w:val="header"/>
    <w:basedOn w:val="Normal"/>
    <w:link w:val="HeaderChar"/>
    <w:uiPriority w:val="99"/>
    <w:unhideWhenUsed/>
    <w:rsid w:val="003C7A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7AFD"/>
    <w:rPr>
      <w:rFonts w:ascii="Calibri" w:eastAsia="Calibri" w:hAnsi="Calibri" w:cs="Times New Roman"/>
    </w:rPr>
  </w:style>
  <w:style w:type="paragraph" w:styleId="Footer">
    <w:name w:val="footer"/>
    <w:basedOn w:val="Normal"/>
    <w:link w:val="FooterChar"/>
    <w:uiPriority w:val="99"/>
    <w:unhideWhenUsed/>
    <w:rsid w:val="003C7A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3C7AFD"/>
    <w:rPr>
      <w:rFonts w:ascii="Calibri" w:eastAsia="Calibri" w:hAnsi="Calibri" w:cs="Times New Roman"/>
    </w:rPr>
  </w:style>
  <w:style w:type="paragraph" w:styleId="FootnoteText">
    <w:name w:val="footnote text"/>
    <w:basedOn w:val="Normal"/>
    <w:link w:val="FootnoteTextChar"/>
    <w:uiPriority w:val="99"/>
    <w:semiHidden/>
    <w:unhideWhenUsed/>
    <w:rsid w:val="002A3C70"/>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2A3C70"/>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2A3C70"/>
    <w:rPr>
      <w:vertAlign w:val="superscript"/>
    </w:rPr>
  </w:style>
  <w:style w:type="paragraph" w:styleId="PlainText">
    <w:name w:val="Plain Text"/>
    <w:basedOn w:val="Normal"/>
    <w:link w:val="PlainTextChar"/>
    <w:uiPriority w:val="99"/>
    <w:unhideWhenUsed/>
    <w:rsid w:val="00833D9E"/>
    <w:pPr>
      <w:spacing w:after="0" w:line="240" w:lineRule="auto"/>
    </w:pPr>
    <w:rPr>
      <w:szCs w:val="21"/>
    </w:rPr>
  </w:style>
  <w:style w:type="character" w:customStyle="1" w:styleId="PlainTextChar">
    <w:name w:val="Plain Text Char"/>
    <w:basedOn w:val="DefaultParagraphFont"/>
    <w:link w:val="PlainText"/>
    <w:uiPriority w:val="99"/>
    <w:rsid w:val="00833D9E"/>
    <w:rPr>
      <w:rFonts w:ascii="Calibri" w:eastAsia="Calibri" w:hAnsi="Calibri" w:cs="Times New Roman"/>
      <w:szCs w:val="21"/>
    </w:rPr>
  </w:style>
  <w:style w:type="paragraph" w:styleId="BalloonText">
    <w:name w:val="Balloon Text"/>
    <w:basedOn w:val="Normal"/>
    <w:link w:val="BalloonTextChar"/>
    <w:uiPriority w:val="99"/>
    <w:semiHidden/>
    <w:unhideWhenUsed/>
    <w:rsid w:val="001F2F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F36"/>
    <w:rPr>
      <w:rFonts w:ascii="Segoe UI" w:eastAsia="Calibri" w:hAnsi="Segoe UI" w:cs="Segoe UI"/>
      <w:sz w:val="18"/>
      <w:szCs w:val="18"/>
    </w:rPr>
  </w:style>
  <w:style w:type="table" w:styleId="TableGrid">
    <w:name w:val="Table Grid"/>
    <w:basedOn w:val="TableNormal"/>
    <w:uiPriority w:val="39"/>
    <w:rsid w:val="000D0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0D0DB9"/>
    <w:pPr>
      <w:spacing w:before="100" w:beforeAutospacing="1" w:after="100" w:afterAutospacing="1" w:line="240" w:lineRule="auto"/>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EF3F72"/>
    <w:rPr>
      <w:sz w:val="16"/>
      <w:szCs w:val="16"/>
    </w:rPr>
  </w:style>
  <w:style w:type="paragraph" w:styleId="CommentText">
    <w:name w:val="annotation text"/>
    <w:basedOn w:val="Normal"/>
    <w:link w:val="CommentTextChar"/>
    <w:uiPriority w:val="99"/>
    <w:unhideWhenUsed/>
    <w:rsid w:val="00EF3F72"/>
    <w:pPr>
      <w:spacing w:line="240" w:lineRule="auto"/>
    </w:pPr>
    <w:rPr>
      <w:sz w:val="20"/>
      <w:szCs w:val="20"/>
    </w:rPr>
  </w:style>
  <w:style w:type="character" w:customStyle="1" w:styleId="CommentTextChar">
    <w:name w:val="Comment Text Char"/>
    <w:basedOn w:val="DefaultParagraphFont"/>
    <w:link w:val="CommentText"/>
    <w:uiPriority w:val="99"/>
    <w:rsid w:val="00EF3F7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F3F72"/>
    <w:rPr>
      <w:b/>
      <w:bCs/>
    </w:rPr>
  </w:style>
  <w:style w:type="character" w:customStyle="1" w:styleId="CommentSubjectChar">
    <w:name w:val="Comment Subject Char"/>
    <w:basedOn w:val="CommentTextChar"/>
    <w:link w:val="CommentSubject"/>
    <w:uiPriority w:val="99"/>
    <w:semiHidden/>
    <w:rsid w:val="00EF3F72"/>
    <w:rPr>
      <w:rFonts w:ascii="Calibri" w:eastAsia="Calibri" w:hAnsi="Calibri" w:cs="Times New Roman"/>
      <w:b/>
      <w:bCs/>
      <w:sz w:val="20"/>
      <w:szCs w:val="20"/>
    </w:rPr>
  </w:style>
  <w:style w:type="character" w:customStyle="1" w:styleId="Heading1Char">
    <w:name w:val="Heading 1 Char"/>
    <w:basedOn w:val="DefaultParagraphFont"/>
    <w:link w:val="Heading1"/>
    <w:uiPriority w:val="9"/>
    <w:rsid w:val="00752E7E"/>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3575E2"/>
    <w:rPr>
      <w:color w:val="954F72" w:themeColor="followedHyperlink"/>
      <w:u w:val="single"/>
    </w:rPr>
  </w:style>
  <w:style w:type="character" w:customStyle="1" w:styleId="Heading3Char">
    <w:name w:val="Heading 3 Char"/>
    <w:basedOn w:val="DefaultParagraphFont"/>
    <w:link w:val="Heading3"/>
    <w:uiPriority w:val="9"/>
    <w:semiHidden/>
    <w:rsid w:val="008870BB"/>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DA7C15"/>
    <w:rPr>
      <w:color w:val="605E5C"/>
      <w:shd w:val="clear" w:color="auto" w:fill="E1DFDD"/>
    </w:rPr>
  </w:style>
  <w:style w:type="character" w:customStyle="1" w:styleId="UnresolvedMention2">
    <w:name w:val="Unresolved Mention2"/>
    <w:basedOn w:val="DefaultParagraphFont"/>
    <w:uiPriority w:val="99"/>
    <w:semiHidden/>
    <w:unhideWhenUsed/>
    <w:rsid w:val="00533ADA"/>
    <w:rPr>
      <w:color w:val="605E5C"/>
      <w:shd w:val="clear" w:color="auto" w:fill="E1DFDD"/>
    </w:rPr>
  </w:style>
  <w:style w:type="paragraph" w:styleId="EndnoteText">
    <w:name w:val="endnote text"/>
    <w:basedOn w:val="Normal"/>
    <w:link w:val="EndnoteTextChar"/>
    <w:uiPriority w:val="99"/>
    <w:semiHidden/>
    <w:unhideWhenUsed/>
    <w:rsid w:val="00AB79F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B79FD"/>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AB79FD"/>
    <w:rPr>
      <w:vertAlign w:val="superscript"/>
    </w:rPr>
  </w:style>
  <w:style w:type="character" w:customStyle="1" w:styleId="UnresolvedMention3">
    <w:name w:val="Unresolved Mention3"/>
    <w:basedOn w:val="DefaultParagraphFont"/>
    <w:uiPriority w:val="99"/>
    <w:semiHidden/>
    <w:unhideWhenUsed/>
    <w:rsid w:val="00284F75"/>
    <w:rPr>
      <w:color w:val="605E5C"/>
      <w:shd w:val="clear" w:color="auto" w:fill="E1DFDD"/>
    </w:rPr>
  </w:style>
  <w:style w:type="paragraph" w:styleId="Revision">
    <w:name w:val="Revision"/>
    <w:hidden/>
    <w:uiPriority w:val="99"/>
    <w:semiHidden/>
    <w:rsid w:val="00422339"/>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BB15E4"/>
    <w:rPr>
      <w:color w:val="605E5C"/>
      <w:shd w:val="clear" w:color="auto" w:fill="E1DFDD"/>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117D3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3882">
      <w:bodyDiv w:val="1"/>
      <w:marLeft w:val="0"/>
      <w:marRight w:val="0"/>
      <w:marTop w:val="0"/>
      <w:marBottom w:val="0"/>
      <w:divBdr>
        <w:top w:val="none" w:sz="0" w:space="0" w:color="auto"/>
        <w:left w:val="none" w:sz="0" w:space="0" w:color="auto"/>
        <w:bottom w:val="none" w:sz="0" w:space="0" w:color="auto"/>
        <w:right w:val="none" w:sz="0" w:space="0" w:color="auto"/>
      </w:divBdr>
    </w:div>
    <w:div w:id="18941486">
      <w:bodyDiv w:val="1"/>
      <w:marLeft w:val="0"/>
      <w:marRight w:val="0"/>
      <w:marTop w:val="0"/>
      <w:marBottom w:val="0"/>
      <w:divBdr>
        <w:top w:val="none" w:sz="0" w:space="0" w:color="auto"/>
        <w:left w:val="none" w:sz="0" w:space="0" w:color="auto"/>
        <w:bottom w:val="none" w:sz="0" w:space="0" w:color="auto"/>
        <w:right w:val="none" w:sz="0" w:space="0" w:color="auto"/>
      </w:divBdr>
    </w:div>
    <w:div w:id="24526478">
      <w:bodyDiv w:val="1"/>
      <w:marLeft w:val="0"/>
      <w:marRight w:val="0"/>
      <w:marTop w:val="0"/>
      <w:marBottom w:val="0"/>
      <w:divBdr>
        <w:top w:val="none" w:sz="0" w:space="0" w:color="auto"/>
        <w:left w:val="none" w:sz="0" w:space="0" w:color="auto"/>
        <w:bottom w:val="none" w:sz="0" w:space="0" w:color="auto"/>
        <w:right w:val="none" w:sz="0" w:space="0" w:color="auto"/>
      </w:divBdr>
    </w:div>
    <w:div w:id="136384571">
      <w:bodyDiv w:val="1"/>
      <w:marLeft w:val="0"/>
      <w:marRight w:val="0"/>
      <w:marTop w:val="0"/>
      <w:marBottom w:val="0"/>
      <w:divBdr>
        <w:top w:val="none" w:sz="0" w:space="0" w:color="auto"/>
        <w:left w:val="none" w:sz="0" w:space="0" w:color="auto"/>
        <w:bottom w:val="none" w:sz="0" w:space="0" w:color="auto"/>
        <w:right w:val="none" w:sz="0" w:space="0" w:color="auto"/>
      </w:divBdr>
      <w:divsChild>
        <w:div w:id="1368797374">
          <w:marLeft w:val="547"/>
          <w:marRight w:val="0"/>
          <w:marTop w:val="0"/>
          <w:marBottom w:val="0"/>
          <w:divBdr>
            <w:top w:val="none" w:sz="0" w:space="0" w:color="auto"/>
            <w:left w:val="none" w:sz="0" w:space="0" w:color="auto"/>
            <w:bottom w:val="none" w:sz="0" w:space="0" w:color="auto"/>
            <w:right w:val="none" w:sz="0" w:space="0" w:color="auto"/>
          </w:divBdr>
        </w:div>
      </w:divsChild>
    </w:div>
    <w:div w:id="191767965">
      <w:bodyDiv w:val="1"/>
      <w:marLeft w:val="0"/>
      <w:marRight w:val="0"/>
      <w:marTop w:val="0"/>
      <w:marBottom w:val="0"/>
      <w:divBdr>
        <w:top w:val="none" w:sz="0" w:space="0" w:color="auto"/>
        <w:left w:val="none" w:sz="0" w:space="0" w:color="auto"/>
        <w:bottom w:val="none" w:sz="0" w:space="0" w:color="auto"/>
        <w:right w:val="none" w:sz="0" w:space="0" w:color="auto"/>
      </w:divBdr>
      <w:divsChild>
        <w:div w:id="1908419567">
          <w:marLeft w:val="547"/>
          <w:marRight w:val="0"/>
          <w:marTop w:val="0"/>
          <w:marBottom w:val="0"/>
          <w:divBdr>
            <w:top w:val="none" w:sz="0" w:space="0" w:color="auto"/>
            <w:left w:val="none" w:sz="0" w:space="0" w:color="auto"/>
            <w:bottom w:val="none" w:sz="0" w:space="0" w:color="auto"/>
            <w:right w:val="none" w:sz="0" w:space="0" w:color="auto"/>
          </w:divBdr>
        </w:div>
      </w:divsChild>
    </w:div>
    <w:div w:id="218059844">
      <w:bodyDiv w:val="1"/>
      <w:marLeft w:val="0"/>
      <w:marRight w:val="0"/>
      <w:marTop w:val="0"/>
      <w:marBottom w:val="0"/>
      <w:divBdr>
        <w:top w:val="none" w:sz="0" w:space="0" w:color="auto"/>
        <w:left w:val="none" w:sz="0" w:space="0" w:color="auto"/>
        <w:bottom w:val="none" w:sz="0" w:space="0" w:color="auto"/>
        <w:right w:val="none" w:sz="0" w:space="0" w:color="auto"/>
      </w:divBdr>
    </w:div>
    <w:div w:id="263853442">
      <w:bodyDiv w:val="1"/>
      <w:marLeft w:val="0"/>
      <w:marRight w:val="0"/>
      <w:marTop w:val="0"/>
      <w:marBottom w:val="0"/>
      <w:divBdr>
        <w:top w:val="none" w:sz="0" w:space="0" w:color="auto"/>
        <w:left w:val="none" w:sz="0" w:space="0" w:color="auto"/>
        <w:bottom w:val="none" w:sz="0" w:space="0" w:color="auto"/>
        <w:right w:val="none" w:sz="0" w:space="0" w:color="auto"/>
      </w:divBdr>
      <w:divsChild>
        <w:div w:id="1208489719">
          <w:marLeft w:val="547"/>
          <w:marRight w:val="0"/>
          <w:marTop w:val="0"/>
          <w:marBottom w:val="0"/>
          <w:divBdr>
            <w:top w:val="none" w:sz="0" w:space="0" w:color="auto"/>
            <w:left w:val="none" w:sz="0" w:space="0" w:color="auto"/>
            <w:bottom w:val="none" w:sz="0" w:space="0" w:color="auto"/>
            <w:right w:val="none" w:sz="0" w:space="0" w:color="auto"/>
          </w:divBdr>
        </w:div>
      </w:divsChild>
    </w:div>
    <w:div w:id="283580485">
      <w:bodyDiv w:val="1"/>
      <w:marLeft w:val="0"/>
      <w:marRight w:val="0"/>
      <w:marTop w:val="0"/>
      <w:marBottom w:val="0"/>
      <w:divBdr>
        <w:top w:val="none" w:sz="0" w:space="0" w:color="auto"/>
        <w:left w:val="none" w:sz="0" w:space="0" w:color="auto"/>
        <w:bottom w:val="none" w:sz="0" w:space="0" w:color="auto"/>
        <w:right w:val="none" w:sz="0" w:space="0" w:color="auto"/>
      </w:divBdr>
    </w:div>
    <w:div w:id="310721455">
      <w:bodyDiv w:val="1"/>
      <w:marLeft w:val="0"/>
      <w:marRight w:val="0"/>
      <w:marTop w:val="0"/>
      <w:marBottom w:val="0"/>
      <w:divBdr>
        <w:top w:val="none" w:sz="0" w:space="0" w:color="auto"/>
        <w:left w:val="none" w:sz="0" w:space="0" w:color="auto"/>
        <w:bottom w:val="none" w:sz="0" w:space="0" w:color="auto"/>
        <w:right w:val="none" w:sz="0" w:space="0" w:color="auto"/>
      </w:divBdr>
      <w:divsChild>
        <w:div w:id="1328049420">
          <w:marLeft w:val="547"/>
          <w:marRight w:val="0"/>
          <w:marTop w:val="0"/>
          <w:marBottom w:val="0"/>
          <w:divBdr>
            <w:top w:val="none" w:sz="0" w:space="0" w:color="auto"/>
            <w:left w:val="none" w:sz="0" w:space="0" w:color="auto"/>
            <w:bottom w:val="none" w:sz="0" w:space="0" w:color="auto"/>
            <w:right w:val="none" w:sz="0" w:space="0" w:color="auto"/>
          </w:divBdr>
        </w:div>
      </w:divsChild>
    </w:div>
    <w:div w:id="376320776">
      <w:bodyDiv w:val="1"/>
      <w:marLeft w:val="0"/>
      <w:marRight w:val="0"/>
      <w:marTop w:val="0"/>
      <w:marBottom w:val="0"/>
      <w:divBdr>
        <w:top w:val="none" w:sz="0" w:space="0" w:color="auto"/>
        <w:left w:val="none" w:sz="0" w:space="0" w:color="auto"/>
        <w:bottom w:val="none" w:sz="0" w:space="0" w:color="auto"/>
        <w:right w:val="none" w:sz="0" w:space="0" w:color="auto"/>
      </w:divBdr>
    </w:div>
    <w:div w:id="451553119">
      <w:bodyDiv w:val="1"/>
      <w:marLeft w:val="0"/>
      <w:marRight w:val="0"/>
      <w:marTop w:val="0"/>
      <w:marBottom w:val="0"/>
      <w:divBdr>
        <w:top w:val="none" w:sz="0" w:space="0" w:color="auto"/>
        <w:left w:val="none" w:sz="0" w:space="0" w:color="auto"/>
        <w:bottom w:val="none" w:sz="0" w:space="0" w:color="auto"/>
        <w:right w:val="none" w:sz="0" w:space="0" w:color="auto"/>
      </w:divBdr>
      <w:divsChild>
        <w:div w:id="455832668">
          <w:marLeft w:val="547"/>
          <w:marRight w:val="0"/>
          <w:marTop w:val="0"/>
          <w:marBottom w:val="0"/>
          <w:divBdr>
            <w:top w:val="none" w:sz="0" w:space="0" w:color="auto"/>
            <w:left w:val="none" w:sz="0" w:space="0" w:color="auto"/>
            <w:bottom w:val="none" w:sz="0" w:space="0" w:color="auto"/>
            <w:right w:val="none" w:sz="0" w:space="0" w:color="auto"/>
          </w:divBdr>
        </w:div>
      </w:divsChild>
    </w:div>
    <w:div w:id="548492127">
      <w:bodyDiv w:val="1"/>
      <w:marLeft w:val="0"/>
      <w:marRight w:val="0"/>
      <w:marTop w:val="0"/>
      <w:marBottom w:val="0"/>
      <w:divBdr>
        <w:top w:val="none" w:sz="0" w:space="0" w:color="auto"/>
        <w:left w:val="none" w:sz="0" w:space="0" w:color="auto"/>
        <w:bottom w:val="none" w:sz="0" w:space="0" w:color="auto"/>
        <w:right w:val="none" w:sz="0" w:space="0" w:color="auto"/>
      </w:divBdr>
    </w:div>
    <w:div w:id="559053654">
      <w:bodyDiv w:val="1"/>
      <w:marLeft w:val="0"/>
      <w:marRight w:val="0"/>
      <w:marTop w:val="0"/>
      <w:marBottom w:val="0"/>
      <w:divBdr>
        <w:top w:val="none" w:sz="0" w:space="0" w:color="auto"/>
        <w:left w:val="none" w:sz="0" w:space="0" w:color="auto"/>
        <w:bottom w:val="none" w:sz="0" w:space="0" w:color="auto"/>
        <w:right w:val="none" w:sz="0" w:space="0" w:color="auto"/>
      </w:divBdr>
    </w:div>
    <w:div w:id="577862873">
      <w:bodyDiv w:val="1"/>
      <w:marLeft w:val="0"/>
      <w:marRight w:val="0"/>
      <w:marTop w:val="0"/>
      <w:marBottom w:val="0"/>
      <w:divBdr>
        <w:top w:val="none" w:sz="0" w:space="0" w:color="auto"/>
        <w:left w:val="none" w:sz="0" w:space="0" w:color="auto"/>
        <w:bottom w:val="none" w:sz="0" w:space="0" w:color="auto"/>
        <w:right w:val="none" w:sz="0" w:space="0" w:color="auto"/>
      </w:divBdr>
    </w:div>
    <w:div w:id="602805037">
      <w:bodyDiv w:val="1"/>
      <w:marLeft w:val="0"/>
      <w:marRight w:val="0"/>
      <w:marTop w:val="0"/>
      <w:marBottom w:val="0"/>
      <w:divBdr>
        <w:top w:val="none" w:sz="0" w:space="0" w:color="auto"/>
        <w:left w:val="none" w:sz="0" w:space="0" w:color="auto"/>
        <w:bottom w:val="none" w:sz="0" w:space="0" w:color="auto"/>
        <w:right w:val="none" w:sz="0" w:space="0" w:color="auto"/>
      </w:divBdr>
      <w:divsChild>
        <w:div w:id="33388737">
          <w:marLeft w:val="547"/>
          <w:marRight w:val="0"/>
          <w:marTop w:val="0"/>
          <w:marBottom w:val="0"/>
          <w:divBdr>
            <w:top w:val="none" w:sz="0" w:space="0" w:color="auto"/>
            <w:left w:val="none" w:sz="0" w:space="0" w:color="auto"/>
            <w:bottom w:val="none" w:sz="0" w:space="0" w:color="auto"/>
            <w:right w:val="none" w:sz="0" w:space="0" w:color="auto"/>
          </w:divBdr>
        </w:div>
      </w:divsChild>
    </w:div>
    <w:div w:id="639262108">
      <w:bodyDiv w:val="1"/>
      <w:marLeft w:val="0"/>
      <w:marRight w:val="0"/>
      <w:marTop w:val="0"/>
      <w:marBottom w:val="0"/>
      <w:divBdr>
        <w:top w:val="none" w:sz="0" w:space="0" w:color="auto"/>
        <w:left w:val="none" w:sz="0" w:space="0" w:color="auto"/>
        <w:bottom w:val="none" w:sz="0" w:space="0" w:color="auto"/>
        <w:right w:val="none" w:sz="0" w:space="0" w:color="auto"/>
      </w:divBdr>
    </w:div>
    <w:div w:id="702905127">
      <w:bodyDiv w:val="1"/>
      <w:marLeft w:val="0"/>
      <w:marRight w:val="0"/>
      <w:marTop w:val="0"/>
      <w:marBottom w:val="0"/>
      <w:divBdr>
        <w:top w:val="none" w:sz="0" w:space="0" w:color="auto"/>
        <w:left w:val="none" w:sz="0" w:space="0" w:color="auto"/>
        <w:bottom w:val="none" w:sz="0" w:space="0" w:color="auto"/>
        <w:right w:val="none" w:sz="0" w:space="0" w:color="auto"/>
      </w:divBdr>
    </w:div>
    <w:div w:id="724454027">
      <w:bodyDiv w:val="1"/>
      <w:marLeft w:val="0"/>
      <w:marRight w:val="0"/>
      <w:marTop w:val="0"/>
      <w:marBottom w:val="0"/>
      <w:divBdr>
        <w:top w:val="none" w:sz="0" w:space="0" w:color="auto"/>
        <w:left w:val="none" w:sz="0" w:space="0" w:color="auto"/>
        <w:bottom w:val="none" w:sz="0" w:space="0" w:color="auto"/>
        <w:right w:val="none" w:sz="0" w:space="0" w:color="auto"/>
      </w:divBdr>
    </w:div>
    <w:div w:id="768543041">
      <w:bodyDiv w:val="1"/>
      <w:marLeft w:val="0"/>
      <w:marRight w:val="0"/>
      <w:marTop w:val="0"/>
      <w:marBottom w:val="0"/>
      <w:divBdr>
        <w:top w:val="none" w:sz="0" w:space="0" w:color="auto"/>
        <w:left w:val="none" w:sz="0" w:space="0" w:color="auto"/>
        <w:bottom w:val="none" w:sz="0" w:space="0" w:color="auto"/>
        <w:right w:val="none" w:sz="0" w:space="0" w:color="auto"/>
      </w:divBdr>
    </w:div>
    <w:div w:id="773592151">
      <w:bodyDiv w:val="1"/>
      <w:marLeft w:val="0"/>
      <w:marRight w:val="0"/>
      <w:marTop w:val="0"/>
      <w:marBottom w:val="0"/>
      <w:divBdr>
        <w:top w:val="none" w:sz="0" w:space="0" w:color="auto"/>
        <w:left w:val="none" w:sz="0" w:space="0" w:color="auto"/>
        <w:bottom w:val="none" w:sz="0" w:space="0" w:color="auto"/>
        <w:right w:val="none" w:sz="0" w:space="0" w:color="auto"/>
      </w:divBdr>
      <w:divsChild>
        <w:div w:id="1469279107">
          <w:marLeft w:val="547"/>
          <w:marRight w:val="0"/>
          <w:marTop w:val="0"/>
          <w:marBottom w:val="0"/>
          <w:divBdr>
            <w:top w:val="none" w:sz="0" w:space="0" w:color="auto"/>
            <w:left w:val="none" w:sz="0" w:space="0" w:color="auto"/>
            <w:bottom w:val="none" w:sz="0" w:space="0" w:color="auto"/>
            <w:right w:val="none" w:sz="0" w:space="0" w:color="auto"/>
          </w:divBdr>
        </w:div>
      </w:divsChild>
    </w:div>
    <w:div w:id="803351233">
      <w:bodyDiv w:val="1"/>
      <w:marLeft w:val="0"/>
      <w:marRight w:val="0"/>
      <w:marTop w:val="0"/>
      <w:marBottom w:val="0"/>
      <w:divBdr>
        <w:top w:val="none" w:sz="0" w:space="0" w:color="auto"/>
        <w:left w:val="none" w:sz="0" w:space="0" w:color="auto"/>
        <w:bottom w:val="none" w:sz="0" w:space="0" w:color="auto"/>
        <w:right w:val="none" w:sz="0" w:space="0" w:color="auto"/>
      </w:divBdr>
    </w:div>
    <w:div w:id="814566758">
      <w:bodyDiv w:val="1"/>
      <w:marLeft w:val="0"/>
      <w:marRight w:val="0"/>
      <w:marTop w:val="0"/>
      <w:marBottom w:val="0"/>
      <w:divBdr>
        <w:top w:val="none" w:sz="0" w:space="0" w:color="auto"/>
        <w:left w:val="none" w:sz="0" w:space="0" w:color="auto"/>
        <w:bottom w:val="none" w:sz="0" w:space="0" w:color="auto"/>
        <w:right w:val="none" w:sz="0" w:space="0" w:color="auto"/>
      </w:divBdr>
    </w:div>
    <w:div w:id="940114074">
      <w:bodyDiv w:val="1"/>
      <w:marLeft w:val="0"/>
      <w:marRight w:val="0"/>
      <w:marTop w:val="0"/>
      <w:marBottom w:val="0"/>
      <w:divBdr>
        <w:top w:val="none" w:sz="0" w:space="0" w:color="auto"/>
        <w:left w:val="none" w:sz="0" w:space="0" w:color="auto"/>
        <w:bottom w:val="none" w:sz="0" w:space="0" w:color="auto"/>
        <w:right w:val="none" w:sz="0" w:space="0" w:color="auto"/>
      </w:divBdr>
    </w:div>
    <w:div w:id="1019353060">
      <w:bodyDiv w:val="1"/>
      <w:marLeft w:val="0"/>
      <w:marRight w:val="0"/>
      <w:marTop w:val="0"/>
      <w:marBottom w:val="0"/>
      <w:divBdr>
        <w:top w:val="none" w:sz="0" w:space="0" w:color="auto"/>
        <w:left w:val="none" w:sz="0" w:space="0" w:color="auto"/>
        <w:bottom w:val="none" w:sz="0" w:space="0" w:color="auto"/>
        <w:right w:val="none" w:sz="0" w:space="0" w:color="auto"/>
      </w:divBdr>
    </w:div>
    <w:div w:id="1046180017">
      <w:bodyDiv w:val="1"/>
      <w:marLeft w:val="0"/>
      <w:marRight w:val="0"/>
      <w:marTop w:val="0"/>
      <w:marBottom w:val="0"/>
      <w:divBdr>
        <w:top w:val="none" w:sz="0" w:space="0" w:color="auto"/>
        <w:left w:val="none" w:sz="0" w:space="0" w:color="auto"/>
        <w:bottom w:val="none" w:sz="0" w:space="0" w:color="auto"/>
        <w:right w:val="none" w:sz="0" w:space="0" w:color="auto"/>
      </w:divBdr>
    </w:div>
    <w:div w:id="1201867478">
      <w:bodyDiv w:val="1"/>
      <w:marLeft w:val="0"/>
      <w:marRight w:val="0"/>
      <w:marTop w:val="0"/>
      <w:marBottom w:val="0"/>
      <w:divBdr>
        <w:top w:val="none" w:sz="0" w:space="0" w:color="auto"/>
        <w:left w:val="none" w:sz="0" w:space="0" w:color="auto"/>
        <w:bottom w:val="none" w:sz="0" w:space="0" w:color="auto"/>
        <w:right w:val="none" w:sz="0" w:space="0" w:color="auto"/>
      </w:divBdr>
    </w:div>
    <w:div w:id="1210535358">
      <w:bodyDiv w:val="1"/>
      <w:marLeft w:val="0"/>
      <w:marRight w:val="0"/>
      <w:marTop w:val="0"/>
      <w:marBottom w:val="0"/>
      <w:divBdr>
        <w:top w:val="none" w:sz="0" w:space="0" w:color="auto"/>
        <w:left w:val="none" w:sz="0" w:space="0" w:color="auto"/>
        <w:bottom w:val="none" w:sz="0" w:space="0" w:color="auto"/>
        <w:right w:val="none" w:sz="0" w:space="0" w:color="auto"/>
      </w:divBdr>
    </w:div>
    <w:div w:id="1234044215">
      <w:bodyDiv w:val="1"/>
      <w:marLeft w:val="0"/>
      <w:marRight w:val="0"/>
      <w:marTop w:val="0"/>
      <w:marBottom w:val="0"/>
      <w:divBdr>
        <w:top w:val="none" w:sz="0" w:space="0" w:color="auto"/>
        <w:left w:val="none" w:sz="0" w:space="0" w:color="auto"/>
        <w:bottom w:val="none" w:sz="0" w:space="0" w:color="auto"/>
        <w:right w:val="none" w:sz="0" w:space="0" w:color="auto"/>
      </w:divBdr>
      <w:divsChild>
        <w:div w:id="878317261">
          <w:marLeft w:val="547"/>
          <w:marRight w:val="0"/>
          <w:marTop w:val="0"/>
          <w:marBottom w:val="0"/>
          <w:divBdr>
            <w:top w:val="none" w:sz="0" w:space="0" w:color="auto"/>
            <w:left w:val="none" w:sz="0" w:space="0" w:color="auto"/>
            <w:bottom w:val="none" w:sz="0" w:space="0" w:color="auto"/>
            <w:right w:val="none" w:sz="0" w:space="0" w:color="auto"/>
          </w:divBdr>
        </w:div>
      </w:divsChild>
    </w:div>
    <w:div w:id="1260481654">
      <w:bodyDiv w:val="1"/>
      <w:marLeft w:val="0"/>
      <w:marRight w:val="0"/>
      <w:marTop w:val="0"/>
      <w:marBottom w:val="0"/>
      <w:divBdr>
        <w:top w:val="none" w:sz="0" w:space="0" w:color="auto"/>
        <w:left w:val="none" w:sz="0" w:space="0" w:color="auto"/>
        <w:bottom w:val="none" w:sz="0" w:space="0" w:color="auto"/>
        <w:right w:val="none" w:sz="0" w:space="0" w:color="auto"/>
      </w:divBdr>
      <w:divsChild>
        <w:div w:id="677195864">
          <w:marLeft w:val="547"/>
          <w:marRight w:val="0"/>
          <w:marTop w:val="150"/>
          <w:marBottom w:val="0"/>
          <w:divBdr>
            <w:top w:val="none" w:sz="0" w:space="0" w:color="auto"/>
            <w:left w:val="none" w:sz="0" w:space="0" w:color="auto"/>
            <w:bottom w:val="none" w:sz="0" w:space="0" w:color="auto"/>
            <w:right w:val="none" w:sz="0" w:space="0" w:color="auto"/>
          </w:divBdr>
        </w:div>
        <w:div w:id="1031489341">
          <w:marLeft w:val="547"/>
          <w:marRight w:val="0"/>
          <w:marTop w:val="150"/>
          <w:marBottom w:val="0"/>
          <w:divBdr>
            <w:top w:val="none" w:sz="0" w:space="0" w:color="auto"/>
            <w:left w:val="none" w:sz="0" w:space="0" w:color="auto"/>
            <w:bottom w:val="none" w:sz="0" w:space="0" w:color="auto"/>
            <w:right w:val="none" w:sz="0" w:space="0" w:color="auto"/>
          </w:divBdr>
        </w:div>
        <w:div w:id="1304384465">
          <w:marLeft w:val="547"/>
          <w:marRight w:val="0"/>
          <w:marTop w:val="150"/>
          <w:marBottom w:val="0"/>
          <w:divBdr>
            <w:top w:val="none" w:sz="0" w:space="0" w:color="auto"/>
            <w:left w:val="none" w:sz="0" w:space="0" w:color="auto"/>
            <w:bottom w:val="none" w:sz="0" w:space="0" w:color="auto"/>
            <w:right w:val="none" w:sz="0" w:space="0" w:color="auto"/>
          </w:divBdr>
        </w:div>
        <w:div w:id="1834031761">
          <w:marLeft w:val="547"/>
          <w:marRight w:val="0"/>
          <w:marTop w:val="150"/>
          <w:marBottom w:val="0"/>
          <w:divBdr>
            <w:top w:val="none" w:sz="0" w:space="0" w:color="auto"/>
            <w:left w:val="none" w:sz="0" w:space="0" w:color="auto"/>
            <w:bottom w:val="none" w:sz="0" w:space="0" w:color="auto"/>
            <w:right w:val="none" w:sz="0" w:space="0" w:color="auto"/>
          </w:divBdr>
        </w:div>
        <w:div w:id="2117434792">
          <w:marLeft w:val="446"/>
          <w:marRight w:val="0"/>
          <w:marTop w:val="150"/>
          <w:marBottom w:val="0"/>
          <w:divBdr>
            <w:top w:val="none" w:sz="0" w:space="0" w:color="auto"/>
            <w:left w:val="none" w:sz="0" w:space="0" w:color="auto"/>
            <w:bottom w:val="none" w:sz="0" w:space="0" w:color="auto"/>
            <w:right w:val="none" w:sz="0" w:space="0" w:color="auto"/>
          </w:divBdr>
        </w:div>
      </w:divsChild>
    </w:div>
    <w:div w:id="1268466333">
      <w:bodyDiv w:val="1"/>
      <w:marLeft w:val="0"/>
      <w:marRight w:val="0"/>
      <w:marTop w:val="0"/>
      <w:marBottom w:val="0"/>
      <w:divBdr>
        <w:top w:val="none" w:sz="0" w:space="0" w:color="auto"/>
        <w:left w:val="none" w:sz="0" w:space="0" w:color="auto"/>
        <w:bottom w:val="none" w:sz="0" w:space="0" w:color="auto"/>
        <w:right w:val="none" w:sz="0" w:space="0" w:color="auto"/>
      </w:divBdr>
      <w:divsChild>
        <w:div w:id="889195479">
          <w:marLeft w:val="547"/>
          <w:marRight w:val="0"/>
          <w:marTop w:val="0"/>
          <w:marBottom w:val="0"/>
          <w:divBdr>
            <w:top w:val="none" w:sz="0" w:space="0" w:color="auto"/>
            <w:left w:val="none" w:sz="0" w:space="0" w:color="auto"/>
            <w:bottom w:val="none" w:sz="0" w:space="0" w:color="auto"/>
            <w:right w:val="none" w:sz="0" w:space="0" w:color="auto"/>
          </w:divBdr>
        </w:div>
      </w:divsChild>
    </w:div>
    <w:div w:id="1386173346">
      <w:bodyDiv w:val="1"/>
      <w:marLeft w:val="0"/>
      <w:marRight w:val="0"/>
      <w:marTop w:val="0"/>
      <w:marBottom w:val="0"/>
      <w:divBdr>
        <w:top w:val="none" w:sz="0" w:space="0" w:color="auto"/>
        <w:left w:val="none" w:sz="0" w:space="0" w:color="auto"/>
        <w:bottom w:val="none" w:sz="0" w:space="0" w:color="auto"/>
        <w:right w:val="none" w:sz="0" w:space="0" w:color="auto"/>
      </w:divBdr>
    </w:div>
    <w:div w:id="1453398696">
      <w:bodyDiv w:val="1"/>
      <w:marLeft w:val="0"/>
      <w:marRight w:val="0"/>
      <w:marTop w:val="0"/>
      <w:marBottom w:val="0"/>
      <w:divBdr>
        <w:top w:val="none" w:sz="0" w:space="0" w:color="auto"/>
        <w:left w:val="none" w:sz="0" w:space="0" w:color="auto"/>
        <w:bottom w:val="none" w:sz="0" w:space="0" w:color="auto"/>
        <w:right w:val="none" w:sz="0" w:space="0" w:color="auto"/>
      </w:divBdr>
    </w:div>
    <w:div w:id="1541472802">
      <w:bodyDiv w:val="1"/>
      <w:marLeft w:val="0"/>
      <w:marRight w:val="0"/>
      <w:marTop w:val="0"/>
      <w:marBottom w:val="0"/>
      <w:divBdr>
        <w:top w:val="none" w:sz="0" w:space="0" w:color="auto"/>
        <w:left w:val="none" w:sz="0" w:space="0" w:color="auto"/>
        <w:bottom w:val="none" w:sz="0" w:space="0" w:color="auto"/>
        <w:right w:val="none" w:sz="0" w:space="0" w:color="auto"/>
      </w:divBdr>
    </w:div>
    <w:div w:id="1543520973">
      <w:bodyDiv w:val="1"/>
      <w:marLeft w:val="0"/>
      <w:marRight w:val="0"/>
      <w:marTop w:val="0"/>
      <w:marBottom w:val="0"/>
      <w:divBdr>
        <w:top w:val="none" w:sz="0" w:space="0" w:color="auto"/>
        <w:left w:val="none" w:sz="0" w:space="0" w:color="auto"/>
        <w:bottom w:val="none" w:sz="0" w:space="0" w:color="auto"/>
        <w:right w:val="none" w:sz="0" w:space="0" w:color="auto"/>
      </w:divBdr>
    </w:div>
    <w:div w:id="1558928844">
      <w:bodyDiv w:val="1"/>
      <w:marLeft w:val="0"/>
      <w:marRight w:val="0"/>
      <w:marTop w:val="0"/>
      <w:marBottom w:val="0"/>
      <w:divBdr>
        <w:top w:val="none" w:sz="0" w:space="0" w:color="auto"/>
        <w:left w:val="none" w:sz="0" w:space="0" w:color="auto"/>
        <w:bottom w:val="none" w:sz="0" w:space="0" w:color="auto"/>
        <w:right w:val="none" w:sz="0" w:space="0" w:color="auto"/>
      </w:divBdr>
      <w:divsChild>
        <w:div w:id="1466924050">
          <w:marLeft w:val="547"/>
          <w:marRight w:val="0"/>
          <w:marTop w:val="0"/>
          <w:marBottom w:val="0"/>
          <w:divBdr>
            <w:top w:val="none" w:sz="0" w:space="0" w:color="auto"/>
            <w:left w:val="none" w:sz="0" w:space="0" w:color="auto"/>
            <w:bottom w:val="none" w:sz="0" w:space="0" w:color="auto"/>
            <w:right w:val="none" w:sz="0" w:space="0" w:color="auto"/>
          </w:divBdr>
        </w:div>
      </w:divsChild>
    </w:div>
    <w:div w:id="1603076585">
      <w:bodyDiv w:val="1"/>
      <w:marLeft w:val="0"/>
      <w:marRight w:val="0"/>
      <w:marTop w:val="0"/>
      <w:marBottom w:val="0"/>
      <w:divBdr>
        <w:top w:val="none" w:sz="0" w:space="0" w:color="auto"/>
        <w:left w:val="none" w:sz="0" w:space="0" w:color="auto"/>
        <w:bottom w:val="none" w:sz="0" w:space="0" w:color="auto"/>
        <w:right w:val="none" w:sz="0" w:space="0" w:color="auto"/>
      </w:divBdr>
    </w:div>
    <w:div w:id="1625116293">
      <w:bodyDiv w:val="1"/>
      <w:marLeft w:val="0"/>
      <w:marRight w:val="0"/>
      <w:marTop w:val="0"/>
      <w:marBottom w:val="0"/>
      <w:divBdr>
        <w:top w:val="none" w:sz="0" w:space="0" w:color="auto"/>
        <w:left w:val="none" w:sz="0" w:space="0" w:color="auto"/>
        <w:bottom w:val="none" w:sz="0" w:space="0" w:color="auto"/>
        <w:right w:val="none" w:sz="0" w:space="0" w:color="auto"/>
      </w:divBdr>
    </w:div>
    <w:div w:id="1730179789">
      <w:bodyDiv w:val="1"/>
      <w:marLeft w:val="0"/>
      <w:marRight w:val="0"/>
      <w:marTop w:val="0"/>
      <w:marBottom w:val="0"/>
      <w:divBdr>
        <w:top w:val="none" w:sz="0" w:space="0" w:color="auto"/>
        <w:left w:val="none" w:sz="0" w:space="0" w:color="auto"/>
        <w:bottom w:val="none" w:sz="0" w:space="0" w:color="auto"/>
        <w:right w:val="none" w:sz="0" w:space="0" w:color="auto"/>
      </w:divBdr>
    </w:div>
    <w:div w:id="1735620420">
      <w:bodyDiv w:val="1"/>
      <w:marLeft w:val="0"/>
      <w:marRight w:val="0"/>
      <w:marTop w:val="0"/>
      <w:marBottom w:val="0"/>
      <w:divBdr>
        <w:top w:val="none" w:sz="0" w:space="0" w:color="auto"/>
        <w:left w:val="none" w:sz="0" w:space="0" w:color="auto"/>
        <w:bottom w:val="none" w:sz="0" w:space="0" w:color="auto"/>
        <w:right w:val="none" w:sz="0" w:space="0" w:color="auto"/>
      </w:divBdr>
    </w:div>
    <w:div w:id="1779719515">
      <w:bodyDiv w:val="1"/>
      <w:marLeft w:val="0"/>
      <w:marRight w:val="0"/>
      <w:marTop w:val="0"/>
      <w:marBottom w:val="0"/>
      <w:divBdr>
        <w:top w:val="none" w:sz="0" w:space="0" w:color="auto"/>
        <w:left w:val="none" w:sz="0" w:space="0" w:color="auto"/>
        <w:bottom w:val="none" w:sz="0" w:space="0" w:color="auto"/>
        <w:right w:val="none" w:sz="0" w:space="0" w:color="auto"/>
      </w:divBdr>
    </w:div>
    <w:div w:id="1822035783">
      <w:bodyDiv w:val="1"/>
      <w:marLeft w:val="0"/>
      <w:marRight w:val="0"/>
      <w:marTop w:val="0"/>
      <w:marBottom w:val="0"/>
      <w:divBdr>
        <w:top w:val="none" w:sz="0" w:space="0" w:color="auto"/>
        <w:left w:val="none" w:sz="0" w:space="0" w:color="auto"/>
        <w:bottom w:val="none" w:sz="0" w:space="0" w:color="auto"/>
        <w:right w:val="none" w:sz="0" w:space="0" w:color="auto"/>
      </w:divBdr>
    </w:div>
    <w:div w:id="1842887352">
      <w:bodyDiv w:val="1"/>
      <w:marLeft w:val="0"/>
      <w:marRight w:val="0"/>
      <w:marTop w:val="0"/>
      <w:marBottom w:val="0"/>
      <w:divBdr>
        <w:top w:val="none" w:sz="0" w:space="0" w:color="auto"/>
        <w:left w:val="none" w:sz="0" w:space="0" w:color="auto"/>
        <w:bottom w:val="none" w:sz="0" w:space="0" w:color="auto"/>
        <w:right w:val="none" w:sz="0" w:space="0" w:color="auto"/>
      </w:divBdr>
    </w:div>
    <w:div w:id="1927105275">
      <w:bodyDiv w:val="1"/>
      <w:marLeft w:val="0"/>
      <w:marRight w:val="0"/>
      <w:marTop w:val="0"/>
      <w:marBottom w:val="0"/>
      <w:divBdr>
        <w:top w:val="none" w:sz="0" w:space="0" w:color="auto"/>
        <w:left w:val="none" w:sz="0" w:space="0" w:color="auto"/>
        <w:bottom w:val="none" w:sz="0" w:space="0" w:color="auto"/>
        <w:right w:val="none" w:sz="0" w:space="0" w:color="auto"/>
      </w:divBdr>
      <w:divsChild>
        <w:div w:id="763647789">
          <w:marLeft w:val="547"/>
          <w:marRight w:val="0"/>
          <w:marTop w:val="0"/>
          <w:marBottom w:val="0"/>
          <w:divBdr>
            <w:top w:val="none" w:sz="0" w:space="0" w:color="auto"/>
            <w:left w:val="none" w:sz="0" w:space="0" w:color="auto"/>
            <w:bottom w:val="none" w:sz="0" w:space="0" w:color="auto"/>
            <w:right w:val="none" w:sz="0" w:space="0" w:color="auto"/>
          </w:divBdr>
        </w:div>
      </w:divsChild>
    </w:div>
    <w:div w:id="1931234801">
      <w:bodyDiv w:val="1"/>
      <w:marLeft w:val="0"/>
      <w:marRight w:val="0"/>
      <w:marTop w:val="0"/>
      <w:marBottom w:val="0"/>
      <w:divBdr>
        <w:top w:val="none" w:sz="0" w:space="0" w:color="auto"/>
        <w:left w:val="none" w:sz="0" w:space="0" w:color="auto"/>
        <w:bottom w:val="none" w:sz="0" w:space="0" w:color="auto"/>
        <w:right w:val="none" w:sz="0" w:space="0" w:color="auto"/>
      </w:divBdr>
    </w:div>
    <w:div w:id="1944994945">
      <w:bodyDiv w:val="1"/>
      <w:marLeft w:val="0"/>
      <w:marRight w:val="0"/>
      <w:marTop w:val="0"/>
      <w:marBottom w:val="0"/>
      <w:divBdr>
        <w:top w:val="none" w:sz="0" w:space="0" w:color="auto"/>
        <w:left w:val="none" w:sz="0" w:space="0" w:color="auto"/>
        <w:bottom w:val="none" w:sz="0" w:space="0" w:color="auto"/>
        <w:right w:val="none" w:sz="0" w:space="0" w:color="auto"/>
      </w:divBdr>
    </w:div>
    <w:div w:id="1957056244">
      <w:bodyDiv w:val="1"/>
      <w:marLeft w:val="0"/>
      <w:marRight w:val="0"/>
      <w:marTop w:val="0"/>
      <w:marBottom w:val="0"/>
      <w:divBdr>
        <w:top w:val="none" w:sz="0" w:space="0" w:color="auto"/>
        <w:left w:val="none" w:sz="0" w:space="0" w:color="auto"/>
        <w:bottom w:val="none" w:sz="0" w:space="0" w:color="auto"/>
        <w:right w:val="none" w:sz="0" w:space="0" w:color="auto"/>
      </w:divBdr>
    </w:div>
    <w:div w:id="2081563574">
      <w:bodyDiv w:val="1"/>
      <w:marLeft w:val="0"/>
      <w:marRight w:val="0"/>
      <w:marTop w:val="0"/>
      <w:marBottom w:val="0"/>
      <w:divBdr>
        <w:top w:val="none" w:sz="0" w:space="0" w:color="auto"/>
        <w:left w:val="none" w:sz="0" w:space="0" w:color="auto"/>
        <w:bottom w:val="none" w:sz="0" w:space="0" w:color="auto"/>
        <w:right w:val="none" w:sz="0" w:space="0" w:color="auto"/>
      </w:divBdr>
    </w:div>
    <w:div w:id="2123114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13"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18"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7" Type="http://schemas.openxmlformats.org/officeDocument/2006/relationships/endnotes" Target="endnotes.xml"/><Relationship Id="rId12"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17"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20"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24" Type="http://schemas.openxmlformats.org/officeDocument/2006/relationships/hyperlink" Target="http://www.valstskapitals.gov.lv" TargetMode="External"/><Relationship Id="rId5" Type="http://schemas.openxmlformats.org/officeDocument/2006/relationships/webSettings" Target="webSettings.xml"/><Relationship Id="rId15"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23"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10"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19"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4" Type="http://schemas.openxmlformats.org/officeDocument/2006/relationships/settings" Target="settings.xml"/><Relationship Id="rId9"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14"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22" Type="http://schemas.openxmlformats.org/officeDocument/2006/relationships/hyperlink" Target="https://euc-word-edit.officeapps.live.com/we/wordeditorframe.aspx?ui=lv%2DLV&amp;rs=en%2DUS&amp;wopisrc=https%3A%2F%2Fparresorucentrs-my.sharepoint.com%2Fpersonal%2Fdagnija_pkc_mk_gov_lv%2F_vti_bin%2Fwopi.ashx%2Ffiles%2F8a7ec482cf4c4a9fb59512795a7ea948&amp;wdenableroaming=1&amp;mscc=1&amp;wdodb=1&amp;hid=A15928A0-5067-3000-E4E1-7477CB9504CC&amp;wdorigin=Other&amp;jsapi=1&amp;jsapiver=v1&amp;newsession=1&amp;corrid=dcfe794d-e13c-4ce7-902c-e02ca4a4f6dc&amp;usid=dcfe794d-e13c-4ce7-902c-e02ca4a4f6dc&amp;sftc=1&amp;mtf=1&amp;sfp=1&amp;instantedit=1&amp;wopicomplete=1&amp;wdredirectionreason=Unified_SingleFlush&amp;rct=Medium&amp;ctp=LeastProtected"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oecd.org/corporate/guidelines-corporate-governance-soes.htm" TargetMode="External"/><Relationship Id="rId1" Type="http://schemas.openxmlformats.org/officeDocument/2006/relationships/hyperlink" Target="https://www.oecd-ilibrary.org/docserver/9789264244160-en.pdf?expires=1636639389&amp;id=id&amp;accname=guest&amp;checksum=9E839F764E51CD75FFD653A5C917D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5A973-BF5E-4E5B-A8F6-20977E532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32782</Words>
  <Characters>18687</Characters>
  <Application>Microsoft Office Word</Application>
  <DocSecurity>0</DocSecurity>
  <Lines>155</Lines>
  <Paragraphs>102</Paragraphs>
  <ScaleCrop>false</ScaleCrop>
  <HeadingPairs>
    <vt:vector size="2" baseType="variant">
      <vt:variant>
        <vt:lpstr>Title</vt:lpstr>
      </vt:variant>
      <vt:variant>
        <vt:i4>1</vt:i4>
      </vt:variant>
    </vt:vector>
  </HeadingPairs>
  <TitlesOfParts>
    <vt:vector size="1" baseType="lpstr">
      <vt:lpstr>Par valsts kapitālsabiedrību rīcībā atstātās peļņas atspoguļošanas kapitālsabiedrības bilances posteņos problemātiku un risinājumiem</vt:lpstr>
    </vt:vector>
  </TitlesOfParts>
  <Company>Pārresoru koordinācijas centrs</Company>
  <LinksUpToDate>false</LinksUpToDate>
  <CharactersWithSpaces>51367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valsts kapitālsabiedrību rīcībā atstātās peļņas atspoguļošanas kapitālsabiedrības bilances posteņos problemātiku un risinājumiem</dc:title>
  <dc:subject>Informatīvais ziņojums</dc:subject>
  <dc:creator>Dzintra Gasune</dc:creator>
  <cp:keywords/>
  <dc:description/>
  <cp:lastModifiedBy>Dagnija Zepa</cp:lastModifiedBy>
  <cp:revision>5</cp:revision>
  <cp:lastPrinted>2022-11-17T08:07:00Z</cp:lastPrinted>
  <dcterms:created xsi:type="dcterms:W3CDTF">2023-03-07T10:56:00Z</dcterms:created>
  <dcterms:modified xsi:type="dcterms:W3CDTF">2023-03-07T12:58:00Z</dcterms:modified>
</cp:coreProperties>
</file>