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26221" w14:textId="77777777" w:rsidR="00043218" w:rsidRPr="002B23A5" w:rsidRDefault="00043218" w:rsidP="00043218">
      <w:pPr>
        <w:ind w:firstLine="360"/>
        <w:jc w:val="center"/>
        <w:rPr>
          <w:b/>
        </w:rPr>
      </w:pPr>
    </w:p>
    <w:p w14:paraId="232B6EAC" w14:textId="77777777" w:rsidR="00043218" w:rsidRDefault="00043218" w:rsidP="00043218">
      <w:pPr>
        <w:ind w:firstLine="360"/>
        <w:jc w:val="center"/>
        <w:rPr>
          <w:b/>
          <w:sz w:val="32"/>
          <w:szCs w:val="32"/>
        </w:rPr>
      </w:pPr>
    </w:p>
    <w:p w14:paraId="5441786D" w14:textId="77777777" w:rsidR="00043218" w:rsidRPr="000A1F10" w:rsidRDefault="00043218" w:rsidP="00043218">
      <w:pPr>
        <w:rPr>
          <w:sz w:val="32"/>
          <w:szCs w:val="32"/>
        </w:rPr>
      </w:pPr>
    </w:p>
    <w:p w14:paraId="6EB5D36C" w14:textId="77777777" w:rsidR="00043218" w:rsidRPr="000A1F10" w:rsidRDefault="00043218" w:rsidP="00043218">
      <w:pPr>
        <w:rPr>
          <w:sz w:val="32"/>
          <w:szCs w:val="32"/>
        </w:rPr>
      </w:pPr>
    </w:p>
    <w:p w14:paraId="507CD0AB" w14:textId="77777777" w:rsidR="00043218" w:rsidRPr="000A1F10" w:rsidRDefault="00043218" w:rsidP="00043218">
      <w:pPr>
        <w:rPr>
          <w:sz w:val="32"/>
          <w:szCs w:val="32"/>
        </w:rPr>
      </w:pPr>
    </w:p>
    <w:p w14:paraId="5F5E0277" w14:textId="77777777" w:rsidR="00043218" w:rsidRDefault="00043218" w:rsidP="00043218">
      <w:pPr>
        <w:ind w:firstLine="360"/>
        <w:jc w:val="center"/>
        <w:rPr>
          <w:sz w:val="32"/>
          <w:szCs w:val="32"/>
        </w:rPr>
      </w:pPr>
    </w:p>
    <w:p w14:paraId="349180F9" w14:textId="77777777" w:rsidR="00043218" w:rsidRDefault="00043218" w:rsidP="00043218">
      <w:pPr>
        <w:jc w:val="center"/>
        <w:rPr>
          <w:b/>
          <w:sz w:val="44"/>
          <w:szCs w:val="32"/>
        </w:rPr>
      </w:pPr>
    </w:p>
    <w:p w14:paraId="4D0D9FF5" w14:textId="77777777" w:rsidR="00043218" w:rsidRDefault="00043218" w:rsidP="00043218">
      <w:pPr>
        <w:jc w:val="center"/>
        <w:rPr>
          <w:b/>
          <w:sz w:val="44"/>
          <w:szCs w:val="32"/>
        </w:rPr>
      </w:pPr>
    </w:p>
    <w:p w14:paraId="1EBE4921" w14:textId="77777777" w:rsidR="00043218" w:rsidRDefault="00043218" w:rsidP="00043218">
      <w:pPr>
        <w:jc w:val="center"/>
        <w:rPr>
          <w:b/>
          <w:sz w:val="44"/>
          <w:szCs w:val="32"/>
        </w:rPr>
      </w:pPr>
    </w:p>
    <w:p w14:paraId="050849A3" w14:textId="77777777" w:rsidR="00043218" w:rsidRDefault="00043218" w:rsidP="00043218">
      <w:pPr>
        <w:jc w:val="center"/>
        <w:rPr>
          <w:b/>
          <w:sz w:val="44"/>
          <w:szCs w:val="32"/>
        </w:rPr>
      </w:pPr>
    </w:p>
    <w:p w14:paraId="29FDB31B" w14:textId="77777777" w:rsidR="00043218" w:rsidRPr="000A1F10" w:rsidRDefault="00043218" w:rsidP="00043218">
      <w:pPr>
        <w:ind w:firstLine="0"/>
        <w:jc w:val="center"/>
        <w:rPr>
          <w:b/>
          <w:sz w:val="44"/>
          <w:szCs w:val="32"/>
        </w:rPr>
      </w:pPr>
      <w:r w:rsidRPr="000A1F10">
        <w:rPr>
          <w:b/>
          <w:sz w:val="44"/>
          <w:szCs w:val="32"/>
        </w:rPr>
        <w:t>Informatīvais ziņojums</w:t>
      </w:r>
    </w:p>
    <w:p w14:paraId="04CCD1D4" w14:textId="77777777" w:rsidR="00043218" w:rsidRPr="000A1F10" w:rsidRDefault="00043218" w:rsidP="00043218">
      <w:pPr>
        <w:rPr>
          <w:b/>
          <w:sz w:val="44"/>
          <w:szCs w:val="32"/>
        </w:rPr>
      </w:pPr>
    </w:p>
    <w:p w14:paraId="409A5C47" w14:textId="73F96B7A" w:rsidR="00043218" w:rsidRPr="00A05C07" w:rsidRDefault="00043218" w:rsidP="00043218">
      <w:pPr>
        <w:ind w:firstLine="0"/>
        <w:jc w:val="center"/>
        <w:rPr>
          <w:b/>
          <w:sz w:val="44"/>
          <w:szCs w:val="32"/>
        </w:rPr>
      </w:pPr>
      <w:r w:rsidRPr="00A05C07">
        <w:rPr>
          <w:b/>
          <w:sz w:val="44"/>
          <w:szCs w:val="32"/>
        </w:rPr>
        <w:t>„Par makroekonomisko rādītāju, ieņēmumu un vispārējās valdības budžeta bilances prognozēm 20</w:t>
      </w:r>
      <w:r w:rsidR="00AC55E4">
        <w:rPr>
          <w:b/>
          <w:sz w:val="44"/>
          <w:szCs w:val="32"/>
        </w:rPr>
        <w:t>2</w:t>
      </w:r>
      <w:r w:rsidR="00B15B93">
        <w:rPr>
          <w:b/>
          <w:sz w:val="44"/>
          <w:szCs w:val="32"/>
        </w:rPr>
        <w:t>4</w:t>
      </w:r>
      <w:r w:rsidRPr="00A05C07">
        <w:rPr>
          <w:b/>
          <w:sz w:val="44"/>
          <w:szCs w:val="32"/>
        </w:rPr>
        <w:t>.</w:t>
      </w:r>
      <w:r w:rsidR="00B15B93">
        <w:rPr>
          <w:b/>
          <w:sz w:val="44"/>
          <w:szCs w:val="32"/>
        </w:rPr>
        <w:t xml:space="preserve">, 2025. un </w:t>
      </w:r>
      <w:r w:rsidRPr="00A05C07">
        <w:rPr>
          <w:b/>
          <w:sz w:val="44"/>
          <w:szCs w:val="32"/>
        </w:rPr>
        <w:t>20</w:t>
      </w:r>
      <w:r w:rsidR="0013226B">
        <w:rPr>
          <w:b/>
          <w:sz w:val="44"/>
          <w:szCs w:val="32"/>
        </w:rPr>
        <w:t>2</w:t>
      </w:r>
      <w:r w:rsidR="00B15B93">
        <w:rPr>
          <w:b/>
          <w:sz w:val="44"/>
          <w:szCs w:val="32"/>
        </w:rPr>
        <w:t>6</w:t>
      </w:r>
      <w:r w:rsidRPr="00A05C07">
        <w:rPr>
          <w:b/>
          <w:sz w:val="44"/>
          <w:szCs w:val="32"/>
        </w:rPr>
        <w:t>.gadā”</w:t>
      </w:r>
    </w:p>
    <w:p w14:paraId="7CD2D459" w14:textId="77777777" w:rsidR="00043218" w:rsidRPr="000A1F10" w:rsidRDefault="00043218" w:rsidP="00043218">
      <w:pPr>
        <w:rPr>
          <w:b/>
          <w:sz w:val="48"/>
          <w:szCs w:val="32"/>
        </w:rPr>
      </w:pPr>
    </w:p>
    <w:p w14:paraId="3F296241" w14:textId="77777777" w:rsidR="00043218" w:rsidRDefault="00043218" w:rsidP="00043218">
      <w:pPr>
        <w:tabs>
          <w:tab w:val="left" w:pos="2763"/>
        </w:tabs>
        <w:ind w:firstLine="360"/>
        <w:rPr>
          <w:sz w:val="32"/>
          <w:szCs w:val="32"/>
        </w:rPr>
      </w:pPr>
    </w:p>
    <w:p w14:paraId="31AB1E46" w14:textId="77777777" w:rsidR="00043218" w:rsidRDefault="00043218" w:rsidP="00043218">
      <w:pPr>
        <w:rPr>
          <w:sz w:val="32"/>
          <w:szCs w:val="32"/>
        </w:rPr>
      </w:pPr>
    </w:p>
    <w:p w14:paraId="0CB521EC" w14:textId="77777777" w:rsidR="00043218" w:rsidRPr="000A1F10" w:rsidRDefault="00043218" w:rsidP="00043218">
      <w:pPr>
        <w:rPr>
          <w:sz w:val="32"/>
          <w:szCs w:val="32"/>
        </w:rPr>
      </w:pPr>
    </w:p>
    <w:p w14:paraId="1BE320F2" w14:textId="77777777" w:rsidR="00043218" w:rsidRPr="000A1F10" w:rsidRDefault="00043218" w:rsidP="00043218">
      <w:pPr>
        <w:rPr>
          <w:sz w:val="32"/>
          <w:szCs w:val="32"/>
        </w:rPr>
      </w:pPr>
    </w:p>
    <w:p w14:paraId="73739EF4" w14:textId="77777777" w:rsidR="00043218" w:rsidRPr="000A1F10" w:rsidRDefault="00043218" w:rsidP="00043218">
      <w:pPr>
        <w:rPr>
          <w:sz w:val="32"/>
          <w:szCs w:val="32"/>
        </w:rPr>
      </w:pPr>
    </w:p>
    <w:p w14:paraId="35A5FBF0" w14:textId="77777777" w:rsidR="00043218" w:rsidRPr="000A1F10" w:rsidRDefault="00043218" w:rsidP="00043218">
      <w:pPr>
        <w:rPr>
          <w:sz w:val="32"/>
          <w:szCs w:val="32"/>
        </w:rPr>
      </w:pPr>
    </w:p>
    <w:p w14:paraId="3BBF056C" w14:textId="77777777" w:rsidR="00043218" w:rsidRPr="000A1F10" w:rsidRDefault="00043218" w:rsidP="00043218">
      <w:pPr>
        <w:rPr>
          <w:sz w:val="32"/>
          <w:szCs w:val="32"/>
        </w:rPr>
      </w:pPr>
    </w:p>
    <w:p w14:paraId="2A3FD4E8" w14:textId="77777777" w:rsidR="00043218" w:rsidRPr="000A1F10" w:rsidRDefault="00043218" w:rsidP="00043218">
      <w:pPr>
        <w:rPr>
          <w:sz w:val="32"/>
          <w:szCs w:val="32"/>
        </w:rPr>
      </w:pPr>
    </w:p>
    <w:p w14:paraId="6DD7857F" w14:textId="77777777" w:rsidR="00043218" w:rsidRDefault="00043218" w:rsidP="00043218">
      <w:pPr>
        <w:ind w:firstLine="360"/>
        <w:jc w:val="center"/>
        <w:rPr>
          <w:sz w:val="32"/>
          <w:szCs w:val="32"/>
        </w:rPr>
      </w:pPr>
    </w:p>
    <w:p w14:paraId="00294257" w14:textId="39FBEEEB" w:rsidR="00043218" w:rsidRPr="003714E5" w:rsidRDefault="00AC55E4" w:rsidP="00043218">
      <w:pPr>
        <w:ind w:firstLine="360"/>
        <w:jc w:val="center"/>
        <w:rPr>
          <w:sz w:val="28"/>
          <w:szCs w:val="28"/>
        </w:rPr>
      </w:pPr>
      <w:r w:rsidRPr="003714E5">
        <w:rPr>
          <w:sz w:val="28"/>
          <w:szCs w:val="28"/>
        </w:rPr>
        <w:t>Rīga, 202</w:t>
      </w:r>
      <w:r w:rsidR="00B15B93">
        <w:rPr>
          <w:sz w:val="28"/>
          <w:szCs w:val="28"/>
        </w:rPr>
        <w:t>3</w:t>
      </w:r>
    </w:p>
    <w:p w14:paraId="49E2B7FB" w14:textId="77777777" w:rsidR="00043218" w:rsidRDefault="0096417C" w:rsidP="0096417C">
      <w:pPr>
        <w:tabs>
          <w:tab w:val="left" w:pos="3143"/>
        </w:tabs>
        <w:ind w:firstLine="0"/>
        <w:rPr>
          <w:sz w:val="32"/>
          <w:szCs w:val="32"/>
        </w:rPr>
      </w:pPr>
      <w:r>
        <w:rPr>
          <w:sz w:val="32"/>
          <w:szCs w:val="32"/>
        </w:rPr>
        <w:tab/>
      </w:r>
    </w:p>
    <w:p w14:paraId="19B8F0C1" w14:textId="77777777" w:rsidR="0096417C" w:rsidRDefault="0096417C" w:rsidP="00043218">
      <w:pPr>
        <w:ind w:firstLine="360"/>
        <w:jc w:val="center"/>
        <w:rPr>
          <w:sz w:val="32"/>
          <w:szCs w:val="32"/>
        </w:rPr>
      </w:pPr>
    </w:p>
    <w:p w14:paraId="66F8D26F" w14:textId="77777777" w:rsidR="00043218" w:rsidRPr="003714E5" w:rsidRDefault="00043218" w:rsidP="00043218">
      <w:pPr>
        <w:ind w:firstLine="360"/>
        <w:jc w:val="center"/>
        <w:rPr>
          <w:b/>
          <w:sz w:val="28"/>
          <w:szCs w:val="28"/>
        </w:rPr>
      </w:pPr>
      <w:r w:rsidRPr="003714E5">
        <w:rPr>
          <w:b/>
          <w:sz w:val="28"/>
          <w:szCs w:val="28"/>
        </w:rPr>
        <w:t xml:space="preserve"> Saturs</w:t>
      </w:r>
    </w:p>
    <w:p w14:paraId="72ADE09C" w14:textId="77777777" w:rsidR="00043218" w:rsidRPr="00D1498B" w:rsidRDefault="00043218" w:rsidP="00043218">
      <w:pPr>
        <w:rPr>
          <w:b/>
          <w:szCs w:val="28"/>
        </w:rPr>
      </w:pPr>
    </w:p>
    <w:p w14:paraId="749A01ED" w14:textId="760B5C40" w:rsidR="003B1933" w:rsidRDefault="00043218">
      <w:pPr>
        <w:pStyle w:val="TOC1"/>
        <w:rPr>
          <w:rFonts w:asciiTheme="minorHAnsi" w:eastAsiaTheme="minorEastAsia" w:hAnsiTheme="minorHAnsi"/>
          <w:noProof/>
          <w:kern w:val="2"/>
          <w:sz w:val="22"/>
          <w:lang w:eastAsia="lv-LV"/>
          <w14:ligatures w14:val="standardContextual"/>
        </w:rPr>
      </w:pPr>
      <w:r w:rsidRPr="00B15B93">
        <w:rPr>
          <w:b/>
          <w:szCs w:val="24"/>
          <w:highlight w:val="yellow"/>
        </w:rPr>
        <w:fldChar w:fldCharType="begin"/>
      </w:r>
      <w:r w:rsidRPr="00B15B93">
        <w:rPr>
          <w:b/>
          <w:szCs w:val="24"/>
          <w:highlight w:val="yellow"/>
        </w:rPr>
        <w:instrText xml:space="preserve"> TOC \o "1-3" \u </w:instrText>
      </w:r>
      <w:r w:rsidRPr="00B15B93">
        <w:rPr>
          <w:b/>
          <w:szCs w:val="24"/>
          <w:highlight w:val="yellow"/>
        </w:rPr>
        <w:fldChar w:fldCharType="separate"/>
      </w:r>
      <w:r w:rsidR="003B1933">
        <w:rPr>
          <w:noProof/>
        </w:rPr>
        <w:t>1.</w:t>
      </w:r>
      <w:r w:rsidR="003B1933">
        <w:rPr>
          <w:rFonts w:asciiTheme="minorHAnsi" w:eastAsiaTheme="minorEastAsia" w:hAnsiTheme="minorHAnsi"/>
          <w:noProof/>
          <w:kern w:val="2"/>
          <w:sz w:val="22"/>
          <w:lang w:eastAsia="lv-LV"/>
          <w14:ligatures w14:val="standardContextual"/>
        </w:rPr>
        <w:tab/>
      </w:r>
      <w:r w:rsidR="003B1933">
        <w:rPr>
          <w:noProof/>
        </w:rPr>
        <w:t>Galveno makroekonomisko rādītāju prognozes 2023.-2026.gadam</w:t>
      </w:r>
      <w:r w:rsidR="003B1933">
        <w:rPr>
          <w:noProof/>
        </w:rPr>
        <w:tab/>
      </w:r>
      <w:r w:rsidR="003B1933">
        <w:rPr>
          <w:noProof/>
        </w:rPr>
        <w:fldChar w:fldCharType="begin"/>
      </w:r>
      <w:r w:rsidR="003B1933">
        <w:rPr>
          <w:noProof/>
        </w:rPr>
        <w:instrText xml:space="preserve"> PAGEREF _Toc142344000 \h </w:instrText>
      </w:r>
      <w:r w:rsidR="003B1933">
        <w:rPr>
          <w:noProof/>
        </w:rPr>
      </w:r>
      <w:r w:rsidR="003B1933">
        <w:rPr>
          <w:noProof/>
        </w:rPr>
        <w:fldChar w:fldCharType="separate"/>
      </w:r>
      <w:r w:rsidR="00774B1C">
        <w:rPr>
          <w:noProof/>
        </w:rPr>
        <w:t>3</w:t>
      </w:r>
      <w:r w:rsidR="003B1933">
        <w:rPr>
          <w:noProof/>
        </w:rPr>
        <w:fldChar w:fldCharType="end"/>
      </w:r>
    </w:p>
    <w:p w14:paraId="5348D875" w14:textId="021E7045" w:rsidR="003B1933" w:rsidRDefault="003B1933">
      <w:pPr>
        <w:pStyle w:val="TOC1"/>
        <w:rPr>
          <w:rFonts w:asciiTheme="minorHAnsi" w:eastAsiaTheme="minorEastAsia" w:hAnsiTheme="minorHAnsi"/>
          <w:noProof/>
          <w:kern w:val="2"/>
          <w:sz w:val="22"/>
          <w:lang w:eastAsia="lv-LV"/>
          <w14:ligatures w14:val="standardContextual"/>
        </w:rPr>
      </w:pPr>
      <w:r>
        <w:rPr>
          <w:noProof/>
        </w:rPr>
        <w:t>2.</w:t>
      </w:r>
      <w:r>
        <w:rPr>
          <w:rFonts w:asciiTheme="minorHAnsi" w:eastAsiaTheme="minorEastAsia" w:hAnsiTheme="minorHAnsi"/>
          <w:noProof/>
          <w:kern w:val="2"/>
          <w:sz w:val="22"/>
          <w:lang w:eastAsia="lv-LV"/>
          <w14:ligatures w14:val="standardContextual"/>
        </w:rPr>
        <w:tab/>
      </w:r>
      <w:r>
        <w:rPr>
          <w:noProof/>
        </w:rPr>
        <w:t>Kopbudžeta nodokļu un valsts pamatbudžeta nenodokļu ieņēmumu prognozes 2024.-2026. gadam</w:t>
      </w:r>
      <w:r>
        <w:rPr>
          <w:noProof/>
        </w:rPr>
        <w:tab/>
      </w:r>
      <w:r>
        <w:rPr>
          <w:noProof/>
        </w:rPr>
        <w:fldChar w:fldCharType="begin"/>
      </w:r>
      <w:r>
        <w:rPr>
          <w:noProof/>
        </w:rPr>
        <w:instrText xml:space="preserve"> PAGEREF _Toc142344001 \h </w:instrText>
      </w:r>
      <w:r>
        <w:rPr>
          <w:noProof/>
        </w:rPr>
      </w:r>
      <w:r>
        <w:rPr>
          <w:noProof/>
        </w:rPr>
        <w:fldChar w:fldCharType="separate"/>
      </w:r>
      <w:r w:rsidR="00774B1C">
        <w:rPr>
          <w:noProof/>
        </w:rPr>
        <w:t>19</w:t>
      </w:r>
      <w:r>
        <w:rPr>
          <w:noProof/>
        </w:rPr>
        <w:fldChar w:fldCharType="end"/>
      </w:r>
    </w:p>
    <w:p w14:paraId="2CA4E7FB" w14:textId="0F2AE857" w:rsidR="003B1933" w:rsidRDefault="003B1933">
      <w:pPr>
        <w:pStyle w:val="TOC1"/>
        <w:rPr>
          <w:rFonts w:asciiTheme="minorHAnsi" w:eastAsiaTheme="minorEastAsia" w:hAnsiTheme="minorHAnsi"/>
          <w:noProof/>
          <w:kern w:val="2"/>
          <w:sz w:val="22"/>
          <w:lang w:eastAsia="lv-LV"/>
          <w14:ligatures w14:val="standardContextual"/>
        </w:rPr>
      </w:pPr>
      <w:r>
        <w:rPr>
          <w:noProof/>
        </w:rPr>
        <w:t>3.</w:t>
      </w:r>
      <w:r>
        <w:rPr>
          <w:rFonts w:asciiTheme="minorHAnsi" w:eastAsiaTheme="minorEastAsia" w:hAnsiTheme="minorHAnsi"/>
          <w:noProof/>
          <w:kern w:val="2"/>
          <w:sz w:val="22"/>
          <w:lang w:eastAsia="lv-LV"/>
          <w14:ligatures w14:val="standardContextual"/>
        </w:rPr>
        <w:tab/>
      </w:r>
      <w:r>
        <w:rPr>
          <w:noProof/>
        </w:rPr>
        <w:t>Valdības apstiprinātie atbalsta pasākumi krīžu seku mazināšanai un to fiskālā ietekme</w:t>
      </w:r>
      <w:r>
        <w:rPr>
          <w:noProof/>
        </w:rPr>
        <w:tab/>
      </w:r>
      <w:r>
        <w:rPr>
          <w:noProof/>
        </w:rPr>
        <w:fldChar w:fldCharType="begin"/>
      </w:r>
      <w:r>
        <w:rPr>
          <w:noProof/>
        </w:rPr>
        <w:instrText xml:space="preserve"> PAGEREF _Toc142344002 \h </w:instrText>
      </w:r>
      <w:r>
        <w:rPr>
          <w:noProof/>
        </w:rPr>
      </w:r>
      <w:r>
        <w:rPr>
          <w:noProof/>
        </w:rPr>
        <w:fldChar w:fldCharType="separate"/>
      </w:r>
      <w:r w:rsidR="00774B1C">
        <w:rPr>
          <w:noProof/>
        </w:rPr>
        <w:t>21</w:t>
      </w:r>
      <w:r>
        <w:rPr>
          <w:noProof/>
        </w:rPr>
        <w:fldChar w:fldCharType="end"/>
      </w:r>
    </w:p>
    <w:p w14:paraId="4D645C1A" w14:textId="7386C743" w:rsidR="003B1933" w:rsidRDefault="003B1933">
      <w:pPr>
        <w:pStyle w:val="TOC1"/>
        <w:rPr>
          <w:rFonts w:asciiTheme="minorHAnsi" w:eastAsiaTheme="minorEastAsia" w:hAnsiTheme="minorHAnsi"/>
          <w:noProof/>
          <w:kern w:val="2"/>
          <w:sz w:val="22"/>
          <w:lang w:eastAsia="lv-LV"/>
          <w14:ligatures w14:val="standardContextual"/>
        </w:rPr>
      </w:pPr>
      <w:r>
        <w:rPr>
          <w:noProof/>
        </w:rPr>
        <w:t>4.</w:t>
      </w:r>
      <w:r>
        <w:rPr>
          <w:rFonts w:asciiTheme="minorHAnsi" w:eastAsiaTheme="minorEastAsia" w:hAnsiTheme="minorHAnsi"/>
          <w:noProof/>
          <w:kern w:val="2"/>
          <w:sz w:val="22"/>
          <w:lang w:eastAsia="lv-LV"/>
          <w14:ligatures w14:val="standardContextual"/>
        </w:rPr>
        <w:tab/>
      </w:r>
      <w:r>
        <w:rPr>
          <w:noProof/>
        </w:rPr>
        <w:t>Vispārējās valdības budžeta bilances prognoze pie nemainīgas valdības politikas 2024.-2026. gadam</w:t>
      </w:r>
      <w:r>
        <w:rPr>
          <w:noProof/>
        </w:rPr>
        <w:tab/>
      </w:r>
      <w:r>
        <w:rPr>
          <w:noProof/>
        </w:rPr>
        <w:fldChar w:fldCharType="begin"/>
      </w:r>
      <w:r>
        <w:rPr>
          <w:noProof/>
        </w:rPr>
        <w:instrText xml:space="preserve"> PAGEREF _Toc142344003 \h </w:instrText>
      </w:r>
      <w:r>
        <w:rPr>
          <w:noProof/>
        </w:rPr>
      </w:r>
      <w:r>
        <w:rPr>
          <w:noProof/>
        </w:rPr>
        <w:fldChar w:fldCharType="separate"/>
      </w:r>
      <w:r w:rsidR="00774B1C">
        <w:rPr>
          <w:noProof/>
        </w:rPr>
        <w:t>22</w:t>
      </w:r>
      <w:r>
        <w:rPr>
          <w:noProof/>
        </w:rPr>
        <w:fldChar w:fldCharType="end"/>
      </w:r>
    </w:p>
    <w:p w14:paraId="1E2E3C12" w14:textId="0D7CFE74" w:rsidR="003B1933" w:rsidRDefault="003B1933">
      <w:pPr>
        <w:pStyle w:val="TOC1"/>
        <w:rPr>
          <w:rFonts w:asciiTheme="minorHAnsi" w:eastAsiaTheme="minorEastAsia" w:hAnsiTheme="minorHAnsi"/>
          <w:noProof/>
          <w:kern w:val="2"/>
          <w:sz w:val="22"/>
          <w:lang w:eastAsia="lv-LV"/>
          <w14:ligatures w14:val="standardContextual"/>
        </w:rPr>
      </w:pPr>
      <w:r>
        <w:rPr>
          <w:noProof/>
        </w:rPr>
        <w:t>5.</w:t>
      </w:r>
      <w:r>
        <w:rPr>
          <w:rFonts w:asciiTheme="minorHAnsi" w:eastAsiaTheme="minorEastAsia" w:hAnsiTheme="minorHAnsi"/>
          <w:noProof/>
          <w:kern w:val="2"/>
          <w:sz w:val="22"/>
          <w:lang w:eastAsia="lv-LV"/>
          <w14:ligatures w14:val="standardContextual"/>
        </w:rPr>
        <w:tab/>
      </w:r>
      <w:r>
        <w:rPr>
          <w:noProof/>
        </w:rPr>
        <w:t>Makroekonomiskās un fiskālās attīstības pesimistiskais un optimistiskais scenārijs</w:t>
      </w:r>
      <w:r>
        <w:rPr>
          <w:noProof/>
        </w:rPr>
        <w:tab/>
      </w:r>
      <w:r>
        <w:rPr>
          <w:noProof/>
        </w:rPr>
        <w:fldChar w:fldCharType="begin"/>
      </w:r>
      <w:r>
        <w:rPr>
          <w:noProof/>
        </w:rPr>
        <w:instrText xml:space="preserve"> PAGEREF _Toc142344004 \h </w:instrText>
      </w:r>
      <w:r>
        <w:rPr>
          <w:noProof/>
        </w:rPr>
      </w:r>
      <w:r>
        <w:rPr>
          <w:noProof/>
        </w:rPr>
        <w:fldChar w:fldCharType="separate"/>
      </w:r>
      <w:r w:rsidR="00774B1C">
        <w:rPr>
          <w:noProof/>
        </w:rPr>
        <w:t>26</w:t>
      </w:r>
      <w:r>
        <w:rPr>
          <w:noProof/>
        </w:rPr>
        <w:fldChar w:fldCharType="end"/>
      </w:r>
    </w:p>
    <w:p w14:paraId="6EC34438" w14:textId="4C1336FE" w:rsidR="003B1933" w:rsidRDefault="003B1933">
      <w:pPr>
        <w:pStyle w:val="TOC1"/>
        <w:rPr>
          <w:rFonts w:asciiTheme="minorHAnsi" w:eastAsiaTheme="minorEastAsia" w:hAnsiTheme="minorHAnsi"/>
          <w:noProof/>
          <w:kern w:val="2"/>
          <w:sz w:val="22"/>
          <w:lang w:eastAsia="lv-LV"/>
          <w14:ligatures w14:val="standardContextual"/>
        </w:rPr>
      </w:pPr>
      <w:r>
        <w:rPr>
          <w:noProof/>
        </w:rPr>
        <w:t>6.</w:t>
      </w:r>
      <w:r>
        <w:rPr>
          <w:rFonts w:asciiTheme="minorHAnsi" w:eastAsiaTheme="minorEastAsia" w:hAnsiTheme="minorHAnsi"/>
          <w:noProof/>
          <w:kern w:val="2"/>
          <w:sz w:val="22"/>
          <w:lang w:eastAsia="lv-LV"/>
          <w14:ligatures w14:val="standardContextual"/>
        </w:rPr>
        <w:tab/>
      </w:r>
      <w:r>
        <w:rPr>
          <w:noProof/>
        </w:rPr>
        <w:t>Vispārējās valdības parāda prognoze 2024.-2026. gadam</w:t>
      </w:r>
      <w:r>
        <w:rPr>
          <w:noProof/>
        </w:rPr>
        <w:tab/>
      </w:r>
      <w:r>
        <w:rPr>
          <w:noProof/>
        </w:rPr>
        <w:fldChar w:fldCharType="begin"/>
      </w:r>
      <w:r>
        <w:rPr>
          <w:noProof/>
        </w:rPr>
        <w:instrText xml:space="preserve"> PAGEREF _Toc142344005 \h </w:instrText>
      </w:r>
      <w:r>
        <w:rPr>
          <w:noProof/>
        </w:rPr>
      </w:r>
      <w:r>
        <w:rPr>
          <w:noProof/>
        </w:rPr>
        <w:fldChar w:fldCharType="separate"/>
      </w:r>
      <w:r w:rsidR="00774B1C">
        <w:rPr>
          <w:noProof/>
        </w:rPr>
        <w:t>26</w:t>
      </w:r>
      <w:r>
        <w:rPr>
          <w:noProof/>
        </w:rPr>
        <w:fldChar w:fldCharType="end"/>
      </w:r>
    </w:p>
    <w:p w14:paraId="541D15B3" w14:textId="418CD7B2" w:rsidR="003B1933" w:rsidRDefault="003B1933">
      <w:pPr>
        <w:pStyle w:val="TOC1"/>
        <w:rPr>
          <w:rFonts w:asciiTheme="minorHAnsi" w:eastAsiaTheme="minorEastAsia" w:hAnsiTheme="minorHAnsi"/>
          <w:noProof/>
          <w:kern w:val="2"/>
          <w:sz w:val="22"/>
          <w:lang w:eastAsia="lv-LV"/>
          <w14:ligatures w14:val="standardContextual"/>
        </w:rPr>
      </w:pPr>
      <w:r>
        <w:rPr>
          <w:noProof/>
        </w:rPr>
        <w:t>7.</w:t>
      </w:r>
      <w:r>
        <w:rPr>
          <w:rFonts w:asciiTheme="minorHAnsi" w:eastAsiaTheme="minorEastAsia" w:hAnsiTheme="minorHAnsi"/>
          <w:noProof/>
          <w:kern w:val="2"/>
          <w:sz w:val="22"/>
          <w:lang w:eastAsia="lv-LV"/>
          <w14:ligatures w14:val="standardContextual"/>
        </w:rPr>
        <w:tab/>
      </w:r>
      <w:r>
        <w:rPr>
          <w:noProof/>
        </w:rPr>
        <w:t>Fiskālās politikas nosacījumi un fiskālā telpa 2024.-2026. gadam</w:t>
      </w:r>
      <w:r>
        <w:rPr>
          <w:noProof/>
        </w:rPr>
        <w:tab/>
      </w:r>
      <w:r>
        <w:rPr>
          <w:noProof/>
        </w:rPr>
        <w:fldChar w:fldCharType="begin"/>
      </w:r>
      <w:r>
        <w:rPr>
          <w:noProof/>
        </w:rPr>
        <w:instrText xml:space="preserve"> PAGEREF _Toc142344006 \h </w:instrText>
      </w:r>
      <w:r>
        <w:rPr>
          <w:noProof/>
        </w:rPr>
      </w:r>
      <w:r>
        <w:rPr>
          <w:noProof/>
        </w:rPr>
        <w:fldChar w:fldCharType="separate"/>
      </w:r>
      <w:r w:rsidR="00774B1C">
        <w:rPr>
          <w:noProof/>
        </w:rPr>
        <w:t>31</w:t>
      </w:r>
      <w:r>
        <w:rPr>
          <w:noProof/>
        </w:rPr>
        <w:fldChar w:fldCharType="end"/>
      </w:r>
    </w:p>
    <w:p w14:paraId="7AD64984" w14:textId="317EC5BC" w:rsidR="003B1933" w:rsidRDefault="003B1933">
      <w:pPr>
        <w:pStyle w:val="TOC1"/>
        <w:rPr>
          <w:rFonts w:asciiTheme="minorHAnsi" w:eastAsiaTheme="minorEastAsia" w:hAnsiTheme="minorHAnsi"/>
          <w:noProof/>
          <w:kern w:val="2"/>
          <w:sz w:val="22"/>
          <w:lang w:eastAsia="lv-LV"/>
          <w14:ligatures w14:val="standardContextual"/>
        </w:rPr>
      </w:pPr>
      <w:r>
        <w:rPr>
          <w:noProof/>
        </w:rPr>
        <w:t>8.</w:t>
      </w:r>
      <w:r>
        <w:rPr>
          <w:rFonts w:asciiTheme="minorHAnsi" w:eastAsiaTheme="minorEastAsia" w:hAnsiTheme="minorHAnsi"/>
          <w:noProof/>
          <w:kern w:val="2"/>
          <w:sz w:val="22"/>
          <w:lang w:eastAsia="lv-LV"/>
          <w14:ligatures w14:val="standardContextual"/>
        </w:rPr>
        <w:tab/>
      </w:r>
      <w:r>
        <w:rPr>
          <w:noProof/>
        </w:rPr>
        <w:t>Turpmākā rīcība</w:t>
      </w:r>
      <w:r>
        <w:rPr>
          <w:noProof/>
        </w:rPr>
        <w:tab/>
      </w:r>
      <w:r>
        <w:rPr>
          <w:noProof/>
        </w:rPr>
        <w:fldChar w:fldCharType="begin"/>
      </w:r>
      <w:r>
        <w:rPr>
          <w:noProof/>
        </w:rPr>
        <w:instrText xml:space="preserve"> PAGEREF _Toc142344007 \h </w:instrText>
      </w:r>
      <w:r>
        <w:rPr>
          <w:noProof/>
        </w:rPr>
      </w:r>
      <w:r>
        <w:rPr>
          <w:noProof/>
        </w:rPr>
        <w:fldChar w:fldCharType="separate"/>
      </w:r>
      <w:r w:rsidR="00774B1C">
        <w:rPr>
          <w:noProof/>
        </w:rPr>
        <w:t>35</w:t>
      </w:r>
      <w:r>
        <w:rPr>
          <w:noProof/>
        </w:rPr>
        <w:fldChar w:fldCharType="end"/>
      </w:r>
    </w:p>
    <w:p w14:paraId="7A5C199C" w14:textId="09CF56D3" w:rsidR="00043218" w:rsidRPr="00572A55" w:rsidRDefault="00043218" w:rsidP="003714E5">
      <w:pPr>
        <w:spacing w:after="240"/>
        <w:rPr>
          <w:b/>
          <w:sz w:val="32"/>
          <w:szCs w:val="32"/>
        </w:rPr>
      </w:pPr>
      <w:r w:rsidRPr="00B15B93">
        <w:rPr>
          <w:b/>
          <w:szCs w:val="24"/>
          <w:highlight w:val="yellow"/>
        </w:rPr>
        <w:fldChar w:fldCharType="end"/>
      </w:r>
      <w:r w:rsidRPr="00572A55">
        <w:rPr>
          <w:b/>
          <w:sz w:val="32"/>
          <w:szCs w:val="32"/>
        </w:rPr>
        <w:br w:type="page"/>
      </w:r>
    </w:p>
    <w:p w14:paraId="750FCCF8" w14:textId="623F1146" w:rsidR="00565001" w:rsidRPr="003068EF" w:rsidRDefault="00043218" w:rsidP="003068EF">
      <w:pPr>
        <w:pStyle w:val="Heading1"/>
        <w:ind w:left="357" w:hanging="357"/>
        <w:rPr>
          <w:sz w:val="28"/>
          <w:szCs w:val="28"/>
        </w:rPr>
      </w:pPr>
      <w:bookmarkStart w:id="0" w:name="_Toc142344000"/>
      <w:r w:rsidRPr="00B15B93">
        <w:rPr>
          <w:sz w:val="28"/>
          <w:szCs w:val="28"/>
        </w:rPr>
        <w:lastRenderedPageBreak/>
        <w:t>Galveno makroekonomisko rādītāju</w:t>
      </w:r>
      <w:r w:rsidR="008B59AC" w:rsidRPr="00B15B93">
        <w:rPr>
          <w:sz w:val="28"/>
          <w:szCs w:val="28"/>
        </w:rPr>
        <w:t xml:space="preserve"> </w:t>
      </w:r>
      <w:r w:rsidRPr="00B15B93">
        <w:rPr>
          <w:sz w:val="28"/>
          <w:szCs w:val="28"/>
        </w:rPr>
        <w:t>prognozes</w:t>
      </w:r>
      <w:r w:rsidR="000550FF" w:rsidRPr="00B15B93">
        <w:rPr>
          <w:sz w:val="28"/>
          <w:szCs w:val="28"/>
        </w:rPr>
        <w:t xml:space="preserve"> </w:t>
      </w:r>
      <w:r w:rsidRPr="00B15B93">
        <w:rPr>
          <w:sz w:val="28"/>
          <w:szCs w:val="28"/>
        </w:rPr>
        <w:t>20</w:t>
      </w:r>
      <w:r w:rsidR="00964CAC" w:rsidRPr="00B15B93">
        <w:rPr>
          <w:sz w:val="28"/>
          <w:szCs w:val="28"/>
        </w:rPr>
        <w:t>2</w:t>
      </w:r>
      <w:r w:rsidR="00B15B93" w:rsidRPr="00B15B93">
        <w:rPr>
          <w:sz w:val="28"/>
          <w:szCs w:val="28"/>
        </w:rPr>
        <w:t>3</w:t>
      </w:r>
      <w:r w:rsidRPr="00B15B93">
        <w:rPr>
          <w:sz w:val="28"/>
          <w:szCs w:val="28"/>
        </w:rPr>
        <w:t>.-20</w:t>
      </w:r>
      <w:r w:rsidR="00964CAC" w:rsidRPr="00B15B93">
        <w:rPr>
          <w:sz w:val="28"/>
          <w:szCs w:val="28"/>
        </w:rPr>
        <w:t>2</w:t>
      </w:r>
      <w:r w:rsidR="00B15B93" w:rsidRPr="00B15B93">
        <w:rPr>
          <w:sz w:val="28"/>
          <w:szCs w:val="28"/>
        </w:rPr>
        <w:t>6</w:t>
      </w:r>
      <w:r w:rsidRPr="00B15B93">
        <w:rPr>
          <w:sz w:val="28"/>
          <w:szCs w:val="28"/>
        </w:rPr>
        <w:t>.gadam</w:t>
      </w:r>
      <w:bookmarkEnd w:id="0"/>
    </w:p>
    <w:p w14:paraId="27E0E173" w14:textId="77777777" w:rsidR="00565001" w:rsidRDefault="00565001" w:rsidP="00766ABC">
      <w:pPr>
        <w:rPr>
          <w:szCs w:val="20"/>
        </w:rPr>
      </w:pPr>
      <w:r>
        <w:rPr>
          <w:szCs w:val="20"/>
        </w:rPr>
        <w:t xml:space="preserve">Latvijas ekonomika Covid-19 krīzi bija pārvarējusi būtiski labāk nekā sākotnēji prognozēts, pēc 2,3% krituma 2020. gadā ekonomikas izaugsmei 2021. gadā sasniedzot 4,3%, un arī Krievijas sāktā kara un energoresursu cenu kāpuma negatīvā ietekme 2022. gadā ir izrādījusies mazāka, nekā tika pieļauts uzreiz pēc kara sākuma. Iekšzemes kopprodukts pērn palielinājies par 2,8% un izaugsme fiksēta </w:t>
      </w:r>
      <w:r w:rsidRPr="00027C7F">
        <w:rPr>
          <w:szCs w:val="20"/>
        </w:rPr>
        <w:t>gandrīz visās pakalpojumu nozarēs,</w:t>
      </w:r>
      <w:r>
        <w:rPr>
          <w:szCs w:val="20"/>
        </w:rPr>
        <w:t xml:space="preserve"> kuras iepriekš negatīvi skāra vīrusa izplatības samazināšanai noteiktie ierobežojumi.</w:t>
      </w:r>
    </w:p>
    <w:p w14:paraId="7935B29E" w14:textId="77777777" w:rsidR="00565001" w:rsidRPr="00027C7F" w:rsidRDefault="00565001" w:rsidP="00766ABC">
      <w:pPr>
        <w:rPr>
          <w:szCs w:val="20"/>
        </w:rPr>
      </w:pPr>
      <w:r>
        <w:rPr>
          <w:szCs w:val="20"/>
        </w:rPr>
        <w:t>L</w:t>
      </w:r>
      <w:r w:rsidRPr="00027C7F">
        <w:rPr>
          <w:szCs w:val="20"/>
        </w:rPr>
        <w:t xml:space="preserve">ielāko devumu </w:t>
      </w:r>
      <w:r>
        <w:rPr>
          <w:szCs w:val="20"/>
        </w:rPr>
        <w:t>iekšzemes kopprodukta (</w:t>
      </w:r>
      <w:r w:rsidRPr="00027C7F">
        <w:rPr>
          <w:szCs w:val="20"/>
        </w:rPr>
        <w:t>IKP</w:t>
      </w:r>
      <w:r>
        <w:rPr>
          <w:szCs w:val="20"/>
        </w:rPr>
        <w:t>)</w:t>
      </w:r>
      <w:r w:rsidRPr="00027C7F">
        <w:rPr>
          <w:szCs w:val="20"/>
        </w:rPr>
        <w:t xml:space="preserve"> pieaugumā </w:t>
      </w:r>
      <w:r>
        <w:rPr>
          <w:szCs w:val="20"/>
        </w:rPr>
        <w:t xml:space="preserve">pērn </w:t>
      </w:r>
      <w:r w:rsidRPr="00027C7F">
        <w:rPr>
          <w:szCs w:val="20"/>
        </w:rPr>
        <w:t>nodrošinājis 15,7% kāpums komercpakalpojumu nozarēs. Būtiska loma bijusi arī 57,5% pieaugumam izmitināšanas un ēdināšanas nozarē un 26,6% pieaugumam mākslas, izklaides un atpūtas nozarē.  Ļoti veiksmīgi attīstījusies informācijas un komunikācijas pakalpojumu nozare, uzrādot 14,0% pieaugumu</w:t>
      </w:r>
      <w:r>
        <w:rPr>
          <w:szCs w:val="20"/>
        </w:rPr>
        <w:t xml:space="preserve"> un s</w:t>
      </w:r>
      <w:r w:rsidRPr="00027C7F">
        <w:rPr>
          <w:szCs w:val="20"/>
        </w:rPr>
        <w:t xml:space="preserve">ekmīgi 2022. gadā strādājusi arī apstrādes rūpniecība, kas, neskatoties uz apjomu samazinājumu divās lielākajās </w:t>
      </w:r>
      <w:r w:rsidRPr="00027C7F">
        <w:rPr>
          <w:noProof/>
          <w:szCs w:val="20"/>
        </w:rPr>
        <w:t>apakšnozarēs – kokapstrādē</w:t>
      </w:r>
      <w:r w:rsidRPr="00027C7F">
        <w:rPr>
          <w:szCs w:val="20"/>
        </w:rPr>
        <w:t xml:space="preserve"> un pārtikas ražošanā – spējusi sasniegt 2,7% pieaugumu. </w:t>
      </w:r>
    </w:p>
    <w:p w14:paraId="1C12604C" w14:textId="77777777" w:rsidR="00565001" w:rsidRPr="00027C7F" w:rsidRDefault="00565001" w:rsidP="00766ABC">
      <w:pPr>
        <w:rPr>
          <w:szCs w:val="20"/>
        </w:rPr>
      </w:pPr>
      <w:r w:rsidRPr="00027C7F">
        <w:rPr>
          <w:szCs w:val="20"/>
        </w:rPr>
        <w:t>Kopumā pagājušā gada dati rāda, ka Krievijas uzsāktā kara negatīvā ietekme atspoguļojusies galvenokārt vairumtirdzniecības nozares apjomu kritumā par 18,7% salīdzinājumā ar 2021. gadu. Tajā pašā laikā negatīva dinamika saglabājusies arī būvniecības nozarē, kas pēc 9,8% krituma 2021. gadā pērn samazinājusies vēl par 11,3%, strauji pieaugot būvniecības izmaksām un kavējoties līgumu pārslēgšanai.</w:t>
      </w:r>
    </w:p>
    <w:p w14:paraId="0804F1B2" w14:textId="77777777" w:rsidR="00565001" w:rsidRDefault="00565001" w:rsidP="00766ABC">
      <w:pPr>
        <w:rPr>
          <w:szCs w:val="20"/>
        </w:rPr>
      </w:pPr>
      <w:r w:rsidRPr="00027C7F">
        <w:rPr>
          <w:szCs w:val="20"/>
        </w:rPr>
        <w:t xml:space="preserve">No izlietojuma puses ekonomikas izaugsmi pērn visvairāk veicināja privātā patēriņa </w:t>
      </w:r>
      <w:r w:rsidRPr="00027C7F">
        <w:rPr>
          <w:noProof/>
          <w:szCs w:val="20"/>
        </w:rPr>
        <w:t>pieaugums par 8,1%, ko nodrošināja Covid-19 ierobežojumu atcelšana, kā arī valsts energoatbalsta pasākumi, mīkstinot energoresursu cenu kāpuma negatīvo ietekmi. Patēriņu palīdzēja nodrošināt arī pandēmijas laikā būtiski pieaugušie mājsaimniecību uzkrājumi komercbankās. Sabiedriskā</w:t>
      </w:r>
      <w:r w:rsidRPr="00027C7F">
        <w:rPr>
          <w:szCs w:val="20"/>
        </w:rPr>
        <w:t xml:space="preserve"> patēriņa pieaugums pērn bija mērenāks, tam palielinoties par 2,8%, kamēr investīciju pieaugumu (+0,7%) kavēja gan straujais būvniecības izmaksu pieaugums, gan riska pieaugums karadarbībai tuvā reģionā. Strauji pieaugumi pērn bija gan eksportam (+9,1%), gan importam (+11,6%), bet, eksportam palielinoties nedaudz lēnāk nekā importam, neto eksporta devums ekonomikas izaugsmē bija negatīvs.</w:t>
      </w:r>
    </w:p>
    <w:p w14:paraId="40B8E1FA" w14:textId="77777777" w:rsidR="00565001" w:rsidRPr="00EA5A20" w:rsidRDefault="00565001" w:rsidP="00766ABC">
      <w:pPr>
        <w:rPr>
          <w:szCs w:val="20"/>
        </w:rPr>
      </w:pPr>
      <w:r>
        <w:rPr>
          <w:szCs w:val="20"/>
        </w:rPr>
        <w:t>Š</w:t>
      </w:r>
      <w:r w:rsidRPr="00EA5A20">
        <w:rPr>
          <w:szCs w:val="20"/>
        </w:rPr>
        <w:t>ā gada pirmajā ceturksnī</w:t>
      </w:r>
      <w:r>
        <w:rPr>
          <w:szCs w:val="20"/>
        </w:rPr>
        <w:t xml:space="preserve"> ekonomikas izaugsme ir kļuvusi lēnāka un IKP</w:t>
      </w:r>
      <w:r w:rsidRPr="00EA5A20">
        <w:rPr>
          <w:szCs w:val="20"/>
        </w:rPr>
        <w:t xml:space="preserve">, salīdzinot ar pagājušā gada attiecīgo ceturksni, </w:t>
      </w:r>
      <w:r>
        <w:rPr>
          <w:szCs w:val="20"/>
        </w:rPr>
        <w:t>ir palielinājies</w:t>
      </w:r>
      <w:r w:rsidRPr="00EA5A20">
        <w:rPr>
          <w:szCs w:val="20"/>
        </w:rPr>
        <w:t xml:space="preserve"> par 0,8%</w:t>
      </w:r>
      <w:r>
        <w:rPr>
          <w:szCs w:val="20"/>
        </w:rPr>
        <w:t xml:space="preserve">. </w:t>
      </w:r>
      <w:r w:rsidRPr="00EA5A20">
        <w:rPr>
          <w:szCs w:val="20"/>
        </w:rPr>
        <w:t>Ekonomikas izaugsmi nodrošinājusi pakalpojumu nozaru tālāka atjaunošanās pēc pandēmijas laika ierobežojumiem un spēcīga privātā patēriņa saglabāšanās, pateicoties labvēlīgajiem laika apstākļiem zemās apkures sezonā un valsts atbalsta pasākumiem, patērētāju konfidencei pēc krasā krituma pagājušā gada vidū arvien uzlabojoties. Būtiska loma bijusi arī investīciju un būvniecības nozares kāpumam, kas pēc pēdējo gadu pastāvīgā krituma šogad pirmajā ceturksnī beidzot atguvusies, salīdzinājumā ar pagājušā gada pirmo ceturksni uzrādot spēcīgu 17% pieaugumu. Ļoti veiksmīgi turpin</w:t>
      </w:r>
      <w:r>
        <w:rPr>
          <w:szCs w:val="20"/>
        </w:rPr>
        <w:t>ājusi</w:t>
      </w:r>
      <w:r w:rsidRPr="00EA5A20">
        <w:rPr>
          <w:szCs w:val="20"/>
        </w:rPr>
        <w:t xml:space="preserve"> strādāt informācijas un komunikācijas pakalpojumu nozare, kas gada laikā augusi par 12,2%. Vienlaikus apstrādes rūpniecības rezultātos jau sākusi izpausties ārējā pieprasījuma samazināšanās, ekonomikas izaugsmei galvenajos Latvijas eksporta tirgos bremzējoties, un nozare piedzīvojusi 4,3% kritumu.</w:t>
      </w:r>
    </w:p>
    <w:p w14:paraId="0FC20306" w14:textId="7611CAD6" w:rsidR="00565001" w:rsidRDefault="00565001" w:rsidP="00766ABC">
      <w:pPr>
        <w:rPr>
          <w:szCs w:val="20"/>
        </w:rPr>
      </w:pPr>
      <w:r w:rsidRPr="00EA5A20">
        <w:rPr>
          <w:szCs w:val="20"/>
        </w:rPr>
        <w:t>Kopumā pirmā ceturkšņa rādītāji jau diezgan skaidri ir iezīmējuši šā gada situāciju, kad ārējais pieprasījums saglabāsies zems, bet galvenais izaugsmes nodrošinātājs būs iekšzemes pieprasījums, pirmām kārtām investīcijas, tajā skaitā būtiski straujāka Eiropas Savienības fondu finansējuma izmantošana, kā arī salīdzinoši stabilais privātā patēriņa līmenis, ko, tāpat kā investīcijas, veicinās cenu stabilizēšanās un atsevišķos sektoros arī visai straujš cenu kritums, pirmām kārtām energoresursiem un degvielai.</w:t>
      </w:r>
      <w:r>
        <w:rPr>
          <w:szCs w:val="20"/>
        </w:rPr>
        <w:t xml:space="preserve"> Balstoties uz 2023.</w:t>
      </w:r>
      <w:r w:rsidR="009B7B50">
        <w:rPr>
          <w:szCs w:val="20"/>
        </w:rPr>
        <w:t> </w:t>
      </w:r>
      <w:r>
        <w:rPr>
          <w:szCs w:val="20"/>
        </w:rPr>
        <w:t xml:space="preserve">gada pirmajā ceturkšņa datiem un </w:t>
      </w:r>
      <w:r w:rsidRPr="000364F5">
        <w:t>līdz šā gada jūnijam pieejamo īstermiņa makroekonomisko informāciju</w:t>
      </w:r>
      <w:r>
        <w:rPr>
          <w:szCs w:val="20"/>
        </w:rPr>
        <w:t xml:space="preserve">, </w:t>
      </w:r>
      <w:r>
        <w:t xml:space="preserve">Finanšu ministrija 2023. gada jūnijā izstrādāja makroekonomisko rādītāju prognozes nākamā gada </w:t>
      </w:r>
      <w:r>
        <w:lastRenderedPageBreak/>
        <w:t xml:space="preserve">valsts budžeta sagatavošanai. </w:t>
      </w:r>
      <w:r w:rsidRPr="00EA5A20">
        <w:t>Latvijas iekšzemes kopprodukta pieauguma prognoze šim gadam ir paaugstināta līdz 1,0%</w:t>
      </w:r>
      <w:r>
        <w:t xml:space="preserve">, pateicoties </w:t>
      </w:r>
      <w:r w:rsidRPr="001908C9">
        <w:t>straujāk</w:t>
      </w:r>
      <w:r>
        <w:t>ai</w:t>
      </w:r>
      <w:r w:rsidRPr="001908C9">
        <w:t xml:space="preserve"> nekā prognozēts ekonomikas attīstīb</w:t>
      </w:r>
      <w:r>
        <w:t>as</w:t>
      </w:r>
      <w:r w:rsidRPr="001908C9">
        <w:t xml:space="preserve"> pagājušā gada beigās un šā gada pirmajā ceturksnī</w:t>
      </w:r>
      <w:r>
        <w:t xml:space="preserve">. Prognoze </w:t>
      </w:r>
      <w:r w:rsidRPr="00EA5A20">
        <w:t xml:space="preserve">ir par vienu procentpunktu </w:t>
      </w:r>
      <w:r>
        <w:t xml:space="preserve">augstāka </w:t>
      </w:r>
      <w:r w:rsidRPr="00EA5A20">
        <w:t>nekā iepriekšējā</w:t>
      </w:r>
      <w:r>
        <w:t xml:space="preserve"> makroekonomiskās attīstības scenārijā</w:t>
      </w:r>
      <w:r w:rsidRPr="00EA5A20">
        <w:t xml:space="preserve">, kas tika </w:t>
      </w:r>
      <w:r>
        <w:t>izstrādāts</w:t>
      </w:r>
      <w:r w:rsidRPr="00EA5A20">
        <w:t xml:space="preserve"> šā gada februārī</w:t>
      </w:r>
      <w:r>
        <w:t xml:space="preserve">. </w:t>
      </w:r>
      <w:r w:rsidRPr="00EA5A20">
        <w:t xml:space="preserve"> 2024. gad</w:t>
      </w:r>
      <w:r>
        <w:t>am</w:t>
      </w:r>
      <w:r w:rsidRPr="00EA5A20">
        <w:t xml:space="preserve"> tiek prognozēta ekonomik</w:t>
      </w:r>
      <w:r>
        <w:t>a</w:t>
      </w:r>
      <w:r w:rsidRPr="00EA5A20">
        <w:t>s izaugsme</w:t>
      </w:r>
      <w:r>
        <w:t>s paātrināšanās</w:t>
      </w:r>
      <w:r w:rsidRPr="00EA5A20">
        <w:t xml:space="preserve"> līdz 2,5%, kas ir par 0,5 procentpunktiem vairāk nekā iepriekšējā </w:t>
      </w:r>
      <w:r>
        <w:t>scenārijā.</w:t>
      </w:r>
    </w:p>
    <w:p w14:paraId="20FAB06F" w14:textId="77777777" w:rsidR="00565001" w:rsidRPr="008021D7" w:rsidRDefault="00565001" w:rsidP="00766ABC">
      <w:pPr>
        <w:pStyle w:val="H4"/>
        <w:ind w:left="0" w:firstLine="720"/>
        <w:jc w:val="both"/>
        <w:outlineLvl w:val="9"/>
        <w:rPr>
          <w:rFonts w:ascii="Times New Roman" w:hAnsi="Times New Roman"/>
          <w:iCs/>
          <w:sz w:val="24"/>
          <w:szCs w:val="24"/>
        </w:rPr>
      </w:pPr>
      <w:r w:rsidRPr="008021D7">
        <w:rPr>
          <w:rFonts w:ascii="Times New Roman" w:hAnsi="Times New Roman"/>
          <w:iCs/>
          <w:sz w:val="24"/>
          <w:szCs w:val="24"/>
        </w:rPr>
        <w:t>Ārējā vide</w:t>
      </w:r>
    </w:p>
    <w:p w14:paraId="4C4F4F17" w14:textId="77777777" w:rsidR="00565001" w:rsidRPr="008F486A" w:rsidRDefault="00565001" w:rsidP="00766ABC">
      <w:r w:rsidRPr="008F486A">
        <w:t>Pasaules ekonomikas izaugsme pēc spēcīgās atgūšanās no Covid-19 pandēmijas 2021. gadā</w:t>
      </w:r>
      <w:r>
        <w:t>,</w:t>
      </w:r>
      <w:r w:rsidRPr="008F486A">
        <w:t xml:space="preserve"> pērn palēninājās līdz 3,5%, bet šogad un nākamgad, pēc Starptautiskā Valūtas fonda (SVF) jaunākajām, jūlija prognozēm</w:t>
      </w:r>
      <w:r>
        <w:t xml:space="preserve">, izaugsme </w:t>
      </w:r>
      <w:r w:rsidRPr="008F486A">
        <w:t xml:space="preserve">būs vēl zemāka, - 3% apmērā. Lai gan salīdzinājumā ar aprīļa prognozēm ekonomikas pieauguma tempi ir nedaudz paaugstināti, tie tomēr ir vēsturiski zemā līmenī un ekonomisko aktivitāti turpina vājināt centrālo banku veiktie procentu likmju paaugstinājumi, lai ierobežotu inflāciju. Ekonomisko situāciju pasaulē jau kopš 2022. gada februāra nosaka Krievijas iesāktais karš Ukrainā un tā veicinātā </w:t>
      </w:r>
      <w:proofErr w:type="spellStart"/>
      <w:r w:rsidRPr="008F486A">
        <w:t>energokrīze</w:t>
      </w:r>
      <w:proofErr w:type="spellEnd"/>
      <w:r w:rsidRPr="008F486A">
        <w:t xml:space="preserve">, ievērojami paaugstinot energoresursu cenas, ceļot kopējo inflācijas līmeni un </w:t>
      </w:r>
      <w:r>
        <w:t>kopā ar</w:t>
      </w:r>
      <w:r w:rsidRPr="008F486A">
        <w:t xml:space="preserve"> procentu likmju celšanu arī būtiski palēninot ekonomikas attīstību.</w:t>
      </w:r>
    </w:p>
    <w:p w14:paraId="199A0B1C" w14:textId="77777777" w:rsidR="00565001" w:rsidRDefault="00565001" w:rsidP="00766ABC">
      <w:pPr>
        <w:rPr>
          <w:szCs w:val="20"/>
        </w:rPr>
      </w:pPr>
      <w:r>
        <w:rPr>
          <w:szCs w:val="20"/>
        </w:rPr>
        <w:t xml:space="preserve">Līdzīgi kā pasaulē kopumā zema izaugsme prognozēta arī Eiropas Savienībai un galvenajām Latvijas ārējās tirdzniecības partnervalstīm. Pēc Eiropas Komisijas pēdējām, šā gada maija prognozēm, ekonomikas izaugsme Eiropas Savienības valstīs šogad palēnināsies līdz 1,0%, salīdzinot ar 3,5% izaugsmi pērn. Zemā līmenī ekonomikas attīstības tempi saglabāsies arī 2024. gadā, kad ES ekonomikas izaugsme veidos 1,7%. Tāpat kā pasaulei, arī Eiropas Savienībai un </w:t>
      </w:r>
      <w:r>
        <w:rPr>
          <w:noProof/>
          <w:szCs w:val="20"/>
        </w:rPr>
        <w:t>eirozonai izaugsmes prognoze</w:t>
      </w:r>
      <w:r>
        <w:rPr>
          <w:szCs w:val="20"/>
        </w:rPr>
        <w:t>s ir nedaudz paaugstinātas, salīdzinot ar iepriekšējām, EK februāra prognozēm, bet šis paaugstinājums ir niecīgs, - par 0,2 procentpunktiem 2023. gadam un 0,1 procentpunktu 2024. gadam.</w:t>
      </w:r>
    </w:p>
    <w:p w14:paraId="45A8FE46" w14:textId="44DC3362" w:rsidR="00565001" w:rsidRDefault="00565001" w:rsidP="00766ABC">
      <w:pPr>
        <w:rPr>
          <w:szCs w:val="20"/>
        </w:rPr>
      </w:pPr>
      <w:r>
        <w:rPr>
          <w:szCs w:val="20"/>
        </w:rPr>
        <w:t>Latvijas galveno ārējās tirdzniecības partnervalstu izaugsmes prognozes palielinātas vēl mazāk – par 0,1</w:t>
      </w:r>
      <w:r w:rsidRPr="00485A77">
        <w:rPr>
          <w:szCs w:val="20"/>
        </w:rPr>
        <w:t xml:space="preserve"> </w:t>
      </w:r>
      <w:r>
        <w:rPr>
          <w:szCs w:val="20"/>
        </w:rPr>
        <w:t>procentpunktu 2023. gadam desmit galvenajām tirdzniecības partnervalstīm Lietuvai, Igaunijai, Vācijai, Zviedrijai, Krievijai, Apvienotajai Karalistei, Somijai, Dānijai, Nīderlandei un Polijai, bet 2024. gadam tās nav mainītas</w:t>
      </w:r>
      <w:r w:rsidR="009F0FD7">
        <w:rPr>
          <w:szCs w:val="20"/>
        </w:rPr>
        <w:t xml:space="preserve"> (skat. 1. tabulu). </w:t>
      </w:r>
      <w:r>
        <w:rPr>
          <w:szCs w:val="20"/>
        </w:rPr>
        <w:t xml:space="preserve"> Kopumā Latvijas tirdzniecības partnervals</w:t>
      </w:r>
      <w:r w:rsidR="009B7B50">
        <w:rPr>
          <w:szCs w:val="20"/>
        </w:rPr>
        <w:t>t</w:t>
      </w:r>
      <w:r>
        <w:rPr>
          <w:szCs w:val="20"/>
        </w:rPr>
        <w:t>īm izaugsme šogad prognozēta zemāka nekā Eiropas Savienībai kopumā, kas atspoguļo nelabvēlīgāko ekonomisko situāciju tieši Austrumeiropas reģionā, Baltijas valstīs un Skandināvijā.</w:t>
      </w:r>
    </w:p>
    <w:p w14:paraId="7F2F99BE" w14:textId="451607D6" w:rsidR="00565001" w:rsidRPr="00A74004" w:rsidRDefault="00565001" w:rsidP="00565001">
      <w:pPr>
        <w:jc w:val="center"/>
        <w:rPr>
          <w:b/>
          <w:bCs/>
        </w:rPr>
      </w:pPr>
      <w:r w:rsidRPr="00393292">
        <w:rPr>
          <w:b/>
          <w:bCs/>
        </w:rPr>
        <w:t>1. tabula.</w:t>
      </w:r>
      <w:r w:rsidRPr="00A74004">
        <w:rPr>
          <w:b/>
          <w:bCs/>
        </w:rPr>
        <w:t xml:space="preserve"> IKP pieauguma prognozes 2023. un 2024. gadam</w:t>
      </w:r>
    </w:p>
    <w:tbl>
      <w:tblPr>
        <w:tblW w:w="8286" w:type="dxa"/>
        <w:jc w:val="center"/>
        <w:tblLook w:val="04A0" w:firstRow="1" w:lastRow="0" w:firstColumn="1" w:lastColumn="0" w:noHBand="0" w:noVBand="1"/>
      </w:tblPr>
      <w:tblGrid>
        <w:gridCol w:w="1129"/>
        <w:gridCol w:w="1560"/>
        <w:gridCol w:w="1559"/>
        <w:gridCol w:w="1417"/>
        <w:gridCol w:w="1186"/>
        <w:gridCol w:w="1435"/>
      </w:tblGrid>
      <w:tr w:rsidR="00565001" w:rsidRPr="009A48A0" w14:paraId="21B2747A" w14:textId="77777777" w:rsidTr="00B3512B">
        <w:trPr>
          <w:trHeight w:val="1167"/>
          <w:tblHeader/>
          <w:jc w:val="center"/>
        </w:trPr>
        <w:tc>
          <w:tcPr>
            <w:tcW w:w="1129"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02A17D1"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 xml:space="preserve">Valsts </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9E08843"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Īpatsvars kopējā Latvijas preču eksportā 2022. gadā</w:t>
            </w:r>
          </w:p>
        </w:tc>
        <w:tc>
          <w:tcPr>
            <w:tcW w:w="297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5D85C4A"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 xml:space="preserve">IKP pieauguma prognoze salīdzināmās cenās, g/g, %, </w:t>
            </w:r>
          </w:p>
          <w:p w14:paraId="18595695"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EK, 2023. gada maijs</w:t>
            </w:r>
          </w:p>
          <w:p w14:paraId="365B417C"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 SVF, 2023. gada aprīlis</w:t>
            </w:r>
          </w:p>
        </w:tc>
        <w:tc>
          <w:tcPr>
            <w:tcW w:w="262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5EC0417"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Izmaiņas pret EK 2023. gada februāra prognozēm, procentpunkti</w:t>
            </w:r>
          </w:p>
          <w:p w14:paraId="2A65E297"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 pret SVF prognozēm</w:t>
            </w:r>
          </w:p>
        </w:tc>
      </w:tr>
      <w:tr w:rsidR="00E658DD" w:rsidRPr="009A48A0" w14:paraId="0024D914" w14:textId="77777777" w:rsidTr="00B3512B">
        <w:trPr>
          <w:trHeight w:val="278"/>
          <w:tblHeader/>
          <w:jc w:val="center"/>
        </w:trPr>
        <w:tc>
          <w:tcPr>
            <w:tcW w:w="1129"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62B39F2" w14:textId="77777777" w:rsidR="00565001" w:rsidRPr="00EE5E38" w:rsidRDefault="00565001" w:rsidP="006C4840">
            <w:pPr>
              <w:ind w:firstLine="0"/>
              <w:jc w:val="center"/>
              <w:rPr>
                <w:rFonts w:eastAsia="Calibri" w:cs="Times New Roman"/>
                <w:sz w:val="20"/>
                <w:szCs w:val="20"/>
                <w:lang w:eastAsia="lv-LV"/>
              </w:rPr>
            </w:pPr>
          </w:p>
        </w:tc>
        <w:tc>
          <w:tcPr>
            <w:tcW w:w="156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35AD9A5" w14:textId="77777777" w:rsidR="00565001" w:rsidRPr="00EE5E38" w:rsidRDefault="00565001" w:rsidP="006C4840">
            <w:pPr>
              <w:ind w:firstLine="0"/>
              <w:jc w:val="center"/>
              <w:rPr>
                <w:rFonts w:eastAsia="Calibri" w:cs="Times New Roman"/>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F5C7BE3"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2023.</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A099159"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 2024.</w:t>
            </w:r>
          </w:p>
        </w:tc>
        <w:tc>
          <w:tcPr>
            <w:tcW w:w="118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C19F406"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2023.</w:t>
            </w:r>
          </w:p>
        </w:tc>
        <w:tc>
          <w:tcPr>
            <w:tcW w:w="14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AB36B36"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 2024.</w:t>
            </w:r>
          </w:p>
        </w:tc>
      </w:tr>
      <w:tr w:rsidR="00565001" w:rsidRPr="009A48A0" w14:paraId="64C1E735" w14:textId="77777777" w:rsidTr="00BC7260">
        <w:trPr>
          <w:trHeight w:val="31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87B4E" w14:textId="77777777" w:rsidR="00565001" w:rsidRPr="00EE5E38" w:rsidRDefault="00565001" w:rsidP="00565001">
            <w:pPr>
              <w:spacing w:before="0" w:after="0"/>
              <w:ind w:firstLine="0"/>
              <w:jc w:val="left"/>
              <w:rPr>
                <w:rFonts w:eastAsia="Calibri" w:cs="Times New Roman"/>
                <w:sz w:val="20"/>
                <w:szCs w:val="20"/>
                <w:lang w:eastAsia="lv-LV"/>
              </w:rPr>
            </w:pPr>
            <w:r w:rsidRPr="00EE5E38">
              <w:rPr>
                <w:rFonts w:eastAsia="Calibri" w:cs="Times New Roman"/>
                <w:sz w:val="20"/>
                <w:szCs w:val="20"/>
                <w:lang w:eastAsia="lv-LV"/>
              </w:rPr>
              <w:t>Lietuva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F2B29"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18,2%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7CB97"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A37E5"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2,7</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CF3671"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0,2</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85641"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0,2</w:t>
            </w:r>
          </w:p>
        </w:tc>
      </w:tr>
      <w:tr w:rsidR="00565001" w:rsidRPr="009A48A0" w14:paraId="477A416F" w14:textId="77777777" w:rsidTr="00BC7260">
        <w:trPr>
          <w:trHeight w:val="31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FD629" w14:textId="77777777" w:rsidR="00565001" w:rsidRPr="00EE5E38" w:rsidRDefault="00565001" w:rsidP="00565001">
            <w:pPr>
              <w:spacing w:before="0" w:after="0"/>
              <w:ind w:firstLine="0"/>
              <w:jc w:val="left"/>
              <w:rPr>
                <w:rFonts w:eastAsia="Calibri" w:cs="Times New Roman"/>
                <w:sz w:val="20"/>
                <w:szCs w:val="20"/>
                <w:lang w:eastAsia="lv-LV"/>
              </w:rPr>
            </w:pPr>
            <w:r w:rsidRPr="00EE5E38">
              <w:rPr>
                <w:rFonts w:eastAsia="Calibri" w:cs="Times New Roman"/>
                <w:sz w:val="20"/>
                <w:szCs w:val="20"/>
                <w:lang w:eastAsia="lv-LV"/>
              </w:rPr>
              <w:t>Igaunija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7D10A"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11,8%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B4713"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26098"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3,1</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A08600"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-0,5</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1A596"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0,3</w:t>
            </w:r>
          </w:p>
        </w:tc>
      </w:tr>
      <w:tr w:rsidR="00565001" w:rsidRPr="009A48A0" w14:paraId="7AADF860" w14:textId="77777777" w:rsidTr="00BC7260">
        <w:trPr>
          <w:trHeight w:val="31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D2647" w14:textId="77777777" w:rsidR="00565001" w:rsidRPr="00EE5E38" w:rsidRDefault="00565001" w:rsidP="00565001">
            <w:pPr>
              <w:spacing w:before="0" w:after="0"/>
              <w:ind w:firstLine="0"/>
              <w:jc w:val="left"/>
              <w:rPr>
                <w:rFonts w:eastAsia="Calibri" w:cs="Times New Roman"/>
                <w:sz w:val="20"/>
                <w:szCs w:val="20"/>
                <w:lang w:eastAsia="lv-LV"/>
              </w:rPr>
            </w:pPr>
            <w:r w:rsidRPr="00EE5E38">
              <w:rPr>
                <w:rFonts w:eastAsia="Calibri" w:cs="Times New Roman"/>
                <w:sz w:val="20"/>
                <w:szCs w:val="20"/>
                <w:lang w:eastAsia="lv-LV"/>
              </w:rPr>
              <w:t>Vācija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23B4C"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9B3B8"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05CE8"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1,4</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78F98F"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0,0</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AD584"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0,1</w:t>
            </w:r>
          </w:p>
        </w:tc>
      </w:tr>
      <w:tr w:rsidR="00565001" w:rsidRPr="009A48A0" w14:paraId="13174306" w14:textId="77777777" w:rsidTr="00BC7260">
        <w:trPr>
          <w:trHeight w:val="31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E6964" w14:textId="77777777" w:rsidR="00565001" w:rsidRPr="00EE5E38" w:rsidRDefault="00565001" w:rsidP="00565001">
            <w:pPr>
              <w:spacing w:before="0" w:after="0"/>
              <w:ind w:firstLine="0"/>
              <w:jc w:val="left"/>
              <w:rPr>
                <w:rFonts w:eastAsia="Calibri" w:cs="Times New Roman"/>
                <w:sz w:val="20"/>
                <w:szCs w:val="20"/>
                <w:lang w:eastAsia="lv-LV"/>
              </w:rPr>
            </w:pPr>
            <w:r w:rsidRPr="00EE5E38">
              <w:rPr>
                <w:rFonts w:eastAsia="Calibri" w:cs="Times New Roman"/>
                <w:sz w:val="20"/>
                <w:szCs w:val="20"/>
                <w:lang w:eastAsia="lv-LV"/>
              </w:rPr>
              <w:t>Zviedrija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E1E88"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63554"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89CE6"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1,1</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880509"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0,3</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6102B"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-0,1</w:t>
            </w:r>
          </w:p>
        </w:tc>
      </w:tr>
      <w:tr w:rsidR="00565001" w:rsidRPr="009A48A0" w14:paraId="05FCCE40" w14:textId="77777777" w:rsidTr="00BC7260">
        <w:trPr>
          <w:trHeight w:val="31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30B54" w14:textId="77777777" w:rsidR="00565001" w:rsidRPr="00EE5E38" w:rsidRDefault="00565001" w:rsidP="00565001">
            <w:pPr>
              <w:spacing w:before="0" w:after="0"/>
              <w:ind w:firstLine="0"/>
              <w:jc w:val="left"/>
              <w:rPr>
                <w:rFonts w:eastAsia="Calibri" w:cs="Times New Roman"/>
                <w:sz w:val="20"/>
                <w:szCs w:val="20"/>
                <w:lang w:eastAsia="lv-LV"/>
              </w:rPr>
            </w:pPr>
            <w:r w:rsidRPr="00EE5E38">
              <w:rPr>
                <w:rFonts w:eastAsia="Calibri" w:cs="Times New Roman"/>
                <w:sz w:val="20"/>
                <w:szCs w:val="20"/>
                <w:lang w:eastAsia="lv-LV"/>
              </w:rPr>
              <w:t>Krievija*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680AA"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2CA02"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C76CE"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1,3</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36B2FF"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0,4</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DCBB6"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-0,8</w:t>
            </w:r>
          </w:p>
        </w:tc>
      </w:tr>
      <w:tr w:rsidR="00565001" w:rsidRPr="009A48A0" w14:paraId="355470A7" w14:textId="77777777" w:rsidTr="00BC7260">
        <w:trPr>
          <w:trHeight w:val="347"/>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12B84" w14:textId="77777777" w:rsidR="00565001" w:rsidRPr="00EE5E38" w:rsidRDefault="00565001" w:rsidP="00565001">
            <w:pPr>
              <w:spacing w:before="0" w:after="0"/>
              <w:ind w:firstLine="0"/>
              <w:jc w:val="left"/>
              <w:rPr>
                <w:rFonts w:eastAsia="Calibri" w:cs="Times New Roman"/>
                <w:sz w:val="20"/>
                <w:szCs w:val="20"/>
                <w:lang w:eastAsia="lv-LV"/>
              </w:rPr>
            </w:pPr>
            <w:r w:rsidRPr="00EE5E38">
              <w:rPr>
                <w:rFonts w:eastAsia="Calibri" w:cs="Times New Roman"/>
                <w:sz w:val="20"/>
                <w:szCs w:val="20"/>
                <w:lang w:eastAsia="lv-LV"/>
              </w:rPr>
              <w:t>Apvienotā Karaliste*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F3E9E"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2212B"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F4C6E"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1,0</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A401AF"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0,3</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17BBB"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0,1</w:t>
            </w:r>
          </w:p>
        </w:tc>
      </w:tr>
      <w:tr w:rsidR="00565001" w:rsidRPr="009A48A0" w14:paraId="0C5172A4" w14:textId="77777777" w:rsidTr="00BC7260">
        <w:trPr>
          <w:trHeight w:val="31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28798" w14:textId="77777777" w:rsidR="00565001" w:rsidRPr="00EE5E38" w:rsidRDefault="00565001" w:rsidP="00565001">
            <w:pPr>
              <w:spacing w:before="0" w:after="0"/>
              <w:ind w:firstLine="0"/>
              <w:jc w:val="left"/>
              <w:rPr>
                <w:rFonts w:eastAsia="Calibri" w:cs="Times New Roman"/>
                <w:sz w:val="20"/>
                <w:szCs w:val="20"/>
                <w:lang w:eastAsia="lv-LV"/>
              </w:rPr>
            </w:pPr>
            <w:r w:rsidRPr="00EE5E38">
              <w:rPr>
                <w:rFonts w:eastAsia="Calibri" w:cs="Times New Roman"/>
                <w:sz w:val="20"/>
                <w:szCs w:val="20"/>
                <w:lang w:eastAsia="lv-LV"/>
              </w:rPr>
              <w:t>Somija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88C49"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4,7%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AC3F5"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C5603"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1,4</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7C79EB"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0,0</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5E1B7D"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0,0</w:t>
            </w:r>
          </w:p>
        </w:tc>
      </w:tr>
      <w:tr w:rsidR="00565001" w:rsidRPr="009A48A0" w14:paraId="264ED7E5" w14:textId="77777777" w:rsidTr="00BC7260">
        <w:trPr>
          <w:trHeight w:val="31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7A418" w14:textId="77777777" w:rsidR="00565001" w:rsidRPr="00EE5E38" w:rsidRDefault="00565001" w:rsidP="00565001">
            <w:pPr>
              <w:spacing w:before="0" w:after="0"/>
              <w:ind w:firstLine="0"/>
              <w:jc w:val="left"/>
              <w:rPr>
                <w:rFonts w:eastAsia="Calibri" w:cs="Times New Roman"/>
                <w:sz w:val="20"/>
                <w:szCs w:val="20"/>
                <w:lang w:eastAsia="lv-LV"/>
              </w:rPr>
            </w:pPr>
            <w:r w:rsidRPr="00EE5E38">
              <w:rPr>
                <w:rFonts w:eastAsia="Calibri" w:cs="Times New Roman"/>
                <w:sz w:val="20"/>
                <w:szCs w:val="20"/>
                <w:lang w:eastAsia="lv-LV"/>
              </w:rPr>
              <w:t>Dānija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EEE21"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257C8"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E6DCC"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1,5</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86F24B"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0,2</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9F026"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-0,1</w:t>
            </w:r>
          </w:p>
        </w:tc>
      </w:tr>
      <w:tr w:rsidR="00565001" w:rsidRPr="009A48A0" w14:paraId="13E324F4" w14:textId="77777777" w:rsidTr="00BC7260">
        <w:trPr>
          <w:trHeight w:val="31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D29DC" w14:textId="77777777" w:rsidR="00565001" w:rsidRPr="00EE5E38" w:rsidRDefault="00565001" w:rsidP="00565001">
            <w:pPr>
              <w:spacing w:before="0" w:after="0"/>
              <w:ind w:firstLine="0"/>
              <w:jc w:val="left"/>
              <w:rPr>
                <w:rFonts w:eastAsia="Calibri" w:cs="Times New Roman"/>
                <w:sz w:val="20"/>
                <w:szCs w:val="20"/>
                <w:lang w:eastAsia="lv-LV"/>
              </w:rPr>
            </w:pPr>
            <w:r w:rsidRPr="00EE5E38">
              <w:rPr>
                <w:rFonts w:eastAsia="Calibri" w:cs="Times New Roman"/>
                <w:sz w:val="20"/>
                <w:szCs w:val="20"/>
                <w:lang w:eastAsia="lv-LV"/>
              </w:rPr>
              <w:t>Nīderlande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BA335"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3,8%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0EA44"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80D85"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1,2</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CB607D"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0,9</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16597"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-0,1</w:t>
            </w:r>
          </w:p>
        </w:tc>
      </w:tr>
      <w:tr w:rsidR="00565001" w:rsidRPr="009A48A0" w14:paraId="142A4614" w14:textId="77777777" w:rsidTr="00BC7260">
        <w:trPr>
          <w:trHeight w:val="31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D68FB" w14:textId="77777777" w:rsidR="00565001" w:rsidRPr="00EE5E38" w:rsidRDefault="00565001" w:rsidP="00565001">
            <w:pPr>
              <w:spacing w:before="0" w:after="0"/>
              <w:ind w:firstLine="0"/>
              <w:jc w:val="left"/>
              <w:rPr>
                <w:rFonts w:eastAsia="Calibri" w:cs="Times New Roman"/>
                <w:sz w:val="20"/>
                <w:szCs w:val="20"/>
                <w:lang w:eastAsia="lv-LV"/>
              </w:rPr>
            </w:pPr>
            <w:r w:rsidRPr="00EE5E38">
              <w:rPr>
                <w:rFonts w:eastAsia="Calibri" w:cs="Times New Roman"/>
                <w:sz w:val="20"/>
                <w:szCs w:val="20"/>
                <w:lang w:eastAsia="lv-LV"/>
              </w:rPr>
              <w:lastRenderedPageBreak/>
              <w:t>Polija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10B78"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3,6%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1F3D3"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3E1F5"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2,7</w:t>
            </w: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05AF5"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0,3</w:t>
            </w:r>
          </w:p>
        </w:tc>
        <w:tc>
          <w:tcPr>
            <w:tcW w:w="1435" w:type="dxa"/>
            <w:tcBorders>
              <w:top w:val="single" w:sz="4" w:space="0" w:color="auto"/>
              <w:left w:val="single" w:sz="4" w:space="0" w:color="auto"/>
              <w:bottom w:val="single" w:sz="4" w:space="0" w:color="auto"/>
              <w:right w:val="single" w:sz="4" w:space="0" w:color="auto"/>
            </w:tcBorders>
            <w:vAlign w:val="center"/>
          </w:tcPr>
          <w:p w14:paraId="533E32A8" w14:textId="77777777" w:rsidR="00565001" w:rsidRPr="00EE5E38" w:rsidRDefault="00565001" w:rsidP="00565001">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0,2</w:t>
            </w:r>
          </w:p>
        </w:tc>
      </w:tr>
      <w:tr w:rsidR="00565001" w:rsidRPr="009A48A0" w14:paraId="274F29F0" w14:textId="77777777" w:rsidTr="00BC7260">
        <w:trPr>
          <w:trHeight w:val="780"/>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F2816" w14:textId="77777777" w:rsidR="00565001" w:rsidRPr="00EE5E38" w:rsidRDefault="00565001" w:rsidP="00565001">
            <w:pPr>
              <w:spacing w:before="0" w:after="0"/>
              <w:ind w:firstLine="0"/>
              <w:jc w:val="left"/>
              <w:rPr>
                <w:rFonts w:eastAsia="Calibri" w:cs="Times New Roman"/>
                <w:b/>
                <w:sz w:val="20"/>
                <w:szCs w:val="20"/>
                <w:lang w:eastAsia="lv-LV"/>
              </w:rPr>
            </w:pPr>
            <w:r w:rsidRPr="00EE5E38">
              <w:rPr>
                <w:rFonts w:eastAsia="Calibri" w:cs="Times New Roman"/>
                <w:b/>
                <w:sz w:val="20"/>
                <w:szCs w:val="20"/>
                <w:lang w:eastAsia="lv-LV"/>
              </w:rPr>
              <w:t>Kopā vidēji svērtais 10 valstīm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19E06"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69,3%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81157"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0,2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E032E"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2,0</w:t>
            </w: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CEDFA"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0,1</w:t>
            </w:r>
          </w:p>
        </w:tc>
        <w:tc>
          <w:tcPr>
            <w:tcW w:w="1435" w:type="dxa"/>
            <w:tcBorders>
              <w:top w:val="single" w:sz="4" w:space="0" w:color="auto"/>
              <w:left w:val="single" w:sz="4" w:space="0" w:color="auto"/>
              <w:bottom w:val="single" w:sz="4" w:space="0" w:color="auto"/>
              <w:right w:val="single" w:sz="4" w:space="0" w:color="auto"/>
            </w:tcBorders>
            <w:vAlign w:val="center"/>
          </w:tcPr>
          <w:p w14:paraId="137269BD"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0,0</w:t>
            </w:r>
          </w:p>
        </w:tc>
      </w:tr>
      <w:tr w:rsidR="00565001" w:rsidRPr="009A48A0" w14:paraId="6B8A1F65" w14:textId="77777777" w:rsidTr="00BC7260">
        <w:trPr>
          <w:trHeight w:val="31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8B175" w14:textId="77777777" w:rsidR="00565001" w:rsidRPr="00EE5E38" w:rsidRDefault="00565001" w:rsidP="00565001">
            <w:pPr>
              <w:spacing w:before="0" w:after="0"/>
              <w:ind w:firstLine="0"/>
              <w:jc w:val="left"/>
              <w:rPr>
                <w:rFonts w:eastAsia="Calibri" w:cs="Times New Roman"/>
                <w:b/>
                <w:sz w:val="20"/>
                <w:szCs w:val="20"/>
                <w:lang w:eastAsia="lv-LV"/>
              </w:rPr>
            </w:pPr>
            <w:r w:rsidRPr="00EE5E38">
              <w:rPr>
                <w:rFonts w:eastAsia="Calibri" w:cs="Times New Roman"/>
                <w:b/>
                <w:sz w:val="20"/>
                <w:szCs w:val="20"/>
                <w:lang w:eastAsia="lv-LV"/>
              </w:rPr>
              <w:t>ES27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CA41B"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71,4%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06809"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4255E"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1,7</w:t>
            </w: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A69FB"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0,2</w:t>
            </w:r>
          </w:p>
        </w:tc>
        <w:tc>
          <w:tcPr>
            <w:tcW w:w="1435" w:type="dxa"/>
            <w:tcBorders>
              <w:top w:val="single" w:sz="4" w:space="0" w:color="auto"/>
              <w:left w:val="single" w:sz="4" w:space="0" w:color="auto"/>
              <w:bottom w:val="single" w:sz="4" w:space="0" w:color="auto"/>
              <w:right w:val="single" w:sz="4" w:space="0" w:color="auto"/>
            </w:tcBorders>
            <w:vAlign w:val="center"/>
          </w:tcPr>
          <w:p w14:paraId="71808C0F" w14:textId="77777777" w:rsidR="00565001" w:rsidRPr="00EE5E38" w:rsidRDefault="00565001" w:rsidP="00565001">
            <w:pPr>
              <w:spacing w:before="0" w:after="0"/>
              <w:ind w:firstLine="0"/>
              <w:jc w:val="center"/>
              <w:rPr>
                <w:rFonts w:eastAsia="Calibri" w:cs="Times New Roman"/>
                <w:b/>
                <w:sz w:val="20"/>
                <w:szCs w:val="20"/>
                <w:lang w:eastAsia="lv-LV"/>
              </w:rPr>
            </w:pPr>
            <w:r w:rsidRPr="00EE5E38">
              <w:rPr>
                <w:rFonts w:eastAsia="Calibri" w:cs="Times New Roman"/>
                <w:b/>
                <w:sz w:val="20"/>
                <w:szCs w:val="20"/>
                <w:lang w:eastAsia="lv-LV"/>
              </w:rPr>
              <w:t>0,1</w:t>
            </w:r>
          </w:p>
        </w:tc>
      </w:tr>
    </w:tbl>
    <w:p w14:paraId="2A0B1C7A" w14:textId="77777777" w:rsidR="00565001" w:rsidRDefault="00565001" w:rsidP="00766ABC">
      <w:pPr>
        <w:rPr>
          <w:szCs w:val="20"/>
        </w:rPr>
      </w:pPr>
      <w:r>
        <w:rPr>
          <w:szCs w:val="20"/>
        </w:rPr>
        <w:t>Provizoriskie š</w:t>
      </w:r>
      <w:r w:rsidRPr="00186C51">
        <w:rPr>
          <w:szCs w:val="20"/>
        </w:rPr>
        <w:t xml:space="preserve">ā gada otrā ceturkšņa dati </w:t>
      </w:r>
      <w:r>
        <w:rPr>
          <w:szCs w:val="20"/>
        </w:rPr>
        <w:t xml:space="preserve">Eiropas Savienībā </w:t>
      </w:r>
      <w:r w:rsidRPr="00186C51">
        <w:rPr>
          <w:szCs w:val="20"/>
        </w:rPr>
        <w:t>parād</w:t>
      </w:r>
      <w:r>
        <w:rPr>
          <w:szCs w:val="20"/>
        </w:rPr>
        <w:t xml:space="preserve">a vēl nedaudz zemāku izaugsmi, nekā </w:t>
      </w:r>
      <w:r w:rsidRPr="00075E74">
        <w:rPr>
          <w:szCs w:val="20"/>
        </w:rPr>
        <w:t>maijā bija prognozējusi EK</w:t>
      </w:r>
      <w:r>
        <w:rPr>
          <w:szCs w:val="20"/>
        </w:rPr>
        <w:t xml:space="preserve">. Salīdzinājumā ar iepriekšējo ceturksni, ES27 ekonomika nav pieaugusi, kamēr EK sagaidīja 0,2% kāpumu. Uzņēmēju un patērētāju konfidences rādītāji, kas pēc krasā krituma pērnajā gadā 2023. gada sākumā bija sākuši stabilizēties un pakāpeniski uzlaboties, pēdējos trīs mēnešos atkal piedzīvojuši lejupslīdi. </w:t>
      </w:r>
      <w:r>
        <w:rPr>
          <w:noProof/>
          <w:szCs w:val="20"/>
        </w:rPr>
        <w:t>Līdzīga lejupejoša dinamika pēdējos mēnešos bijusi arī citam apsteidzošajam rādītājam - e</w:t>
      </w:r>
      <w:r w:rsidRPr="00A74004">
        <w:rPr>
          <w:noProof/>
          <w:szCs w:val="20"/>
        </w:rPr>
        <w:t>irozonas iepirkumu</w:t>
      </w:r>
      <w:r w:rsidRPr="00A74004">
        <w:rPr>
          <w:szCs w:val="20"/>
        </w:rPr>
        <w:t xml:space="preserve"> menedžeru indeks</w:t>
      </w:r>
      <w:r>
        <w:rPr>
          <w:szCs w:val="20"/>
        </w:rPr>
        <w:t xml:space="preserve">am </w:t>
      </w:r>
      <w:r w:rsidRPr="00A74004">
        <w:rPr>
          <w:szCs w:val="20"/>
        </w:rPr>
        <w:t>(PMI),</w:t>
      </w:r>
      <w:r>
        <w:rPr>
          <w:szCs w:val="20"/>
        </w:rPr>
        <w:t xml:space="preserve"> kas jūlijā nokrities līdz 48,9 - zemākajam līmenim pēdējo astoņu mēnešu laikā. </w:t>
      </w:r>
      <w:r w:rsidRPr="00A74004">
        <w:rPr>
          <w:szCs w:val="20"/>
        </w:rPr>
        <w:t>Indeksa vērtība zem 50 nozīmē ekonomiskās aktivitātes samazināšanos un jūlijā i</w:t>
      </w:r>
      <w:r>
        <w:rPr>
          <w:szCs w:val="20"/>
        </w:rPr>
        <w:t>ndekss ir krities gan salīdzinājumā ar iepriekšējo mēnesi, gan arī būtiski atpalicis no tirgus prognozēm.</w:t>
      </w:r>
    </w:p>
    <w:p w14:paraId="075031C4" w14:textId="77777777" w:rsidR="00565001" w:rsidRDefault="00565001" w:rsidP="00766ABC">
      <w:pPr>
        <w:rPr>
          <w:szCs w:val="20"/>
        </w:rPr>
      </w:pPr>
      <w:r>
        <w:rPr>
          <w:szCs w:val="20"/>
        </w:rPr>
        <w:t>Pēc straujā inflācijas pieauguma līdz 8,4% 2022. gadā</w:t>
      </w:r>
      <w:r>
        <w:rPr>
          <w:noProof/>
          <w:szCs w:val="20"/>
        </w:rPr>
        <w:t xml:space="preserve">, šogad eirozonai tiek prognozēta inflācijas samazināšanās līdz 5,8% un 2024. gadā – līdz 2,8%. </w:t>
      </w:r>
      <w:r w:rsidRPr="00886044">
        <w:rPr>
          <w:noProof/>
          <w:szCs w:val="20"/>
        </w:rPr>
        <w:t>Lai ierobežotu inflāciju, pasaules vadošās centrālās bankas 2022. gadā sāka procentu likmju paaugstināšanas ciklu. ASV Federālā rezervju sistēma</w:t>
      </w:r>
      <w:r>
        <w:rPr>
          <w:noProof/>
          <w:szCs w:val="20"/>
        </w:rPr>
        <w:t xml:space="preserve"> </w:t>
      </w:r>
      <w:r w:rsidRPr="00886044">
        <w:rPr>
          <w:noProof/>
          <w:szCs w:val="20"/>
        </w:rPr>
        <w:t xml:space="preserve">2022. gada 16. martā pirmo reizi kopš 2018. gada decembra paaugstināja bāzes procentu likmi par 0,25 procentpunktiem līdz 0,25% – 0,5%. Pēc vairākiem sekojošiem procentu likmju paaugstinājumiem 2023. gada </w:t>
      </w:r>
      <w:r>
        <w:rPr>
          <w:noProof/>
          <w:szCs w:val="20"/>
        </w:rPr>
        <w:t>augustā</w:t>
      </w:r>
      <w:r w:rsidRPr="00886044">
        <w:rPr>
          <w:noProof/>
          <w:szCs w:val="20"/>
        </w:rPr>
        <w:t xml:space="preserve"> likme sasniedza </w:t>
      </w:r>
      <w:r>
        <w:rPr>
          <w:noProof/>
          <w:szCs w:val="20"/>
        </w:rPr>
        <w:t>5,25</w:t>
      </w:r>
      <w:r w:rsidRPr="00886044">
        <w:rPr>
          <w:noProof/>
          <w:szCs w:val="20"/>
        </w:rPr>
        <w:t xml:space="preserve">% – </w:t>
      </w:r>
      <w:r>
        <w:rPr>
          <w:noProof/>
          <w:szCs w:val="20"/>
        </w:rPr>
        <w:t>5,5</w:t>
      </w:r>
      <w:r w:rsidRPr="00886044">
        <w:rPr>
          <w:noProof/>
          <w:szCs w:val="20"/>
        </w:rPr>
        <w:t>%</w:t>
      </w:r>
      <w:r>
        <w:rPr>
          <w:noProof/>
          <w:szCs w:val="20"/>
        </w:rPr>
        <w:t>, kas ir augstākais līmenis kopš 2001. gada.</w:t>
      </w:r>
      <w:r w:rsidRPr="00886044">
        <w:rPr>
          <w:noProof/>
          <w:szCs w:val="20"/>
        </w:rPr>
        <w:t xml:space="preserve"> </w:t>
      </w:r>
      <w:r>
        <w:rPr>
          <w:noProof/>
          <w:szCs w:val="20"/>
        </w:rPr>
        <w:t>Eiropas Centrālā banka</w:t>
      </w:r>
      <w:r w:rsidRPr="00886044">
        <w:rPr>
          <w:noProof/>
          <w:szCs w:val="20"/>
        </w:rPr>
        <w:t xml:space="preserve"> 2022. gada 21. jūlijā pirmo reizi pēdējos 11 gados veica procentu likmju paaugstinājumu, galveno bāzes procentlikmi palielinot par 0,5 procentpunktiem līdz 0,5%, bet pēc tam, veicot vēl </w:t>
      </w:r>
      <w:r>
        <w:rPr>
          <w:noProof/>
          <w:szCs w:val="20"/>
        </w:rPr>
        <w:t xml:space="preserve">deviņus </w:t>
      </w:r>
      <w:r w:rsidRPr="00886044">
        <w:rPr>
          <w:noProof/>
          <w:szCs w:val="20"/>
        </w:rPr>
        <w:t xml:space="preserve">likmju paaugstinājumus, šā gada </w:t>
      </w:r>
      <w:r>
        <w:rPr>
          <w:noProof/>
          <w:szCs w:val="20"/>
        </w:rPr>
        <w:t>augustā</w:t>
      </w:r>
      <w:r w:rsidRPr="00886044">
        <w:rPr>
          <w:noProof/>
          <w:szCs w:val="20"/>
        </w:rPr>
        <w:t xml:space="preserve"> galvenā bāzes procentlikme sasniedza </w:t>
      </w:r>
      <w:r>
        <w:rPr>
          <w:noProof/>
          <w:szCs w:val="20"/>
        </w:rPr>
        <w:t>4,25</w:t>
      </w:r>
      <w:r w:rsidRPr="00886044">
        <w:rPr>
          <w:noProof/>
          <w:szCs w:val="20"/>
        </w:rPr>
        <w:t xml:space="preserve">%. </w:t>
      </w:r>
      <w:r>
        <w:rPr>
          <w:noProof/>
          <w:szCs w:val="20"/>
        </w:rPr>
        <w:t>Līdz ar inflācijas ierobežošanu p</w:t>
      </w:r>
      <w:r w:rsidRPr="00886044">
        <w:rPr>
          <w:noProof/>
          <w:szCs w:val="20"/>
        </w:rPr>
        <w:t xml:space="preserve">rocentu likmju </w:t>
      </w:r>
      <w:r>
        <w:rPr>
          <w:noProof/>
          <w:szCs w:val="20"/>
        </w:rPr>
        <w:t xml:space="preserve">tālāks </w:t>
      </w:r>
      <w:r w:rsidRPr="00886044">
        <w:rPr>
          <w:noProof/>
          <w:szCs w:val="20"/>
        </w:rPr>
        <w:t>kāpums</w:t>
      </w:r>
      <w:r>
        <w:rPr>
          <w:noProof/>
          <w:szCs w:val="20"/>
        </w:rPr>
        <w:t xml:space="preserve"> var arī palielināt </w:t>
      </w:r>
      <w:r w:rsidRPr="00886044">
        <w:rPr>
          <w:noProof/>
          <w:szCs w:val="20"/>
        </w:rPr>
        <w:t>nestabilitāt</w:t>
      </w:r>
      <w:r>
        <w:rPr>
          <w:noProof/>
          <w:szCs w:val="20"/>
        </w:rPr>
        <w:t>i</w:t>
      </w:r>
      <w:r w:rsidRPr="00886044">
        <w:rPr>
          <w:noProof/>
          <w:szCs w:val="20"/>
        </w:rPr>
        <w:t xml:space="preserve"> finanšu sektorā </w:t>
      </w:r>
      <w:r>
        <w:rPr>
          <w:noProof/>
          <w:szCs w:val="20"/>
        </w:rPr>
        <w:t>un</w:t>
      </w:r>
      <w:r>
        <w:rPr>
          <w:szCs w:val="20"/>
        </w:rPr>
        <w:t xml:space="preserve"> pasliktināt </w:t>
      </w:r>
      <w:r w:rsidRPr="00886044">
        <w:rPr>
          <w:szCs w:val="20"/>
        </w:rPr>
        <w:t xml:space="preserve">pasaules ekonomikas izaugsmes </w:t>
      </w:r>
      <w:r>
        <w:rPr>
          <w:szCs w:val="20"/>
        </w:rPr>
        <w:t>perspektīvas, īpaši augstus riskus radot</w:t>
      </w:r>
      <w:r w:rsidRPr="00886044">
        <w:rPr>
          <w:szCs w:val="20"/>
        </w:rPr>
        <w:t xml:space="preserve"> attīstības valstī</w:t>
      </w:r>
      <w:r>
        <w:rPr>
          <w:szCs w:val="20"/>
        </w:rPr>
        <w:t>m</w:t>
      </w:r>
      <w:r w:rsidRPr="00886044">
        <w:rPr>
          <w:szCs w:val="20"/>
        </w:rPr>
        <w:t xml:space="preserve"> ar augstiem parāda līmeņiem.</w:t>
      </w:r>
    </w:p>
    <w:p w14:paraId="2A91DD95" w14:textId="77777777" w:rsidR="00565001" w:rsidRPr="008021D7" w:rsidRDefault="00565001" w:rsidP="00565001">
      <w:pPr>
        <w:pStyle w:val="H4"/>
        <w:ind w:left="0" w:firstLine="720"/>
        <w:jc w:val="both"/>
        <w:outlineLvl w:val="9"/>
        <w:rPr>
          <w:rFonts w:ascii="Times New Roman" w:hAnsi="Times New Roman"/>
          <w:iCs/>
          <w:sz w:val="24"/>
          <w:szCs w:val="24"/>
        </w:rPr>
      </w:pPr>
      <w:r w:rsidRPr="008021D7">
        <w:rPr>
          <w:rFonts w:ascii="Times New Roman" w:hAnsi="Times New Roman"/>
          <w:iCs/>
          <w:sz w:val="24"/>
          <w:szCs w:val="24"/>
        </w:rPr>
        <w:t>Nozaru attīstība</w:t>
      </w:r>
    </w:p>
    <w:p w14:paraId="38EE6B81" w14:textId="77777777" w:rsidR="00565001" w:rsidRDefault="00565001" w:rsidP="00766ABC">
      <w:r>
        <w:t xml:space="preserve">Latvijas </w:t>
      </w:r>
      <w:r w:rsidRPr="00E874DD">
        <w:rPr>
          <w:b/>
          <w:bCs/>
        </w:rPr>
        <w:t>rūpniecības</w:t>
      </w:r>
      <w:r>
        <w:t xml:space="preserve"> nozare 2022. gadā saglabāja izaugsmi 0,8% apmērā, neraugoties uz straujo energoresursu </w:t>
      </w:r>
      <w:r>
        <w:rPr>
          <w:noProof/>
        </w:rPr>
        <w:t>cenu pieaugumu, kas palielināja ražošanas izmaksas un galaproduktu cenas. Apstrādes rūpniecībā, kas veido 82% no visas rūpniecības, pērn bijis apjomu pieaugums par 2,6%, ko noteica labie rezultāti vairākās mazajās apakšnozarēs, bet elektroenerģijas</w:t>
      </w:r>
      <w:r>
        <w:t xml:space="preserve"> un gāzes apgādes nozare gāzes pieprasījuma mazināšanās un energoresursu taupības pasākumu ietekmē saruka par 11,5%. Salīdzinoši mazajā ieguves rūpniecībā nozīmīgu pārmaiņu pērn nebija (-0,7%).</w:t>
      </w:r>
    </w:p>
    <w:p w14:paraId="2D9F0D8E" w14:textId="5E46F5EE" w:rsidR="00565001" w:rsidRDefault="00565001" w:rsidP="00766ABC">
      <w:r>
        <w:t>Augstākie apstrādes rūpniecības ražošanas apjomi bija fiksēti 2022. gada aprīlī un maijā, taču kopš tā brīža ražošana tikai samazinājusies. 2022. gada otrajā pusē nozare sask</w:t>
      </w:r>
      <w:r w:rsidR="009B7B50">
        <w:t>a</w:t>
      </w:r>
      <w:r>
        <w:t xml:space="preserve">rās ar izejvielu trūkumu, ko izraisīja Krievijai un Baltkrievijai noteiktās sankcijas sakarā ar iebrukumu Ukrainā. Tajā pašā laikā strauji auga energoresursu cenas. Pērnā gada otrajā pusē izejvielu piegāžu ķēdes pamazām pārorientējās uz alternatīviem tirgiem, taču 2023. gadā sekoja ekonomikas attīstības tempu palēnināšanās Eiropas Savienībā, kas būtiski samazināja </w:t>
      </w:r>
      <w:r>
        <w:lastRenderedPageBreak/>
        <w:t>pieprasījumu pēc Latvijas apstrādes rūpniecības produkcijas, neļaujot nozarei atjaunot izaugsmi.</w:t>
      </w:r>
    </w:p>
    <w:p w14:paraId="49D7C452" w14:textId="77777777" w:rsidR="00565001" w:rsidRDefault="00565001" w:rsidP="00766ABC">
      <w:r>
        <w:t>Straujais ražošanas cenu pieaugums atzīmējams kā galvenais nozari bremzējošais faktors. Apstrādes rūpniecībā ražotāju cenas pieauga kopš 2020. gada oktobra, un lielākais sadārdzinājums gada griezumā bija 2022. gada maijā (+24,3%). Savukārt šā gada maijā un jūnijā ražošanas cenas sākušas samazināties (-1,7% jūnijā). Jūnijā, gada griezumā, lielāki ražošanas cenu pieaugumi ir pārtikas precēm un būvmateriāliem, savukārt kokrūpniecības un ķīmisko vielu un to produktu ražotāju cenas sarukušas attiecīgi par 11,2% un 17,5%.</w:t>
      </w:r>
    </w:p>
    <w:p w14:paraId="75935F6B" w14:textId="0A4865E1" w:rsidR="00565001" w:rsidRDefault="00565001" w:rsidP="00766ABC">
      <w:r>
        <w:t xml:space="preserve">2023. gada pirmajā pusgadā apstrādes rūpniecības apjomi samazinājušies par 6,2%, bet visā rūpniecībā kopā pret pērnā gada attiecīgo periodu fiksēts samazinājums par 6,3%. Ražošana sešos mēnešos sarukusi visās lielākajās apstrādes rūpniecības </w:t>
      </w:r>
      <w:r>
        <w:rPr>
          <w:noProof/>
        </w:rPr>
        <w:t xml:space="preserve">apakšnozarēs </w:t>
      </w:r>
      <w:r w:rsidR="009B7B50">
        <w:rPr>
          <w:noProof/>
        </w:rPr>
        <w:t>–</w:t>
      </w:r>
      <w:r>
        <w:rPr>
          <w:noProof/>
        </w:rPr>
        <w:t xml:space="preserve"> kokrūpniecībā (-12,1%), būvmateriālu ražošanā (-19,3%) un metālizstrādājumu ražošanā (</w:t>
      </w:r>
      <w:r w:rsidR="009B7B50">
        <w:rPr>
          <w:noProof/>
        </w:rPr>
        <w:t>- </w:t>
      </w:r>
      <w:r>
        <w:rPr>
          <w:noProof/>
        </w:rPr>
        <w:t>8,4%). Samazinājumi bijuši arī pārējās ar kokrūpniecību saistītajās nozarēs - mēbeļu ražošanā</w:t>
      </w:r>
      <w:r>
        <w:t xml:space="preserve"> (-16,7%), papīra un to izstrādājumu ražošanā (</w:t>
      </w:r>
      <w:r>
        <w:noBreakHyphen/>
        <w:t>12%) un poligrāfijā (-31,5%). Sarukusi arī ķīmisko vielu un produktu ražošana (</w:t>
      </w:r>
      <w:r>
        <w:noBreakHyphen/>
        <w:t>10,8%), gumijas un plastmasas izstrādājumu ražošana (-</w:t>
      </w:r>
      <w:r w:rsidR="009B7B50">
        <w:t> </w:t>
      </w:r>
      <w:r>
        <w:t>10,5%) un autobūve (-8,4%). Vienlaikus pozitīvu pienesumu pirmajā pusgadā nodrošina tādas tehniskās nozares kā datoru, elektronisko un optisko iekārtu ražošana (+37,9%), elektrisko iekārtu ražošana (+12,4%) un iekārtu un ierīču remonts un uzstādīšana (+54,2%). Pie augstajām energoresursu cenām izaugsmi saglabājusi arī nozīmīgā pārtikas produktu (+3,5%) un dzērienu (+2,6%) ražošana. Savukārt vieglā rūpniecība, kas ietver tekstilizstrādājumu un apģērbu ražošanu, samazinājusies par 0,9%.</w:t>
      </w:r>
    </w:p>
    <w:p w14:paraId="31C07FB6" w14:textId="77777777" w:rsidR="00565001" w:rsidRDefault="00565001" w:rsidP="00766ABC">
      <w:r>
        <w:t>Atbilstoši 2022.gada datiem 66,6% no apstrādes rūpniecības apgrozījuma tiek eksportēti, tādējādi zemāka izaugsme pasaulē un Eiropā būtiski ietekmēs pieprasījumu pēc Latvijas precēm, kas liecina, ka straujus uzlabojumus Latvijas eksporta pieprasījumā nav pamata gaidīt. Arī Eiropas Komisijas apkopotais konfidences indekss Latvijas apstrādes rūpniecībā ir zemākais kopš Covid-19 pandēmijas sākuma, kā galveno nozares ierobežojošo faktoru ražotājiem minot pieprasījuma samazināšanos, kas liecina par vāju apstrādes rūpniecības nozares prognozējamo attīstību šogad.</w:t>
      </w:r>
    </w:p>
    <w:p w14:paraId="40F03C10" w14:textId="77777777" w:rsidR="00565001" w:rsidRDefault="00565001" w:rsidP="00766ABC">
      <w:r w:rsidRPr="00BE5491">
        <w:rPr>
          <w:b/>
          <w:bCs/>
        </w:rPr>
        <w:t>Mazumtirdzniecības</w:t>
      </w:r>
      <w:r>
        <w:t xml:space="preserve"> nozare 2022. gadā uzrādīja pieaugumu 4,3% apmērā, kas ir lielākā izaugsme kopš 2017. gada. Covid-19 pandēmijas ierobežojumi negatīvi ietekmēja nozari 2020., 2021. gadā un 2022. gada janvārī un februārī, bet 2022. gada martā lielākā daļa no ierobežojumiem tika atcelti un atsākās aktīvāka mazumtirdzniecība klātienes tirdzniecības vietās. Lai arī ierobežojumi Covid-19 laikā acīmredzami ierobežoja mazumtirgotājus, tirgotie apjomi gada griezumā joprojām pieauga, attiecīgi 2020. gadā par 1,5% un 2021. gadā par 2,5%. </w:t>
      </w:r>
      <w:r w:rsidRPr="00263E48">
        <w:rPr>
          <w:color w:val="000000" w:themeColor="text1"/>
        </w:rPr>
        <w:t>Ierobežojumu atcelšana 2022</w:t>
      </w:r>
      <w:r>
        <w:rPr>
          <w:color w:val="000000" w:themeColor="text1"/>
        </w:rPr>
        <w:t>. gad</w:t>
      </w:r>
      <w:r w:rsidRPr="00263E48">
        <w:rPr>
          <w:color w:val="000000" w:themeColor="text1"/>
        </w:rPr>
        <w:t xml:space="preserve">a martā </w:t>
      </w:r>
      <w:r>
        <w:rPr>
          <w:color w:val="000000" w:themeColor="text1"/>
        </w:rPr>
        <w:t>nodrošināja</w:t>
      </w:r>
      <w:r w:rsidRPr="00263E48">
        <w:rPr>
          <w:color w:val="000000" w:themeColor="text1"/>
        </w:rPr>
        <w:t xml:space="preserve"> </w:t>
      </w:r>
      <w:r>
        <w:rPr>
          <w:color w:val="000000" w:themeColor="text1"/>
        </w:rPr>
        <w:t xml:space="preserve">kopējo </w:t>
      </w:r>
      <w:r w:rsidRPr="00263E48">
        <w:rPr>
          <w:color w:val="000000" w:themeColor="text1"/>
        </w:rPr>
        <w:t>mazumtirdzniecības apjomu pieaugumu 2022</w:t>
      </w:r>
      <w:r>
        <w:rPr>
          <w:color w:val="000000" w:themeColor="text1"/>
        </w:rPr>
        <w:t>. gad</w:t>
      </w:r>
      <w:r w:rsidRPr="00263E48">
        <w:rPr>
          <w:color w:val="000000" w:themeColor="text1"/>
        </w:rPr>
        <w:t>ā par 4,3%, ko</w:t>
      </w:r>
      <w:r>
        <w:rPr>
          <w:color w:val="000000" w:themeColor="text1"/>
        </w:rPr>
        <w:t xml:space="preserve"> īpaši</w:t>
      </w:r>
      <w:r w:rsidRPr="00263E48">
        <w:rPr>
          <w:color w:val="000000" w:themeColor="text1"/>
        </w:rPr>
        <w:t xml:space="preserve"> veicināja 8,7% pieaugums nepārtikas (bez degvielas) preču tirdzniecībā. </w:t>
      </w:r>
      <w:r>
        <w:t>Pārtikas preces 2022. gadā tirgotas par 0,5% vairāk kā gadu iepriekš, bet degvielai, neraugoties uz straujo cenu kāpumu 2022. gadā, tirdzniecības apjomi auguši par 1,2%.</w:t>
      </w:r>
    </w:p>
    <w:p w14:paraId="5B3D0E93" w14:textId="77777777" w:rsidR="00565001" w:rsidRDefault="00565001" w:rsidP="00766ABC">
      <w:r>
        <w:t>Kopš 2022. gada vidus mazumtirdzniecības nozari nelabvēlīgi ietekmē patēriņa cenu pieaugums. Pirmo reizi 20% patēriņa cenu pieauguma robeža tika pārsniegta 2022. gada jūlijā un līdzīgs inflācijas līmenis saglabājās līdz 2023. gada februārim. Lai arī pašlaik patēriņa cenu pieauguma tempi samazinās, preču cenas tirdzniecības vietās vērtējamas kā ļoti augstas, un tā negatīvais efekts 2023. gadā sāk atspoguļoties arī mazumtirdzniecības apjomos, ietekmējot nozari vairāk nekā Covid-19 pandēmija.</w:t>
      </w:r>
    </w:p>
    <w:p w14:paraId="5064F24C" w14:textId="77777777" w:rsidR="00565001" w:rsidRDefault="00565001" w:rsidP="00766ABC">
      <w:r>
        <w:t xml:space="preserve">2023. gada pirmajā pusē mazumtirdzniecības apjomi samazinājušies par </w:t>
      </w:r>
      <w:r>
        <w:rPr>
          <w:color w:val="000000" w:themeColor="text1"/>
        </w:rPr>
        <w:t>2</w:t>
      </w:r>
      <w:r w:rsidRPr="00A438D7">
        <w:rPr>
          <w:color w:val="000000" w:themeColor="text1"/>
        </w:rPr>
        <w:t xml:space="preserve">% </w:t>
      </w:r>
      <w:r>
        <w:t xml:space="preserve">pret pērnā gada attiecīgo periodu. Lielāko ietekmi atstājis pārtikas preču mazumtirdzniecības sarukums </w:t>
      </w:r>
      <w:r>
        <w:lastRenderedPageBreak/>
        <w:t xml:space="preserve">par </w:t>
      </w:r>
      <w:r w:rsidRPr="00B267FA">
        <w:rPr>
          <w:color w:val="000000" w:themeColor="text1"/>
        </w:rPr>
        <w:t>5,</w:t>
      </w:r>
      <w:r>
        <w:rPr>
          <w:color w:val="000000" w:themeColor="text1"/>
        </w:rPr>
        <w:t>8</w:t>
      </w:r>
      <w:r w:rsidRPr="00B267FA">
        <w:rPr>
          <w:color w:val="000000" w:themeColor="text1"/>
        </w:rPr>
        <w:t xml:space="preserve">%. </w:t>
      </w:r>
      <w:r>
        <w:t xml:space="preserve">Nepārtikas preces, izņemot degvielu, tirgotas par 1,5% mazāk nekā pērn, bet degvielas mazumtirdzniecībā bijis pieaugums par </w:t>
      </w:r>
      <w:r w:rsidRPr="00B267FA">
        <w:rPr>
          <w:color w:val="000000" w:themeColor="text1"/>
        </w:rPr>
        <w:t>4,</w:t>
      </w:r>
      <w:r>
        <w:rPr>
          <w:color w:val="000000" w:themeColor="text1"/>
        </w:rPr>
        <w:t>8</w:t>
      </w:r>
      <w:r w:rsidRPr="00B267FA">
        <w:rPr>
          <w:color w:val="000000" w:themeColor="text1"/>
        </w:rPr>
        <w:t>%</w:t>
      </w:r>
      <w:r>
        <w:t>.</w:t>
      </w:r>
    </w:p>
    <w:p w14:paraId="4BB01FBB" w14:textId="77777777" w:rsidR="00565001" w:rsidRDefault="00565001" w:rsidP="00766ABC">
      <w:r>
        <w:t>Degvielas tirdzniecības apjomus šā gada pirmajā pusē pozitīvi ietekmē salīdzinoši zemās cenas, kuras šā gada jūnijā bijušas par 26,4% zemākas nekā pērn. Taču pārtikas un nepārtikas preču cenas joprojām pieaug, kas negatīvi ietekmē  iedzīvotāju pirktspēju un mazumtirdzniecības apjomus.</w:t>
      </w:r>
    </w:p>
    <w:p w14:paraId="3EBE25C5" w14:textId="77777777" w:rsidR="00565001" w:rsidRDefault="00565001" w:rsidP="00766ABC">
      <w:r>
        <w:t xml:space="preserve">Eiropas Komisijas apkopotie konfidences indeksi norāda, ka mazumtirgotāju konfidence Latvijā ir augsta un kopš pērnā gada decembra atrodas </w:t>
      </w:r>
      <w:r>
        <w:rPr>
          <w:noProof/>
        </w:rPr>
        <w:t>pirmspandēmijas līmenī. Arī patērētāju noskaņojums sāk uzlaboties, taču šā gada maijā tas joprojām vērtējams kā zems.</w:t>
      </w:r>
      <w:r>
        <w:t xml:space="preserve"> Ņemot vērā iepriekš minēto, vasaras periodā lieli mazumtirdzniecības apjomu kritumi nav paredzami, taču iestājoties nākamajai apkures sezonai, iedzīvotājiem atkal var būt mazāk brīvo līdzekļu, ko tērēt.</w:t>
      </w:r>
    </w:p>
    <w:p w14:paraId="1FBBD26E" w14:textId="233ECD5D" w:rsidR="00565001" w:rsidRDefault="00565001" w:rsidP="00766ABC">
      <w:pPr>
        <w:rPr>
          <w:noProof/>
        </w:rPr>
      </w:pPr>
      <w:r w:rsidRPr="00D7210F">
        <w:rPr>
          <w:b/>
          <w:bCs/>
        </w:rPr>
        <w:t>Būvniecības</w:t>
      </w:r>
      <w:r>
        <w:t xml:space="preserve"> apjomi 2021. un 2022. gadā samazinājušies attiecīgi par 6,2% un 11,3% pret iepriekšējiem gadiem, ko ietekmēja straujais būvmateriālu sadārdzinājums, kā arī pārejas periods starp Eiropas Savienības fondu cikliem. Savukārt 2023. gada pirmajā ceturksnī, pēc sešu ceturkšņu krituma, būvniecības apjomi gada griezumā pieauguši par 17%, kas ir straujākais kāpums kopš 2018. gada 4. ceturkšņa. Starp </w:t>
      </w:r>
      <w:r>
        <w:rPr>
          <w:noProof/>
        </w:rPr>
        <w:t>būvniecības pamatgrupām straujākā</w:t>
      </w:r>
      <w:r>
        <w:t xml:space="preserve"> izaugsme bijusi tieši ēku būvniecībā (+25,2%), kur nedzīvojamo ēku būvniecība augusi nedaudz straujāk par dzīvojamo ēku būvniecību. Nedzīvojamo ēku grupā izceļami rūpniecisko ražošanas ēku un noliktavu būvniecības apjomi, kas 2023. gada 1. ceturksnī ir divkāršojušies, bet dzīvojamo ēku grupā nedaudz straujāk par viena dzīvokļa māju būvniecību pieauguši daudzdzīvokļu ēku būvniecības apjomi. Jāpiemin, ka faktiskie daudzdzīvokļu namu būvniecības apjomi ierasti ir aptuveni piecas reizes lielāki par viena dzīvokļa ēku būvniecības apjomiem. Savukārt specializētie būvdarbi 2023.</w:t>
      </w:r>
      <w:r w:rsidR="00B3512B">
        <w:t> </w:t>
      </w:r>
      <w:r>
        <w:t>gada 1.</w:t>
      </w:r>
      <w:r w:rsidR="00B3512B">
        <w:t> </w:t>
      </w:r>
      <w:r>
        <w:t xml:space="preserve">ceturksnī auguši par 13,1%, </w:t>
      </w:r>
      <w:r>
        <w:rPr>
          <w:noProof/>
        </w:rPr>
        <w:t>bet inženierbūvniecībā sasniegts pieaugums par 6,3%, strauji palielinoties pilsētsaimniecības infrastruktūras būvniecības objektu celtniecībai.</w:t>
      </w:r>
    </w:p>
    <w:p w14:paraId="038493F7" w14:textId="77777777" w:rsidR="00565001" w:rsidRDefault="00565001" w:rsidP="00766ABC">
      <w:pPr>
        <w:rPr>
          <w:noProof/>
        </w:rPr>
      </w:pPr>
      <w:r>
        <w:rPr>
          <w:noProof/>
        </w:rPr>
        <w:t xml:space="preserve">Sākoties aktīvai 2021.-2027. gada ES fondu cikla līdzekļu apguvei, 2023. un 2024. gadā sagaidāma būvniecības nozares izaugsme, vairāk palielinoties tieši inženierbūvniecības un speciālo būvdarbu apjomiem. </w:t>
      </w:r>
    </w:p>
    <w:p w14:paraId="102D2195" w14:textId="77777777" w:rsidR="00565001" w:rsidRPr="004973B4" w:rsidRDefault="00565001" w:rsidP="00766ABC">
      <w:pPr>
        <w:rPr>
          <w:bCs/>
          <w:noProof/>
          <w:szCs w:val="20"/>
        </w:rPr>
      </w:pPr>
      <w:r w:rsidRPr="004973B4">
        <w:rPr>
          <w:b/>
          <w:szCs w:val="20"/>
        </w:rPr>
        <w:t>Transporta un uzglabāšanas nozare</w:t>
      </w:r>
      <w:r w:rsidRPr="004973B4">
        <w:rPr>
          <w:bCs/>
          <w:szCs w:val="20"/>
        </w:rPr>
        <w:t xml:space="preserve">, kas bija viena no pandēmijas smagāk skartajām nozarēm, pēc 2021. gadā sasniegtā 9,0% kāpuma pērn palielinājās vēl par 2,3%, turpinot atjaunoties aviopārvadājumu un sauszemes pasažieru pārvadājumu apjomiem, kamēr kravu pārvadājumus dzelzceļā samazināja </w:t>
      </w:r>
      <w:r w:rsidRPr="004973B4">
        <w:rPr>
          <w:bCs/>
          <w:noProof/>
          <w:szCs w:val="20"/>
        </w:rPr>
        <w:t>Krievijas energoproduktu eksporta ierobežojumi, un nedaudz saruka arī kravu pārvadājumi ar autotransportu.</w:t>
      </w:r>
    </w:p>
    <w:p w14:paraId="2E6E031C" w14:textId="69A5CE12" w:rsidR="00565001" w:rsidRPr="004973B4" w:rsidRDefault="00565001" w:rsidP="00766ABC">
      <w:pPr>
        <w:rPr>
          <w:bCs/>
          <w:szCs w:val="20"/>
        </w:rPr>
      </w:pPr>
      <w:r w:rsidRPr="004973B4">
        <w:rPr>
          <w:bCs/>
          <w:noProof/>
          <w:szCs w:val="20"/>
        </w:rPr>
        <w:t>Pasažieru skaits lidostā “Rīga” 2022. gadā, salīdzinot ar iepriekšējo gadu, palielinājās 2,3 reizes un sasniedza 5,4 miljonus, tomēr vēl joprojām būtiski atpalika no 2018.-2019</w:t>
      </w:r>
      <w:r>
        <w:rPr>
          <w:bCs/>
          <w:noProof/>
          <w:szCs w:val="20"/>
        </w:rPr>
        <w:t>. gad</w:t>
      </w:r>
      <w:r w:rsidRPr="004973B4">
        <w:rPr>
          <w:bCs/>
          <w:noProof/>
          <w:szCs w:val="20"/>
        </w:rPr>
        <w:t xml:space="preserve">a līmeņa, kad pasažieru skaits lidostā bija pārsniedzis septiņus miljonus. Pasažieru skaits sauszemes transportā pieauga par 28,0% un jūras ostās tika apkalpots par </w:t>
      </w:r>
      <w:r>
        <w:rPr>
          <w:bCs/>
          <w:noProof/>
          <w:szCs w:val="20"/>
        </w:rPr>
        <w:t>80,2</w:t>
      </w:r>
      <w:r w:rsidRPr="004973B4">
        <w:rPr>
          <w:bCs/>
          <w:noProof/>
          <w:szCs w:val="20"/>
        </w:rPr>
        <w:t>% vairāk pasažieru nekā 2021.</w:t>
      </w:r>
      <w:r w:rsidR="00B3512B">
        <w:rPr>
          <w:bCs/>
          <w:noProof/>
          <w:szCs w:val="20"/>
        </w:rPr>
        <w:t> </w:t>
      </w:r>
      <w:r w:rsidRPr="004973B4">
        <w:rPr>
          <w:bCs/>
          <w:noProof/>
          <w:szCs w:val="20"/>
        </w:rPr>
        <w:t>gadā. Kravu apgrozījums ostās pērn vēl palielinājās par 15,2%, taču dzelzceļš jau sāka izjust Krievijas energoproduktu eksporta kritumu un pārvadājumu apjomi dzelzceļā samazinājās par 5,3%. Kravu apgrozība autopārvadājumos 2022. gadā</w:t>
      </w:r>
      <w:r w:rsidRPr="004973B4">
        <w:rPr>
          <w:bCs/>
          <w:szCs w:val="20"/>
        </w:rPr>
        <w:t xml:space="preserve"> samazinājās par 3,5%, samazinoties starptautisko pārvadājumu apjomiem, kamēr iekšzemē kravu pārvadājumi turpināja pieaugt.</w:t>
      </w:r>
    </w:p>
    <w:p w14:paraId="4D7A0291" w14:textId="51C47BBF" w:rsidR="00565001" w:rsidRDefault="00565001" w:rsidP="00766ABC">
      <w:pPr>
        <w:rPr>
          <w:bCs/>
          <w:szCs w:val="20"/>
        </w:rPr>
      </w:pPr>
      <w:r w:rsidRPr="004973B4">
        <w:rPr>
          <w:bCs/>
          <w:szCs w:val="20"/>
        </w:rPr>
        <w:t>Līdzīga situācija saglabājas arī 2023.</w:t>
      </w:r>
      <w:r w:rsidR="00B3512B">
        <w:rPr>
          <w:bCs/>
          <w:szCs w:val="20"/>
        </w:rPr>
        <w:t> </w:t>
      </w:r>
      <w:r w:rsidRPr="004973B4">
        <w:rPr>
          <w:bCs/>
          <w:szCs w:val="20"/>
        </w:rPr>
        <w:t>gad</w:t>
      </w:r>
      <w:r>
        <w:rPr>
          <w:bCs/>
          <w:szCs w:val="20"/>
        </w:rPr>
        <w:t>ā</w:t>
      </w:r>
      <w:r w:rsidRPr="004973B4">
        <w:rPr>
          <w:bCs/>
          <w:szCs w:val="20"/>
        </w:rPr>
        <w:t xml:space="preserve">, kad pasažieru pārvadājumi turpina atjaunoties, bet kravu tranzīta apjomi dzelzceļā krītas, un kravu samazinājums </w:t>
      </w:r>
      <w:r>
        <w:rPr>
          <w:bCs/>
          <w:szCs w:val="20"/>
        </w:rPr>
        <w:t>sācis skart</w:t>
      </w:r>
      <w:r w:rsidRPr="004973B4">
        <w:rPr>
          <w:bCs/>
          <w:szCs w:val="20"/>
        </w:rPr>
        <w:t xml:space="preserve"> arī ostu darbu, </w:t>
      </w:r>
      <w:r>
        <w:rPr>
          <w:bCs/>
          <w:szCs w:val="20"/>
        </w:rPr>
        <w:t xml:space="preserve">transporta </w:t>
      </w:r>
      <w:r w:rsidRPr="004973B4">
        <w:rPr>
          <w:bCs/>
          <w:szCs w:val="20"/>
        </w:rPr>
        <w:t xml:space="preserve">nozarei kopumā </w:t>
      </w:r>
      <w:r>
        <w:rPr>
          <w:bCs/>
          <w:szCs w:val="20"/>
        </w:rPr>
        <w:t xml:space="preserve">sākot uzrādīt kritumu. Pirmajā ceturksnī, salīdzinot ar attiecīgo ceturksni pirms gada, transporta nozare kopā samazinājās par 4,7% un arī gadā </w:t>
      </w:r>
      <w:r>
        <w:rPr>
          <w:bCs/>
          <w:szCs w:val="20"/>
        </w:rPr>
        <w:lastRenderedPageBreak/>
        <w:t>kopumā prognozējams neliels samazinājums, pasažieru satiksmes pieaugumam vairs nespējot kompensēt kritumu kravu pārvadājumos.</w:t>
      </w:r>
    </w:p>
    <w:p w14:paraId="5CC153C2" w14:textId="3D4B0C77" w:rsidR="00565001" w:rsidRDefault="00565001" w:rsidP="00766ABC">
      <w:pPr>
        <w:rPr>
          <w:bCs/>
          <w:szCs w:val="20"/>
        </w:rPr>
      </w:pPr>
      <w:r w:rsidRPr="001E6978">
        <w:rPr>
          <w:bCs/>
          <w:szCs w:val="20"/>
        </w:rPr>
        <w:t>202</w:t>
      </w:r>
      <w:r>
        <w:rPr>
          <w:bCs/>
          <w:szCs w:val="20"/>
        </w:rPr>
        <w:t>3.</w:t>
      </w:r>
      <w:r w:rsidR="00B3512B">
        <w:rPr>
          <w:bCs/>
          <w:szCs w:val="20"/>
        </w:rPr>
        <w:t> g</w:t>
      </w:r>
      <w:r>
        <w:rPr>
          <w:bCs/>
          <w:szCs w:val="20"/>
        </w:rPr>
        <w:t>ad</w:t>
      </w:r>
      <w:r w:rsidRPr="001E6978">
        <w:rPr>
          <w:bCs/>
          <w:szCs w:val="20"/>
        </w:rPr>
        <w:t>a pirmajā pusē</w:t>
      </w:r>
      <w:r>
        <w:rPr>
          <w:bCs/>
          <w:szCs w:val="20"/>
        </w:rPr>
        <w:t>, salīdzinot ar pagājušā gada attiecīgo periodu,</w:t>
      </w:r>
      <w:r w:rsidRPr="001E6978">
        <w:rPr>
          <w:bCs/>
          <w:szCs w:val="20"/>
        </w:rPr>
        <w:t xml:space="preserve"> kravu apgrozījums ostās </w:t>
      </w:r>
      <w:r>
        <w:rPr>
          <w:bCs/>
          <w:szCs w:val="20"/>
        </w:rPr>
        <w:t>samazinājās par 14,2%, būtiskāko kritumu piedzīvojot naftas produktu un ogļu kravām, kamēr pārējo kravu apjomi saglabājās salīdzinoši stabili. Dzelzceļā pārvadāto kravu apjoms pirmajā pusgadā kritās par 36,0%. Kravu apgrozība autotransportā gada pirmajā ceturksnī, salīdzinot ar attiecīgo periodu pirms gada, samazinājās par 9,7%, galvenokārt samazinoties pārvadājumiem ārvalstīs.</w:t>
      </w:r>
    </w:p>
    <w:p w14:paraId="7FB72692" w14:textId="77777777" w:rsidR="00565001" w:rsidRDefault="00565001" w:rsidP="00766ABC">
      <w:pPr>
        <w:rPr>
          <w:bCs/>
          <w:szCs w:val="20"/>
        </w:rPr>
      </w:pPr>
      <w:r>
        <w:rPr>
          <w:bCs/>
          <w:szCs w:val="20"/>
        </w:rPr>
        <w:t>Vienlaikus pasažieru skaits lidostā Rīgā joprojām būtiski pārsniedz pērnā gada līmeni – gada pirmajā pusē apkalpoti 3,0 miljoni pasažieru, kas bija par 37,4% vairāk nekā pirms gada, taču pieauguma tempi mēnesi pēc mēneša mazinās. Pasažieru skaits sauszemes transportā salīdzinājumā ar pagājušā gada pirmo ceturksni palielinājies par 33,6%, bet pasažieru skaits jūras ostās audzis par 6,8%.</w:t>
      </w:r>
    </w:p>
    <w:p w14:paraId="304F9ADD" w14:textId="77777777" w:rsidR="00565001" w:rsidRDefault="00565001" w:rsidP="00766ABC">
      <w:r w:rsidRPr="00234E45">
        <w:t xml:space="preserve">Pēc </w:t>
      </w:r>
      <w:r>
        <w:t xml:space="preserve">samērā veiksmīgā 2021. gada, kad pēc </w:t>
      </w:r>
      <w:r w:rsidRPr="00234E45">
        <w:t xml:space="preserve">iepriekšējos gados </w:t>
      </w:r>
      <w:r w:rsidRPr="00234E45">
        <w:rPr>
          <w:b/>
          <w:bCs/>
        </w:rPr>
        <w:t>finanšu un apdrošināšanas nozarē</w:t>
      </w:r>
      <w:r w:rsidRPr="00234E45">
        <w:t xml:space="preserve"> vērotā pievienotās vērtības krituma</w:t>
      </w:r>
      <w:r>
        <w:t xml:space="preserve"> n</w:t>
      </w:r>
      <w:r w:rsidRPr="00234E45">
        <w:t>ozares pievienotā vērtība salīdzināmās cenās palielinājās par 1</w:t>
      </w:r>
      <w:r>
        <w:t>7</w:t>
      </w:r>
      <w:r w:rsidRPr="00234E45">
        <w:t>,</w:t>
      </w:r>
      <w:r>
        <w:t>9</w:t>
      </w:r>
      <w:r w:rsidRPr="00234E45">
        <w:t>%,</w:t>
      </w:r>
      <w:r>
        <w:t xml:space="preserve"> 2022. gads nebija tik veiksmīgs, proti, nozares pievienotā vērtība 2022. gadā samazinājās par 3,7%</w:t>
      </w:r>
      <w:r w:rsidRPr="00234E45">
        <w:t xml:space="preserve">. </w:t>
      </w:r>
      <w:r>
        <w:t>Pagaidām 2023. gads ir sācies bez turpmāka nozares darbības rādītāju pasliktinājuma un darbības rādītāji ir samērā līdzīgi kā 2022. </w:t>
      </w:r>
      <w:r w:rsidRPr="00CB0DBA">
        <w:t xml:space="preserve">gadā. 2023. gada 1. ceturksnī </w:t>
      </w:r>
      <w:r>
        <w:t xml:space="preserve">nozares </w:t>
      </w:r>
      <w:r w:rsidRPr="00CB0DBA">
        <w:t xml:space="preserve">pievienotā vērtība bija par 3,9% mazāka nekā pirms gada 1. ceturksnī, </w:t>
      </w:r>
      <w:r>
        <w:t>taču</w:t>
      </w:r>
      <w:r w:rsidRPr="00CB0DBA">
        <w:t xml:space="preserve"> tas ir bāzes efekta dēļ pēc netipiska 20,9% samazinājuma 2022. gada 4. ceturksnī. Līdz</w:t>
      </w:r>
      <w:r>
        <w:t xml:space="preserve"> ar to var secināt, ka, lai gan būtisku nozares darbības rādītāju pasliktinājumu Krievijas sāktais karš Ukrainā nav izraisījis, tomēr tas ir radījis negatīvu fonu kopējai nozares attīstībai.</w:t>
      </w:r>
    </w:p>
    <w:p w14:paraId="78F4D272" w14:textId="032A151D" w:rsidR="00565001" w:rsidRDefault="00565001" w:rsidP="00766ABC">
      <w:r>
        <w:t xml:space="preserve">To apliecina arī </w:t>
      </w:r>
      <w:r w:rsidRPr="00234E45">
        <w:t>banku bilanču dati, j</w:t>
      </w:r>
      <w:r>
        <w:t xml:space="preserve">o kreditēšana turpināja būt vāja, tajā skaitā uz kopējā Baltijas fona stabili ieņemot pēdējo vietu jau kopš 2014. gada. Ja 2022. gads </w:t>
      </w:r>
      <w:r>
        <w:rPr>
          <w:noProof/>
        </w:rPr>
        <w:t xml:space="preserve">jaunizsniegto </w:t>
      </w:r>
      <w:r>
        <w:t xml:space="preserve">kredītu segmentā uzrādīja nelielus pieaugumus visās kategorijās, izņemot kredītus mājsaimniecībām mājokļa iegādei, tad 2023. gads ir sācies ar stabilu kritumu un 2023. gada pirmajos piecos mēnešos, salīdzinot ar tādu pašu periodu pērn, kritums ir gan kredītiem mājsaimniecībām mājokļa iegādei (-15,9%), gan </w:t>
      </w:r>
      <w:r>
        <w:rPr>
          <w:noProof/>
        </w:rPr>
        <w:t>kredītiem nefinanšu sabiedrībām (-</w:t>
      </w:r>
      <w:r w:rsidR="00B3512B">
        <w:rPr>
          <w:noProof/>
        </w:rPr>
        <w:t> </w:t>
      </w:r>
      <w:r>
        <w:rPr>
          <w:noProof/>
        </w:rPr>
        <w:t>8,2%), gan pārējiem kredītiem mājsaimniecībām (-24,6%). Vienīgā jaunizsniegto</w:t>
      </w:r>
      <w:r>
        <w:t xml:space="preserve"> kredītu kategorija, kas turpina kāpumu, ir patēriņa kredīti mājsaimniecībām, kas šā gada pirmajos piecos mēnešos ir izsniegti par 34,5% vairāk nekā pagājušajā gadā šajā pašā periodā.</w:t>
      </w:r>
    </w:p>
    <w:p w14:paraId="633A4829" w14:textId="77777777" w:rsidR="00565001" w:rsidRDefault="00565001" w:rsidP="00766ABC">
      <w:r>
        <w:t>Tajā pašā laikā augošās procentu likmes ir ļāvušas bankām kāpināt tekošās peļņas apjomus un 2023. gada pirmajos piecos mēnešos banku tekošā peļņa ir vairāk nekā divas reizes lielāka (+127%) kā pērn šajā pat laika periodā. Pozitīvi ir tas, ka pirmā ceturkšņa kredītu kvalitātes rādītāji neuzrāda pasliktinājumu, par ko bija bažas 2022. gada nogalē.</w:t>
      </w:r>
    </w:p>
    <w:p w14:paraId="314CF55C" w14:textId="2951D878" w:rsidR="00B3512B" w:rsidRPr="000D4788" w:rsidRDefault="00565001" w:rsidP="000D4788">
      <w:r>
        <w:t xml:space="preserve">Tāpat iepriekšējos gados veiktās reformas attiecībā uz biznesa modeļu maiņu un atteikšanos no riskantiem nerezidentu noguldījumiem ir turpinājušās un rezidentu noguldījumu apjoms ir turpinājis kāpt visu 2022. gadu. Taču kopš 2023. gada sākuma </w:t>
      </w:r>
      <w:r w:rsidRPr="008542A9">
        <w:t xml:space="preserve">noguldījumu </w:t>
      </w:r>
      <w:r w:rsidRPr="00C673F5">
        <w:t>apjoms ir gandrīz nemainīgs, lai arī jūnijā depozītu apjoms bija par 5,3% lielāks nekā gadu iepriekš</w:t>
      </w:r>
      <w:r w:rsidRPr="008542A9">
        <w:t xml:space="preserve">, kas, visticamāk, ir saistīts ar pieaugušo inflāciju, tajā skaitā energoresursu un komunālo </w:t>
      </w:r>
      <w:r>
        <w:t>maksājumu cenu kāpumu, kas nav ļāvis iedzīvotājiem turpināt palielināt uzkrājumus tāpat kā iepriekšējos periodos.</w:t>
      </w:r>
    </w:p>
    <w:p w14:paraId="70118DE4" w14:textId="0078B1E3" w:rsidR="00565001" w:rsidRPr="008021D7" w:rsidRDefault="00565001" w:rsidP="00565001">
      <w:pPr>
        <w:pStyle w:val="H4"/>
        <w:ind w:left="0" w:firstLine="720"/>
        <w:jc w:val="both"/>
        <w:outlineLvl w:val="9"/>
        <w:rPr>
          <w:rFonts w:ascii="Times New Roman" w:hAnsi="Times New Roman"/>
          <w:iCs/>
          <w:sz w:val="24"/>
          <w:szCs w:val="24"/>
        </w:rPr>
      </w:pPr>
      <w:r w:rsidRPr="008021D7">
        <w:rPr>
          <w:rFonts w:ascii="Times New Roman" w:hAnsi="Times New Roman"/>
          <w:iCs/>
          <w:sz w:val="24"/>
          <w:szCs w:val="24"/>
        </w:rPr>
        <w:t>Ārējā tirdzniecība</w:t>
      </w:r>
    </w:p>
    <w:p w14:paraId="6C7D4E00" w14:textId="77777777" w:rsidR="00565001" w:rsidRDefault="00565001" w:rsidP="00766ABC">
      <w:pPr>
        <w:rPr>
          <w:rFonts w:eastAsia="Calibri" w:cs="Arial"/>
        </w:rPr>
      </w:pPr>
      <w:r w:rsidRPr="000755E3">
        <w:rPr>
          <w:rFonts w:eastAsia="Calibri" w:cs="Arial"/>
        </w:rPr>
        <w:t xml:space="preserve">Latvijas </w:t>
      </w:r>
      <w:r w:rsidRPr="000755E3">
        <w:rPr>
          <w:rFonts w:eastAsia="Calibri" w:cs="Arial"/>
          <w:b/>
          <w:bCs/>
        </w:rPr>
        <w:t>preču un pakalpojumu ārējās tirdzniecības</w:t>
      </w:r>
      <w:r w:rsidRPr="000755E3">
        <w:rPr>
          <w:rFonts w:eastAsia="Calibri" w:cs="Arial"/>
        </w:rPr>
        <w:t xml:space="preserve"> apgrozījums 202</w:t>
      </w:r>
      <w:r>
        <w:rPr>
          <w:rFonts w:eastAsia="Calibri" w:cs="Arial"/>
        </w:rPr>
        <w:t>2. gad</w:t>
      </w:r>
      <w:r w:rsidRPr="000755E3">
        <w:rPr>
          <w:rFonts w:eastAsia="Calibri" w:cs="Arial"/>
        </w:rPr>
        <w:t>ā salīdzināmajās cenās palielināj</w:t>
      </w:r>
      <w:r>
        <w:rPr>
          <w:rFonts w:eastAsia="Calibri" w:cs="Arial"/>
        </w:rPr>
        <w:t>ā</w:t>
      </w:r>
      <w:r w:rsidRPr="000755E3">
        <w:rPr>
          <w:rFonts w:eastAsia="Calibri" w:cs="Arial"/>
        </w:rPr>
        <w:t>s par 10,</w:t>
      </w:r>
      <w:r>
        <w:rPr>
          <w:rFonts w:eastAsia="Calibri" w:cs="Arial"/>
        </w:rPr>
        <w:t>5</w:t>
      </w:r>
      <w:r w:rsidRPr="000755E3">
        <w:rPr>
          <w:rFonts w:eastAsia="Calibri" w:cs="Arial"/>
        </w:rPr>
        <w:t>%,</w:t>
      </w:r>
      <w:r>
        <w:rPr>
          <w:rFonts w:eastAsia="Calibri" w:cs="Arial"/>
        </w:rPr>
        <w:t xml:space="preserve"> kas bija līdzvērtīgi pieaugumam 2021. gadā. </w:t>
      </w:r>
      <w:r w:rsidRPr="000755E3">
        <w:rPr>
          <w:rFonts w:eastAsia="Calibri" w:cs="Arial"/>
        </w:rPr>
        <w:t xml:space="preserve">Pasaules ekonomikas </w:t>
      </w:r>
      <w:r>
        <w:rPr>
          <w:rFonts w:eastAsia="Calibri" w:cs="Arial"/>
        </w:rPr>
        <w:t>attīstība</w:t>
      </w:r>
      <w:r w:rsidRPr="000755E3">
        <w:rPr>
          <w:rFonts w:eastAsia="Calibri" w:cs="Arial"/>
        </w:rPr>
        <w:t xml:space="preserve"> un ārējā pieprasījuma pieaugums galvenajos eksporta noieta tirgos kā ES, kā arī būtisks eksporta kāpums uz tādām valstīm kā ASV</w:t>
      </w:r>
      <w:r>
        <w:rPr>
          <w:rFonts w:eastAsia="Calibri" w:cs="Arial"/>
        </w:rPr>
        <w:t xml:space="preserve">, Ukraina, Saūda Arābija, </w:t>
      </w:r>
      <w:r>
        <w:rPr>
          <w:rFonts w:eastAsia="Calibri" w:cs="Arial"/>
        </w:rPr>
        <w:lastRenderedPageBreak/>
        <w:t>Norvēģija, Kazahstāna un Ķ</w:t>
      </w:r>
      <w:r w:rsidRPr="00E21EF5">
        <w:rPr>
          <w:rFonts w:eastAsia="Calibri" w:cs="Arial"/>
        </w:rPr>
        <w:t xml:space="preserve">īna </w:t>
      </w:r>
      <w:r w:rsidRPr="00622446">
        <w:rPr>
          <w:rFonts w:eastAsia="Calibri" w:cs="Arial"/>
        </w:rPr>
        <w:t>2022. gadā</w:t>
      </w:r>
      <w:r w:rsidRPr="00E21EF5">
        <w:rPr>
          <w:rFonts w:eastAsia="Calibri" w:cs="Arial"/>
        </w:rPr>
        <w:t xml:space="preserve"> </w:t>
      </w:r>
      <w:r w:rsidRPr="000755E3">
        <w:rPr>
          <w:rFonts w:eastAsia="Calibri" w:cs="Arial"/>
        </w:rPr>
        <w:t xml:space="preserve">nodrošināja Latvijas preču un pakalpojumu eksporta pieaugumu par </w:t>
      </w:r>
      <w:r>
        <w:rPr>
          <w:rFonts w:eastAsia="Calibri" w:cs="Arial"/>
        </w:rPr>
        <w:t>9,1</w:t>
      </w:r>
      <w:r w:rsidRPr="000755E3">
        <w:rPr>
          <w:rFonts w:eastAsia="Calibri" w:cs="Arial"/>
        </w:rPr>
        <w:t xml:space="preserve">%. </w:t>
      </w:r>
      <w:r>
        <w:rPr>
          <w:rFonts w:eastAsia="Calibri" w:cs="Arial"/>
        </w:rPr>
        <w:t xml:space="preserve">Tajā pašā laikā </w:t>
      </w:r>
      <w:r w:rsidRPr="000755E3">
        <w:rPr>
          <w:rFonts w:eastAsia="Calibri" w:cs="Arial"/>
        </w:rPr>
        <w:t xml:space="preserve">Latvijas iekšējā patēriņa pieaugums un investīcijas iekārtās un tehnoloģiskajās mašīnās veicināja kopējā preču un pakalpojumu importa kāpumu par </w:t>
      </w:r>
      <w:r>
        <w:rPr>
          <w:rFonts w:eastAsia="Calibri" w:cs="Arial"/>
        </w:rPr>
        <w:t>11,7</w:t>
      </w:r>
      <w:r w:rsidRPr="000755E3">
        <w:rPr>
          <w:rFonts w:eastAsia="Calibri" w:cs="Arial"/>
        </w:rPr>
        <w:t>%.</w:t>
      </w:r>
    </w:p>
    <w:p w14:paraId="1E263EAD" w14:textId="77777777" w:rsidR="00565001" w:rsidRDefault="00565001" w:rsidP="00766ABC">
      <w:pPr>
        <w:rPr>
          <w:rFonts w:eastAsia="Calibri" w:cs="Arial"/>
        </w:rPr>
      </w:pPr>
      <w:r w:rsidRPr="000755E3">
        <w:rPr>
          <w:rFonts w:eastAsia="Calibri" w:cs="Arial"/>
        </w:rPr>
        <w:t>Ņemot vērā, ka imports ir palielinājies straujāk par eksportu, ārējās tirdzniecības bilance 202</w:t>
      </w:r>
      <w:r>
        <w:rPr>
          <w:rFonts w:eastAsia="Calibri" w:cs="Arial"/>
        </w:rPr>
        <w:t>2. gad</w:t>
      </w:r>
      <w:r w:rsidRPr="000755E3">
        <w:rPr>
          <w:rFonts w:eastAsia="Calibri" w:cs="Arial"/>
        </w:rPr>
        <w:t xml:space="preserve">ā </w:t>
      </w:r>
      <w:r>
        <w:rPr>
          <w:rFonts w:eastAsia="Calibri" w:cs="Arial"/>
        </w:rPr>
        <w:t xml:space="preserve">ir </w:t>
      </w:r>
      <w:r w:rsidRPr="000755E3">
        <w:rPr>
          <w:rFonts w:eastAsia="Calibri" w:cs="Arial"/>
        </w:rPr>
        <w:t xml:space="preserve">pasliktinājusies. </w:t>
      </w:r>
      <w:r>
        <w:rPr>
          <w:rFonts w:eastAsia="Calibri" w:cs="Arial"/>
        </w:rPr>
        <w:t xml:space="preserve">Tādējādi ārējās tirdzniecības devums IKP pieaugumā bija negatīvs jeb -3,0 procentpunktu apmērā, kas ir būtiski mazāk nekā 2021. gadā, kad neto eksporta devums </w:t>
      </w:r>
      <w:r w:rsidRPr="00F6643D">
        <w:rPr>
          <w:rFonts w:eastAsia="Calibri" w:cs="Arial"/>
        </w:rPr>
        <w:t>bija -6,7 procentpunkti</w:t>
      </w:r>
      <w:r>
        <w:rPr>
          <w:rFonts w:eastAsia="Calibri" w:cs="Arial"/>
        </w:rPr>
        <w:t xml:space="preserve">. </w:t>
      </w:r>
      <w:r w:rsidRPr="000755E3">
        <w:rPr>
          <w:rFonts w:eastAsia="Calibri" w:cs="Arial"/>
        </w:rPr>
        <w:t xml:space="preserve">Eksporta un importa kāpums </w:t>
      </w:r>
      <w:r>
        <w:rPr>
          <w:rFonts w:eastAsia="Calibri" w:cs="Arial"/>
        </w:rPr>
        <w:t xml:space="preserve">2022. gadā </w:t>
      </w:r>
      <w:r w:rsidRPr="000755E3">
        <w:rPr>
          <w:rFonts w:eastAsia="Calibri" w:cs="Arial"/>
        </w:rPr>
        <w:t xml:space="preserve">bijis straujāks nekā </w:t>
      </w:r>
      <w:r>
        <w:rPr>
          <w:rFonts w:eastAsia="Calibri" w:cs="Arial"/>
        </w:rPr>
        <w:t>IKP</w:t>
      </w:r>
      <w:r w:rsidRPr="000755E3">
        <w:rPr>
          <w:rFonts w:eastAsia="Calibri" w:cs="Arial"/>
        </w:rPr>
        <w:t xml:space="preserve"> pieaugums, līdz ar to ārējās tirdzniecības nozīme tautsaimniecībā palielinājusies. Eksporta īpatsvars IKP 202</w:t>
      </w:r>
      <w:r>
        <w:rPr>
          <w:rFonts w:eastAsia="Calibri" w:cs="Arial"/>
        </w:rPr>
        <w:t>2. gad</w:t>
      </w:r>
      <w:r w:rsidRPr="000755E3">
        <w:rPr>
          <w:rFonts w:eastAsia="Calibri" w:cs="Arial"/>
        </w:rPr>
        <w:t xml:space="preserve">ā pieauga par </w:t>
      </w:r>
      <w:r w:rsidRPr="00622446">
        <w:rPr>
          <w:rFonts w:eastAsia="Calibri" w:cs="Arial"/>
        </w:rPr>
        <w:t xml:space="preserve">4,0 procentpunktiem un sasniedza 69,3%. </w:t>
      </w:r>
      <w:r w:rsidRPr="000755E3">
        <w:rPr>
          <w:rFonts w:eastAsia="Calibri" w:cs="Arial"/>
        </w:rPr>
        <w:t xml:space="preserve">Savukārt importa īpatsvars valsts ekonomikā pērnajā gadā veidoja </w:t>
      </w:r>
      <w:r w:rsidRPr="00622446">
        <w:rPr>
          <w:rFonts w:eastAsia="Calibri" w:cs="Arial"/>
        </w:rPr>
        <w:t xml:space="preserve">83,0%, </w:t>
      </w:r>
      <w:r w:rsidRPr="000755E3">
        <w:rPr>
          <w:rFonts w:eastAsia="Calibri" w:cs="Arial"/>
        </w:rPr>
        <w:t xml:space="preserve">palielinoties par </w:t>
      </w:r>
      <w:r>
        <w:rPr>
          <w:rFonts w:eastAsia="Calibri" w:cs="Arial"/>
        </w:rPr>
        <w:t>6,6</w:t>
      </w:r>
      <w:r w:rsidRPr="000755E3">
        <w:rPr>
          <w:rFonts w:eastAsia="Calibri" w:cs="Arial"/>
        </w:rPr>
        <w:t xml:space="preserve"> procentpunktiem salīdzinājumā ar 202</w:t>
      </w:r>
      <w:r>
        <w:rPr>
          <w:rFonts w:eastAsia="Calibri" w:cs="Arial"/>
        </w:rPr>
        <w:t>1. gad</w:t>
      </w:r>
      <w:r w:rsidRPr="000755E3">
        <w:rPr>
          <w:rFonts w:eastAsia="Calibri" w:cs="Arial"/>
        </w:rPr>
        <w:t>u.</w:t>
      </w:r>
    </w:p>
    <w:p w14:paraId="3C3F433F" w14:textId="77777777" w:rsidR="00565001" w:rsidRDefault="00565001" w:rsidP="00766ABC">
      <w:pPr>
        <w:rPr>
          <w:rFonts w:eastAsia="Calibri" w:cs="Arial"/>
        </w:rPr>
      </w:pPr>
      <w:r>
        <w:rPr>
          <w:rFonts w:eastAsia="Calibri" w:cs="Arial"/>
        </w:rPr>
        <w:t xml:space="preserve">2023. gada pirmajā ceturksnī </w:t>
      </w:r>
      <w:r w:rsidRPr="000755E3">
        <w:rPr>
          <w:rFonts w:eastAsia="Calibri" w:cs="Arial"/>
        </w:rPr>
        <w:t xml:space="preserve">Latvijas preču un pakalpojumu </w:t>
      </w:r>
      <w:r w:rsidRPr="00FE641F">
        <w:rPr>
          <w:rFonts w:eastAsia="Calibri" w:cs="Arial"/>
          <w:b/>
          <w:bCs/>
        </w:rPr>
        <w:t>eksporta</w:t>
      </w:r>
      <w:r>
        <w:rPr>
          <w:rFonts w:eastAsia="Calibri" w:cs="Arial"/>
        </w:rPr>
        <w:t xml:space="preserve"> vērtība </w:t>
      </w:r>
      <w:r w:rsidRPr="000755E3">
        <w:rPr>
          <w:rFonts w:eastAsia="Calibri" w:cs="Arial"/>
        </w:rPr>
        <w:t xml:space="preserve">salīdzināmajās cenās </w:t>
      </w:r>
      <w:r>
        <w:rPr>
          <w:rFonts w:eastAsia="Calibri" w:cs="Arial"/>
        </w:rPr>
        <w:t>samazinājās par 0,8%, ko lielā mērā noteica vārgā ekonomikas izaugsme ES. Savukārt vājā Latvijas ekonomikas izaugsme šā gada sākumā izskaidro preču un pakalpojumu importa bremzēšanos, jo importa vērtība pieauga tikai par 2,9%, salīdzinot ar 2022. gada pirmo ceturksni.</w:t>
      </w:r>
    </w:p>
    <w:p w14:paraId="62039DE7" w14:textId="77777777" w:rsidR="00565001" w:rsidRDefault="00565001" w:rsidP="00766ABC">
      <w:pPr>
        <w:rPr>
          <w:rFonts w:cs="Times New Roman"/>
        </w:rPr>
      </w:pPr>
      <w:r>
        <w:rPr>
          <w:rFonts w:eastAsia="Calibri" w:cs="Arial"/>
        </w:rPr>
        <w:t xml:space="preserve">Mēnešu statistika uzrāda, ka 2023. gada pirmajos piecos mēnešos preču eksporta vērtība faktiskajās cenās ir </w:t>
      </w:r>
      <w:r w:rsidRPr="00031190">
        <w:rPr>
          <w:rFonts w:cs="Times New Roman"/>
        </w:rPr>
        <w:t>samazināj</w:t>
      </w:r>
      <w:r>
        <w:rPr>
          <w:rFonts w:cs="Times New Roman"/>
        </w:rPr>
        <w:t>usie</w:t>
      </w:r>
      <w:r w:rsidRPr="00031190">
        <w:rPr>
          <w:rFonts w:cs="Times New Roman"/>
        </w:rPr>
        <w:t>s par 3,3%, salīdzinot ar attiecīgo periodu pērn.</w:t>
      </w:r>
      <w:r>
        <w:rPr>
          <w:rFonts w:cs="Times New Roman"/>
        </w:rPr>
        <w:t xml:space="preserve"> Šā gada martā preču eksportam gada izteiksmē pirmo reizi kopš 2021. gada sākuma bija kritums. Aprīlī un maijā tas pastiprinājies, un šā gada maijā preču eksporta vērtība bija jau par 15,1% </w:t>
      </w:r>
      <w:r w:rsidRPr="00031190">
        <w:rPr>
          <w:rFonts w:cs="Times New Roman"/>
        </w:rPr>
        <w:t xml:space="preserve">zemāka </w:t>
      </w:r>
      <w:r>
        <w:rPr>
          <w:rFonts w:cs="Times New Roman"/>
        </w:rPr>
        <w:t xml:space="preserve">nekā </w:t>
      </w:r>
      <w:r w:rsidRPr="00031190">
        <w:rPr>
          <w:rFonts w:cs="Times New Roman"/>
        </w:rPr>
        <w:t>ar pērnā gada maij</w:t>
      </w:r>
      <w:r>
        <w:rPr>
          <w:rFonts w:cs="Times New Roman"/>
        </w:rPr>
        <w:t>ā</w:t>
      </w:r>
      <w:r w:rsidRPr="00031190">
        <w:rPr>
          <w:rFonts w:cs="Times New Roman"/>
        </w:rPr>
        <w:t>.</w:t>
      </w:r>
    </w:p>
    <w:p w14:paraId="3FCD94D7" w14:textId="77777777" w:rsidR="00565001" w:rsidRDefault="00565001" w:rsidP="00766ABC">
      <w:pPr>
        <w:rPr>
          <w:rFonts w:cs="Times New Roman"/>
        </w:rPr>
      </w:pPr>
      <w:r w:rsidRPr="00031190">
        <w:rPr>
          <w:rFonts w:cs="Times New Roman"/>
        </w:rPr>
        <w:t>Preču eksporta samazinājums</w:t>
      </w:r>
      <w:r>
        <w:rPr>
          <w:rFonts w:cs="Times New Roman"/>
        </w:rPr>
        <w:t xml:space="preserve"> šā gada piecos mēnešos</w:t>
      </w:r>
      <w:r w:rsidRPr="00031190">
        <w:rPr>
          <w:rFonts w:cs="Times New Roman"/>
        </w:rPr>
        <w:t xml:space="preserve"> ir fiksēts lielāka</w:t>
      </w:r>
      <w:r>
        <w:rPr>
          <w:rFonts w:cs="Times New Roman"/>
        </w:rPr>
        <w:t>ja</w:t>
      </w:r>
      <w:r w:rsidRPr="00031190">
        <w:rPr>
          <w:rFonts w:cs="Times New Roman"/>
        </w:rPr>
        <w:t>i daļai eksporta grup</w:t>
      </w:r>
      <w:r>
        <w:rPr>
          <w:rFonts w:cs="Times New Roman"/>
        </w:rPr>
        <w:t>u</w:t>
      </w:r>
      <w:r w:rsidRPr="00031190">
        <w:rPr>
          <w:rFonts w:cs="Times New Roman"/>
        </w:rPr>
        <w:t>. Tomēr noteicoš</w:t>
      </w:r>
      <w:r>
        <w:rPr>
          <w:rFonts w:cs="Times New Roman"/>
        </w:rPr>
        <w:t>ā</w:t>
      </w:r>
      <w:r w:rsidRPr="00031190">
        <w:rPr>
          <w:rFonts w:cs="Times New Roman"/>
        </w:rPr>
        <w:t xml:space="preserve"> loma eksporta kritum</w:t>
      </w:r>
      <w:r>
        <w:rPr>
          <w:rFonts w:cs="Times New Roman"/>
        </w:rPr>
        <w:t>ā</w:t>
      </w:r>
      <w:r w:rsidRPr="00031190">
        <w:rPr>
          <w:rFonts w:cs="Times New Roman"/>
        </w:rPr>
        <w:t xml:space="preserve"> </w:t>
      </w:r>
      <w:r w:rsidRPr="00031190">
        <w:rPr>
          <w:rFonts w:cs="Times New Roman"/>
          <w:noProof/>
        </w:rPr>
        <w:t>bija minerālproduktu, koka un koksnes izstrādājumu</w:t>
      </w:r>
      <w:r>
        <w:rPr>
          <w:rFonts w:cs="Times New Roman"/>
          <w:noProof/>
        </w:rPr>
        <w:t>, kā arī metālu un metālu izstrādājumu</w:t>
      </w:r>
      <w:r w:rsidRPr="00031190">
        <w:rPr>
          <w:rFonts w:cs="Times New Roman"/>
          <w:noProof/>
        </w:rPr>
        <w:t xml:space="preserve"> grup</w:t>
      </w:r>
      <w:r>
        <w:rPr>
          <w:rFonts w:cs="Times New Roman"/>
          <w:noProof/>
        </w:rPr>
        <w:t>ām</w:t>
      </w:r>
      <w:r w:rsidRPr="00031190">
        <w:rPr>
          <w:rFonts w:cs="Times New Roman"/>
          <w:noProof/>
        </w:rPr>
        <w:t>. Tieši š</w:t>
      </w:r>
      <w:r>
        <w:rPr>
          <w:rFonts w:cs="Times New Roman"/>
          <w:noProof/>
        </w:rPr>
        <w:t>ī</w:t>
      </w:r>
      <w:r w:rsidRPr="00031190">
        <w:rPr>
          <w:rFonts w:cs="Times New Roman"/>
          <w:noProof/>
        </w:rPr>
        <w:t>s preču grupas bija vien</w:t>
      </w:r>
      <w:r>
        <w:rPr>
          <w:rFonts w:cs="Times New Roman"/>
          <w:noProof/>
        </w:rPr>
        <w:t>as</w:t>
      </w:r>
      <w:r w:rsidRPr="00031190">
        <w:rPr>
          <w:rFonts w:cs="Times New Roman"/>
          <w:noProof/>
        </w:rPr>
        <w:t xml:space="preserve"> no galven</w:t>
      </w:r>
      <w:r>
        <w:rPr>
          <w:rFonts w:cs="Times New Roman"/>
          <w:noProof/>
        </w:rPr>
        <w:t>a</w:t>
      </w:r>
      <w:r w:rsidRPr="00031190">
        <w:rPr>
          <w:rFonts w:cs="Times New Roman"/>
          <w:noProof/>
        </w:rPr>
        <w:t xml:space="preserve">jiem eksporta dzinējspēkiem pērnā gada pirmajā pusgadā, kad preču eksporta pieaugums </w:t>
      </w:r>
      <w:r>
        <w:rPr>
          <w:rFonts w:cs="Times New Roman"/>
          <w:noProof/>
        </w:rPr>
        <w:t xml:space="preserve">katru mēnesi </w:t>
      </w:r>
      <w:r w:rsidRPr="00031190">
        <w:rPr>
          <w:rFonts w:cs="Times New Roman"/>
          <w:noProof/>
        </w:rPr>
        <w:t xml:space="preserve">bija tuvu 40%. Tik strauju izaugsmi lielā mērā noteica izejvielu, it īpaši gāzes, naftas produktu un koksnes cenu pieaugums. </w:t>
      </w:r>
      <w:r>
        <w:rPr>
          <w:rFonts w:cs="Times New Roman"/>
          <w:noProof/>
        </w:rPr>
        <w:t>Līdz ar to š</w:t>
      </w:r>
      <w:r w:rsidRPr="00031190">
        <w:rPr>
          <w:rFonts w:cs="Times New Roman"/>
          <w:noProof/>
        </w:rPr>
        <w:t xml:space="preserve">ogad šim faktoram būs pazeminoša ietekme uz preču eksportu, jo izejvielu cenas </w:t>
      </w:r>
      <w:r>
        <w:rPr>
          <w:rFonts w:cs="Times New Roman"/>
          <w:noProof/>
        </w:rPr>
        <w:t xml:space="preserve">ir </w:t>
      </w:r>
      <w:r w:rsidRPr="00031190">
        <w:rPr>
          <w:rFonts w:cs="Times New Roman"/>
          <w:noProof/>
        </w:rPr>
        <w:t xml:space="preserve">būtiski </w:t>
      </w:r>
      <w:r>
        <w:rPr>
          <w:rFonts w:cs="Times New Roman"/>
          <w:noProof/>
        </w:rPr>
        <w:t>samazinājušās</w:t>
      </w:r>
      <w:r w:rsidRPr="00031190">
        <w:rPr>
          <w:rFonts w:cs="Times New Roman"/>
          <w:noProof/>
        </w:rPr>
        <w:t>. Latvijas preču eksporta struktūrā dominējoš</w:t>
      </w:r>
      <w:r>
        <w:rPr>
          <w:rFonts w:cs="Times New Roman"/>
          <w:noProof/>
        </w:rPr>
        <w:t>ā</w:t>
      </w:r>
      <w:r w:rsidRPr="00031190">
        <w:rPr>
          <w:rFonts w:cs="Times New Roman"/>
          <w:noProof/>
        </w:rPr>
        <w:t xml:space="preserve"> loma ir precēm ar zemu pievienoto vērtību, piemēram, koksnei un koka izstrādājumiem, neapstrādātai pārtikai, minerālproduktiem</w:t>
      </w:r>
      <w:r>
        <w:rPr>
          <w:rFonts w:cs="Times New Roman"/>
          <w:noProof/>
        </w:rPr>
        <w:t xml:space="preserve">, dzelzs atkritumiem un lūžņiem, kuru </w:t>
      </w:r>
      <w:r w:rsidRPr="00031190">
        <w:rPr>
          <w:rFonts w:cs="Times New Roman"/>
          <w:noProof/>
        </w:rPr>
        <w:t>cenas pasaules tirgos jau vairāk</w:t>
      </w:r>
      <w:r>
        <w:rPr>
          <w:rFonts w:cs="Times New Roman"/>
          <w:noProof/>
        </w:rPr>
        <w:t>u</w:t>
      </w:r>
      <w:r w:rsidRPr="00031190">
        <w:rPr>
          <w:rFonts w:cs="Times New Roman"/>
          <w:noProof/>
        </w:rPr>
        <w:t>s mēneš</w:t>
      </w:r>
      <w:r>
        <w:rPr>
          <w:rFonts w:cs="Times New Roman"/>
          <w:noProof/>
        </w:rPr>
        <w:t>u</w:t>
      </w:r>
      <w:r w:rsidRPr="00031190">
        <w:rPr>
          <w:rFonts w:cs="Times New Roman"/>
          <w:noProof/>
        </w:rPr>
        <w:t>s samazinās, kas</w:t>
      </w:r>
      <w:r w:rsidRPr="00031190">
        <w:rPr>
          <w:rFonts w:cs="Times New Roman"/>
        </w:rPr>
        <w:t>, no vienas puses, samazina patēriņa cenas gan Eiropā kopumā, gan Latvijā, bet, no otras puses, atstāj pazeminošu ietekmi arī uz eksporta vērtību.</w:t>
      </w:r>
    </w:p>
    <w:p w14:paraId="4CD3C17D" w14:textId="77777777" w:rsidR="00565001" w:rsidRDefault="00565001" w:rsidP="00766ABC">
      <w:pPr>
        <w:rPr>
          <w:rFonts w:cs="Times New Roman"/>
        </w:rPr>
      </w:pPr>
      <w:r w:rsidRPr="00031190">
        <w:rPr>
          <w:rFonts w:cs="Times New Roman"/>
        </w:rPr>
        <w:t xml:space="preserve">Šā gada </w:t>
      </w:r>
      <w:r>
        <w:rPr>
          <w:rFonts w:cs="Times New Roman"/>
        </w:rPr>
        <w:t>piecos mēnešos</w:t>
      </w:r>
      <w:r w:rsidRPr="00031190">
        <w:rPr>
          <w:rFonts w:cs="Times New Roman"/>
        </w:rPr>
        <w:t xml:space="preserve"> koka un koksnes eksports samazinājies par </w:t>
      </w:r>
      <w:r>
        <w:rPr>
          <w:rFonts w:cs="Times New Roman"/>
        </w:rPr>
        <w:t>20,3</w:t>
      </w:r>
      <w:r w:rsidRPr="00031190">
        <w:rPr>
          <w:rFonts w:cs="Times New Roman"/>
        </w:rPr>
        <w:t xml:space="preserve">% salīdzinājumā ar pērnā gada attiecīgo </w:t>
      </w:r>
      <w:r>
        <w:rPr>
          <w:rFonts w:cs="Times New Roman"/>
        </w:rPr>
        <w:t>periodu</w:t>
      </w:r>
      <w:r w:rsidRPr="00031190">
        <w:rPr>
          <w:rFonts w:cs="Times New Roman"/>
        </w:rPr>
        <w:t>. Zīmīgi, ka eksporta kritums šajā preču grupā bija fiksēts gan koksnes precēm ar zemāko pievienoto vērtību (sazāģēti</w:t>
      </w:r>
      <w:r>
        <w:rPr>
          <w:rFonts w:cs="Times New Roman"/>
        </w:rPr>
        <w:t>em</w:t>
      </w:r>
      <w:r w:rsidRPr="00031190">
        <w:rPr>
          <w:rFonts w:cs="Times New Roman"/>
          <w:noProof/>
        </w:rPr>
        <w:t>, šķeldoti</w:t>
      </w:r>
      <w:r>
        <w:rPr>
          <w:rFonts w:cs="Times New Roman"/>
          <w:noProof/>
        </w:rPr>
        <w:t>em</w:t>
      </w:r>
      <w:r w:rsidRPr="00031190">
        <w:rPr>
          <w:rFonts w:cs="Times New Roman"/>
          <w:noProof/>
        </w:rPr>
        <w:t xml:space="preserve"> kokmateriāli</w:t>
      </w:r>
      <w:r>
        <w:rPr>
          <w:rFonts w:cs="Times New Roman"/>
          <w:noProof/>
        </w:rPr>
        <w:t>em, koka lādēm un kastēm</w:t>
      </w:r>
      <w:r w:rsidRPr="00031190">
        <w:rPr>
          <w:rFonts w:cs="Times New Roman"/>
          <w:noProof/>
        </w:rPr>
        <w:t>), gan koksnes precēm ar relatīvi augstu pievienoto vērtību (kokskaidu plātn</w:t>
      </w:r>
      <w:r>
        <w:rPr>
          <w:rFonts w:cs="Times New Roman"/>
          <w:noProof/>
        </w:rPr>
        <w:t>ēm</w:t>
      </w:r>
      <w:r w:rsidRPr="00031190">
        <w:rPr>
          <w:rFonts w:cs="Times New Roman"/>
          <w:noProof/>
        </w:rPr>
        <w:t>,</w:t>
      </w:r>
      <w:r>
        <w:rPr>
          <w:rFonts w:cs="Times New Roman"/>
          <w:noProof/>
        </w:rPr>
        <w:t xml:space="preserve"> </w:t>
      </w:r>
      <w:r w:rsidRPr="00031190">
        <w:rPr>
          <w:rFonts w:cs="Times New Roman"/>
          <w:noProof/>
        </w:rPr>
        <w:t>namdaru darinājumi</w:t>
      </w:r>
      <w:r>
        <w:rPr>
          <w:rFonts w:cs="Times New Roman"/>
          <w:noProof/>
        </w:rPr>
        <w:t>em</w:t>
      </w:r>
      <w:r w:rsidRPr="00031190">
        <w:rPr>
          <w:rFonts w:cs="Times New Roman"/>
          <w:noProof/>
        </w:rPr>
        <w:t xml:space="preserve">). Negatīvi vērtējams arī tas, ka </w:t>
      </w:r>
      <w:r>
        <w:rPr>
          <w:rFonts w:cs="Times New Roman"/>
          <w:noProof/>
        </w:rPr>
        <w:t>būtiskākais</w:t>
      </w:r>
      <w:r>
        <w:rPr>
          <w:rFonts w:cs="Times New Roman"/>
        </w:rPr>
        <w:t xml:space="preserve"> </w:t>
      </w:r>
      <w:r w:rsidRPr="00031190">
        <w:rPr>
          <w:rFonts w:cs="Times New Roman"/>
        </w:rPr>
        <w:t>koka un koksnes materiāl</w:t>
      </w:r>
      <w:r>
        <w:rPr>
          <w:rFonts w:cs="Times New Roman"/>
        </w:rPr>
        <w:t>u</w:t>
      </w:r>
      <w:r w:rsidRPr="00031190">
        <w:rPr>
          <w:rFonts w:cs="Times New Roman"/>
        </w:rPr>
        <w:t xml:space="preserve"> eksport</w:t>
      </w:r>
      <w:r>
        <w:rPr>
          <w:rFonts w:cs="Times New Roman"/>
        </w:rPr>
        <w:t xml:space="preserve">a </w:t>
      </w:r>
      <w:r w:rsidRPr="00031190">
        <w:rPr>
          <w:rFonts w:cs="Times New Roman"/>
        </w:rPr>
        <w:t>samazināj</w:t>
      </w:r>
      <w:r>
        <w:rPr>
          <w:rFonts w:cs="Times New Roman"/>
        </w:rPr>
        <w:t>um</w:t>
      </w:r>
      <w:r w:rsidRPr="00031190">
        <w:rPr>
          <w:rFonts w:cs="Times New Roman"/>
        </w:rPr>
        <w:t>s</w:t>
      </w:r>
      <w:r>
        <w:rPr>
          <w:rFonts w:cs="Times New Roman"/>
        </w:rPr>
        <w:t xml:space="preserve"> bija fiksēts</w:t>
      </w:r>
      <w:r w:rsidRPr="00031190">
        <w:rPr>
          <w:rFonts w:cs="Times New Roman"/>
        </w:rPr>
        <w:t xml:space="preserve"> </w:t>
      </w:r>
      <w:r>
        <w:rPr>
          <w:rFonts w:cs="Times New Roman"/>
        </w:rPr>
        <w:t xml:space="preserve">lielākajā šīs preču grupas eksporta tirgū </w:t>
      </w:r>
      <w:r w:rsidRPr="00031190">
        <w:rPr>
          <w:rFonts w:cs="Times New Roman"/>
        </w:rPr>
        <w:t>Apvienota</w:t>
      </w:r>
      <w:r>
        <w:rPr>
          <w:rFonts w:cs="Times New Roman"/>
        </w:rPr>
        <w:t>jā</w:t>
      </w:r>
      <w:r w:rsidRPr="00031190">
        <w:rPr>
          <w:rFonts w:cs="Times New Roman"/>
        </w:rPr>
        <w:t xml:space="preserve"> Karalistē</w:t>
      </w:r>
      <w:r>
        <w:rPr>
          <w:rFonts w:cs="Times New Roman"/>
        </w:rPr>
        <w:t>, tas ir, samazinājums par 39,3%, salīdzinot ar 2022. gada pieciem mēnešiem. Papildus tam, koksnes eksports samazinājās uz Vāciju, Igauniju, Lietuvu, Nīderlandi, Norvēģiju, Poliju un ASV, kas arī ir nozīmīgi noieta tirgi Latvijas koksnei un koka materiāliem. Jāsecina, ka p</w:t>
      </w:r>
      <w:r w:rsidRPr="00031190">
        <w:rPr>
          <w:rFonts w:cs="Times New Roman"/>
        </w:rPr>
        <w:t>ie pašreizēj</w:t>
      </w:r>
      <w:r>
        <w:rPr>
          <w:rFonts w:cs="Times New Roman"/>
        </w:rPr>
        <w:t>ā</w:t>
      </w:r>
      <w:r w:rsidRPr="00031190">
        <w:rPr>
          <w:rFonts w:cs="Times New Roman"/>
        </w:rPr>
        <w:t>m koksnes cenām un vāj</w:t>
      </w:r>
      <w:r>
        <w:rPr>
          <w:rFonts w:cs="Times New Roman"/>
        </w:rPr>
        <w:t>ās</w:t>
      </w:r>
      <w:r w:rsidRPr="00031190">
        <w:rPr>
          <w:rFonts w:cs="Times New Roman"/>
        </w:rPr>
        <w:t xml:space="preserve"> </w:t>
      </w:r>
      <w:r>
        <w:rPr>
          <w:rFonts w:cs="Times New Roman"/>
        </w:rPr>
        <w:t>ES</w:t>
      </w:r>
      <w:r w:rsidRPr="00031190">
        <w:rPr>
          <w:rFonts w:cs="Times New Roman"/>
        </w:rPr>
        <w:t xml:space="preserve"> ekonomikas attīstīb</w:t>
      </w:r>
      <w:r>
        <w:rPr>
          <w:rFonts w:cs="Times New Roman"/>
        </w:rPr>
        <w:t>as šīs preču grupas eksports turpinās mazināties arī turpmākajos mēnešos.</w:t>
      </w:r>
    </w:p>
    <w:p w14:paraId="72B2B9E4" w14:textId="77777777" w:rsidR="00565001" w:rsidRDefault="00565001" w:rsidP="00766ABC">
      <w:pPr>
        <w:rPr>
          <w:rFonts w:cs="Times New Roman"/>
        </w:rPr>
      </w:pPr>
      <w:r>
        <w:rPr>
          <w:rFonts w:cs="Times New Roman"/>
          <w:noProof/>
        </w:rPr>
        <w:t xml:space="preserve">Minerālproduktu eksporta vērtība šā gada piecos mēnešos bija par 21,2% mazāka nekā pērnā gada attiecīgajā periodā. Eksporta samazinājumu arī šajā grupā, no vienas puses noteica pērnā gada augstā bāze un būtiski zemāka energoresursu cena, kā arī vājā ES izaugsme no otras </w:t>
      </w:r>
      <w:r>
        <w:rPr>
          <w:rFonts w:cs="Times New Roman"/>
          <w:noProof/>
        </w:rPr>
        <w:lastRenderedPageBreak/>
        <w:t>puses. Minerālproduktu eksportu visvairāk ietekmēja elektroenerģijas eksporta samazinājums uz Lietuvu, kā arī naftas gāzes reeksporta samazinājums uz Baltijas valstīm un Somiju. Sagaidāms, ka arī turpmākajos mēnešos minerālproduktu eksporta</w:t>
      </w:r>
      <w:r>
        <w:rPr>
          <w:rFonts w:cs="Times New Roman"/>
        </w:rPr>
        <w:t xml:space="preserve"> kritums gada izteiksmē būs līdzvērtīgs </w:t>
      </w:r>
      <w:r w:rsidRPr="005B4312">
        <w:rPr>
          <w:rFonts w:cs="Times New Roman"/>
        </w:rPr>
        <w:t>maijā</w:t>
      </w:r>
      <w:r>
        <w:rPr>
          <w:rFonts w:cs="Times New Roman"/>
        </w:rPr>
        <w:t xml:space="preserve"> fiksētajam</w:t>
      </w:r>
      <w:r w:rsidRPr="005B4312">
        <w:rPr>
          <w:rFonts w:cs="Times New Roman"/>
        </w:rPr>
        <w:t>.</w:t>
      </w:r>
    </w:p>
    <w:p w14:paraId="4D9245BB" w14:textId="77777777" w:rsidR="00565001" w:rsidRDefault="00565001" w:rsidP="00766ABC">
      <w:pPr>
        <w:rPr>
          <w:rFonts w:cs="Times New Roman"/>
        </w:rPr>
      </w:pPr>
      <w:r>
        <w:rPr>
          <w:rFonts w:cs="Times New Roman"/>
        </w:rPr>
        <w:t>Arī metālu un metālu izstrādājumu eksporta vērtība šā gada piecos mēnešos samazinājās par 25,2%, ko noteica dzelzs atkritumu un lūžņu eksporta samazinājums uz Igauniju, kā arī dzelzs un neleģētā tērauda eksporta kritums uz dažādām ES dalībvalstis.</w:t>
      </w:r>
    </w:p>
    <w:p w14:paraId="7F89F1F8" w14:textId="77777777" w:rsidR="00565001" w:rsidRDefault="00565001" w:rsidP="00766ABC">
      <w:pPr>
        <w:rPr>
          <w:rFonts w:cs="Times New Roman"/>
        </w:rPr>
      </w:pPr>
      <w:r w:rsidRPr="005B4312">
        <w:rPr>
          <w:rFonts w:cs="Times New Roman"/>
        </w:rPr>
        <w:t xml:space="preserve">Vienlaicīgi šā gada </w:t>
      </w:r>
      <w:r>
        <w:rPr>
          <w:rFonts w:cs="Times New Roman"/>
        </w:rPr>
        <w:t xml:space="preserve">piecos mēnešos </w:t>
      </w:r>
      <w:r w:rsidRPr="005B4312">
        <w:rPr>
          <w:rFonts w:cs="Times New Roman"/>
        </w:rPr>
        <w:t xml:space="preserve">bija fiksēts būtisks lauksaimniecības un pārtikas preču eksporta pieaugums, kopumā par </w:t>
      </w:r>
      <w:r>
        <w:rPr>
          <w:rFonts w:cs="Times New Roman"/>
        </w:rPr>
        <w:t>25,6%</w:t>
      </w:r>
      <w:r w:rsidRPr="005B4312">
        <w:rPr>
          <w:rFonts w:cs="Times New Roman"/>
        </w:rPr>
        <w:t xml:space="preserve">, tādējādi </w:t>
      </w:r>
      <w:r>
        <w:rPr>
          <w:rFonts w:cs="Times New Roman"/>
        </w:rPr>
        <w:t xml:space="preserve">preču tirdzniecības bilancē </w:t>
      </w:r>
      <w:r w:rsidRPr="005B4312">
        <w:rPr>
          <w:rFonts w:cs="Times New Roman"/>
        </w:rPr>
        <w:t>nedaudz mazinot negatīvo efektu no citu preču grupu eksporta krituma. Lauksaimniecības un pārtikas preču eksportu galvenokārt veicināja alkoholisko dzērienu un graudaugu eksports</w:t>
      </w:r>
      <w:r>
        <w:rPr>
          <w:rFonts w:cs="Times New Roman"/>
        </w:rPr>
        <w:t xml:space="preserve">, lai gan to </w:t>
      </w:r>
      <w:r w:rsidRPr="005B4312">
        <w:rPr>
          <w:rFonts w:cs="Times New Roman"/>
        </w:rPr>
        <w:t>lielā mērā ietekmē reeksport</w:t>
      </w:r>
      <w:r>
        <w:rPr>
          <w:rFonts w:cs="Times New Roman"/>
        </w:rPr>
        <w:t>s, kam grūti noprognozēt turpmāko attīstību. Savukārt graudaugu eksports šī gada otrajā pusē būs atkarīgs šā gada ražas.</w:t>
      </w:r>
    </w:p>
    <w:p w14:paraId="6A14AB88" w14:textId="77777777" w:rsidR="00565001" w:rsidRDefault="00565001" w:rsidP="00766ABC">
      <w:pPr>
        <w:rPr>
          <w:rFonts w:cs="Times New Roman"/>
        </w:rPr>
      </w:pPr>
      <w:r>
        <w:rPr>
          <w:rFonts w:cs="Times New Roman"/>
        </w:rPr>
        <w:t>Atšķirībā no preču eksporta, pakalpojumu eksports turpināja samērā strauju attīstību. 2023. gada piecos mēnešos pakalpojumu eksporta vērība bija par 11,2% augstāka salīdzinājumā ar pērnā gada attiecīgo periodu.</w:t>
      </w:r>
    </w:p>
    <w:p w14:paraId="360564BC" w14:textId="77777777" w:rsidR="00565001" w:rsidRDefault="00565001" w:rsidP="00766ABC">
      <w:pPr>
        <w:rPr>
          <w:rFonts w:eastAsia="Calibri" w:cs="Arial"/>
          <w:noProof/>
        </w:rPr>
      </w:pPr>
      <w:r w:rsidRPr="000755E3">
        <w:rPr>
          <w:rFonts w:eastAsia="Calibri" w:cs="Arial"/>
        </w:rPr>
        <w:t>No visiem ārvalstniekiem sniegtajiem pakalpojumiem straujākais pieaugums bija tūrisma pakalpojum</w:t>
      </w:r>
      <w:r>
        <w:rPr>
          <w:rFonts w:eastAsia="Calibri" w:cs="Arial"/>
        </w:rPr>
        <w:t>os</w:t>
      </w:r>
      <w:r w:rsidRPr="000755E3">
        <w:rPr>
          <w:rFonts w:eastAsia="Calibri" w:cs="Arial"/>
        </w:rPr>
        <w:t xml:space="preserve">. Ārvalstu tūristu izdevumi Latvijā </w:t>
      </w:r>
      <w:r>
        <w:rPr>
          <w:rFonts w:eastAsia="Calibri" w:cs="Arial"/>
        </w:rPr>
        <w:t>šā gada piecos mēnešos</w:t>
      </w:r>
      <w:r w:rsidRPr="000755E3">
        <w:rPr>
          <w:rFonts w:eastAsia="Calibri" w:cs="Arial"/>
        </w:rPr>
        <w:t xml:space="preserve"> pieauga par </w:t>
      </w:r>
      <w:r>
        <w:rPr>
          <w:rFonts w:eastAsia="Calibri" w:cs="Arial"/>
        </w:rPr>
        <w:t>22,4</w:t>
      </w:r>
      <w:r w:rsidRPr="000755E3">
        <w:rPr>
          <w:rFonts w:eastAsia="Calibri" w:cs="Arial"/>
        </w:rPr>
        <w:t>%. Tik strauju izaugsmi noteica gan lielāks ārvalstu tūristu skaits</w:t>
      </w:r>
      <w:r>
        <w:rPr>
          <w:rFonts w:eastAsia="Calibri" w:cs="Arial"/>
        </w:rPr>
        <w:t>, ko labvēlīgi ietekmēja pasaules hokeja čempionāta norise Rīgā, gan tūrisma nozares atkopšanās no pandēmijas</w:t>
      </w:r>
      <w:r w:rsidRPr="000755E3">
        <w:rPr>
          <w:rFonts w:eastAsia="Calibri" w:cs="Arial"/>
        </w:rPr>
        <w:t xml:space="preserve">, gan </w:t>
      </w:r>
      <w:r>
        <w:rPr>
          <w:rFonts w:eastAsia="Calibri" w:cs="Arial"/>
        </w:rPr>
        <w:t xml:space="preserve">augstā inflācija. Apkalpoto ārvalstu viesu skaits Latvijas viesnīcās šā gada piecos mēnešos pieauga par 54,9% salīdzinājumā ar attiecīgo periodu pērn. Tomēr ārvalstu tūristu skaits joprojām aptuveni par </w:t>
      </w:r>
      <w:r>
        <w:rPr>
          <w:rFonts w:eastAsia="Calibri" w:cs="Arial"/>
          <w:noProof/>
        </w:rPr>
        <w:t>trešdaļu atpaliek no pirmspandēmijas līmeņa. Pieauga arī pārējo pakalpojumu eksports, piemēram, transporta pakalpojumu eksports palielinājās par 8,4%, bet citu pakalpojumu eksports pieauga par 10,1%.</w:t>
      </w:r>
    </w:p>
    <w:p w14:paraId="07F66275" w14:textId="77777777" w:rsidR="00565001" w:rsidRDefault="00565001" w:rsidP="00766ABC">
      <w:pPr>
        <w:rPr>
          <w:szCs w:val="20"/>
        </w:rPr>
      </w:pPr>
      <w:r w:rsidRPr="00B30FF5">
        <w:rPr>
          <w:noProof/>
          <w:szCs w:val="20"/>
        </w:rPr>
        <w:t>Aktuālākās</w:t>
      </w:r>
      <w:r>
        <w:rPr>
          <w:noProof/>
          <w:szCs w:val="20"/>
        </w:rPr>
        <w:t>,</w:t>
      </w:r>
      <w:r w:rsidRPr="00B30FF5">
        <w:rPr>
          <w:noProof/>
          <w:szCs w:val="20"/>
        </w:rPr>
        <w:t xml:space="preserve"> šā gada maija vid</w:t>
      </w:r>
      <w:r>
        <w:rPr>
          <w:noProof/>
          <w:szCs w:val="20"/>
        </w:rPr>
        <w:t>us</w:t>
      </w:r>
      <w:r w:rsidRPr="00B30FF5">
        <w:rPr>
          <w:noProof/>
          <w:szCs w:val="20"/>
        </w:rPr>
        <w:t xml:space="preserve"> Eiropas Komisijas ekonomiskās prognozes</w:t>
      </w:r>
      <w:r>
        <w:rPr>
          <w:noProof/>
          <w:szCs w:val="20"/>
        </w:rPr>
        <w:t xml:space="preserve"> paredz</w:t>
      </w:r>
      <w:r w:rsidRPr="00B30FF5">
        <w:rPr>
          <w:noProof/>
          <w:szCs w:val="20"/>
        </w:rPr>
        <w:t>, ka ES ekonomikas pieaugums šogad varētu sasniegt 1%</w:t>
      </w:r>
      <w:r>
        <w:rPr>
          <w:noProof/>
          <w:szCs w:val="20"/>
        </w:rPr>
        <w:t xml:space="preserve">, kas ir </w:t>
      </w:r>
      <w:r w:rsidRPr="00B30FF5">
        <w:rPr>
          <w:noProof/>
          <w:szCs w:val="20"/>
        </w:rPr>
        <w:t>par 0,2 procentpunktiem</w:t>
      </w:r>
      <w:r w:rsidRPr="00B30FF5">
        <w:rPr>
          <w:szCs w:val="20"/>
        </w:rPr>
        <w:t xml:space="preserve"> vairāk nekā iepriekšējās prognozēs, tomēr būtiski </w:t>
      </w:r>
      <w:r>
        <w:rPr>
          <w:szCs w:val="20"/>
        </w:rPr>
        <w:t xml:space="preserve">atpaliek no </w:t>
      </w:r>
      <w:r w:rsidRPr="00B30FF5">
        <w:rPr>
          <w:szCs w:val="20"/>
        </w:rPr>
        <w:t>3,5% izaugsm</w:t>
      </w:r>
      <w:r>
        <w:rPr>
          <w:szCs w:val="20"/>
        </w:rPr>
        <w:t>es</w:t>
      </w:r>
      <w:r w:rsidRPr="00B30FF5">
        <w:rPr>
          <w:szCs w:val="20"/>
        </w:rPr>
        <w:t xml:space="preserve"> 2022</w:t>
      </w:r>
      <w:r>
        <w:rPr>
          <w:szCs w:val="20"/>
        </w:rPr>
        <w:t>. gad</w:t>
      </w:r>
      <w:r w:rsidRPr="00B30FF5">
        <w:rPr>
          <w:szCs w:val="20"/>
        </w:rPr>
        <w:t>ā. Svarīgi atzīmēt, ka vājāka</w:t>
      </w:r>
      <w:r>
        <w:rPr>
          <w:szCs w:val="20"/>
        </w:rPr>
        <w:t xml:space="preserve"> nekā pērn</w:t>
      </w:r>
      <w:r w:rsidRPr="00B30FF5">
        <w:rPr>
          <w:szCs w:val="20"/>
        </w:rPr>
        <w:t xml:space="preserve"> ekonomiskā izaugsme tiek prognozēta tieši lielākajiem Latvijas eksporta tirgiem</w:t>
      </w:r>
      <w:r>
        <w:rPr>
          <w:szCs w:val="20"/>
        </w:rPr>
        <w:t xml:space="preserve">, tajā skaitā </w:t>
      </w:r>
      <w:r w:rsidRPr="00B30FF5">
        <w:rPr>
          <w:szCs w:val="20"/>
        </w:rPr>
        <w:t>Lietuvai un Vācijai</w:t>
      </w:r>
      <w:r>
        <w:rPr>
          <w:szCs w:val="20"/>
        </w:rPr>
        <w:t>, s</w:t>
      </w:r>
      <w:r w:rsidRPr="00B30FF5">
        <w:rPr>
          <w:szCs w:val="20"/>
        </w:rPr>
        <w:t>avukārt Igaunijā un Zviedrijā tiek prognozēt</w:t>
      </w:r>
      <w:r>
        <w:rPr>
          <w:szCs w:val="20"/>
        </w:rPr>
        <w:t>s</w:t>
      </w:r>
      <w:r w:rsidRPr="00B30FF5">
        <w:rPr>
          <w:szCs w:val="20"/>
        </w:rPr>
        <w:t xml:space="preserve"> </w:t>
      </w:r>
      <w:r>
        <w:rPr>
          <w:szCs w:val="20"/>
        </w:rPr>
        <w:t xml:space="preserve">ekonomikas </w:t>
      </w:r>
      <w:r w:rsidRPr="00B30FF5">
        <w:rPr>
          <w:szCs w:val="20"/>
        </w:rPr>
        <w:t xml:space="preserve">kritums. Tādējādi sagaidāms, ka šogad eksporta vērtība būs </w:t>
      </w:r>
      <w:r>
        <w:rPr>
          <w:szCs w:val="20"/>
        </w:rPr>
        <w:t xml:space="preserve">aptuveni </w:t>
      </w:r>
      <w:r w:rsidRPr="00B30FF5">
        <w:rPr>
          <w:szCs w:val="20"/>
        </w:rPr>
        <w:t>pērnā gada līmen</w:t>
      </w:r>
      <w:r>
        <w:rPr>
          <w:szCs w:val="20"/>
        </w:rPr>
        <w:t>ī</w:t>
      </w:r>
      <w:r w:rsidRPr="00B30FF5">
        <w:rPr>
          <w:szCs w:val="20"/>
        </w:rPr>
        <w:t>. Eksporta dinamika gada otrajā pusē būs atkarīga no ekonomiskās aktivitātes ES, ko ietekmēs gan inflācija, gan monetārā politika, gan arī ģeopolitiskie notikumi.</w:t>
      </w:r>
    </w:p>
    <w:p w14:paraId="122BD409" w14:textId="77777777" w:rsidR="00565001" w:rsidRDefault="00565001" w:rsidP="00766ABC">
      <w:pPr>
        <w:rPr>
          <w:szCs w:val="20"/>
        </w:rPr>
      </w:pPr>
      <w:r>
        <w:rPr>
          <w:szCs w:val="20"/>
        </w:rPr>
        <w:t xml:space="preserve">Analizējot preču </w:t>
      </w:r>
      <w:r w:rsidRPr="008A598F">
        <w:rPr>
          <w:b/>
          <w:bCs/>
          <w:szCs w:val="20"/>
        </w:rPr>
        <w:t>importa</w:t>
      </w:r>
      <w:r>
        <w:rPr>
          <w:szCs w:val="20"/>
        </w:rPr>
        <w:t xml:space="preserve"> dinamiku pa mēnešiem, var secināt, ka tā ir līdzīga preču eksporta dinamikai. Ja vēl gada sākumā preču importam bija fiksēts kāpums, tad pēdējos trīs mēnešos preču imports gada izteiksmē uzrāda kritumu. Kopumā šā gada piecos mēnešos preču imports ir samazinājies par 4,3%, salīdzinot ar pērnā gada attiecīgo periodu. Būtiskākais negatīvais devums preču eksporta kritumā šā gada </w:t>
      </w:r>
      <w:r>
        <w:rPr>
          <w:noProof/>
          <w:szCs w:val="20"/>
        </w:rPr>
        <w:t>piecos mēnešos bija minerālproduktu importa samazinājumam par 26,8%, ko noteica gan zemākas energoresursu cenas, gan mazāks dabasgāzes patēriņš. Sagaidāms, ka līdzvērtīgs minerālproduktu importa</w:t>
      </w:r>
      <w:r>
        <w:rPr>
          <w:szCs w:val="20"/>
        </w:rPr>
        <w:t xml:space="preserve"> samazinājums saglabāsies arī atlikušajos šā gada mēnešos. Būtisks importa samazinājums bija arī metāliem un metālu izstrādājumiem, kā arī koka un koksnes izstrādājumiem, attiecīgi par 27,3% un 43,2%.</w:t>
      </w:r>
    </w:p>
    <w:p w14:paraId="36721338" w14:textId="77777777" w:rsidR="00565001" w:rsidRDefault="00565001" w:rsidP="00766ABC">
      <w:pPr>
        <w:rPr>
          <w:szCs w:val="20"/>
        </w:rPr>
      </w:pPr>
      <w:r>
        <w:rPr>
          <w:szCs w:val="20"/>
        </w:rPr>
        <w:t xml:space="preserve">Vienlaicīgi, šā piecos mēnešos būtiski pieauga lauksaimniecības un pārtikas preču importa vērtība, kopumā par 19,8%, ko noteica alkoholisko dzērienu, piena pārstrādes produktu un citu pārtikas preču imports. </w:t>
      </w:r>
      <w:r w:rsidRPr="00D71F52">
        <w:rPr>
          <w:szCs w:val="20"/>
        </w:rPr>
        <w:t>Par 18,2% pieauga satiksmes preču, t.i., automobiļu, traktoru un kaujas bruņumašīnu imports. Savukārt mehānismu un ierīču, k</w:t>
      </w:r>
      <w:r>
        <w:rPr>
          <w:szCs w:val="20"/>
        </w:rPr>
        <w:t>ā</w:t>
      </w:r>
      <w:r w:rsidRPr="00D71F52">
        <w:rPr>
          <w:szCs w:val="20"/>
        </w:rPr>
        <w:t xml:space="preserve"> arī elektroiekārtu imports pieauga par 5,9%.</w:t>
      </w:r>
    </w:p>
    <w:p w14:paraId="51581CCA" w14:textId="77777777" w:rsidR="00565001" w:rsidRDefault="00565001" w:rsidP="00766ABC">
      <w:pPr>
        <w:rPr>
          <w:rFonts w:eastAsia="Calibri" w:cs="Arial"/>
        </w:rPr>
      </w:pPr>
      <w:r w:rsidRPr="000755E3">
        <w:rPr>
          <w:rFonts w:eastAsia="Calibri" w:cs="Arial"/>
        </w:rPr>
        <w:lastRenderedPageBreak/>
        <w:t>Pakalpojumu importa vērtība 202</w:t>
      </w:r>
      <w:r>
        <w:rPr>
          <w:rFonts w:eastAsia="Calibri" w:cs="Arial"/>
        </w:rPr>
        <w:t>3. gad</w:t>
      </w:r>
      <w:r w:rsidRPr="000755E3">
        <w:rPr>
          <w:rFonts w:eastAsia="Calibri" w:cs="Arial"/>
        </w:rPr>
        <w:t>a</w:t>
      </w:r>
      <w:r>
        <w:rPr>
          <w:rFonts w:eastAsia="Calibri" w:cs="Arial"/>
        </w:rPr>
        <w:t xml:space="preserve"> piecos mēnešos</w:t>
      </w:r>
      <w:r w:rsidRPr="000755E3">
        <w:rPr>
          <w:rFonts w:eastAsia="Calibri" w:cs="Arial"/>
        </w:rPr>
        <w:t xml:space="preserve"> palielinājās par </w:t>
      </w:r>
      <w:r>
        <w:rPr>
          <w:rFonts w:eastAsia="Calibri" w:cs="Arial"/>
        </w:rPr>
        <w:t>21,5</w:t>
      </w:r>
      <w:r w:rsidRPr="000755E3">
        <w:rPr>
          <w:rFonts w:eastAsia="Calibri" w:cs="Arial"/>
        </w:rPr>
        <w:t xml:space="preserve">%, ko veicināja visi pakalpojumu veidi. </w:t>
      </w:r>
      <w:r>
        <w:rPr>
          <w:rFonts w:eastAsia="Calibri" w:cs="Arial"/>
        </w:rPr>
        <w:t xml:space="preserve">Transporta pakalpojumu imports pieauga par 9,8%. </w:t>
      </w:r>
      <w:r w:rsidRPr="000755E3">
        <w:rPr>
          <w:rFonts w:eastAsia="Calibri" w:cs="Arial"/>
        </w:rPr>
        <w:t>Latvijas iedzīvotāju izdevumi ārvalstīs p</w:t>
      </w:r>
      <w:r>
        <w:rPr>
          <w:rFonts w:eastAsia="Calibri" w:cs="Arial"/>
        </w:rPr>
        <w:t>alielinājās</w:t>
      </w:r>
      <w:r w:rsidRPr="000755E3">
        <w:rPr>
          <w:rFonts w:eastAsia="Calibri" w:cs="Arial"/>
        </w:rPr>
        <w:t xml:space="preserve"> par </w:t>
      </w:r>
      <w:r>
        <w:rPr>
          <w:rFonts w:eastAsia="Calibri" w:cs="Arial"/>
        </w:rPr>
        <w:t>29,6</w:t>
      </w:r>
      <w:r w:rsidRPr="000755E3">
        <w:rPr>
          <w:rFonts w:eastAsia="Calibri" w:cs="Arial"/>
        </w:rPr>
        <w:t>%</w:t>
      </w:r>
      <w:r>
        <w:rPr>
          <w:rFonts w:eastAsia="Calibri" w:cs="Arial"/>
        </w:rPr>
        <w:t>, kas bija straujākais kāpums starp visiem pakalpojumiem. Savukārt pārējo pakalpojumu imports palielinājies par 24,7%.</w:t>
      </w:r>
    </w:p>
    <w:p w14:paraId="3C555C3B" w14:textId="77777777" w:rsidR="00565001" w:rsidRPr="000270F6" w:rsidRDefault="00565001" w:rsidP="00565001">
      <w:pPr>
        <w:pStyle w:val="H4"/>
        <w:ind w:left="0" w:firstLine="720"/>
        <w:jc w:val="both"/>
        <w:outlineLvl w:val="9"/>
        <w:rPr>
          <w:rFonts w:ascii="Times New Roman" w:hAnsi="Times New Roman"/>
          <w:iCs/>
          <w:sz w:val="24"/>
          <w:szCs w:val="24"/>
        </w:rPr>
      </w:pPr>
      <w:r w:rsidRPr="000270F6">
        <w:rPr>
          <w:rFonts w:ascii="Times New Roman" w:hAnsi="Times New Roman"/>
          <w:iCs/>
          <w:sz w:val="24"/>
          <w:szCs w:val="24"/>
        </w:rPr>
        <w:t>Tekošais konts</w:t>
      </w:r>
    </w:p>
    <w:p w14:paraId="31C01E06" w14:textId="77777777" w:rsidR="00565001" w:rsidRDefault="00565001" w:rsidP="00766ABC">
      <w:pPr>
        <w:rPr>
          <w:rFonts w:eastAsia="Calibri" w:cs="Arial"/>
          <w:noProof/>
        </w:rPr>
      </w:pPr>
      <w:r>
        <w:rPr>
          <w:rFonts w:eastAsia="Calibri" w:cs="Arial"/>
        </w:rPr>
        <w:t xml:space="preserve">2022. gadā </w:t>
      </w:r>
      <w:r w:rsidRPr="000755E3">
        <w:rPr>
          <w:rFonts w:eastAsia="Calibri" w:cs="Arial"/>
        </w:rPr>
        <w:t>maksājumu bilances tekošā konta deficīts turpināja palielināties, sasniedzot 2</w:t>
      </w:r>
      <w:r>
        <w:rPr>
          <w:rFonts w:eastAsia="Calibri" w:cs="Arial"/>
        </w:rPr>
        <w:t>495 milj</w:t>
      </w:r>
      <w:r>
        <w:rPr>
          <w:rFonts w:eastAsia="Calibri" w:cs="Arial"/>
          <w:noProof/>
        </w:rPr>
        <w:t>.</w:t>
      </w:r>
      <w:r w:rsidRPr="000755E3">
        <w:rPr>
          <w:rFonts w:eastAsia="Calibri" w:cs="Arial"/>
          <w:noProof/>
        </w:rPr>
        <w:t xml:space="preserve"> </w:t>
      </w:r>
      <w:r w:rsidRPr="000755E3">
        <w:rPr>
          <w:rFonts w:eastAsia="Calibri" w:cs="Arial"/>
          <w:i/>
          <w:iCs/>
          <w:noProof/>
        </w:rPr>
        <w:t>euro</w:t>
      </w:r>
      <w:r>
        <w:rPr>
          <w:rFonts w:eastAsia="Calibri" w:cs="Arial"/>
          <w:noProof/>
        </w:rPr>
        <w:t xml:space="preserve"> jeb 6,4% no IKP. Deficīta apmērs sasniedza lielāko apmēru kopš 2009. gada. </w:t>
      </w:r>
      <w:r w:rsidRPr="000755E3">
        <w:rPr>
          <w:rFonts w:eastAsia="Calibri" w:cs="Arial"/>
          <w:noProof/>
        </w:rPr>
        <w:t>Lielāks tekošā konta deficīts bija tikai laikā periodā no 2005. līdz 2008</w:t>
      </w:r>
      <w:r>
        <w:rPr>
          <w:rFonts w:eastAsia="Calibri" w:cs="Arial"/>
          <w:noProof/>
        </w:rPr>
        <w:t>. gad</w:t>
      </w:r>
      <w:r w:rsidRPr="000755E3">
        <w:rPr>
          <w:rFonts w:eastAsia="Calibri" w:cs="Arial"/>
          <w:noProof/>
        </w:rPr>
        <w:t>am, kad bija izteiktas ekonomikas pārkaršanas pazīmes</w:t>
      </w:r>
      <w:r>
        <w:rPr>
          <w:rFonts w:eastAsia="Calibri" w:cs="Arial"/>
          <w:noProof/>
        </w:rPr>
        <w:t xml:space="preserve">, </w:t>
      </w:r>
      <w:r w:rsidRPr="000755E3">
        <w:rPr>
          <w:rFonts w:eastAsia="Calibri" w:cs="Arial"/>
          <w:noProof/>
        </w:rPr>
        <w:t xml:space="preserve">pieaugot </w:t>
      </w:r>
      <w:r>
        <w:rPr>
          <w:rFonts w:eastAsia="Calibri" w:cs="Arial"/>
          <w:noProof/>
        </w:rPr>
        <w:t xml:space="preserve">pat līdz </w:t>
      </w:r>
      <w:r w:rsidRPr="000755E3">
        <w:rPr>
          <w:rFonts w:eastAsia="Calibri" w:cs="Arial"/>
          <w:noProof/>
        </w:rPr>
        <w:t>20,8% no IKP</w:t>
      </w:r>
      <w:r>
        <w:rPr>
          <w:rFonts w:eastAsia="Calibri" w:cs="Arial"/>
          <w:noProof/>
        </w:rPr>
        <w:t xml:space="preserve">. Tomēr </w:t>
      </w:r>
      <w:r w:rsidRPr="000755E3">
        <w:rPr>
          <w:rFonts w:eastAsia="Calibri" w:cs="Arial"/>
          <w:noProof/>
        </w:rPr>
        <w:t>pašreizējā situācija neliecina par ekonomi</w:t>
      </w:r>
      <w:r>
        <w:rPr>
          <w:rFonts w:eastAsia="Calibri" w:cs="Arial"/>
          <w:noProof/>
        </w:rPr>
        <w:t>s</w:t>
      </w:r>
      <w:r w:rsidRPr="000755E3">
        <w:rPr>
          <w:rFonts w:eastAsia="Calibri" w:cs="Arial"/>
          <w:noProof/>
        </w:rPr>
        <w:t>k</w:t>
      </w:r>
      <w:r>
        <w:rPr>
          <w:rFonts w:eastAsia="Calibri" w:cs="Arial"/>
          <w:noProof/>
        </w:rPr>
        <w:t>ā</w:t>
      </w:r>
      <w:r w:rsidRPr="000755E3">
        <w:rPr>
          <w:rFonts w:eastAsia="Calibri" w:cs="Arial"/>
          <w:noProof/>
        </w:rPr>
        <w:t>s attīstības nesabalansētībām</w:t>
      </w:r>
      <w:r>
        <w:rPr>
          <w:rFonts w:eastAsia="Calibri" w:cs="Arial"/>
          <w:noProof/>
        </w:rPr>
        <w:t>. Preču konta deficīts pērn sasniedza 4476 milj.</w:t>
      </w:r>
      <w:r w:rsidRPr="000755E3">
        <w:rPr>
          <w:rFonts w:eastAsia="Calibri" w:cs="Arial"/>
          <w:noProof/>
        </w:rPr>
        <w:t xml:space="preserve"> </w:t>
      </w:r>
      <w:r w:rsidRPr="000755E3">
        <w:rPr>
          <w:rFonts w:eastAsia="Calibri" w:cs="Arial"/>
          <w:i/>
          <w:iCs/>
          <w:noProof/>
        </w:rPr>
        <w:t>euro</w:t>
      </w:r>
      <w:r>
        <w:rPr>
          <w:rFonts w:eastAsia="Calibri" w:cs="Arial"/>
          <w:i/>
          <w:iCs/>
          <w:noProof/>
        </w:rPr>
        <w:t>,</w:t>
      </w:r>
      <w:r>
        <w:rPr>
          <w:rFonts w:eastAsia="Calibri" w:cs="Arial"/>
          <w:noProof/>
        </w:rPr>
        <w:t xml:space="preserve"> kas bija par 1702 milj.</w:t>
      </w:r>
      <w:r w:rsidRPr="000755E3">
        <w:rPr>
          <w:rFonts w:eastAsia="Calibri" w:cs="Arial"/>
          <w:noProof/>
        </w:rPr>
        <w:t xml:space="preserve"> </w:t>
      </w:r>
      <w:r w:rsidRPr="000755E3">
        <w:rPr>
          <w:rFonts w:eastAsia="Calibri" w:cs="Arial"/>
          <w:i/>
          <w:iCs/>
          <w:noProof/>
        </w:rPr>
        <w:t>euro</w:t>
      </w:r>
      <w:r>
        <w:rPr>
          <w:rFonts w:eastAsia="Calibri" w:cs="Arial"/>
          <w:noProof/>
        </w:rPr>
        <w:t xml:space="preserve"> vairāk nekā 2021. gadā, un, kā jau atzīmēts, s</w:t>
      </w:r>
      <w:r w:rsidRPr="000755E3">
        <w:rPr>
          <w:rFonts w:eastAsia="Calibri" w:cs="Arial"/>
          <w:noProof/>
        </w:rPr>
        <w:t>traujo preču importa kāpumu lielā mērā noteic</w:t>
      </w:r>
      <w:r>
        <w:rPr>
          <w:rFonts w:eastAsia="Calibri" w:cs="Arial"/>
          <w:noProof/>
        </w:rPr>
        <w:t>a</w:t>
      </w:r>
      <w:r w:rsidRPr="000755E3">
        <w:rPr>
          <w:rFonts w:eastAsia="Calibri" w:cs="Arial"/>
          <w:noProof/>
        </w:rPr>
        <w:t xml:space="preserve"> cenu kāpums, it īpaši energoresursiem, nevis </w:t>
      </w:r>
      <w:r>
        <w:rPr>
          <w:rFonts w:eastAsia="Calibri" w:cs="Arial"/>
          <w:noProof/>
        </w:rPr>
        <w:t xml:space="preserve">iekšējā </w:t>
      </w:r>
      <w:r w:rsidRPr="000755E3">
        <w:rPr>
          <w:rFonts w:eastAsia="Calibri" w:cs="Arial"/>
          <w:noProof/>
        </w:rPr>
        <w:t>patēriņa pieaugums. 202</w:t>
      </w:r>
      <w:r>
        <w:rPr>
          <w:rFonts w:eastAsia="Calibri" w:cs="Arial"/>
          <w:noProof/>
        </w:rPr>
        <w:t>2. gad</w:t>
      </w:r>
      <w:r w:rsidRPr="000755E3">
        <w:rPr>
          <w:rFonts w:eastAsia="Calibri" w:cs="Arial"/>
          <w:noProof/>
        </w:rPr>
        <w:t xml:space="preserve">ā minerālproduktu imports pieauga par </w:t>
      </w:r>
      <w:r>
        <w:rPr>
          <w:rFonts w:eastAsia="Calibri" w:cs="Arial"/>
          <w:noProof/>
        </w:rPr>
        <w:t>3665 milj.</w:t>
      </w:r>
      <w:r w:rsidRPr="000755E3">
        <w:rPr>
          <w:rFonts w:eastAsia="Calibri" w:cs="Arial"/>
          <w:noProof/>
        </w:rPr>
        <w:t xml:space="preserve"> </w:t>
      </w:r>
      <w:r w:rsidRPr="000755E3">
        <w:rPr>
          <w:rFonts w:eastAsia="Calibri" w:cs="Arial"/>
          <w:i/>
          <w:iCs/>
          <w:noProof/>
        </w:rPr>
        <w:t>euro</w:t>
      </w:r>
      <w:r>
        <w:rPr>
          <w:rFonts w:eastAsia="Calibri" w:cs="Arial"/>
          <w:noProof/>
        </w:rPr>
        <w:t xml:space="preserve">, izskaidrojot vairāk nekā pusi no kopējā preču importa pieauguma. </w:t>
      </w:r>
      <w:r w:rsidRPr="000755E3">
        <w:rPr>
          <w:rFonts w:eastAsia="Calibri" w:cs="Arial"/>
          <w:noProof/>
        </w:rPr>
        <w:t xml:space="preserve">Ņemot vērā, ka Latvija neražo gāzi un naftas produktus, kā arī nevar ietekmēt globālās biržas cenas, </w:t>
      </w:r>
      <w:r>
        <w:rPr>
          <w:rFonts w:eastAsia="Calibri" w:cs="Arial"/>
          <w:noProof/>
        </w:rPr>
        <w:t xml:space="preserve">tieši </w:t>
      </w:r>
      <w:r w:rsidRPr="000755E3">
        <w:rPr>
          <w:rFonts w:eastAsia="Calibri" w:cs="Arial"/>
          <w:noProof/>
        </w:rPr>
        <w:t xml:space="preserve">energoresursu imports </w:t>
      </w:r>
      <w:r>
        <w:rPr>
          <w:rFonts w:eastAsia="Calibri" w:cs="Arial"/>
          <w:noProof/>
        </w:rPr>
        <w:t>2022. gadā</w:t>
      </w:r>
      <w:r w:rsidRPr="000755E3">
        <w:rPr>
          <w:rFonts w:eastAsia="Calibri" w:cs="Arial"/>
          <w:noProof/>
        </w:rPr>
        <w:t xml:space="preserve"> pasliktin</w:t>
      </w:r>
      <w:r>
        <w:rPr>
          <w:rFonts w:eastAsia="Calibri" w:cs="Arial"/>
          <w:noProof/>
        </w:rPr>
        <w:t>āja</w:t>
      </w:r>
      <w:r w:rsidRPr="000755E3">
        <w:rPr>
          <w:rFonts w:eastAsia="Calibri" w:cs="Arial"/>
          <w:noProof/>
        </w:rPr>
        <w:t xml:space="preserve"> ārējās tirdzniecības bilanci.</w:t>
      </w:r>
      <w:r>
        <w:rPr>
          <w:rFonts w:eastAsia="Calibri" w:cs="Arial"/>
          <w:noProof/>
        </w:rPr>
        <w:t xml:space="preserve"> 2</w:t>
      </w:r>
      <w:r w:rsidRPr="000755E3">
        <w:rPr>
          <w:rFonts w:eastAsia="Calibri" w:cs="Arial"/>
          <w:noProof/>
        </w:rPr>
        <w:t>02</w:t>
      </w:r>
      <w:r>
        <w:rPr>
          <w:rFonts w:eastAsia="Calibri" w:cs="Arial"/>
          <w:noProof/>
        </w:rPr>
        <w:t>2. gad</w:t>
      </w:r>
      <w:r w:rsidRPr="000755E3">
        <w:rPr>
          <w:rFonts w:eastAsia="Calibri" w:cs="Arial"/>
          <w:noProof/>
        </w:rPr>
        <w:t>ā tekoš</w:t>
      </w:r>
      <w:r>
        <w:rPr>
          <w:rFonts w:eastAsia="Calibri" w:cs="Arial"/>
          <w:noProof/>
        </w:rPr>
        <w:t>o</w:t>
      </w:r>
      <w:r w:rsidRPr="000755E3">
        <w:rPr>
          <w:rFonts w:eastAsia="Calibri" w:cs="Arial"/>
          <w:noProof/>
        </w:rPr>
        <w:t xml:space="preserve"> kont</w:t>
      </w:r>
      <w:r>
        <w:rPr>
          <w:rFonts w:eastAsia="Calibri" w:cs="Arial"/>
          <w:noProof/>
        </w:rPr>
        <w:t>u negatīvi ietekmēja arī</w:t>
      </w:r>
      <w:r w:rsidRPr="00564A1C">
        <w:rPr>
          <w:rFonts w:eastAsia="Calibri" w:cs="Arial"/>
          <w:noProof/>
        </w:rPr>
        <w:t xml:space="preserve"> </w:t>
      </w:r>
      <w:r w:rsidRPr="000755E3">
        <w:rPr>
          <w:rFonts w:eastAsia="Calibri" w:cs="Arial"/>
          <w:noProof/>
        </w:rPr>
        <w:t>ārvalstu investoru lēmums izmaksāt augstākas dividendes nekā iepriekšējos gado</w:t>
      </w:r>
      <w:r>
        <w:rPr>
          <w:rFonts w:eastAsia="Calibri" w:cs="Arial"/>
          <w:noProof/>
        </w:rPr>
        <w:t xml:space="preserve">s, un </w:t>
      </w:r>
      <w:r w:rsidRPr="000755E3">
        <w:rPr>
          <w:rFonts w:eastAsia="Calibri" w:cs="Arial"/>
          <w:noProof/>
        </w:rPr>
        <w:t xml:space="preserve">šī iemesla dēļ sākotnējo ienākumu konta deficīts </w:t>
      </w:r>
      <w:r>
        <w:rPr>
          <w:rFonts w:eastAsia="Calibri" w:cs="Arial"/>
          <w:noProof/>
        </w:rPr>
        <w:t xml:space="preserve">ir </w:t>
      </w:r>
      <w:r w:rsidRPr="000755E3">
        <w:rPr>
          <w:rFonts w:eastAsia="Calibri" w:cs="Arial"/>
          <w:noProof/>
        </w:rPr>
        <w:t>palielinājies līdz 6</w:t>
      </w:r>
      <w:r>
        <w:rPr>
          <w:rFonts w:eastAsia="Calibri" w:cs="Arial"/>
          <w:noProof/>
        </w:rPr>
        <w:t>65 milj.</w:t>
      </w:r>
      <w:r w:rsidRPr="000755E3">
        <w:rPr>
          <w:rFonts w:eastAsia="Calibri" w:cs="Arial"/>
          <w:noProof/>
        </w:rPr>
        <w:t xml:space="preserve"> </w:t>
      </w:r>
      <w:r w:rsidRPr="000755E3">
        <w:rPr>
          <w:rFonts w:eastAsia="Calibri" w:cs="Arial"/>
          <w:i/>
          <w:iCs/>
          <w:noProof/>
        </w:rPr>
        <w:t>euro</w:t>
      </w:r>
      <w:r>
        <w:rPr>
          <w:rFonts w:eastAsia="Calibri" w:cs="Arial"/>
          <w:noProof/>
        </w:rPr>
        <w:t>.</w:t>
      </w:r>
    </w:p>
    <w:p w14:paraId="324C96CF" w14:textId="77777777" w:rsidR="00565001" w:rsidRDefault="00565001" w:rsidP="00766ABC">
      <w:pPr>
        <w:rPr>
          <w:rFonts w:eastAsia="Calibri" w:cs="Arial"/>
        </w:rPr>
      </w:pPr>
      <w:r>
        <w:rPr>
          <w:rFonts w:eastAsia="Calibri" w:cs="Arial"/>
          <w:noProof/>
        </w:rPr>
        <w:t xml:space="preserve">2023. gada pirmajos piecos mēnešos Latvijas </w:t>
      </w:r>
      <w:r w:rsidRPr="000755E3">
        <w:rPr>
          <w:rFonts w:eastAsia="Calibri" w:cs="Arial"/>
          <w:noProof/>
        </w:rPr>
        <w:t>maksājumu bilances tekošā konta deficīts</w:t>
      </w:r>
      <w:r>
        <w:rPr>
          <w:rFonts w:eastAsia="Calibri" w:cs="Arial"/>
          <w:noProof/>
        </w:rPr>
        <w:t xml:space="preserve"> veidoja 642 milj. </w:t>
      </w:r>
      <w:r w:rsidRPr="000755E3">
        <w:rPr>
          <w:rFonts w:eastAsia="Calibri" w:cs="Arial"/>
          <w:i/>
          <w:iCs/>
          <w:noProof/>
        </w:rPr>
        <w:t>euro</w:t>
      </w:r>
      <w:r>
        <w:rPr>
          <w:rFonts w:eastAsia="Calibri" w:cs="Arial"/>
          <w:noProof/>
        </w:rPr>
        <w:t xml:space="preserve"> pretstatā 1278 milj. </w:t>
      </w:r>
      <w:r w:rsidRPr="000755E3">
        <w:rPr>
          <w:rFonts w:eastAsia="Calibri" w:cs="Arial"/>
          <w:i/>
          <w:iCs/>
          <w:noProof/>
        </w:rPr>
        <w:t>euro</w:t>
      </w:r>
      <w:r>
        <w:rPr>
          <w:rFonts w:eastAsia="Calibri" w:cs="Arial"/>
          <w:i/>
          <w:iCs/>
          <w:noProof/>
        </w:rPr>
        <w:t xml:space="preserve"> </w:t>
      </w:r>
      <w:r>
        <w:rPr>
          <w:rFonts w:eastAsia="Calibri" w:cs="Arial"/>
          <w:noProof/>
        </w:rPr>
        <w:t xml:space="preserve">attiecīgajā periodā pērnajā gadā. Tekošā konta deficīta samazinājumu šogad lielā mērā nosaka preču konta deficīta samazinājums. Tomēr uzlabojas arī sākotnējo ienākumu un otrreizējo ienākumu konti. Ņemot vērā, ka preču imports samazinājies straujāk par preču eksportu, preču konta deficīts veidoja 1440 milj. </w:t>
      </w:r>
      <w:r w:rsidRPr="000755E3">
        <w:rPr>
          <w:rFonts w:eastAsia="Calibri" w:cs="Arial"/>
          <w:i/>
          <w:iCs/>
          <w:noProof/>
        </w:rPr>
        <w:t>euro</w:t>
      </w:r>
      <w:r>
        <w:rPr>
          <w:rFonts w:eastAsia="Calibri" w:cs="Arial"/>
          <w:noProof/>
        </w:rPr>
        <w:t xml:space="preserve">, kas bija par 327 milj. </w:t>
      </w:r>
      <w:r w:rsidRPr="000755E3">
        <w:rPr>
          <w:rFonts w:eastAsia="Calibri" w:cs="Arial"/>
          <w:i/>
          <w:iCs/>
          <w:noProof/>
        </w:rPr>
        <w:t>euro</w:t>
      </w:r>
      <w:r>
        <w:rPr>
          <w:rFonts w:eastAsia="Calibri" w:cs="Arial"/>
          <w:noProof/>
        </w:rPr>
        <w:t xml:space="preserve"> mazāk nekā 2022. gada piecos mēnešos. Sagaidāms, ka pašreizējās energoresursu cenas un mazāks dabasgāzes patēriņš nodrošinās minerālproduktu importa </w:t>
      </w:r>
      <w:r>
        <w:rPr>
          <w:rFonts w:eastAsia="Calibri" w:cs="Arial"/>
        </w:rPr>
        <w:t>samazinājumu arī turpmākajos šā gada mēnešos, līdz ar to pozitīvi ietekmējot preču tirdzniecības bilanci.</w:t>
      </w:r>
    </w:p>
    <w:p w14:paraId="3F4259BE" w14:textId="77777777" w:rsidR="00565001" w:rsidRDefault="00565001" w:rsidP="00766ABC">
      <w:pPr>
        <w:rPr>
          <w:b/>
          <w:bCs/>
        </w:rPr>
      </w:pPr>
      <w:r>
        <w:rPr>
          <w:rFonts w:eastAsia="Calibri" w:cs="Arial"/>
          <w:noProof/>
        </w:rPr>
        <w:t xml:space="preserve">Pakalpojumu kontā saglabājies pārpalikums. Šā gada piecos mēnešos tas veidoja 694 milj. </w:t>
      </w:r>
      <w:r w:rsidRPr="000755E3">
        <w:rPr>
          <w:rFonts w:eastAsia="Calibri" w:cs="Arial"/>
          <w:i/>
          <w:iCs/>
          <w:noProof/>
        </w:rPr>
        <w:t>euro</w:t>
      </w:r>
      <w:r>
        <w:rPr>
          <w:rFonts w:eastAsia="Calibri" w:cs="Arial"/>
          <w:noProof/>
        </w:rPr>
        <w:t xml:space="preserve">, kas bija par 92 milj. </w:t>
      </w:r>
      <w:r w:rsidRPr="000755E3">
        <w:rPr>
          <w:rFonts w:eastAsia="Calibri" w:cs="Arial"/>
          <w:i/>
          <w:iCs/>
          <w:noProof/>
        </w:rPr>
        <w:t>euro</w:t>
      </w:r>
      <w:r>
        <w:rPr>
          <w:rFonts w:eastAsia="Calibri" w:cs="Arial"/>
          <w:noProof/>
        </w:rPr>
        <w:t xml:space="preserve"> mazāk nekā iepriekšējā gada attiecīgajā periodā, ko noteica straujāks pakalpojumu importa pieaugums salīdzinājumā ar eksporta pieaugumu. Pakalpojumu konta pārpalikums nosedza 48,2% no preču konta deficīta. Sākotnējo ienākumu konta deficīta samazinājās par 99 milj. </w:t>
      </w:r>
      <w:r w:rsidRPr="000755E3">
        <w:rPr>
          <w:rFonts w:eastAsia="Calibri" w:cs="Arial"/>
          <w:i/>
          <w:iCs/>
          <w:noProof/>
        </w:rPr>
        <w:t>euro</w:t>
      </w:r>
      <w:r>
        <w:rPr>
          <w:rFonts w:eastAsia="Calibri" w:cs="Arial"/>
          <w:i/>
          <w:iCs/>
          <w:noProof/>
        </w:rPr>
        <w:t xml:space="preserve"> </w:t>
      </w:r>
      <w:r>
        <w:rPr>
          <w:rFonts w:eastAsia="Calibri" w:cs="Arial"/>
          <w:noProof/>
        </w:rPr>
        <w:t xml:space="preserve">līdz 307 milj. </w:t>
      </w:r>
      <w:r w:rsidRPr="000755E3">
        <w:rPr>
          <w:rFonts w:eastAsia="Calibri" w:cs="Arial"/>
          <w:i/>
          <w:iCs/>
          <w:noProof/>
        </w:rPr>
        <w:t>euro</w:t>
      </w:r>
      <w:r>
        <w:rPr>
          <w:rFonts w:eastAsia="Calibri" w:cs="Arial"/>
          <w:i/>
          <w:iCs/>
          <w:noProof/>
        </w:rPr>
        <w:t xml:space="preserve">, </w:t>
      </w:r>
      <w:r>
        <w:rPr>
          <w:rFonts w:eastAsia="Calibri" w:cs="Arial"/>
          <w:noProof/>
        </w:rPr>
        <w:t xml:space="preserve">ko noteica lielākas Latvijas investoru saņemtās dividendes no veiktajām investīcijām ārvalstīs. Savukārt otrreizējo ienākumu konta pārpalikums pieauga par 299 milj. </w:t>
      </w:r>
      <w:r w:rsidRPr="000755E3">
        <w:rPr>
          <w:rFonts w:eastAsia="Calibri" w:cs="Arial"/>
          <w:i/>
          <w:iCs/>
          <w:noProof/>
        </w:rPr>
        <w:t>euro</w:t>
      </w:r>
      <w:r>
        <w:rPr>
          <w:rFonts w:eastAsia="Calibri" w:cs="Arial"/>
          <w:noProof/>
        </w:rPr>
        <w:t xml:space="preserve"> līdz 410 milj. </w:t>
      </w:r>
      <w:r w:rsidRPr="000755E3">
        <w:rPr>
          <w:rFonts w:eastAsia="Calibri" w:cs="Arial"/>
          <w:i/>
          <w:iCs/>
          <w:noProof/>
        </w:rPr>
        <w:t>euro</w:t>
      </w:r>
      <w:r>
        <w:rPr>
          <w:rFonts w:eastAsia="Calibri" w:cs="Arial"/>
          <w:i/>
          <w:iCs/>
          <w:noProof/>
        </w:rPr>
        <w:t xml:space="preserve">, </w:t>
      </w:r>
      <w:r>
        <w:rPr>
          <w:rFonts w:eastAsia="Calibri" w:cs="Arial"/>
          <w:noProof/>
        </w:rPr>
        <w:t>ko lielā mērā noteica finanšu un nefinanšu sabiedrību augstāka finanšu plūsma</w:t>
      </w:r>
      <w:r>
        <w:rPr>
          <w:rFonts w:eastAsia="Calibri" w:cs="Arial"/>
        </w:rPr>
        <w:t xml:space="preserve"> no ārvalstīm, kā arī mājsaimniecībām.</w:t>
      </w:r>
    </w:p>
    <w:p w14:paraId="6F799FFE" w14:textId="7D0C16F8" w:rsidR="00565001" w:rsidRPr="00774B1C" w:rsidRDefault="00565001" w:rsidP="00774B1C">
      <w:pPr>
        <w:pStyle w:val="H4"/>
        <w:ind w:left="0" w:firstLine="720"/>
        <w:jc w:val="both"/>
        <w:outlineLvl w:val="9"/>
        <w:rPr>
          <w:rFonts w:ascii="Times New Roman" w:hAnsi="Times New Roman"/>
          <w:iCs/>
          <w:sz w:val="24"/>
          <w:szCs w:val="24"/>
        </w:rPr>
      </w:pPr>
      <w:r w:rsidRPr="008021D7">
        <w:rPr>
          <w:rFonts w:ascii="Times New Roman" w:hAnsi="Times New Roman"/>
          <w:iCs/>
          <w:sz w:val="24"/>
          <w:szCs w:val="24"/>
        </w:rPr>
        <w:t>Investīcijas</w:t>
      </w:r>
    </w:p>
    <w:p w14:paraId="27FBC88A" w14:textId="77777777" w:rsidR="00565001" w:rsidRDefault="00565001" w:rsidP="00766ABC">
      <w:pPr>
        <w:rPr>
          <w:rFonts w:cs="Times New Roman"/>
        </w:rPr>
      </w:pPr>
      <w:r w:rsidRPr="000755E3">
        <w:t>202</w:t>
      </w:r>
      <w:r>
        <w:t>2. gad</w:t>
      </w:r>
      <w:r w:rsidRPr="000755E3">
        <w:t>ā investīciju apjoms Latvijā p</w:t>
      </w:r>
      <w:r>
        <w:t xml:space="preserve">ieauga </w:t>
      </w:r>
      <w:r w:rsidRPr="000755E3">
        <w:t xml:space="preserve">par </w:t>
      </w:r>
      <w:r>
        <w:t>0,7</w:t>
      </w:r>
      <w:r w:rsidRPr="000755E3">
        <w:t xml:space="preserve">% </w:t>
      </w:r>
      <w:r w:rsidRPr="000755E3">
        <w:rPr>
          <w:rFonts w:cs="Times New Roman"/>
        </w:rPr>
        <w:t>salīdzināmajās cenās</w:t>
      </w:r>
      <w:r w:rsidRPr="000755E3">
        <w:t xml:space="preserve">. Salīdzinājumā ar pārējām IKP sastāvdaļām </w:t>
      </w:r>
      <w:r>
        <w:t xml:space="preserve">– </w:t>
      </w:r>
      <w:r w:rsidRPr="000755E3">
        <w:t>privāto un sabiedrisko patēriņu, kā arī eksportu, investīciju sniegums bija visvājākais</w:t>
      </w:r>
      <w:r>
        <w:t xml:space="preserve">, nodrošinot vien 0,2 procentpunktus IKP pieaugumā. </w:t>
      </w:r>
      <w:r>
        <w:rPr>
          <w:rFonts w:cs="Times New Roman"/>
        </w:rPr>
        <w:t>I</w:t>
      </w:r>
      <w:r w:rsidRPr="00954E1C">
        <w:rPr>
          <w:rFonts w:cs="Times New Roman"/>
        </w:rPr>
        <w:t xml:space="preserve">nvestīciju apjoms tautsaimniecībā faktiskajās cenās </w:t>
      </w:r>
      <w:r>
        <w:rPr>
          <w:rFonts w:cs="Times New Roman"/>
        </w:rPr>
        <w:t xml:space="preserve">pērnajā gadā </w:t>
      </w:r>
      <w:r w:rsidRPr="00954E1C">
        <w:rPr>
          <w:rFonts w:cs="Times New Roman"/>
        </w:rPr>
        <w:t xml:space="preserve">palielinājies par </w:t>
      </w:r>
      <w:r>
        <w:rPr>
          <w:rFonts w:cs="Times New Roman"/>
        </w:rPr>
        <w:t>13,4%, apliecinot, ka inflācijai bija būtiska negatīva ietekme arī uz investīciju aktivitāti.</w:t>
      </w:r>
    </w:p>
    <w:p w14:paraId="014913F4" w14:textId="77777777" w:rsidR="00565001" w:rsidRDefault="00565001" w:rsidP="00766ABC">
      <w:r w:rsidRPr="00954E1C">
        <w:t xml:space="preserve">Lai arī kopējā investīciju dinamika bija vāja, tomēr investīciju izmaiņas pa </w:t>
      </w:r>
      <w:r>
        <w:t>pamatlīdzekļu</w:t>
      </w:r>
      <w:r w:rsidRPr="00954E1C">
        <w:t xml:space="preserve"> veidiem bija ļoti neviendabīgas. Investīciju </w:t>
      </w:r>
      <w:r>
        <w:t>pieaugumu</w:t>
      </w:r>
      <w:r w:rsidRPr="00954E1C">
        <w:t xml:space="preserve"> 2022</w:t>
      </w:r>
      <w:r>
        <w:t>. gadā</w:t>
      </w:r>
      <w:r w:rsidRPr="00954E1C">
        <w:t xml:space="preserve"> veicināja lielākas investīcijas iekārtās un mašīnās, kā arī intelektuālajā īpašumā. Vienlaicīgi investīcijas ēkās un būvēs bija būtiski zemākas nekā 2021</w:t>
      </w:r>
      <w:r>
        <w:t>. gad</w:t>
      </w:r>
      <w:r w:rsidRPr="00954E1C">
        <w:t>ā.</w:t>
      </w:r>
    </w:p>
    <w:p w14:paraId="6B8F257F" w14:textId="77777777" w:rsidR="00565001" w:rsidRDefault="00565001" w:rsidP="00766ABC">
      <w:r>
        <w:lastRenderedPageBreak/>
        <w:t xml:space="preserve">2022. gadā </w:t>
      </w:r>
      <w:r w:rsidRPr="00954E1C">
        <w:t xml:space="preserve">noteicošā lomā kopējā investīciju pieaugumā </w:t>
      </w:r>
      <w:r>
        <w:t>bija i</w:t>
      </w:r>
      <w:r w:rsidRPr="00954E1C">
        <w:t>nvestīcijām iekārtās un mašīnās</w:t>
      </w:r>
      <w:r>
        <w:t xml:space="preserve">, kas pieauga </w:t>
      </w:r>
      <w:r w:rsidRPr="00954E1C">
        <w:t xml:space="preserve">par </w:t>
      </w:r>
      <w:r>
        <w:t>9,0</w:t>
      </w:r>
      <w:r w:rsidRPr="00954E1C">
        <w:t>% salīdzinājumā ar 2021</w:t>
      </w:r>
      <w:r>
        <w:t>. gadu</w:t>
      </w:r>
      <w:r w:rsidRPr="00954E1C">
        <w:t xml:space="preserve">, veidojot </w:t>
      </w:r>
      <w:r>
        <w:t>51,2</w:t>
      </w:r>
      <w:r w:rsidRPr="00954E1C">
        <w:t>% no kopējām investīcijām</w:t>
      </w:r>
      <w:r w:rsidRPr="00641604">
        <w:rPr>
          <w:i/>
          <w:iCs/>
        </w:rPr>
        <w:t>.</w:t>
      </w:r>
      <w:r w:rsidRPr="00954E1C">
        <w:t xml:space="preserve"> </w:t>
      </w:r>
      <w:r>
        <w:t>Investīcijas tehnoloģiskajās iekārtās un mašīnās nepārtraukti auga jau kopš 2016. gada, tādējādi tuvojoties vēsturiski augstākajam līmenim kopš 2007. gada</w:t>
      </w:r>
      <w:r>
        <w:rPr>
          <w:i/>
          <w:iCs/>
        </w:rPr>
        <w:t xml:space="preserve">. </w:t>
      </w:r>
      <w:r>
        <w:t>Līdz 2020. gadam investīcijas ēkās un būvēs veidoja lielāko daļu no kopējām investīcijām, bet pēdējos divos gados par galveno investīciju aktīvu kļuva tieši investīcijas iekārtās un mašīnās, kas varētu liecināt par uzņēmumu vēlmi veicināt produktivitāti. Tomēr a</w:t>
      </w:r>
      <w:r w:rsidRPr="00954E1C">
        <w:t xml:space="preserve">ktuālākie apstrādes rūpniecības nozarē strādājošo uzņēmēju aptaujas dati rāda, ka </w:t>
      </w:r>
      <w:r>
        <w:t>tikai 20%</w:t>
      </w:r>
      <w:r w:rsidRPr="00954E1C">
        <w:t xml:space="preserve"> no plānotajām investīcijām 202</w:t>
      </w:r>
      <w:r>
        <w:t>3. gad</w:t>
      </w:r>
      <w:r w:rsidRPr="00954E1C">
        <w:t>ā būs vērstas uz</w:t>
      </w:r>
      <w:r>
        <w:t xml:space="preserve"> </w:t>
      </w:r>
      <w:r w:rsidRPr="00954E1C">
        <w:t>ražošanas procesu optimizāciju</w:t>
      </w:r>
      <w:r>
        <w:t xml:space="preserve">. Šāds uzņēmēju novērtējums ir būtiski zemāks nekā tādās valstīs kā Vācija, Čehija, Slovēnija, kur IKP uz vienu iedzīvotāju ir būtiski augstāks </w:t>
      </w:r>
      <w:r>
        <w:rPr>
          <w:noProof/>
        </w:rPr>
        <w:t>nekā Latvijā. Papildus tam, šāds novērtējums ir aptuveni par ceturtdaļu mazāks nekā vidēji ES. Lai strauji celtu produktivitāti, investīciju apjomam, kuras paredzētas ražošanas procesa efektivizācijai, jābūt lielākam. Tāpat Latvijas uzņēmumu aptaujas dati liecina, ka 38%</w:t>
      </w:r>
      <w:r w:rsidRPr="00954E1C">
        <w:rPr>
          <w:noProof/>
        </w:rPr>
        <w:t xml:space="preserve"> no plānotajām investīcijām</w:t>
      </w:r>
      <w:r>
        <w:t xml:space="preserve"> šogad paredzētas veco iekārtu aizvietošanai, bet ražošanas paplašināšanai uzņēmēji plāno atvēlēt vien 29% no paredzētajām investīcijā</w:t>
      </w:r>
      <w:r w:rsidRPr="00622446">
        <w:t xml:space="preserve">m. </w:t>
      </w:r>
      <w:r>
        <w:t xml:space="preserve">Arī šie dati signalizē, ka tuvākajos gados </w:t>
      </w:r>
      <w:r w:rsidRPr="00622446">
        <w:t>nav pamata sagaidīt strauju apstrādes rūpniecības nozares attīstību.</w:t>
      </w:r>
    </w:p>
    <w:p w14:paraId="6D9E5945" w14:textId="77777777" w:rsidR="00565001" w:rsidRDefault="00565001" w:rsidP="00766ABC">
      <w:r>
        <w:t>2022. gadā straujš investīciju pieaugums bija fiksēts intelektuālā īpašuma produktos. Šie pamatlīdzekļi ietver sevī investīcijas pētniecībā un attīstībā, programmatūrā un licencēs. Kopumā pērnajā gadā investīciju apjoms šajos pamatlīdzekļos bija par 21,2% vairāk nekā pirms gada.</w:t>
      </w:r>
    </w:p>
    <w:p w14:paraId="6ED3933D" w14:textId="77777777" w:rsidR="00565001" w:rsidRDefault="00565001" w:rsidP="00766ABC">
      <w:r>
        <w:t xml:space="preserve">Kopējo investīciju apjomu pērn mazināja zemāka aktivitāte būvniecības nozarē. </w:t>
      </w:r>
      <w:r w:rsidRPr="00954E1C">
        <w:t>2022</w:t>
      </w:r>
      <w:r>
        <w:t>. gadā</w:t>
      </w:r>
      <w:r w:rsidRPr="00954E1C">
        <w:t xml:space="preserve"> </w:t>
      </w:r>
      <w:r>
        <w:t xml:space="preserve">investīcijas </w:t>
      </w:r>
      <w:r w:rsidRPr="00954E1C">
        <w:t>biroju, mājokļu, noliktavu un citu ēku būvniecībā, kā arī jau esošo ēku un būvju renovācijā samazinājās par 1</w:t>
      </w:r>
      <w:r>
        <w:t>1,1</w:t>
      </w:r>
      <w:r w:rsidRPr="00954E1C">
        <w:t>%.</w:t>
      </w:r>
      <w:r>
        <w:t xml:space="preserve"> Tādējādi investīcijas šajos pamatlīdzekļos ir samazinājušās jau trešo gadu pēc kārtas </w:t>
      </w:r>
      <w:r w:rsidRPr="00954E1C">
        <w:t>jeb kopš pandēmijas sākuma</w:t>
      </w:r>
      <w:r>
        <w:t>. Līdz ar šo kritumu būvniecības</w:t>
      </w:r>
      <w:r w:rsidRPr="00954E1C">
        <w:t xml:space="preserve"> investīciju īpatsvars kopējās investīcijās 2022</w:t>
      </w:r>
      <w:r>
        <w:t xml:space="preserve">. gadā </w:t>
      </w:r>
      <w:r w:rsidRPr="00954E1C">
        <w:t xml:space="preserve">samazinājās līdz </w:t>
      </w:r>
      <w:r>
        <w:t>37,0</w:t>
      </w:r>
      <w:r w:rsidRPr="00954E1C">
        <w:t xml:space="preserve">%, kamēr pirms pandēmijas investīcijas būvniecībā veidoja </w:t>
      </w:r>
      <w:r>
        <w:t xml:space="preserve">pusi no tautsaimniecībā veiktajam investīcijām. </w:t>
      </w:r>
      <w:r w:rsidRPr="00954E1C">
        <w:t>Investīcijas šajos aktīvos spilgti raksturo būvniecības produkcijas apjom</w:t>
      </w:r>
      <w:r>
        <w:t>u</w:t>
      </w:r>
      <w:r w:rsidRPr="00954E1C">
        <w:t xml:space="preserve"> samazinājumu, kas 2022</w:t>
      </w:r>
      <w:r>
        <w:t xml:space="preserve">. gadā </w:t>
      </w:r>
      <w:r w:rsidRPr="00954E1C">
        <w:t>sasniedza 1</w:t>
      </w:r>
      <w:r>
        <w:t>1,3</w:t>
      </w:r>
      <w:r w:rsidRPr="00954E1C">
        <w:t>%</w:t>
      </w:r>
      <w:r>
        <w:t>.</w:t>
      </w:r>
    </w:p>
    <w:p w14:paraId="45C49002" w14:textId="65143888" w:rsidR="00565001" w:rsidRDefault="00565001" w:rsidP="00766ABC">
      <w:r w:rsidRPr="000364F5">
        <w:t>202</w:t>
      </w:r>
      <w:r>
        <w:t>3. gad</w:t>
      </w:r>
      <w:r w:rsidRPr="000364F5">
        <w:t xml:space="preserve">a pirmajā ceturksnī kopējais investīciju apjoms </w:t>
      </w:r>
      <w:r>
        <w:t>strauji pieauga. Salīdzinājumā ar pērnā gada attiecīgo periodu bruto pamatkapitāla veidošanas apjoms palielinājies par 11,3%, tādējādi nodrošinot 2,1</w:t>
      </w:r>
      <w:r w:rsidR="00B3512B">
        <w:t> </w:t>
      </w:r>
      <w:r>
        <w:t>procentpunktu devumu ekonomikas izaugsmē un bija galvenais dzinējspēks IKP pieaugumā. Pozitīvi vērtējams, ka šā gada sākumā turpinājies investīciju pieaugums iekārtās un mašīnās, kā arī atjaunojas investīciju aktivitāte ēkās un būvēs.</w:t>
      </w:r>
    </w:p>
    <w:p w14:paraId="20D57884" w14:textId="77777777" w:rsidR="00565001" w:rsidRDefault="00565001" w:rsidP="00766ABC">
      <w:pPr>
        <w:rPr>
          <w:rFonts w:cs="Times New Roman"/>
          <w:noProof/>
        </w:rPr>
      </w:pPr>
      <w:r>
        <w:t>Lielāko devumu kopējā investīciju pieaugumā šā gadā pirmajā ceturksnī nodrošināja augstākas investīcijas</w:t>
      </w:r>
      <w:r w:rsidRPr="000364F5">
        <w:t xml:space="preserve"> biroju, mājokļu, noliktavu un citu ēku būvniecībā, kā arī jau esošo ēku un būvju renovācijā</w:t>
      </w:r>
      <w:r>
        <w:t>. Investīciju apjoms šajos pamatlīdzekļos pieauga par 17,0% salīdzinājumā ar 2022. gada pirmo ceturksni</w:t>
      </w:r>
      <w:r>
        <w:rPr>
          <w:i/>
        </w:rPr>
        <w:t>.</w:t>
      </w:r>
      <w:r>
        <w:t xml:space="preserve"> Tas atspoguļojas arī būvniecības nozares attīstībā (sk. iepriekš). Tomēr investīciju apjoms pirmajā ceturksnī atpaliek no pirms Covid-19 krīzes līmeņiem, kas arī liecina par zemu investīciju bāzi. Sagaidāms, kā arī turpmākajos ceturkšņos investīciju pieaugums būs samērā straujš pērnā gada zemās bāzes dēļ. Vienlaicīgi jāatzīmē, ka aktīvākām investīcijām pastāv arī vairāki šķēršļi. Pirmkārt, augstās būvniecības materiālu cenas. Lai arī energoresursu cenas kopš pērnā gada būtiski samazinās, tomēr metālu, cementa un citu būvmateriālu ražošanas izmaksas </w:t>
      </w:r>
      <w:r>
        <w:rPr>
          <w:noProof/>
        </w:rPr>
        <w:t xml:space="preserve">joprojām ir augstas. Otrkārt, </w:t>
      </w:r>
      <w:r>
        <w:rPr>
          <w:rFonts w:cs="Times New Roman"/>
          <w:noProof/>
        </w:rPr>
        <w:t xml:space="preserve">procentlikmju pieaugums. 2023. gada vidū 6 mēnešu </w:t>
      </w:r>
      <w:r w:rsidRPr="00875C23">
        <w:rPr>
          <w:rFonts w:cs="Times New Roman"/>
          <w:i/>
          <w:iCs/>
          <w:noProof/>
        </w:rPr>
        <w:t>EURIBOR</w:t>
      </w:r>
      <w:r>
        <w:rPr>
          <w:rFonts w:cs="Times New Roman"/>
          <w:noProof/>
        </w:rPr>
        <w:t xml:space="preserve"> likme sasniedza gandrīz 4%, kamēr vēl līdz pērnā gada vidum tā bija negatīva. Šāda procentlikmju dinamika palielina gan pašreizējo kredītsaistību apkalpošanas izmaksas uzņēmējiem un mājsaimniecībām, gan mazina pieprasījumu pēc jauniem kredītiem.</w:t>
      </w:r>
    </w:p>
    <w:p w14:paraId="387D26FC" w14:textId="77777777" w:rsidR="00565001" w:rsidRDefault="00565001" w:rsidP="00766ABC">
      <w:r>
        <w:rPr>
          <w:noProof/>
        </w:rPr>
        <w:lastRenderedPageBreak/>
        <w:t>Šādos</w:t>
      </w:r>
      <w:r w:rsidRPr="00954E1C">
        <w:rPr>
          <w:noProof/>
        </w:rPr>
        <w:t xml:space="preserve"> apstākļos pieaug valdības investīciju loma. Lai arī valdības investīciju apjoms nesasniedz pat ceturto daļu no kopējām investīcijām tautsaimniecībā, tās nodrošina būtisku multiplikatoru privātajām investīcijām. </w:t>
      </w:r>
      <w:r>
        <w:rPr>
          <w:noProof/>
        </w:rPr>
        <w:t xml:space="preserve">2023. gadā tiek paredzēti būtiski ieguldījumi no ES fondiem, </w:t>
      </w:r>
      <w:r w:rsidRPr="00954E1C">
        <w:rPr>
          <w:noProof/>
        </w:rPr>
        <w:t>Atveseļošanās un noturības mehānisma līdzekļi</w:t>
      </w:r>
      <w:r>
        <w:rPr>
          <w:noProof/>
        </w:rPr>
        <w:t>em</w:t>
      </w:r>
      <w:r w:rsidRPr="00954E1C">
        <w:rPr>
          <w:noProof/>
        </w:rPr>
        <w:t xml:space="preserve">, kā arī investīcijas </w:t>
      </w:r>
      <w:r w:rsidRPr="00954E1C">
        <w:rPr>
          <w:i/>
          <w:iCs/>
          <w:noProof/>
        </w:rPr>
        <w:t>Rail Baltica</w:t>
      </w:r>
      <w:r w:rsidRPr="00954E1C">
        <w:t xml:space="preserve"> projekta realizācijā</w:t>
      </w:r>
      <w:r>
        <w:t>.</w:t>
      </w:r>
    </w:p>
    <w:p w14:paraId="344D72E1" w14:textId="77777777" w:rsidR="00565001" w:rsidRDefault="00565001" w:rsidP="00766ABC">
      <w:r>
        <w:rPr>
          <w:rFonts w:cs="Times New Roman"/>
        </w:rPr>
        <w:t xml:space="preserve">Investīcijas tehnoloģiskās iekārtās un mašīnās 2023. gada pirmajā ceturksnī </w:t>
      </w:r>
      <w:r>
        <w:t>bija 4,9% lielākas nekā pirms gada. Savukārt investīcijas intelektuālā īpašuma produktos palielinājās par 4,3%.</w:t>
      </w:r>
    </w:p>
    <w:p w14:paraId="1A3CF9B5" w14:textId="77777777" w:rsidR="00565001" w:rsidRDefault="00565001" w:rsidP="00565001">
      <w:pPr>
        <w:pStyle w:val="H4"/>
        <w:ind w:left="0" w:firstLine="720"/>
        <w:jc w:val="both"/>
        <w:outlineLvl w:val="9"/>
        <w:rPr>
          <w:rFonts w:ascii="Times New Roman" w:hAnsi="Times New Roman"/>
          <w:iCs/>
          <w:sz w:val="24"/>
          <w:szCs w:val="24"/>
        </w:rPr>
      </w:pPr>
      <w:r w:rsidRPr="008021D7">
        <w:rPr>
          <w:rFonts w:ascii="Times New Roman" w:hAnsi="Times New Roman"/>
          <w:iCs/>
          <w:sz w:val="24"/>
          <w:szCs w:val="24"/>
        </w:rPr>
        <w:t xml:space="preserve">Darba tirgus </w:t>
      </w:r>
    </w:p>
    <w:p w14:paraId="304451AC" w14:textId="77777777" w:rsidR="00565001" w:rsidRPr="0021506F" w:rsidRDefault="00565001" w:rsidP="00766ABC">
      <w:r w:rsidRPr="0021506F">
        <w:t>Līdz ar stabilo ekonomikas izaugsmi laikā līdz 2019</w:t>
      </w:r>
      <w:r>
        <w:t>. gad</w:t>
      </w:r>
      <w:r w:rsidRPr="0021506F">
        <w:t>am bezdarba līmenis Latvijā strauji samazinājās, atsevišķās nozarēs un profesijās jau robežojoties ar darbaspēka trūkumu. 2020</w:t>
      </w:r>
      <w:r>
        <w:t>. gad</w:t>
      </w:r>
      <w:r w:rsidRPr="0021506F">
        <w:t>ā šo dinamiku pārtrauca koronavīrusa izraisītā krīze, tomēr tās ietekme darba tirgū izrādījās ļoti ierobežota, tajā skaitā pateicoties valsts atbalsta pasākumiem. Nodarbinātības situāciju jūtami nepasliktināja arī Krievijas sāktais karš Ukrainā 2022</w:t>
      </w:r>
      <w:r>
        <w:t>. gad</w:t>
      </w:r>
      <w:r w:rsidRPr="0021506F">
        <w:t>a februārī, un bezdarba līmenis pastāvīgi un visai strauji turpināja samazināties.</w:t>
      </w:r>
    </w:p>
    <w:p w14:paraId="47FE00CF" w14:textId="77777777" w:rsidR="00565001" w:rsidRDefault="00565001" w:rsidP="00766ABC">
      <w:pPr>
        <w:rPr>
          <w:noProof/>
        </w:rPr>
      </w:pPr>
      <w:r w:rsidRPr="0021506F">
        <w:t>Pēc īslaicīgā pieauguma līdz 8,1% 2020</w:t>
      </w:r>
      <w:r>
        <w:t>. gad</w:t>
      </w:r>
      <w:r w:rsidRPr="0021506F">
        <w:t xml:space="preserve">ā, bezdarba līmenis pēc darbaspēka </w:t>
      </w:r>
      <w:r w:rsidRPr="0021506F">
        <w:rPr>
          <w:noProof/>
        </w:rPr>
        <w:t>apsekojuma jau 2021</w:t>
      </w:r>
      <w:r>
        <w:rPr>
          <w:noProof/>
        </w:rPr>
        <w:t>. gad</w:t>
      </w:r>
      <w:r w:rsidRPr="0021506F">
        <w:rPr>
          <w:noProof/>
        </w:rPr>
        <w:t>ā samazinājās līdz 7,6%, bet 2022</w:t>
      </w:r>
      <w:r>
        <w:rPr>
          <w:noProof/>
        </w:rPr>
        <w:t>. gad</w:t>
      </w:r>
      <w:r w:rsidRPr="0021506F">
        <w:rPr>
          <w:noProof/>
        </w:rPr>
        <w:t>ā noslīdēja līdz 6,9% no ekonomiski aktīvajiem iedzīvotājiem. Bezdarba kritums turpinās arī 2023</w:t>
      </w:r>
      <w:r>
        <w:rPr>
          <w:noProof/>
        </w:rPr>
        <w:t>. gad</w:t>
      </w:r>
      <w:r w:rsidRPr="0021506F">
        <w:rPr>
          <w:noProof/>
        </w:rPr>
        <w:t>ā un, n</w:t>
      </w:r>
      <w:r>
        <w:rPr>
          <w:noProof/>
        </w:rPr>
        <w:t xml:space="preserve">eskatoties uz nelielo ekonomiskās izaugsmes sabremzēšanos, pirmajā ceturksnī bezdarbs ir noslīdējis līdz 6,4% no ekonomiski aktīvajiem iedzīvotājiem. Tas ir par 0,9 procentpunktiem mazāk nekā attiecīgajā ceturksnī pirms gada un ir jau ļoti tuvu pirmspandēmijas laika zemajam līmenim, kad 2019. gada beigās bezdarbs bija nokrities līdz 6,0%. Kā liecina nedaudz operatīvākie, Nodarbinātības valsts aģentūras (NVA) dati, reģistrēto bezdarbnieku skaits, kas ziemas mēnešos bija nedaudz sezonāli pieaudzis, kopš marta sākuma stabili pazeminās un maija vidū pirmoreiz bija noslīdējis zem 50 tūkstošu līmeņa, kamēr reģistrētā bezdarba līmenis samazinājās līdz 5,5%. Šādā zemā līmenī reģistrētais bezdarbs saglabājās arī jūnijā, kamēr jūlijā reģistrēto bezdarbnieku skaits atkal pavisam nedaudz sāka palielināties. </w:t>
      </w:r>
    </w:p>
    <w:p w14:paraId="7671F06B" w14:textId="77777777" w:rsidR="00565001" w:rsidRDefault="00565001" w:rsidP="00766ABC">
      <w:r>
        <w:rPr>
          <w:noProof/>
        </w:rPr>
        <w:t>Reģistrētā bezdarba līmenis pašlaik jau ir zemāks nekā 2019. gadā, pirms pandēmijas, un tikai nedaudz pārsniedz 2007.-2008. gadā ekonomikas pārkaršanas laikā fiksētos rekordzemos rādītājus, radot zināmu spiedienu darba tirgū un diskusijas par nepieciešamību piesaistīt darbaspēku no trešajām valstīm. Bezdarba līmeņa mazināšanos līdzās ekonomikas attīstībai pašlaik ietekmē arī demogrāfiskā situācija, kad jau kopš 2015. gada darba tirgū ienākošo jauniešu skaits ir mazāks nekā darba tirgu atstājošo sešdesmitgadnieku</w:t>
      </w:r>
      <w:r>
        <w:t xml:space="preserve"> skaits un kopējais darbaspējas vecuma iedzīvotāju skaits ir pastāvīgi samazinājies. 2022. gadā gan šo kritumu palīdzēja mīkstināt Ukrainas iedzīvotāju uzņemšana, un 2023. gada pirmajā ceturksnī darbaspējas vecuma iedzīvotāju skaits bija par 6,4 tūkstošiem jeb 0,5% lielāks nekā pirms gada. Lielākā daļa no viņiem gan bijusi ekonomiski neaktīva un kopējais ekonomiski neaktīvo iedzīvotāju skaits šā gada pirmajā ceturksnī palielinājies par 3,4 tūkstošiem jeb 0,8%, salīdzinot ar pagājušā gada attiecīgo ceturksni. Tomēr daļa arī atradusi darbu un jūnija sākumā nodarbināti bija pavisam 8,1 tūkstotis Ukrainas bēgļu.</w:t>
      </w:r>
    </w:p>
    <w:p w14:paraId="0C21364E" w14:textId="77777777" w:rsidR="00565001" w:rsidRDefault="00565001" w:rsidP="00766ABC">
      <w:pPr>
        <w:rPr>
          <w:noProof/>
        </w:rPr>
      </w:pPr>
      <w:r>
        <w:t xml:space="preserve">Kopējais tautsaimniecībā nodarbināto iedzīvotāju skaits 2022. gada laikā, ekonomikai atgūstoties no pandēmijas laika ierobežojumiem, ir palielinājies par 22 tūkstošiem jeb 2,6% un sasniedzis 886 tūkstošus. Šis rādītājs tomēr vēl </w:t>
      </w:r>
      <w:r>
        <w:rPr>
          <w:noProof/>
        </w:rPr>
        <w:t>atpaliek no pirmspandēmijas, 2019. gada datiem, kad nodarbināti bija 910 tūkstoši iedzīvotāju. Arī 2023. gadā nodarbināto skaits turpina palielināties, un pirmajā ceturksnī nodarbināti bija 880,4 tūkstoši cilvēku, kas bija par 11,1 tūkstošiem jeb 1,3% vairāk nekā pirms gada. Tomēr arī šogad nodarbināto skaits nav atgriezies līmenī, kādā tas bija pirms pandēmijas, kad atsevišķos ceturkšņos strādājošo skaits bija pietuvojies 920 tūkstošiem.</w:t>
      </w:r>
    </w:p>
    <w:p w14:paraId="712D0482" w14:textId="77777777" w:rsidR="00565001" w:rsidRDefault="00565001" w:rsidP="00766ABC">
      <w:pPr>
        <w:rPr>
          <w:noProof/>
        </w:rPr>
      </w:pPr>
      <w:r>
        <w:rPr>
          <w:noProof/>
        </w:rPr>
        <w:lastRenderedPageBreak/>
        <w:t>Pieprasījums pēc darbiniekiem joprojām ir augsts, NVA reģistrēto brīvo darba vietu skaits jau kopš 2021. gada vidus ir stabili audzis, pagājušā gada vidū pārsniedzot 30 tūkstošus. Šogad, ekonomikas izaugsmei un ārējam pieprasījumam nedaudz mazinoties, darba vietu skaits gan ir nedaudz zemāks, jūnija beigās veidojot 24,5 tūkstošus - par 21,2% mazāk nekā pirms gada, tomēr atsevišķas nozares un profesijas aizvien saskaras ar grūtībām piesaistīt darbiniekus.</w:t>
      </w:r>
    </w:p>
    <w:p w14:paraId="6712D594" w14:textId="77777777" w:rsidR="00565001" w:rsidRPr="0021506F" w:rsidRDefault="00565001" w:rsidP="00766ABC">
      <w:r>
        <w:rPr>
          <w:noProof/>
        </w:rPr>
        <w:t>Pēc FM prognozēm, visā 2023. gadā kopā bezdarba līmenis salīdzinājumā ar 2022. gadu būs pazeminājies par 0,4 procentpunktiem līdz 6,5%, tomēr gada otrajā pusē sagaidāma</w:t>
      </w:r>
      <w:r>
        <w:t xml:space="preserve"> neliela bezdarba paaugstināšanās sezonālu faktoru ietekmē un mazinoties ārējam pieprasījumam. Līdz ar to arī 2024. gadā kopējais bezdarba līmenis varētu būt nedaudz augstāks, 6,6% līmenī, nākamajos divos gados līdz ar straujāku ekonomikas izaugsmi atkal pazeminoties līdz 6,4%. </w:t>
      </w:r>
      <w:r w:rsidRPr="0021506F">
        <w:t>Tautsaimniecībā nodarbināto iedzīvotāju skaits šogad un nākamgad saglabāsies stabils, bet no 2025</w:t>
      </w:r>
      <w:r>
        <w:t>. gad</w:t>
      </w:r>
      <w:r w:rsidRPr="0021506F">
        <w:t>a gaidāma neliela nodarbinātības samazināšanās, ko pamatā noteiks darbspējas vecuma iedzīvotāju skaita kritums.</w:t>
      </w:r>
    </w:p>
    <w:p w14:paraId="58986D66" w14:textId="77777777" w:rsidR="00565001" w:rsidRDefault="00565001" w:rsidP="00766ABC">
      <w:pPr>
        <w:rPr>
          <w:noProof/>
        </w:rPr>
      </w:pPr>
      <w:r>
        <w:t xml:space="preserve">Mēneša vidējā darba samaksa pēc 7,5% pieauguma 2022. gadā, šogad turpina strauji </w:t>
      </w:r>
      <w:r>
        <w:rPr>
          <w:noProof/>
        </w:rPr>
        <w:t xml:space="preserve">palielināties, ko nosaka gan būtiskais minimālās darba samaksas paaugstinājums no 500 līdz 620 </w:t>
      </w:r>
      <w:r w:rsidRPr="00BC7260">
        <w:rPr>
          <w:i/>
          <w:iCs/>
          <w:noProof/>
        </w:rPr>
        <w:t>euro</w:t>
      </w:r>
      <w:r>
        <w:rPr>
          <w:noProof/>
        </w:rPr>
        <w:t xml:space="preserve">, gan valsts budžeta izdevumu pieaugums sabiedriskā sektora darbinieku algām, gan privāto uzņēmumu sniegtais energoatbalsts saviem darbiniekiem un augstais inflācijas līmenis. Šā gada pirmajā ceturksnī mēneša vidējā darba samaksa par pilnas slodzes darbu, salīdzinot ar pagājušā gada attiecīgo ceturksni, palielinājās par 12,3%, sasniedzot 1462 </w:t>
      </w:r>
      <w:r w:rsidRPr="00073EF9">
        <w:rPr>
          <w:i/>
          <w:iCs/>
          <w:noProof/>
        </w:rPr>
        <w:t>euro</w:t>
      </w:r>
      <w:r>
        <w:rPr>
          <w:noProof/>
        </w:rPr>
        <w:t>.</w:t>
      </w:r>
    </w:p>
    <w:p w14:paraId="6AA9CBB4" w14:textId="77777777" w:rsidR="00565001" w:rsidRDefault="00565001" w:rsidP="00766ABC">
      <w:pPr>
        <w:rPr>
          <w:noProof/>
        </w:rPr>
      </w:pPr>
      <w:r>
        <w:rPr>
          <w:noProof/>
        </w:rPr>
        <w:t xml:space="preserve">Straujākais algas pieaugums pirmajā ceturksnī bija privātajā sektorā, kur mēneša vidējā bruto darba samaksa palielinājās par 13,1% līdz 1483 </w:t>
      </w:r>
      <w:r w:rsidRPr="00332866">
        <w:rPr>
          <w:i/>
          <w:iCs/>
          <w:noProof/>
        </w:rPr>
        <w:t>euro</w:t>
      </w:r>
      <w:r>
        <w:rPr>
          <w:noProof/>
        </w:rPr>
        <w:t xml:space="preserve">, bet sabiedriskajā sektorā vidējā alga pieauga par 10,5% līdz 1422 </w:t>
      </w:r>
      <w:r w:rsidRPr="00332866">
        <w:rPr>
          <w:i/>
          <w:iCs/>
          <w:noProof/>
        </w:rPr>
        <w:t>euro</w:t>
      </w:r>
      <w:r>
        <w:rPr>
          <w:noProof/>
        </w:rPr>
        <w:t>.</w:t>
      </w:r>
    </w:p>
    <w:p w14:paraId="0EF89694" w14:textId="77777777" w:rsidR="00565001" w:rsidRPr="0021506F" w:rsidRDefault="00565001" w:rsidP="00766ABC">
      <w:pPr>
        <w:rPr>
          <w:noProof/>
        </w:rPr>
      </w:pPr>
      <w:r w:rsidRPr="0021506F">
        <w:t xml:space="preserve">Nozaru griezumā gada laikā vidējā alga visstraujāk augusi lauksaimniecības un mežsaimniecības nozarē - par 22,4%, enerģētikas nozarē - par 20,8% un ieguves rūpniecībā - par 20,3%. Savukārt veselības un sociālās aprūpes nozarē mēneša vidējā darba samaksa samazinājusies par 2,7%, ko </w:t>
      </w:r>
      <w:r w:rsidRPr="0021506F">
        <w:rPr>
          <w:noProof/>
        </w:rPr>
        <w:t xml:space="preserve">noteikusi galvenokārt Covid-19 piemaksu atcelšana. Augstākais darba samaksas līmenis joprojām saglabājies finanšu pakalpojumu nozarē – 2803 </w:t>
      </w:r>
      <w:r w:rsidRPr="00332866">
        <w:rPr>
          <w:i/>
          <w:iCs/>
          <w:noProof/>
        </w:rPr>
        <w:t>euro</w:t>
      </w:r>
      <w:r w:rsidRPr="0021506F">
        <w:rPr>
          <w:noProof/>
        </w:rPr>
        <w:t xml:space="preserve"> un informācijas un komunikācijas pakalpojumu nozarē – 2461 </w:t>
      </w:r>
      <w:r w:rsidRPr="00332866">
        <w:rPr>
          <w:i/>
          <w:iCs/>
          <w:noProof/>
        </w:rPr>
        <w:t>euro</w:t>
      </w:r>
      <w:r w:rsidRPr="0021506F">
        <w:rPr>
          <w:noProof/>
        </w:rPr>
        <w:t>, kamēr zemākās algas ir izmitināšanā un ēdināšanā – 945</w:t>
      </w:r>
      <w:r w:rsidRPr="00332866">
        <w:rPr>
          <w:i/>
          <w:iCs/>
          <w:noProof/>
        </w:rPr>
        <w:t xml:space="preserve"> euro</w:t>
      </w:r>
      <w:r w:rsidRPr="0021506F">
        <w:rPr>
          <w:noProof/>
        </w:rPr>
        <w:t xml:space="preserve"> un izglītībā – 1156 </w:t>
      </w:r>
      <w:r w:rsidRPr="00332866">
        <w:rPr>
          <w:i/>
          <w:iCs/>
          <w:noProof/>
        </w:rPr>
        <w:t>euro</w:t>
      </w:r>
      <w:r w:rsidRPr="0021506F">
        <w:rPr>
          <w:noProof/>
        </w:rPr>
        <w:t xml:space="preserve"> mēnesī.</w:t>
      </w:r>
    </w:p>
    <w:p w14:paraId="71B56B9A" w14:textId="77777777" w:rsidR="00565001" w:rsidRDefault="00565001" w:rsidP="00766ABC">
      <w:r>
        <w:rPr>
          <w:noProof/>
        </w:rPr>
        <w:t>Ņemot vērā kopējo ļoti straujo vidējās darba samaksas pieaugumu</w:t>
      </w:r>
      <w:r>
        <w:t xml:space="preserve"> šā gada pirmajā ceturksnī, 2023. gada kopējā algu pieauguma prognoze, salīdzinot ar iepriekšējām, šā gada februārī sagatavotajām prognozēm, ir paaugstināta par 2,5 procentpunktiem līdz 11,0%, bet 2024. gada algu pieauguma prognoze palielināta par vienu procentpunktu līdz 7,5%. Sagaidāms, ka nākamajos gados algu pieauguma temps kļūs lēnāks, pietuvojoties produktivitātes pieauguma tempam un stabilizējoties 5% līmenī.</w:t>
      </w:r>
    </w:p>
    <w:p w14:paraId="57EDE9DB" w14:textId="4ECEE0F2" w:rsidR="00565001" w:rsidRPr="008021D7" w:rsidRDefault="00565001" w:rsidP="00774B1C">
      <w:pPr>
        <w:pStyle w:val="H4"/>
        <w:ind w:left="0" w:firstLine="720"/>
        <w:jc w:val="both"/>
        <w:outlineLvl w:val="9"/>
        <w:rPr>
          <w:rFonts w:ascii="Times New Roman" w:hAnsi="Times New Roman"/>
          <w:iCs/>
          <w:sz w:val="24"/>
          <w:szCs w:val="24"/>
        </w:rPr>
      </w:pPr>
      <w:r w:rsidRPr="008021D7">
        <w:rPr>
          <w:rFonts w:ascii="Times New Roman" w:hAnsi="Times New Roman"/>
          <w:iCs/>
          <w:sz w:val="24"/>
          <w:szCs w:val="24"/>
        </w:rPr>
        <w:t>Inflācija</w:t>
      </w:r>
    </w:p>
    <w:p w14:paraId="5D315A96" w14:textId="77777777" w:rsidR="00565001" w:rsidRDefault="00565001" w:rsidP="00766ABC">
      <w:r w:rsidRPr="003F378B">
        <w:t>2022</w:t>
      </w:r>
      <w:r>
        <w:t>. gad</w:t>
      </w:r>
      <w:r w:rsidRPr="003F378B">
        <w:t xml:space="preserve">ā </w:t>
      </w:r>
      <w:r w:rsidRPr="003F378B">
        <w:rPr>
          <w:b/>
          <w:bCs/>
        </w:rPr>
        <w:t>patēriņa cenu līmenis</w:t>
      </w:r>
      <w:r w:rsidRPr="003F378B">
        <w:t xml:space="preserve"> Latvijā vidēji bija par 17,3% augstāks nekā iepriekšējā gadā. Patēriņa cenu kāpums bija visaptverošs, jo cen</w:t>
      </w:r>
      <w:r>
        <w:t>as</w:t>
      </w:r>
      <w:r w:rsidRPr="003F378B">
        <w:t xml:space="preserve"> auga visām precēm un pakalpojumiem. Inflācija 2022</w:t>
      </w:r>
      <w:r>
        <w:t>. gad</w:t>
      </w:r>
      <w:r w:rsidRPr="003F378B">
        <w:t xml:space="preserve">ā vērtējama kā ļoti augsta, jo </w:t>
      </w:r>
      <w:r>
        <w:t>cenas</w:t>
      </w:r>
      <w:r w:rsidRPr="003F378B">
        <w:t xml:space="preserve"> palielinājās praktiski </w:t>
      </w:r>
      <w:r>
        <w:t xml:space="preserve">par </w:t>
      </w:r>
      <w:r w:rsidRPr="003F378B">
        <w:t>tikpat daudz kā iepriekšējos 12 gados kopā.</w:t>
      </w:r>
    </w:p>
    <w:p w14:paraId="496D1923" w14:textId="77777777" w:rsidR="00565001" w:rsidRPr="003F378B" w:rsidRDefault="00565001" w:rsidP="00766ABC">
      <w:pPr>
        <w:rPr>
          <w:rFonts w:eastAsia="Times New Roman" w:cs="Times New Roman"/>
        </w:rPr>
      </w:pPr>
      <w:r w:rsidRPr="003F378B">
        <w:t>Tāpat kā 2021</w:t>
      </w:r>
      <w:r>
        <w:t>. gad</w:t>
      </w:r>
      <w:r w:rsidRPr="003F378B">
        <w:t>ā, arī 2022</w:t>
      </w:r>
      <w:r>
        <w:t>. gad</w:t>
      </w:r>
      <w:r w:rsidRPr="003F378B">
        <w:t>ā patēriņa cenu kāpumu noteica galvenokārt energoresursu un pārtikas cenu pieaugums. Tas nozīmē, ka precēm cenas pieauga straujāk un to devums vidējā inflācijā bija būtiski lielāks nekā paka</w:t>
      </w:r>
      <w:r>
        <w:t>l</w:t>
      </w:r>
      <w:r w:rsidRPr="003F378B">
        <w:t>pojumiem. 2022</w:t>
      </w:r>
      <w:r>
        <w:t>. gad</w:t>
      </w:r>
      <w:r w:rsidRPr="003F378B">
        <w:t>ā preču cenas vidēji pieauga par 20,6%, kamēr pakalpojumi sadārdzināj</w:t>
      </w:r>
      <w:r>
        <w:t>ā</w:t>
      </w:r>
      <w:r w:rsidRPr="003F378B">
        <w:t>s vidēji par 8,1%.</w:t>
      </w:r>
    </w:p>
    <w:p w14:paraId="796A3C16" w14:textId="77777777" w:rsidR="00565001" w:rsidRPr="003F378B" w:rsidRDefault="00565001" w:rsidP="00766ABC">
      <w:r w:rsidRPr="003F378B">
        <w:t>Straujajam patēriņa cenu kāpumam 2022</w:t>
      </w:r>
      <w:r>
        <w:t>. gad</w:t>
      </w:r>
      <w:r w:rsidRPr="003F378B">
        <w:t xml:space="preserve">ā Latvijā ir vairāki iemesli, bet galvenokārt tie ir saistīti ar ārējiem faktoriem. Pirmkārt, straujo cenu kāpumu </w:t>
      </w:r>
      <w:r>
        <w:t>noteica</w:t>
      </w:r>
      <w:r w:rsidRPr="003F378B">
        <w:t xml:space="preserve"> enerģētiskā krīze Eiropā, kas aizsākās vēl 2021</w:t>
      </w:r>
      <w:r>
        <w:t>. gada</w:t>
      </w:r>
      <w:r w:rsidRPr="003F378B">
        <w:t xml:space="preserve"> rudenī, kā arī </w:t>
      </w:r>
      <w:r>
        <w:t xml:space="preserve">pieaugušās </w:t>
      </w:r>
      <w:r w:rsidRPr="003F378B">
        <w:t xml:space="preserve">energoresursu </w:t>
      </w:r>
      <w:r w:rsidRPr="003F378B">
        <w:lastRenderedPageBreak/>
        <w:t xml:space="preserve">cenas pārējos pasaules reģionos. </w:t>
      </w:r>
      <w:r>
        <w:t xml:space="preserve">To </w:t>
      </w:r>
      <w:r w:rsidRPr="003F378B">
        <w:t>pieaugumu ES</w:t>
      </w:r>
      <w:r>
        <w:t xml:space="preserve"> noteica </w:t>
      </w:r>
      <w:r w:rsidRPr="003F378B">
        <w:t xml:space="preserve">gan piedāvājuma (zems ūdenslīmenis hidroelektrostacijās, vāja elektroenerģijas ražošana no alternatīvajiem avotiem), gan pieprasījuma </w:t>
      </w:r>
      <w:r>
        <w:t xml:space="preserve">faktori </w:t>
      </w:r>
      <w:r w:rsidRPr="003F378B">
        <w:t xml:space="preserve">(nelabvēlīgie laika apstākļi, kā arī augošais energoresursu patēriņš, it īpaši Āzijas reģionā, kur gāzes </w:t>
      </w:r>
      <w:r>
        <w:t xml:space="preserve">cenas ir </w:t>
      </w:r>
      <w:r w:rsidRPr="003F378B">
        <w:t>augstāk</w:t>
      </w:r>
      <w:r>
        <w:t>as</w:t>
      </w:r>
      <w:r w:rsidRPr="003F378B">
        <w:t xml:space="preserve"> nekā Eiropā). Otrkārt, straujo inflāciju </w:t>
      </w:r>
      <w:r w:rsidRPr="003F378B">
        <w:rPr>
          <w:noProof/>
        </w:rPr>
        <w:t>ietekmēja pārtikas cenu kāpums visā pasaulē, it īpaši 2022</w:t>
      </w:r>
      <w:r>
        <w:rPr>
          <w:noProof/>
        </w:rPr>
        <w:t>. gad</w:t>
      </w:r>
      <w:r w:rsidRPr="003F378B">
        <w:rPr>
          <w:noProof/>
        </w:rPr>
        <w:t xml:space="preserve">a pirmajā pusgadā. </w:t>
      </w:r>
      <w:r>
        <w:rPr>
          <w:noProof/>
        </w:rPr>
        <w:t xml:space="preserve">To veicināja </w:t>
      </w:r>
      <w:r w:rsidRPr="003F378B">
        <w:rPr>
          <w:noProof/>
        </w:rPr>
        <w:t>pēcpandēmijas laikā augošais pieprasījums, atsevišķu lauksaimniecības kultūru sliktā raža, mēslojuma sadārdzinājums augsto energoresursu cenu dēļ, kā arī loģistikas traucējumi. Treškārt, Krievijas agresija Ukrainā 2022</w:t>
      </w:r>
      <w:r>
        <w:rPr>
          <w:noProof/>
        </w:rPr>
        <w:t>. gad</w:t>
      </w:r>
      <w:r w:rsidRPr="003F378B">
        <w:rPr>
          <w:noProof/>
        </w:rPr>
        <w:t>a februāra beigās pastiprināja iepriekš minēto divu faktoru negatīvo</w:t>
      </w:r>
      <w:r w:rsidRPr="003F378B">
        <w:t xml:space="preserve"> ietekmi un palielināja spriedzi gan energoresursu, gan pārtikas tirgū. Kara uzsākšanas brīd</w:t>
      </w:r>
      <w:r>
        <w:t>ī</w:t>
      </w:r>
      <w:r w:rsidRPr="003F378B">
        <w:t xml:space="preserve"> Krievija bija lielākais gāzes </w:t>
      </w:r>
      <w:r>
        <w:t xml:space="preserve">piegādātājs </w:t>
      </w:r>
      <w:r w:rsidRPr="003F378B">
        <w:t>ES valst</w:t>
      </w:r>
      <w:r>
        <w:t>īm</w:t>
      </w:r>
      <w:r w:rsidRPr="003F378B">
        <w:t>, līdz ar to kar</w:t>
      </w:r>
      <w:r>
        <w:t xml:space="preserve">š </w:t>
      </w:r>
      <w:r w:rsidRPr="003F378B">
        <w:t>satricināja Eiropas gāzes tirg</w:t>
      </w:r>
      <w:r>
        <w:t>u</w:t>
      </w:r>
      <w:r w:rsidRPr="003F378B">
        <w:t xml:space="preserve">. Papildus tam, Krievija un Ukraina </w:t>
      </w:r>
      <w:r>
        <w:t xml:space="preserve">bija </w:t>
      </w:r>
      <w:r w:rsidRPr="003F378B">
        <w:t>vadoš</w:t>
      </w:r>
      <w:r>
        <w:t>ie</w:t>
      </w:r>
      <w:r w:rsidRPr="003F378B">
        <w:t xml:space="preserve"> gra</w:t>
      </w:r>
      <w:r>
        <w:t>u</w:t>
      </w:r>
      <w:r w:rsidRPr="003F378B">
        <w:t>daugu</w:t>
      </w:r>
      <w:r>
        <w:t>,</w:t>
      </w:r>
      <w:r w:rsidRPr="003F378B">
        <w:t xml:space="preserve"> </w:t>
      </w:r>
      <w:r w:rsidRPr="003F378B">
        <w:rPr>
          <w:rFonts w:cs="Times New Roman"/>
          <w:color w:val="000000" w:themeColor="text1"/>
        </w:rPr>
        <w:t xml:space="preserve">saulespuķu, kukurūzas un rapša </w:t>
      </w:r>
      <w:r>
        <w:rPr>
          <w:rFonts w:cs="Times New Roman"/>
          <w:color w:val="000000" w:themeColor="text1"/>
        </w:rPr>
        <w:t xml:space="preserve">piegādātāji </w:t>
      </w:r>
      <w:r w:rsidRPr="00D62AB9">
        <w:rPr>
          <w:rFonts w:cs="Times New Roman"/>
          <w:color w:val="000000" w:themeColor="text1"/>
        </w:rPr>
        <w:t>visā pasaulē, palielinot to cenu globālajos tirgos.</w:t>
      </w:r>
      <w:r w:rsidRPr="003F378B">
        <w:rPr>
          <w:rFonts w:cs="Times New Roman"/>
          <w:color w:val="000000" w:themeColor="text1"/>
        </w:rPr>
        <w:t xml:space="preserve"> Vienlaicīgi jāatzīmē, ka kara ietekme uz </w:t>
      </w:r>
      <w:r>
        <w:rPr>
          <w:rFonts w:cs="Times New Roman"/>
          <w:color w:val="000000" w:themeColor="text1"/>
        </w:rPr>
        <w:t>pasaules</w:t>
      </w:r>
      <w:r w:rsidRPr="003F378B">
        <w:rPr>
          <w:rFonts w:cs="Times New Roman"/>
          <w:color w:val="000000" w:themeColor="text1"/>
        </w:rPr>
        <w:t xml:space="preserve"> pārtikas cenām bija īslaicīga, jo </w:t>
      </w:r>
      <w:r>
        <w:rPr>
          <w:rFonts w:cs="Times New Roman"/>
          <w:color w:val="000000" w:themeColor="text1"/>
        </w:rPr>
        <w:t xml:space="preserve">no </w:t>
      </w:r>
      <w:r w:rsidRPr="003F378B">
        <w:rPr>
          <w:rFonts w:cs="Times New Roman"/>
          <w:color w:val="000000" w:themeColor="text1"/>
        </w:rPr>
        <w:t>2022</w:t>
      </w:r>
      <w:r>
        <w:rPr>
          <w:rFonts w:cs="Times New Roman"/>
          <w:color w:val="000000" w:themeColor="text1"/>
        </w:rPr>
        <w:t>. gad</w:t>
      </w:r>
      <w:r w:rsidRPr="003F378B">
        <w:rPr>
          <w:rFonts w:cs="Times New Roman"/>
          <w:color w:val="000000" w:themeColor="text1"/>
        </w:rPr>
        <w:t>a vidus neapstrādā</w:t>
      </w:r>
      <w:r>
        <w:rPr>
          <w:rFonts w:cs="Times New Roman"/>
          <w:color w:val="000000" w:themeColor="text1"/>
        </w:rPr>
        <w:t>tā</w:t>
      </w:r>
      <w:r w:rsidRPr="003F378B">
        <w:rPr>
          <w:rFonts w:cs="Times New Roman"/>
          <w:color w:val="000000" w:themeColor="text1"/>
        </w:rPr>
        <w:t xml:space="preserve">s pārtikas cenu pieaugums </w:t>
      </w:r>
      <w:r>
        <w:rPr>
          <w:rFonts w:cs="Times New Roman"/>
          <w:color w:val="000000" w:themeColor="text1"/>
        </w:rPr>
        <w:t xml:space="preserve">ir </w:t>
      </w:r>
      <w:r w:rsidRPr="003F378B">
        <w:rPr>
          <w:rFonts w:cs="Times New Roman"/>
          <w:color w:val="000000" w:themeColor="text1"/>
        </w:rPr>
        <w:t>apstājies, bet kopš pērnā gada novembr</w:t>
      </w:r>
      <w:r>
        <w:rPr>
          <w:rFonts w:cs="Times New Roman"/>
          <w:color w:val="000000" w:themeColor="text1"/>
        </w:rPr>
        <w:t xml:space="preserve">a ir </w:t>
      </w:r>
      <w:r w:rsidRPr="003F378B">
        <w:rPr>
          <w:rFonts w:cs="Times New Roman"/>
          <w:color w:val="000000" w:themeColor="text1"/>
        </w:rPr>
        <w:t>fiksēts cenu samazinājums.</w:t>
      </w:r>
    </w:p>
    <w:p w14:paraId="7B90192A" w14:textId="77777777" w:rsidR="00565001" w:rsidRDefault="00565001" w:rsidP="00766ABC">
      <w:r w:rsidRPr="00325165">
        <w:t>Lielāko devumu patēriņa cenu kāpumā</w:t>
      </w:r>
      <w:r>
        <w:t xml:space="preserve"> jeb 5,8 procentpunktus</w:t>
      </w:r>
      <w:r w:rsidRPr="00325165">
        <w:t xml:space="preserve"> 2022</w:t>
      </w:r>
      <w:r>
        <w:t>. gad</w:t>
      </w:r>
      <w:r w:rsidRPr="00325165">
        <w:t xml:space="preserve">ā </w:t>
      </w:r>
      <w:r>
        <w:t xml:space="preserve">veidoja </w:t>
      </w:r>
      <w:r w:rsidRPr="00325165">
        <w:t>ar mājokli saistīto pakalpojumu sadārdzinājums par 35,1%, ko ietekmēja elektroenerģijas, gāzes, siltumenerģijas, cietā kurināmā, kā arī ūdenspiegādes un atkritumu savākšanas pakalpojumu cenu pieaugums. Galvenais iemesls š</w:t>
      </w:r>
      <w:r>
        <w:t>o</w:t>
      </w:r>
      <w:r w:rsidRPr="00325165">
        <w:t xml:space="preserve"> preču un pakalpojumu grupas sadārdzinājumam bija augstā gāzes cena pasaules tirgos. Ņemot vērā, ka gāze tiek izmantota </w:t>
      </w:r>
      <w:r>
        <w:t xml:space="preserve">arī </w:t>
      </w:r>
      <w:r w:rsidRPr="00325165">
        <w:t xml:space="preserve">elektroenerģijas un siltumenerģijas ražošanā, </w:t>
      </w:r>
      <w:r>
        <w:t xml:space="preserve">tā </w:t>
      </w:r>
      <w:r w:rsidRPr="00325165">
        <w:t>tiešā veidā ietekmēj</w:t>
      </w:r>
      <w:r>
        <w:t>a</w:t>
      </w:r>
      <w:r w:rsidRPr="00325165">
        <w:t xml:space="preserve"> šo </w:t>
      </w:r>
      <w:r>
        <w:t xml:space="preserve">grupu </w:t>
      </w:r>
      <w:r w:rsidRPr="00325165">
        <w:t>cenu kāpumu.</w:t>
      </w:r>
    </w:p>
    <w:p w14:paraId="62226627" w14:textId="785BFB75" w:rsidR="00565001" w:rsidRDefault="00565001" w:rsidP="00766ABC">
      <w:r w:rsidRPr="00FE634D">
        <w:t>Būtisku devumu patēriņa cenu kāpumā 2022</w:t>
      </w:r>
      <w:r>
        <w:t>. gad</w:t>
      </w:r>
      <w:r w:rsidRPr="00FE634D">
        <w:t>ā nodrošināja</w:t>
      </w:r>
      <w:r>
        <w:t xml:space="preserve"> arī</w:t>
      </w:r>
      <w:r w:rsidRPr="00FE634D">
        <w:t xml:space="preserve"> pārtikas preču un bezalkoholisko dzērienu cenu pieaugums par 21,6%</w:t>
      </w:r>
      <w:r>
        <w:t xml:space="preserve">, palielinot kopējo inflāciju par </w:t>
      </w:r>
      <w:r w:rsidRPr="00FE634D">
        <w:t>5,5</w:t>
      </w:r>
      <w:r w:rsidR="00B3512B">
        <w:t> </w:t>
      </w:r>
      <w:r w:rsidRPr="00FE634D">
        <w:t>procentpunkt</w:t>
      </w:r>
      <w:r>
        <w:t>iem. P</w:t>
      </w:r>
      <w:r w:rsidRPr="00FE634D">
        <w:t>ārtikas preču cenu kāpums ir visaptverošs, jo cenas palielinājās visai pārtikai. Pārtika un bezalkoholiskie dzērieni veido ceturto daļu no kopējā mājsaimniecību patēriņa groza, līdz ar to cenu pieaugumam šai preču grupai ir būtiska ietekme uz iedzīvotāju izdevumiem un pirktspēju.</w:t>
      </w:r>
    </w:p>
    <w:p w14:paraId="5CB5D6C9" w14:textId="77777777" w:rsidR="00565001" w:rsidRDefault="00565001" w:rsidP="00766ABC">
      <w:pPr>
        <w:rPr>
          <w:color w:val="000000"/>
        </w:rPr>
      </w:pPr>
      <w:r>
        <w:t xml:space="preserve">Kopš 2023. gada sākuma inflācija </w:t>
      </w:r>
      <w:r>
        <w:rPr>
          <w:noProof/>
        </w:rPr>
        <w:t>uzrāda lejupslīdošu dinamiku. Šā gada</w:t>
      </w:r>
      <w:r>
        <w:t xml:space="preserve"> janvārī un februārī gada inflācija vēl pārsniedza 20%, bet martā inflācija samazinājās līdz 17,3%. Aktuālākie dati apstiprina, ka </w:t>
      </w:r>
      <w:r>
        <w:rPr>
          <w:color w:val="000000"/>
        </w:rPr>
        <w:t xml:space="preserve">inflācija Latvijā turpina mazināties. Šā gada jūnijā </w:t>
      </w:r>
      <w:r w:rsidRPr="007905BE">
        <w:rPr>
          <w:color w:val="000000"/>
        </w:rPr>
        <w:t>patēriņa cenu indekss bija par 7,9% augstāks nekā pirms gada,</w:t>
      </w:r>
      <w:r>
        <w:rPr>
          <w:color w:val="000000"/>
        </w:rPr>
        <w:t xml:space="preserve"> tādējādi pirmo reizi kopš pērnā gada marta inflācija noslīdēja zem 10% atzīmes. Jūnijā fiksētā inflācija bija mazākā kopš 2022. gada februāra. Tādējādi 2023. gada pirmajā pusē kopā patēriņa cenas bija par 15,5% augstākas nekā 2022. gada attiecīgajā periodā.</w:t>
      </w:r>
    </w:p>
    <w:p w14:paraId="46FDB715" w14:textId="2C917A15" w:rsidR="00565001" w:rsidRDefault="00565001" w:rsidP="00766ABC">
      <w:pPr>
        <w:rPr>
          <w:rFonts w:eastAsia="Times New Roman"/>
        </w:rPr>
      </w:pPr>
      <w:r>
        <w:rPr>
          <w:color w:val="000000"/>
        </w:rPr>
        <w:t xml:space="preserve">Arī šogad </w:t>
      </w:r>
      <w:r w:rsidRPr="00AC6464">
        <w:rPr>
          <w:color w:val="000000"/>
        </w:rPr>
        <w:t>pirmajā pusgadā</w:t>
      </w:r>
      <w:r>
        <w:rPr>
          <w:color w:val="000000"/>
        </w:rPr>
        <w:t xml:space="preserve"> l</w:t>
      </w:r>
      <w:r w:rsidRPr="00AC6464">
        <w:rPr>
          <w:color w:val="000000"/>
        </w:rPr>
        <w:t xml:space="preserve">ielāko devumu </w:t>
      </w:r>
      <w:r>
        <w:rPr>
          <w:color w:val="000000"/>
        </w:rPr>
        <w:t xml:space="preserve">(5,7 procentpunkti) </w:t>
      </w:r>
      <w:r w:rsidRPr="00AC6464">
        <w:rPr>
          <w:color w:val="000000"/>
        </w:rPr>
        <w:t xml:space="preserve">patēriņa cenu kāpumā </w:t>
      </w:r>
      <w:r w:rsidRPr="00AC6464">
        <w:rPr>
          <w:color w:val="000000" w:themeColor="text1"/>
        </w:rPr>
        <w:t xml:space="preserve">noteica </w:t>
      </w:r>
      <w:r w:rsidRPr="00AC6464">
        <w:t xml:space="preserve">ar mājokli saistīto pakalpojumu sadārdzinājums par 33,6%. </w:t>
      </w:r>
      <w:r>
        <w:t>Tomēr e</w:t>
      </w:r>
      <w:r w:rsidRPr="00AC6464">
        <w:t xml:space="preserve">nergoresursu cenas, it īpaši gāzes cena, </w:t>
      </w:r>
      <w:r>
        <w:t xml:space="preserve">šogad </w:t>
      </w:r>
      <w:r w:rsidRPr="00AC6464">
        <w:t xml:space="preserve">uzrāda lejupejošu dinamiku jau vairākus mēnešus pēc kārtas. </w:t>
      </w:r>
      <w:r>
        <w:t xml:space="preserve">Gāzes cena Eiropā 2023. gada jūlijā sasniedza zemāko līmeni kopš 2021. gada nogales jeb </w:t>
      </w:r>
      <w:r>
        <w:rPr>
          <w:noProof/>
        </w:rPr>
        <w:t>25</w:t>
      </w:r>
      <w:r w:rsidR="00B3512B">
        <w:rPr>
          <w:noProof/>
        </w:rPr>
        <w:t> </w:t>
      </w:r>
      <w:r w:rsidRPr="007D4069">
        <w:rPr>
          <w:i/>
          <w:iCs/>
          <w:noProof/>
        </w:rPr>
        <w:t>euro</w:t>
      </w:r>
      <w:r>
        <w:rPr>
          <w:noProof/>
        </w:rPr>
        <w:t xml:space="preserve">/MWh. </w:t>
      </w:r>
      <w:r w:rsidRPr="00D80158">
        <w:rPr>
          <w:rFonts w:eastAsia="Times New Roman"/>
          <w:noProof/>
        </w:rPr>
        <w:t>Lai</w:t>
      </w:r>
      <w:r w:rsidRPr="00D80158">
        <w:rPr>
          <w:rFonts w:eastAsia="Times New Roman"/>
        </w:rPr>
        <w:t xml:space="preserve"> arī gāzes cena būtiski samazinājās, tomēr </w:t>
      </w:r>
      <w:r>
        <w:rPr>
          <w:rFonts w:eastAsia="Times New Roman"/>
        </w:rPr>
        <w:t xml:space="preserve">tā </w:t>
      </w:r>
      <w:r w:rsidRPr="00D80158">
        <w:rPr>
          <w:rFonts w:eastAsia="Times New Roman"/>
        </w:rPr>
        <w:t>pazeminošā ietekme uz inflāciju sagaidāma vien šā gada otrajā pusē</w:t>
      </w:r>
      <w:r>
        <w:rPr>
          <w:rFonts w:eastAsia="Times New Roman"/>
        </w:rPr>
        <w:t xml:space="preserve">, jo </w:t>
      </w:r>
      <w:r w:rsidRPr="00D80158">
        <w:rPr>
          <w:rFonts w:eastAsia="Times New Roman"/>
        </w:rPr>
        <w:t>līgumi par gāzes piegādi galvenokārt tiek slēgti uz garāku laika periodu, lai nodrošinātu gāzes pietiekamību. Līdz ar to</w:t>
      </w:r>
      <w:r>
        <w:rPr>
          <w:rFonts w:eastAsia="Times New Roman"/>
        </w:rPr>
        <w:t>,</w:t>
      </w:r>
      <w:r w:rsidRPr="00D80158">
        <w:rPr>
          <w:rFonts w:eastAsia="Times New Roman"/>
        </w:rPr>
        <w:t xml:space="preserve"> gāzes cenai saglabājoties pašreizējā līmenī, sagaidāms, ka gāzes un siltumenerģijas tarifi šā gada otrajā pusē mazināsies. Lejupvērstu cenu dinamiku pēdējos mēnešos uzrāda arī šķelda, kas tiek plaši lietota kā kurināmais, tomēr arī šajā gadījumā pozitīva ietekme uz siltumenerģijas tarifiem būs novērojama ar nobīdi</w:t>
      </w:r>
      <w:r>
        <w:rPr>
          <w:rFonts w:eastAsia="Times New Roman"/>
        </w:rPr>
        <w:t>.</w:t>
      </w:r>
    </w:p>
    <w:p w14:paraId="0E658736" w14:textId="77777777" w:rsidR="00565001" w:rsidRDefault="00565001" w:rsidP="00766ABC">
      <w:pPr>
        <w:rPr>
          <w:rFonts w:eastAsia="Times New Roman"/>
        </w:rPr>
      </w:pPr>
      <w:r w:rsidRPr="007F0551">
        <w:rPr>
          <w:rFonts w:eastAsia="Times New Roman"/>
        </w:rPr>
        <w:t>Būtisk</w:t>
      </w:r>
      <w:r>
        <w:rPr>
          <w:rFonts w:eastAsia="Times New Roman"/>
        </w:rPr>
        <w:t>s</w:t>
      </w:r>
      <w:r w:rsidRPr="007F0551">
        <w:rPr>
          <w:rFonts w:eastAsia="Times New Roman"/>
        </w:rPr>
        <w:t xml:space="preserve"> devum</w:t>
      </w:r>
      <w:r>
        <w:rPr>
          <w:rFonts w:eastAsia="Times New Roman"/>
        </w:rPr>
        <w:t>s</w:t>
      </w:r>
      <w:r w:rsidRPr="007F0551">
        <w:rPr>
          <w:rFonts w:eastAsia="Times New Roman"/>
        </w:rPr>
        <w:t xml:space="preserve"> (5,5 procentpunkti) inflācijā </w:t>
      </w:r>
      <w:r>
        <w:rPr>
          <w:rFonts w:eastAsia="Times New Roman"/>
        </w:rPr>
        <w:t>bija</w:t>
      </w:r>
      <w:r w:rsidRPr="007F0551">
        <w:rPr>
          <w:rFonts w:eastAsia="Times New Roman"/>
        </w:rPr>
        <w:t xml:space="preserve"> </w:t>
      </w:r>
      <w:r>
        <w:rPr>
          <w:rFonts w:eastAsia="Times New Roman"/>
        </w:rPr>
        <w:t xml:space="preserve">arī </w:t>
      </w:r>
      <w:r w:rsidRPr="007F0551">
        <w:rPr>
          <w:rFonts w:eastAsia="Times New Roman"/>
        </w:rPr>
        <w:t>pārtikas un bezalkoholisko dzērienu cenu pieaugum</w:t>
      </w:r>
      <w:r>
        <w:rPr>
          <w:rFonts w:eastAsia="Times New Roman"/>
        </w:rPr>
        <w:t>am</w:t>
      </w:r>
      <w:r w:rsidRPr="007F0551">
        <w:rPr>
          <w:rFonts w:eastAsia="Times New Roman"/>
        </w:rPr>
        <w:t xml:space="preserve"> par 21,5%, t</w:t>
      </w:r>
      <w:r w:rsidRPr="007F0551">
        <w:t xml:space="preserve">ādējādi izskaidrojot vairāk nekā trešdaļu no fiksētās inflācijas. Pārtikas cenu pieaugums gada griezumā, </w:t>
      </w:r>
      <w:r>
        <w:t>lai arī samazinās</w:t>
      </w:r>
      <w:r w:rsidRPr="007F0551">
        <w:t>, tomēr ir būtiski augstāk</w:t>
      </w:r>
      <w:r>
        <w:t>s</w:t>
      </w:r>
      <w:r w:rsidRPr="007F0551">
        <w:t xml:space="preserve"> par vidējo inflāciju</w:t>
      </w:r>
      <w:r>
        <w:t xml:space="preserve">, un turpina ietekmēt </w:t>
      </w:r>
      <w:r w:rsidRPr="007F0551">
        <w:t>mājsaimniecīb</w:t>
      </w:r>
      <w:r>
        <w:t>u</w:t>
      </w:r>
      <w:r w:rsidRPr="007F0551">
        <w:t xml:space="preserve"> izdevum</w:t>
      </w:r>
      <w:r>
        <w:t>us</w:t>
      </w:r>
      <w:r w:rsidRPr="007F0551">
        <w:t xml:space="preserve">, it īpaši mājsaimniecībām </w:t>
      </w:r>
      <w:r w:rsidRPr="007F0551">
        <w:lastRenderedPageBreak/>
        <w:t>ar zemiem ienākumiem. Pārtikas cen</w:t>
      </w:r>
      <w:r>
        <w:t>a</w:t>
      </w:r>
      <w:r w:rsidRPr="007F0551">
        <w:t>s pasaul</w:t>
      </w:r>
      <w:r>
        <w:t>ē</w:t>
      </w:r>
      <w:r w:rsidRPr="007F0551">
        <w:t xml:space="preserve"> pērnā gada pirmajā pusgadā būtiski pieauga, ko</w:t>
      </w:r>
      <w:r>
        <w:t xml:space="preserve"> </w:t>
      </w:r>
      <w:r w:rsidRPr="007F0551">
        <w:t xml:space="preserve">ietekmēja </w:t>
      </w:r>
      <w:r>
        <w:t xml:space="preserve">arī </w:t>
      </w:r>
      <w:r w:rsidRPr="007F0551">
        <w:t>augst</w:t>
      </w:r>
      <w:r>
        <w:t>ā</w:t>
      </w:r>
      <w:r w:rsidRPr="007F0551">
        <w:t>s energoresursu cenas</w:t>
      </w:r>
      <w:r>
        <w:t>,</w:t>
      </w:r>
      <w:r w:rsidRPr="007F0551">
        <w:t xml:space="preserve"> sadārdzinot minerālmēsl</w:t>
      </w:r>
      <w:r>
        <w:t>ojumu</w:t>
      </w:r>
      <w:r w:rsidRPr="007F0551">
        <w:t xml:space="preserve">, kā arī </w:t>
      </w:r>
      <w:r>
        <w:t xml:space="preserve">palielinot </w:t>
      </w:r>
      <w:r w:rsidRPr="007F0551">
        <w:t xml:space="preserve">pārtikas savākšanas, piegādēs un apstrādes izmaksas. </w:t>
      </w:r>
      <w:r w:rsidRPr="007F0551">
        <w:rPr>
          <w:rFonts w:eastAsia="Times New Roman"/>
        </w:rPr>
        <w:t>Tomēr gāzes un naftas cenas kopš kara sākuma</w:t>
      </w:r>
      <w:r w:rsidRPr="009D624F">
        <w:rPr>
          <w:rFonts w:eastAsia="Times New Roman"/>
        </w:rPr>
        <w:t xml:space="preserve"> </w:t>
      </w:r>
      <w:r w:rsidRPr="007F0551">
        <w:rPr>
          <w:rFonts w:eastAsia="Times New Roman"/>
        </w:rPr>
        <w:t>jau ir būtiski samazinājuš</w:t>
      </w:r>
      <w:r>
        <w:rPr>
          <w:rFonts w:eastAsia="Times New Roman"/>
        </w:rPr>
        <w:t>ā</w:t>
      </w:r>
      <w:r w:rsidRPr="007F0551">
        <w:rPr>
          <w:rFonts w:eastAsia="Times New Roman"/>
        </w:rPr>
        <w:t>s. Neapstrādā</w:t>
      </w:r>
      <w:r>
        <w:rPr>
          <w:rFonts w:eastAsia="Times New Roman"/>
        </w:rPr>
        <w:t>tā</w:t>
      </w:r>
      <w:r w:rsidRPr="007F0551">
        <w:rPr>
          <w:rFonts w:eastAsia="Times New Roman"/>
        </w:rPr>
        <w:t xml:space="preserve">s pārtikas cenas pasaulē kopš pērnā gada novembra uzrāda kritumu. Salīdzinājumā arī vidējo pārtikas cenu </w:t>
      </w:r>
      <w:r w:rsidRPr="007F0551">
        <w:rPr>
          <w:rFonts w:eastAsia="Times New Roman"/>
          <w:noProof/>
        </w:rPr>
        <w:t>inflāciju eirozonā pārtikas</w:t>
      </w:r>
      <w:r w:rsidRPr="007F0551">
        <w:rPr>
          <w:rFonts w:eastAsia="Times New Roman"/>
        </w:rPr>
        <w:t xml:space="preserve"> cenu kāpums Latvijā ir būtiski augstāks</w:t>
      </w:r>
      <w:r>
        <w:rPr>
          <w:rFonts w:eastAsia="Times New Roman"/>
        </w:rPr>
        <w:t xml:space="preserve"> –</w:t>
      </w:r>
      <w:r w:rsidRPr="007F0551">
        <w:rPr>
          <w:rFonts w:eastAsia="Times New Roman"/>
        </w:rPr>
        <w:t xml:space="preserve"> aptuveni par ceturto daļu vidēji šā gada pirmajā pusgadā. Ņemot vērā energoresursu</w:t>
      </w:r>
      <w:r>
        <w:rPr>
          <w:rFonts w:eastAsia="Times New Roman"/>
        </w:rPr>
        <w:t xml:space="preserve"> un</w:t>
      </w:r>
      <w:r w:rsidRPr="007F0551">
        <w:rPr>
          <w:rFonts w:eastAsia="Times New Roman"/>
        </w:rPr>
        <w:t xml:space="preserve"> neapstrādā</w:t>
      </w:r>
      <w:r>
        <w:rPr>
          <w:rFonts w:eastAsia="Times New Roman"/>
        </w:rPr>
        <w:t>tā</w:t>
      </w:r>
      <w:r w:rsidRPr="007F0551">
        <w:rPr>
          <w:rFonts w:eastAsia="Times New Roman"/>
        </w:rPr>
        <w:t>s pārtikas cenu dinamiku pasaules tirgos, kā arī pārtikas cenu tendences citās ES dalībvalstīs, pašreiz pastāv visi priekšnosacījumi pārtikas cenu samazinājumam arī Latvijā.</w:t>
      </w:r>
    </w:p>
    <w:p w14:paraId="6800C947" w14:textId="77777777" w:rsidR="00565001" w:rsidRDefault="00565001" w:rsidP="00766ABC">
      <w:r>
        <w:t>Tajā pašā laikā pamatinflācija (inflācija, neņemot vērā enerģijas un neapstrādātās pārtikas cenu izmaiņas) saglabājas augsta, kas ir būtisks šķērslis privātā patēriņa kontekstā. Atbilstoši Finanšu ministrijas novērtējumam, pamatinflācija šā gada pirmajā pusgadā bija 12,7%. Lai arī pamatinflācija gada pirmajā pusē kopā ir mazāka nekā vidējā inflācija, tomēr jūnijā pamatinflācija (9,8%) jau bija augstāka par vidējo inflāciju (7,9%). Visticamāk, šāda tendence saglabāsies arī turpmāk. Atbilstoši šā gada jūnija prognozēm, pamatinflācija šogad sasniegs 7,8%. Savukārt nākamgad pamatinflācija varētu samazināties līdz 5,1%, kas tomēr vairāk nekā divas reizes pārsniedz  gada vidējās inflācijas prognozi.</w:t>
      </w:r>
    </w:p>
    <w:p w14:paraId="01369E82" w14:textId="77777777" w:rsidR="00565001" w:rsidRDefault="00565001" w:rsidP="00766ABC">
      <w:r>
        <w:rPr>
          <w:noProof/>
        </w:rPr>
        <w:t>Līdzīga situācija vērojama arī eirozonā kopumā. Ja šā gada janvārī gada inflācija eirozonā bija 8,6%, tad jūnijā tā samazinājās līdz 5,5%. Savukārt pamatinflācija eirozonā šā gada janvārī bija 5,3%, bet jūnijā 5,4%, apstiprinot, ka pamatinflācija eirozonā ir noturīga. Lielā mērā augsta pamatinflācija un tās noturīgums gan Latvijā, gan eirozonā ir saistīts ar otrreizējiem efektiem pēc lielās energoresursu un pārtikas cenu inflācijas. Tomēr pašlaik pastāv</w:t>
      </w:r>
      <w:r>
        <w:t xml:space="preserve"> visi priekšnosacījumi, lai arī pamatinflācija samazinātos straujāk.</w:t>
      </w:r>
    </w:p>
    <w:p w14:paraId="276BA26A" w14:textId="77777777" w:rsidR="00565001" w:rsidRPr="008021D7" w:rsidRDefault="00565001" w:rsidP="00766ABC">
      <w:pPr>
        <w:pStyle w:val="H4"/>
        <w:ind w:left="0" w:firstLine="720"/>
        <w:jc w:val="both"/>
        <w:outlineLvl w:val="9"/>
        <w:rPr>
          <w:rFonts w:ascii="Times New Roman" w:hAnsi="Times New Roman"/>
          <w:iCs/>
          <w:sz w:val="24"/>
          <w:szCs w:val="24"/>
        </w:rPr>
      </w:pPr>
      <w:r w:rsidRPr="008021D7">
        <w:rPr>
          <w:rFonts w:ascii="Times New Roman" w:hAnsi="Times New Roman"/>
          <w:iCs/>
          <w:sz w:val="24"/>
          <w:szCs w:val="24"/>
        </w:rPr>
        <w:t>Makroekonomiskās attīstības scenārijs</w:t>
      </w:r>
    </w:p>
    <w:p w14:paraId="67429765" w14:textId="77777777" w:rsidR="00565001" w:rsidRDefault="00565001" w:rsidP="00766ABC">
      <w:r w:rsidRPr="000364F5">
        <w:t>Vidēj</w:t>
      </w:r>
      <w:r>
        <w:t>ā</w:t>
      </w:r>
      <w:r w:rsidRPr="000364F5">
        <w:t xml:space="preserve"> termiņa makroekonomiskās attīstības scenārijs 202</w:t>
      </w:r>
      <w:r>
        <w:t>3</w:t>
      </w:r>
      <w:r w:rsidRPr="000364F5">
        <w:t>.</w:t>
      </w:r>
      <w:r w:rsidRPr="000364F5">
        <w:noBreakHyphen/>
        <w:t>202</w:t>
      </w:r>
      <w:r>
        <w:t>6. gad</w:t>
      </w:r>
      <w:r w:rsidRPr="000364F5">
        <w:t>am izstrādāts 202</w:t>
      </w:r>
      <w:r>
        <w:t>3. gad</w:t>
      </w:r>
      <w:r w:rsidRPr="000364F5">
        <w:t>a jūnijā, balstoties uz 202</w:t>
      </w:r>
      <w:r>
        <w:t>3. gad</w:t>
      </w:r>
      <w:r w:rsidRPr="000364F5">
        <w:t xml:space="preserve">a pirmā ceturkšņa IKP datiem, kā </w:t>
      </w:r>
      <w:bookmarkStart w:id="1" w:name="_Hlk141919487"/>
      <w:r w:rsidRPr="000364F5">
        <w:t>arī līdz šā gada jūnijam pieejamo īstermiņa makroekonomisko informāciju</w:t>
      </w:r>
      <w:bookmarkEnd w:id="1"/>
      <w:r w:rsidRPr="000364F5">
        <w:t>. Izstrādājot vidēja termiņa makroekonomiskās attīstības scenāriju, FM ir konsultējusies ar SVF un EK ekspertiem. Makroekonomisko rādītāju prognozes ir saskaņotas ar Latvijas Banku un Ekonomikas ministriju, kā arī tās 202</w:t>
      </w:r>
      <w:r>
        <w:t>3. gad</w:t>
      </w:r>
      <w:r w:rsidRPr="000364F5">
        <w:t>a 1</w:t>
      </w:r>
      <w:r>
        <w:t>3</w:t>
      </w:r>
      <w:r w:rsidRPr="000364F5">
        <w:t>. jūnijā ir apstiprinājusi Fiskālās disciplīnas padome.</w:t>
      </w:r>
    </w:p>
    <w:p w14:paraId="00B6EFB3" w14:textId="7EBEFFD7" w:rsidR="00565001" w:rsidRDefault="00565001" w:rsidP="00766ABC">
      <w:r w:rsidRPr="000364F5">
        <w:t xml:space="preserve">Makroekonomiskās attīstības scenārijs </w:t>
      </w:r>
      <w:r w:rsidR="009F0FD7">
        <w:t>(skat. 2. tabulu)</w:t>
      </w:r>
      <w:r w:rsidR="009F0FD7" w:rsidRPr="000364F5">
        <w:t xml:space="preserve"> </w:t>
      </w:r>
      <w:r w:rsidRPr="000364F5">
        <w:t>paredz, ka Latvijas ekonomikas izaugsme 202</w:t>
      </w:r>
      <w:r>
        <w:t>3. gad</w:t>
      </w:r>
      <w:r w:rsidRPr="000364F5">
        <w:t>ā sasniegs</w:t>
      </w:r>
      <w:r>
        <w:t xml:space="preserve"> 1%, </w:t>
      </w:r>
      <w:r w:rsidRPr="007D6C2F">
        <w:t>par vienu procentpunktu vairāk nekā šā gada februāra sākumā izstrādātajās prognozēs</w:t>
      </w:r>
      <w:r>
        <w:t xml:space="preserve">, un </w:t>
      </w:r>
      <w:r w:rsidRPr="007D6C2F">
        <w:t>2024</w:t>
      </w:r>
      <w:r>
        <w:t>. gad</w:t>
      </w:r>
      <w:r w:rsidRPr="007D6C2F">
        <w:t>ā gaidāma ekonomiskās izaugsmes paātrināšanās līdz 2,5%, kas ir par 0,5 procentpunktiem vairāk, nekā tika prognozēts februāra sākumā</w:t>
      </w:r>
      <w:r>
        <w:t xml:space="preserve">. Tas ir skaidrojams ar to, ka </w:t>
      </w:r>
      <w:r w:rsidRPr="00045976">
        <w:t xml:space="preserve">Latvijas ekonomika labāk nekā sagaidīts </w:t>
      </w:r>
      <w:r>
        <w:t xml:space="preserve">ir </w:t>
      </w:r>
      <w:r w:rsidRPr="00045976">
        <w:t xml:space="preserve">pārvarējusi problēmas, kas </w:t>
      </w:r>
      <w:r>
        <w:t>g</w:t>
      </w:r>
      <w:r w:rsidRPr="00045976">
        <w:t xml:space="preserve">an pērn, gan šī gada pirmajā pusē radušās sakarā </w:t>
      </w:r>
      <w:r>
        <w:t xml:space="preserve">Krievijas karu Ukrainā un tā izraisīto </w:t>
      </w:r>
      <w:r w:rsidRPr="00045976">
        <w:t>energoresursu cenu kāpumu. Siltā ziema un valsts atbalsta pasākumi ir mazinājuši energoresursu cenu kāpuma negatīvo ietekmi uz mājsaimniecību patēriņu.</w:t>
      </w:r>
      <w:r>
        <w:t xml:space="preserve"> Savukārt </w:t>
      </w:r>
      <w:r w:rsidRPr="007D6C2F">
        <w:t>divos nākamajos gados – 2025. un 2026</w:t>
      </w:r>
      <w:r>
        <w:t>. gad</w:t>
      </w:r>
      <w:r w:rsidRPr="007D6C2F">
        <w:t xml:space="preserve">ā </w:t>
      </w:r>
      <w:r>
        <w:t>–</w:t>
      </w:r>
      <w:r w:rsidRPr="007D6C2F">
        <w:t xml:space="preserve"> ekonomikas izaugsme tiek prognozēta 2,9% apmērā.</w:t>
      </w:r>
    </w:p>
    <w:p w14:paraId="05165456" w14:textId="77777777" w:rsidR="00565001" w:rsidRDefault="00565001" w:rsidP="00766ABC">
      <w:r>
        <w:t xml:space="preserve">Ja 2021. un 2022. gadā ekonomikas virzītājs bija </w:t>
      </w:r>
      <w:r w:rsidRPr="00B603C2">
        <w:rPr>
          <w:b/>
          <w:bCs/>
        </w:rPr>
        <w:t>privātais patēriņš</w:t>
      </w:r>
      <w:r>
        <w:t xml:space="preserve">, šajos gados augot par 8,1%, tad 2023. gads iesākās ar ļoti mērenu privātā patēriņa pieaugumu, ko jūtami bremzēja lielā inflācija un pirktspējas samazinājums. Līdz ar to scenārijs neparedz privātā patēriņa būtisku izaugsmi šogad un nākamgad, ko lielā mērā nosaka nenoteiktība par to, kāda būs nākamās ziemas apkures sezona un iespējamie tarifu pieaugumi, kā arī vēl joprojām augstā pamatinflācija. Tomēr kopumā izaugsme būs labāka, nekā prognozēts šā gada februārī. </w:t>
      </w:r>
      <w:r w:rsidRPr="001F0622">
        <w:t>202</w:t>
      </w:r>
      <w:r>
        <w:t>3. gad</w:t>
      </w:r>
      <w:r w:rsidRPr="001F0622">
        <w:t>ā privātā patēriņa pieaugums varētu sasniegt 1</w:t>
      </w:r>
      <w:r>
        <w:t>,1</w:t>
      </w:r>
      <w:r w:rsidRPr="001F0622">
        <w:t>%</w:t>
      </w:r>
      <w:r>
        <w:t xml:space="preserve"> un 2024. gadā 2,6%, kas ir attiecīgi par 2,1 un 0,5 procentpunktiem vairāk nekā februāra prognozēs.</w:t>
      </w:r>
    </w:p>
    <w:p w14:paraId="44AE2476" w14:textId="77777777" w:rsidR="00565001" w:rsidRPr="00710886" w:rsidRDefault="00565001" w:rsidP="00766ABC">
      <w:r>
        <w:lastRenderedPageBreak/>
        <w:t xml:space="preserve">Tādējādi </w:t>
      </w:r>
      <w:r w:rsidRPr="00313AA6">
        <w:t xml:space="preserve">ekonomikas izaugsmes galvenais virzītājspēks šogad </w:t>
      </w:r>
      <w:r>
        <w:t xml:space="preserve">un nākamgad </w:t>
      </w:r>
      <w:r w:rsidRPr="00313AA6">
        <w:t>būs</w:t>
      </w:r>
      <w:r>
        <w:t xml:space="preserve"> </w:t>
      </w:r>
      <w:r w:rsidRPr="00313AA6">
        <w:rPr>
          <w:b/>
          <w:bCs/>
        </w:rPr>
        <w:t>investīcijas</w:t>
      </w:r>
      <w:r>
        <w:t xml:space="preserve">. </w:t>
      </w:r>
      <w:r w:rsidRPr="00710886">
        <w:t xml:space="preserve">Investīciju apjoms šogad varētu palielināties par </w:t>
      </w:r>
      <w:r>
        <w:t>6</w:t>
      </w:r>
      <w:r w:rsidRPr="00710886">
        <w:t xml:space="preserve">,1%, </w:t>
      </w:r>
      <w:r>
        <w:t xml:space="preserve">kas ir par 5,1 procentpunktu vairāk nekā februāra prognozēs. Investīcijas stimulēs </w:t>
      </w:r>
      <w:r w:rsidRPr="00710886">
        <w:t xml:space="preserve">ES fondu un Atveseļošanās un noturības mehānisma </w:t>
      </w:r>
      <w:r w:rsidRPr="00710886">
        <w:rPr>
          <w:noProof/>
        </w:rPr>
        <w:t>finansējam</w:t>
      </w:r>
      <w:r>
        <w:rPr>
          <w:noProof/>
        </w:rPr>
        <w:t>s</w:t>
      </w:r>
      <w:r w:rsidRPr="00710886">
        <w:rPr>
          <w:noProof/>
        </w:rPr>
        <w:t xml:space="preserve">, kā arī </w:t>
      </w:r>
      <w:r w:rsidRPr="00710886">
        <w:rPr>
          <w:i/>
          <w:noProof/>
        </w:rPr>
        <w:t>RailBaltica</w:t>
      </w:r>
      <w:r w:rsidRPr="00710886">
        <w:rPr>
          <w:noProof/>
        </w:rPr>
        <w:t xml:space="preserve"> projekta</w:t>
      </w:r>
      <w:r w:rsidRPr="00710886">
        <w:t xml:space="preserve"> realizācija.</w:t>
      </w:r>
      <w:r>
        <w:t xml:space="preserve"> Jau 2023. gada 1. ceturksnī bruto pamatkapitāla veidošanas gada pieaugums sasniedza 11,3%, veicinot arī būvniecības sektora aktivitātes atjaunošanos pēc divu gadu krituma. Turpmākajos gados investīciju izaugsme būs mērenāka – 2024. gadā pieaugot par 3,1% un turpmākajos gados vidēji 4% gadā.</w:t>
      </w:r>
    </w:p>
    <w:p w14:paraId="5504334F" w14:textId="575A410A" w:rsidR="00565001" w:rsidRPr="000364F5" w:rsidRDefault="00565001" w:rsidP="00766ABC">
      <w:r w:rsidRPr="00D24FCF">
        <w:t xml:space="preserve">Attiecībā uz </w:t>
      </w:r>
      <w:r w:rsidRPr="001C6F95">
        <w:rPr>
          <w:b/>
          <w:bCs/>
        </w:rPr>
        <w:t>eksporta</w:t>
      </w:r>
      <w:r w:rsidRPr="00D24FCF">
        <w:t xml:space="preserve"> prognozi, tad tā dinamiku ietekmēs Latvijas tirdzniecības partneru ekonomiskā aktivitāte, kam par pamat</w:t>
      </w:r>
      <w:r>
        <w:t>u</w:t>
      </w:r>
      <w:r w:rsidRPr="00D24FCF">
        <w:t xml:space="preserve"> tika ņemtas Eiropas </w:t>
      </w:r>
      <w:r>
        <w:t>K</w:t>
      </w:r>
      <w:r w:rsidRPr="00D24FCF">
        <w:t>omisijas pavasara prognozes.</w:t>
      </w:r>
      <w:r>
        <w:t xml:space="preserve"> Tāpēc ārējais pieprasījums 2023. gadā būs nedaudz spēcīgāks nekā februāra prognozēs, savukārt </w:t>
      </w:r>
      <w:r w:rsidRPr="001C6F95">
        <w:t>2024</w:t>
      </w:r>
      <w:r>
        <w:t>. gad</w:t>
      </w:r>
      <w:r w:rsidRPr="001C6F95">
        <w:t xml:space="preserve">a izaugsme būs </w:t>
      </w:r>
      <w:r>
        <w:t xml:space="preserve">iepriekš </w:t>
      </w:r>
      <w:r w:rsidRPr="001C6F95">
        <w:t>prognozēt</w:t>
      </w:r>
      <w:r>
        <w:t>ajā līmenī</w:t>
      </w:r>
      <w:r w:rsidRPr="001C6F95">
        <w:t>. Tomēr eksporta pieaugums 2023</w:t>
      </w:r>
      <w:r>
        <w:t>. gad</w:t>
      </w:r>
      <w:r w:rsidRPr="001C6F95">
        <w:t>ā varētu palikt iepriekšējā gada līmen</w:t>
      </w:r>
      <w:r>
        <w:t>ī</w:t>
      </w:r>
      <w:r w:rsidRPr="001C6F95">
        <w:t>, jo to vairs neveicinās straujais eksporta cenu pieaugums. Savukārt jau 2024</w:t>
      </w:r>
      <w:r>
        <w:t>. gad</w:t>
      </w:r>
      <w:r w:rsidRPr="001C6F95">
        <w:t xml:space="preserve">ā eksporta pieaugums sāks atjaunoties </w:t>
      </w:r>
      <w:r>
        <w:t xml:space="preserve">līdz </w:t>
      </w:r>
      <w:r w:rsidRPr="001C6F95">
        <w:t>3,7%</w:t>
      </w:r>
      <w:r>
        <w:t xml:space="preserve"> un līdzīga dinamika gaidāma arī vidējā termiņā.</w:t>
      </w:r>
    </w:p>
    <w:p w14:paraId="1D31391D" w14:textId="3C7E0E60" w:rsidR="00565001" w:rsidRPr="00D57E58" w:rsidRDefault="00565001" w:rsidP="00E658DD">
      <w:pPr>
        <w:jc w:val="center"/>
        <w:rPr>
          <w:b/>
          <w:bCs/>
        </w:rPr>
      </w:pPr>
      <w:r w:rsidRPr="00393292">
        <w:rPr>
          <w:b/>
          <w:bCs/>
        </w:rPr>
        <w:t>2. tabula. Makroekonomiskie</w:t>
      </w:r>
      <w:r w:rsidRPr="00D57E58">
        <w:rPr>
          <w:b/>
          <w:bCs/>
        </w:rPr>
        <w:t xml:space="preserve"> rādītāji 2023. – 2026</w:t>
      </w:r>
      <w:r>
        <w:rPr>
          <w:b/>
          <w:bCs/>
        </w:rPr>
        <w:t>. gad</w:t>
      </w:r>
      <w:r w:rsidRPr="00D57E58">
        <w:rPr>
          <w:b/>
          <w:bCs/>
        </w:rPr>
        <w:t>ā</w:t>
      </w:r>
    </w:p>
    <w:tbl>
      <w:tblPr>
        <w:tblW w:w="4888" w:type="pct"/>
        <w:jc w:val="center"/>
        <w:tblLayout w:type="fixed"/>
        <w:tblLook w:val="04A0" w:firstRow="1" w:lastRow="0" w:firstColumn="1" w:lastColumn="0" w:noHBand="0" w:noVBand="1"/>
      </w:tblPr>
      <w:tblGrid>
        <w:gridCol w:w="3738"/>
        <w:gridCol w:w="1108"/>
        <w:gridCol w:w="920"/>
        <w:gridCol w:w="1027"/>
        <w:gridCol w:w="1027"/>
        <w:gridCol w:w="1027"/>
        <w:gridCol w:w="11"/>
      </w:tblGrid>
      <w:tr w:rsidR="003154E7" w:rsidRPr="003154E7" w14:paraId="42453837" w14:textId="77777777" w:rsidTr="00B3512B">
        <w:trPr>
          <w:gridAfter w:val="1"/>
          <w:wAfter w:w="11" w:type="dxa"/>
          <w:trHeight w:val="345"/>
          <w:jc w:val="center"/>
        </w:trPr>
        <w:tc>
          <w:tcPr>
            <w:tcW w:w="3738" w:type="dxa"/>
            <w:tcBorders>
              <w:top w:val="single" w:sz="4" w:space="0" w:color="auto"/>
              <w:left w:val="single" w:sz="4" w:space="0" w:color="auto"/>
              <w:right w:val="single" w:sz="4" w:space="0" w:color="auto"/>
            </w:tcBorders>
            <w:shd w:val="clear" w:color="auto" w:fill="auto"/>
            <w:noWrap/>
            <w:vAlign w:val="center"/>
            <w:hideMark/>
          </w:tcPr>
          <w:p w14:paraId="0EAF023E" w14:textId="77777777" w:rsidR="003154E7" w:rsidRPr="00EE5E38" w:rsidRDefault="003154E7" w:rsidP="006C4840">
            <w:pPr>
              <w:spacing w:before="0" w:after="0"/>
              <w:ind w:firstLine="0"/>
              <w:rPr>
                <w:rFonts w:eastAsia="Calibri" w:cs="Times New Roman"/>
                <w:sz w:val="20"/>
                <w:szCs w:val="20"/>
                <w:lang w:eastAsia="lv-LV"/>
              </w:rPr>
            </w:pP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14:paraId="6AF5C183" w14:textId="77777777" w:rsidR="003154E7" w:rsidRPr="00EE5E38" w:rsidRDefault="003154E7" w:rsidP="006C4840">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2022</w:t>
            </w:r>
          </w:p>
        </w:tc>
        <w:tc>
          <w:tcPr>
            <w:tcW w:w="920"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710DB93F" w14:textId="77777777" w:rsidR="003154E7" w:rsidRPr="00EE5E38" w:rsidRDefault="003154E7" w:rsidP="006C4840">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2023</w:t>
            </w:r>
          </w:p>
        </w:tc>
        <w:tc>
          <w:tcPr>
            <w:tcW w:w="1027"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36888D10" w14:textId="77777777" w:rsidR="003154E7" w:rsidRPr="00EE5E38" w:rsidRDefault="003154E7" w:rsidP="006C4840">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2024</w:t>
            </w:r>
          </w:p>
        </w:tc>
        <w:tc>
          <w:tcPr>
            <w:tcW w:w="1027"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2F987D4C" w14:textId="77777777" w:rsidR="003154E7" w:rsidRPr="00EE5E38" w:rsidRDefault="003154E7" w:rsidP="006C4840">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2025</w:t>
            </w:r>
          </w:p>
        </w:tc>
        <w:tc>
          <w:tcPr>
            <w:tcW w:w="1027"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080BA853" w14:textId="77777777" w:rsidR="003154E7" w:rsidRPr="00EE5E38" w:rsidRDefault="003154E7" w:rsidP="006C4840">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2026</w:t>
            </w:r>
          </w:p>
        </w:tc>
      </w:tr>
      <w:tr w:rsidR="003154E7" w:rsidRPr="00500AAB" w14:paraId="458AEA13" w14:textId="77777777" w:rsidTr="00B3512B">
        <w:trPr>
          <w:trHeight w:val="323"/>
          <w:jc w:val="center"/>
        </w:trPr>
        <w:tc>
          <w:tcPr>
            <w:tcW w:w="3738" w:type="dxa"/>
            <w:tcBorders>
              <w:left w:val="single" w:sz="4" w:space="0" w:color="auto"/>
              <w:bottom w:val="single" w:sz="4" w:space="0" w:color="auto"/>
              <w:right w:val="single" w:sz="4" w:space="0" w:color="auto"/>
            </w:tcBorders>
            <w:shd w:val="clear" w:color="auto" w:fill="auto"/>
            <w:noWrap/>
            <w:vAlign w:val="center"/>
          </w:tcPr>
          <w:p w14:paraId="748A7B6E" w14:textId="77777777" w:rsidR="003154E7" w:rsidRPr="00EE5E38" w:rsidRDefault="003154E7" w:rsidP="006C4840">
            <w:pPr>
              <w:spacing w:before="0" w:after="0"/>
              <w:ind w:firstLine="0"/>
              <w:rPr>
                <w:rFonts w:eastAsia="Calibri" w:cs="Times New Roman"/>
                <w:sz w:val="20"/>
                <w:szCs w:val="20"/>
                <w:lang w:eastAsia="lv-LV"/>
              </w:rPr>
            </w:pPr>
          </w:p>
        </w:tc>
        <w:tc>
          <w:tcPr>
            <w:tcW w:w="1108" w:type="dxa"/>
            <w:tcBorders>
              <w:top w:val="single" w:sz="4" w:space="0" w:color="auto"/>
              <w:left w:val="nil"/>
              <w:bottom w:val="single" w:sz="4" w:space="0" w:color="auto"/>
              <w:right w:val="single" w:sz="4" w:space="0" w:color="auto"/>
            </w:tcBorders>
            <w:shd w:val="clear" w:color="auto" w:fill="auto"/>
            <w:noWrap/>
            <w:vAlign w:val="center"/>
          </w:tcPr>
          <w:p w14:paraId="7FAE28E9" w14:textId="77777777" w:rsidR="003154E7" w:rsidRPr="00EE5E38" w:rsidRDefault="003154E7" w:rsidP="006C4840">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fakts</w:t>
            </w:r>
          </w:p>
        </w:tc>
        <w:tc>
          <w:tcPr>
            <w:tcW w:w="4012" w:type="dxa"/>
            <w:gridSpan w:val="5"/>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57647FE2" w14:textId="77777777" w:rsidR="003154E7" w:rsidRPr="00EE5E38" w:rsidRDefault="003154E7" w:rsidP="006C4840">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prognoze</w:t>
            </w:r>
          </w:p>
        </w:tc>
      </w:tr>
      <w:tr w:rsidR="003154E7" w:rsidRPr="00500AAB" w14:paraId="3A66ABE2" w14:textId="77777777" w:rsidTr="00B3512B">
        <w:trPr>
          <w:gridAfter w:val="1"/>
          <w:wAfter w:w="11" w:type="dxa"/>
          <w:trHeight w:val="295"/>
          <w:jc w:val="center"/>
        </w:trPr>
        <w:tc>
          <w:tcPr>
            <w:tcW w:w="3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2C718" w14:textId="77777777" w:rsidR="003154E7" w:rsidRPr="00EE5E38" w:rsidRDefault="003154E7" w:rsidP="006C4840">
            <w:pPr>
              <w:spacing w:before="0" w:after="0"/>
              <w:ind w:firstLine="0"/>
              <w:rPr>
                <w:rFonts w:eastAsia="Calibri" w:cs="Times New Roman"/>
                <w:b/>
                <w:bCs/>
                <w:noProof/>
                <w:sz w:val="20"/>
                <w:szCs w:val="20"/>
                <w:lang w:eastAsia="lv-LV"/>
              </w:rPr>
            </w:pPr>
            <w:r w:rsidRPr="00EE5E38">
              <w:rPr>
                <w:rFonts w:eastAsia="Calibri" w:cs="Times New Roman"/>
                <w:b/>
                <w:bCs/>
                <w:noProof/>
                <w:sz w:val="20"/>
                <w:szCs w:val="20"/>
                <w:lang w:eastAsia="lv-LV"/>
              </w:rPr>
              <w:t>Iekšzemes kopprodukts (IKP), milj.</w:t>
            </w:r>
            <w:r w:rsidRPr="00BC7260">
              <w:rPr>
                <w:rFonts w:eastAsia="Calibri" w:cs="Times New Roman"/>
                <w:b/>
                <w:bCs/>
                <w:i/>
                <w:iCs/>
                <w:noProof/>
                <w:sz w:val="20"/>
                <w:szCs w:val="20"/>
                <w:lang w:eastAsia="lv-LV"/>
              </w:rPr>
              <w:t xml:space="preserve"> euro</w:t>
            </w:r>
          </w:p>
        </w:tc>
        <w:tc>
          <w:tcPr>
            <w:tcW w:w="110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05DCEF04"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39 063</w:t>
            </w:r>
          </w:p>
        </w:tc>
        <w:tc>
          <w:tcPr>
            <w:tcW w:w="9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7CA1358"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43 368</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E54D4DB"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45 750</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776D71C"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48 577</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5272942"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51 375</w:t>
            </w:r>
          </w:p>
        </w:tc>
      </w:tr>
      <w:tr w:rsidR="003154E7" w:rsidRPr="00851539" w14:paraId="2C82C33F" w14:textId="77777777" w:rsidTr="00B3512B">
        <w:trPr>
          <w:gridAfter w:val="1"/>
          <w:wAfter w:w="11" w:type="dxa"/>
          <w:trHeight w:val="328"/>
          <w:jc w:val="center"/>
        </w:trPr>
        <w:tc>
          <w:tcPr>
            <w:tcW w:w="3738" w:type="dxa"/>
            <w:tcBorders>
              <w:top w:val="nil"/>
              <w:left w:val="single" w:sz="4" w:space="0" w:color="auto"/>
              <w:bottom w:val="single" w:sz="4" w:space="0" w:color="auto"/>
              <w:right w:val="single" w:sz="4" w:space="0" w:color="auto"/>
            </w:tcBorders>
            <w:shd w:val="clear" w:color="auto" w:fill="auto"/>
            <w:noWrap/>
            <w:vAlign w:val="center"/>
            <w:hideMark/>
          </w:tcPr>
          <w:p w14:paraId="0FDCCDF4" w14:textId="77777777" w:rsidR="003154E7" w:rsidRPr="00EE5E38" w:rsidRDefault="003154E7" w:rsidP="003154E7">
            <w:pPr>
              <w:spacing w:before="0" w:after="0"/>
              <w:jc w:val="left"/>
              <w:rPr>
                <w:rFonts w:eastAsia="Calibri" w:cs="Times New Roman"/>
                <w:noProof/>
                <w:sz w:val="20"/>
                <w:szCs w:val="20"/>
                <w:lang w:eastAsia="lv-LV"/>
              </w:rPr>
            </w:pPr>
            <w:r w:rsidRPr="00EE5E38">
              <w:rPr>
                <w:rFonts w:eastAsia="Calibri" w:cs="Times New Roman"/>
                <w:noProof/>
                <w:sz w:val="20"/>
                <w:szCs w:val="20"/>
                <w:lang w:eastAsia="lv-LV"/>
              </w:rPr>
              <w:t>pieaugums faktiskajās cenās, %</w:t>
            </w:r>
          </w:p>
        </w:tc>
        <w:tc>
          <w:tcPr>
            <w:tcW w:w="1108" w:type="dxa"/>
            <w:tcBorders>
              <w:top w:val="nil"/>
              <w:left w:val="nil"/>
              <w:bottom w:val="single" w:sz="4" w:space="0" w:color="auto"/>
              <w:right w:val="single" w:sz="4" w:space="0" w:color="auto"/>
            </w:tcBorders>
            <w:shd w:val="clear" w:color="auto" w:fill="auto"/>
            <w:noWrap/>
            <w:tcMar>
              <w:right w:w="170" w:type="dxa"/>
            </w:tcMar>
            <w:vAlign w:val="center"/>
          </w:tcPr>
          <w:p w14:paraId="24D5BCBE"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16,2</w:t>
            </w:r>
          </w:p>
        </w:tc>
        <w:tc>
          <w:tcPr>
            <w:tcW w:w="9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6B69A38"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11,0</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6471DFA"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5,5</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155CC2C"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6,2</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3869159"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5,8</w:t>
            </w:r>
          </w:p>
        </w:tc>
      </w:tr>
      <w:tr w:rsidR="003154E7" w:rsidRPr="00500AAB" w14:paraId="11BD2EA0" w14:textId="77777777" w:rsidTr="00B3512B">
        <w:trPr>
          <w:gridAfter w:val="1"/>
          <w:wAfter w:w="11" w:type="dxa"/>
          <w:trHeight w:val="256"/>
          <w:jc w:val="center"/>
        </w:trPr>
        <w:tc>
          <w:tcPr>
            <w:tcW w:w="3738" w:type="dxa"/>
            <w:tcBorders>
              <w:top w:val="nil"/>
              <w:left w:val="single" w:sz="4" w:space="0" w:color="auto"/>
              <w:bottom w:val="single" w:sz="4" w:space="0" w:color="auto"/>
              <w:right w:val="single" w:sz="4" w:space="0" w:color="auto"/>
            </w:tcBorders>
            <w:shd w:val="clear" w:color="auto" w:fill="auto"/>
            <w:noWrap/>
            <w:vAlign w:val="center"/>
            <w:hideMark/>
          </w:tcPr>
          <w:p w14:paraId="2F891F67" w14:textId="77777777" w:rsidR="003154E7" w:rsidRPr="00EE5E38" w:rsidRDefault="003154E7" w:rsidP="003154E7">
            <w:pPr>
              <w:spacing w:before="0" w:after="0"/>
              <w:jc w:val="left"/>
              <w:rPr>
                <w:rFonts w:eastAsia="Calibri" w:cs="Times New Roman"/>
                <w:noProof/>
                <w:sz w:val="20"/>
                <w:szCs w:val="20"/>
                <w:lang w:eastAsia="lv-LV"/>
              </w:rPr>
            </w:pPr>
            <w:r w:rsidRPr="00EE5E38">
              <w:rPr>
                <w:rFonts w:eastAsia="Calibri" w:cs="Times New Roman"/>
                <w:noProof/>
                <w:sz w:val="20"/>
                <w:szCs w:val="20"/>
                <w:lang w:eastAsia="lv-LV"/>
              </w:rPr>
              <w:t>pieaugums salīdzināmās cenās, %</w:t>
            </w:r>
          </w:p>
        </w:tc>
        <w:tc>
          <w:tcPr>
            <w:tcW w:w="1108" w:type="dxa"/>
            <w:tcBorders>
              <w:top w:val="nil"/>
              <w:left w:val="nil"/>
              <w:bottom w:val="single" w:sz="4" w:space="0" w:color="auto"/>
              <w:right w:val="single" w:sz="4" w:space="0" w:color="auto"/>
            </w:tcBorders>
            <w:shd w:val="clear" w:color="auto" w:fill="auto"/>
            <w:noWrap/>
            <w:tcMar>
              <w:right w:w="170" w:type="dxa"/>
            </w:tcMar>
            <w:vAlign w:val="center"/>
          </w:tcPr>
          <w:p w14:paraId="3A869240"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2,8</w:t>
            </w:r>
          </w:p>
        </w:tc>
        <w:tc>
          <w:tcPr>
            <w:tcW w:w="9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7A5874D"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1,0</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4447DF3"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2,5</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2A0991C"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2,9</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761EAC19"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2,9</w:t>
            </w:r>
          </w:p>
        </w:tc>
      </w:tr>
      <w:tr w:rsidR="003154E7" w:rsidRPr="00500AAB" w14:paraId="7211E9B2" w14:textId="77777777" w:rsidTr="00B3512B">
        <w:trPr>
          <w:gridAfter w:val="1"/>
          <w:wAfter w:w="11" w:type="dxa"/>
          <w:trHeight w:val="256"/>
          <w:jc w:val="center"/>
        </w:trPr>
        <w:tc>
          <w:tcPr>
            <w:tcW w:w="3738" w:type="dxa"/>
            <w:tcBorders>
              <w:top w:val="nil"/>
              <w:left w:val="single" w:sz="4" w:space="0" w:color="auto"/>
              <w:bottom w:val="single" w:sz="4" w:space="0" w:color="auto"/>
              <w:right w:val="single" w:sz="4" w:space="0" w:color="auto"/>
            </w:tcBorders>
            <w:shd w:val="clear" w:color="auto" w:fill="auto"/>
            <w:noWrap/>
            <w:vAlign w:val="center"/>
            <w:hideMark/>
          </w:tcPr>
          <w:p w14:paraId="21B26733" w14:textId="77777777" w:rsidR="003154E7" w:rsidRPr="00EE5E38" w:rsidRDefault="003154E7" w:rsidP="006C4840">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IKP deflators</w:t>
            </w:r>
            <w:r w:rsidRPr="00EE5E38">
              <w:rPr>
                <w:rFonts w:eastAsia="Calibri" w:cs="Times New Roman"/>
                <w:noProof/>
                <w:sz w:val="20"/>
                <w:szCs w:val="20"/>
                <w:lang w:eastAsia="lv-LV"/>
              </w:rPr>
              <w:t xml:space="preserve"> (gads pret gadu), %</w:t>
            </w:r>
          </w:p>
        </w:tc>
        <w:tc>
          <w:tcPr>
            <w:tcW w:w="1108" w:type="dxa"/>
            <w:tcBorders>
              <w:top w:val="nil"/>
              <w:left w:val="nil"/>
              <w:bottom w:val="single" w:sz="4" w:space="0" w:color="auto"/>
              <w:right w:val="single" w:sz="4" w:space="0" w:color="auto"/>
            </w:tcBorders>
            <w:shd w:val="clear" w:color="auto" w:fill="auto"/>
            <w:noWrap/>
            <w:tcMar>
              <w:right w:w="170" w:type="dxa"/>
            </w:tcMar>
            <w:vAlign w:val="center"/>
          </w:tcPr>
          <w:p w14:paraId="542DD669"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13,1</w:t>
            </w:r>
          </w:p>
        </w:tc>
        <w:tc>
          <w:tcPr>
            <w:tcW w:w="9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7D874D89"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9,9</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AB68757"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2,9</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772F723"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3,2</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707FCE15"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2,8</w:t>
            </w:r>
          </w:p>
        </w:tc>
      </w:tr>
      <w:tr w:rsidR="003154E7" w:rsidRPr="00500AAB" w14:paraId="06908671" w14:textId="77777777" w:rsidTr="00B3512B">
        <w:trPr>
          <w:gridAfter w:val="1"/>
          <w:wAfter w:w="11" w:type="dxa"/>
          <w:trHeight w:val="256"/>
          <w:jc w:val="center"/>
        </w:trPr>
        <w:tc>
          <w:tcPr>
            <w:tcW w:w="3738" w:type="dxa"/>
            <w:tcBorders>
              <w:top w:val="nil"/>
              <w:left w:val="single" w:sz="4" w:space="0" w:color="auto"/>
              <w:bottom w:val="single" w:sz="4" w:space="0" w:color="auto"/>
              <w:right w:val="single" w:sz="4" w:space="0" w:color="auto"/>
            </w:tcBorders>
            <w:shd w:val="clear" w:color="auto" w:fill="auto"/>
            <w:noWrap/>
            <w:vAlign w:val="center"/>
            <w:hideMark/>
          </w:tcPr>
          <w:p w14:paraId="343F4B6C" w14:textId="77777777" w:rsidR="003154E7" w:rsidRPr="00EE5E38" w:rsidRDefault="003154E7" w:rsidP="006C4840">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PCI</w:t>
            </w:r>
            <w:r w:rsidRPr="00EE5E38">
              <w:rPr>
                <w:rFonts w:eastAsia="Calibri" w:cs="Times New Roman"/>
                <w:noProof/>
                <w:sz w:val="20"/>
                <w:szCs w:val="20"/>
                <w:lang w:eastAsia="lv-LV"/>
              </w:rPr>
              <w:t xml:space="preserve"> (gads pret gadu), %</w:t>
            </w:r>
          </w:p>
        </w:tc>
        <w:tc>
          <w:tcPr>
            <w:tcW w:w="1108" w:type="dxa"/>
            <w:tcBorders>
              <w:top w:val="nil"/>
              <w:left w:val="nil"/>
              <w:bottom w:val="single" w:sz="4" w:space="0" w:color="auto"/>
              <w:right w:val="single" w:sz="4" w:space="0" w:color="auto"/>
            </w:tcBorders>
            <w:shd w:val="clear" w:color="auto" w:fill="auto"/>
            <w:noWrap/>
            <w:tcMar>
              <w:right w:w="170" w:type="dxa"/>
            </w:tcMar>
            <w:vAlign w:val="center"/>
          </w:tcPr>
          <w:p w14:paraId="7B3D4E84"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17,3</w:t>
            </w:r>
          </w:p>
        </w:tc>
        <w:tc>
          <w:tcPr>
            <w:tcW w:w="9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79FA0773"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10,0</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7FCBD65"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2,2</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5FA6D7D"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2,5</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734704D0"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2,3</w:t>
            </w:r>
          </w:p>
        </w:tc>
      </w:tr>
      <w:tr w:rsidR="003154E7" w:rsidRPr="00500AAB" w14:paraId="2B7D34A2" w14:textId="77777777" w:rsidTr="00B3512B">
        <w:trPr>
          <w:gridAfter w:val="1"/>
          <w:wAfter w:w="11" w:type="dxa"/>
          <w:trHeight w:val="435"/>
          <w:jc w:val="center"/>
        </w:trPr>
        <w:tc>
          <w:tcPr>
            <w:tcW w:w="3738" w:type="dxa"/>
            <w:tcBorders>
              <w:top w:val="nil"/>
              <w:left w:val="single" w:sz="4" w:space="0" w:color="auto"/>
              <w:bottom w:val="single" w:sz="4" w:space="0" w:color="auto"/>
              <w:right w:val="single" w:sz="4" w:space="0" w:color="auto"/>
            </w:tcBorders>
            <w:shd w:val="clear" w:color="auto" w:fill="auto"/>
            <w:noWrap/>
            <w:vAlign w:val="center"/>
            <w:hideMark/>
          </w:tcPr>
          <w:p w14:paraId="71825FA9" w14:textId="77777777" w:rsidR="003154E7" w:rsidRPr="00EE5E38" w:rsidRDefault="003154E7" w:rsidP="006C4840">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Tautsaimniecībā nodarbināto mēn. vid. bruto darba samaksa</w:t>
            </w:r>
            <w:r w:rsidRPr="00EE5E38">
              <w:rPr>
                <w:rFonts w:eastAsia="Calibri" w:cs="Times New Roman"/>
                <w:noProof/>
                <w:sz w:val="20"/>
                <w:szCs w:val="20"/>
                <w:lang w:eastAsia="lv-LV"/>
              </w:rPr>
              <w:t xml:space="preserve">, </w:t>
            </w:r>
            <w:r w:rsidRPr="00BC7260">
              <w:rPr>
                <w:rFonts w:eastAsia="Calibri" w:cs="Times New Roman"/>
                <w:i/>
                <w:iCs/>
                <w:noProof/>
                <w:sz w:val="20"/>
                <w:szCs w:val="20"/>
                <w:lang w:eastAsia="lv-LV"/>
              </w:rPr>
              <w:t>euro</w:t>
            </w:r>
          </w:p>
        </w:tc>
        <w:tc>
          <w:tcPr>
            <w:tcW w:w="1108" w:type="dxa"/>
            <w:tcBorders>
              <w:top w:val="nil"/>
              <w:left w:val="nil"/>
              <w:bottom w:val="single" w:sz="4" w:space="0" w:color="auto"/>
              <w:right w:val="single" w:sz="4" w:space="0" w:color="auto"/>
            </w:tcBorders>
            <w:shd w:val="clear" w:color="auto" w:fill="auto"/>
            <w:noWrap/>
            <w:tcMar>
              <w:right w:w="170" w:type="dxa"/>
            </w:tcMar>
            <w:vAlign w:val="center"/>
          </w:tcPr>
          <w:p w14:paraId="319CC298"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1373</w:t>
            </w:r>
          </w:p>
        </w:tc>
        <w:tc>
          <w:tcPr>
            <w:tcW w:w="9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5E1FFC8"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1524</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2A1E8F33"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1638</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71684E72"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1720</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9967116"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1806</w:t>
            </w:r>
          </w:p>
        </w:tc>
      </w:tr>
      <w:tr w:rsidR="003154E7" w:rsidRPr="00500AAB" w14:paraId="257E218E" w14:textId="77777777" w:rsidTr="00B3512B">
        <w:trPr>
          <w:gridAfter w:val="1"/>
          <w:wAfter w:w="11" w:type="dxa"/>
          <w:trHeight w:val="256"/>
          <w:jc w:val="center"/>
        </w:trPr>
        <w:tc>
          <w:tcPr>
            <w:tcW w:w="3738" w:type="dxa"/>
            <w:tcBorders>
              <w:top w:val="nil"/>
              <w:left w:val="single" w:sz="4" w:space="0" w:color="auto"/>
              <w:bottom w:val="single" w:sz="4" w:space="0" w:color="auto"/>
              <w:right w:val="single" w:sz="4" w:space="0" w:color="auto"/>
            </w:tcBorders>
            <w:shd w:val="clear" w:color="auto" w:fill="auto"/>
            <w:noWrap/>
            <w:vAlign w:val="center"/>
            <w:hideMark/>
          </w:tcPr>
          <w:p w14:paraId="7D58E3F2" w14:textId="77777777" w:rsidR="003154E7" w:rsidRPr="00EE5E38" w:rsidRDefault="003154E7" w:rsidP="003154E7">
            <w:pPr>
              <w:spacing w:before="0" w:after="0"/>
              <w:jc w:val="left"/>
              <w:rPr>
                <w:rFonts w:eastAsia="Calibri" w:cs="Times New Roman"/>
                <w:noProof/>
                <w:sz w:val="20"/>
                <w:szCs w:val="20"/>
                <w:lang w:eastAsia="lv-LV"/>
              </w:rPr>
            </w:pPr>
            <w:r w:rsidRPr="00EE5E38">
              <w:rPr>
                <w:rFonts w:eastAsia="Calibri" w:cs="Times New Roman"/>
                <w:noProof/>
                <w:sz w:val="20"/>
                <w:szCs w:val="20"/>
                <w:lang w:eastAsia="lv-LV"/>
              </w:rPr>
              <w:t>pieaugums faktiskajās cenās, %</w:t>
            </w:r>
          </w:p>
        </w:tc>
        <w:tc>
          <w:tcPr>
            <w:tcW w:w="1108" w:type="dxa"/>
            <w:tcBorders>
              <w:top w:val="nil"/>
              <w:left w:val="nil"/>
              <w:bottom w:val="single" w:sz="4" w:space="0" w:color="auto"/>
              <w:right w:val="single" w:sz="4" w:space="0" w:color="auto"/>
            </w:tcBorders>
            <w:shd w:val="clear" w:color="auto" w:fill="auto"/>
            <w:noWrap/>
            <w:tcMar>
              <w:right w:w="170" w:type="dxa"/>
            </w:tcMar>
            <w:vAlign w:val="center"/>
          </w:tcPr>
          <w:p w14:paraId="562DA47D"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7,5</w:t>
            </w:r>
          </w:p>
        </w:tc>
        <w:tc>
          <w:tcPr>
            <w:tcW w:w="9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00C26B4"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11,0</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D359251"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7,5</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B3B1FD7"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5,0</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64162F4"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5,0</w:t>
            </w:r>
          </w:p>
        </w:tc>
      </w:tr>
      <w:tr w:rsidR="003154E7" w:rsidRPr="00500AAB" w14:paraId="0B8B6E08" w14:textId="77777777" w:rsidTr="00B3512B">
        <w:trPr>
          <w:gridAfter w:val="1"/>
          <w:wAfter w:w="11" w:type="dxa"/>
          <w:trHeight w:val="256"/>
          <w:jc w:val="center"/>
        </w:trPr>
        <w:tc>
          <w:tcPr>
            <w:tcW w:w="3738" w:type="dxa"/>
            <w:tcBorders>
              <w:top w:val="nil"/>
              <w:left w:val="single" w:sz="4" w:space="0" w:color="auto"/>
              <w:bottom w:val="single" w:sz="4" w:space="0" w:color="auto"/>
              <w:right w:val="single" w:sz="4" w:space="0" w:color="auto"/>
            </w:tcBorders>
            <w:shd w:val="clear" w:color="auto" w:fill="auto"/>
            <w:noWrap/>
            <w:vAlign w:val="center"/>
            <w:hideMark/>
          </w:tcPr>
          <w:p w14:paraId="72DA022D" w14:textId="77777777" w:rsidR="003154E7" w:rsidRPr="00EE5E38" w:rsidRDefault="003154E7" w:rsidP="003154E7">
            <w:pPr>
              <w:spacing w:before="0" w:after="0"/>
              <w:jc w:val="left"/>
              <w:rPr>
                <w:rFonts w:eastAsia="Calibri" w:cs="Times New Roman"/>
                <w:noProof/>
                <w:sz w:val="20"/>
                <w:szCs w:val="20"/>
                <w:lang w:eastAsia="lv-LV"/>
              </w:rPr>
            </w:pPr>
            <w:r w:rsidRPr="00EE5E38">
              <w:rPr>
                <w:rFonts w:eastAsia="Calibri" w:cs="Times New Roman"/>
                <w:noProof/>
                <w:sz w:val="20"/>
                <w:szCs w:val="20"/>
                <w:lang w:eastAsia="lv-LV"/>
              </w:rPr>
              <w:t>pieaugums salīdzināmās cenās, %</w:t>
            </w:r>
          </w:p>
        </w:tc>
        <w:tc>
          <w:tcPr>
            <w:tcW w:w="1108" w:type="dxa"/>
            <w:tcBorders>
              <w:top w:val="nil"/>
              <w:left w:val="nil"/>
              <w:bottom w:val="single" w:sz="4" w:space="0" w:color="auto"/>
              <w:right w:val="single" w:sz="4" w:space="0" w:color="auto"/>
            </w:tcBorders>
            <w:shd w:val="clear" w:color="auto" w:fill="auto"/>
            <w:noWrap/>
            <w:tcMar>
              <w:right w:w="170" w:type="dxa"/>
            </w:tcMar>
            <w:vAlign w:val="center"/>
          </w:tcPr>
          <w:p w14:paraId="30925E07"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-8,4</w:t>
            </w:r>
          </w:p>
        </w:tc>
        <w:tc>
          <w:tcPr>
            <w:tcW w:w="9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7A2DF8BF"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0,9</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0ACBF28"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5,2</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E2E4078"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2,4</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F6BF464"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2,6</w:t>
            </w:r>
          </w:p>
        </w:tc>
      </w:tr>
      <w:tr w:rsidR="003154E7" w:rsidRPr="00500AAB" w14:paraId="5649E1C2" w14:textId="77777777" w:rsidTr="00B3512B">
        <w:trPr>
          <w:gridAfter w:val="1"/>
          <w:wAfter w:w="11" w:type="dxa"/>
          <w:trHeight w:val="512"/>
          <w:jc w:val="center"/>
        </w:trPr>
        <w:tc>
          <w:tcPr>
            <w:tcW w:w="3738" w:type="dxa"/>
            <w:tcBorders>
              <w:top w:val="nil"/>
              <w:left w:val="single" w:sz="4" w:space="0" w:color="auto"/>
              <w:bottom w:val="single" w:sz="4" w:space="0" w:color="auto"/>
              <w:right w:val="single" w:sz="4" w:space="0" w:color="auto"/>
            </w:tcBorders>
            <w:shd w:val="clear" w:color="auto" w:fill="auto"/>
            <w:noWrap/>
            <w:vAlign w:val="center"/>
            <w:hideMark/>
          </w:tcPr>
          <w:p w14:paraId="7F08EA3D" w14:textId="77777777" w:rsidR="003154E7" w:rsidRPr="00EE5E38" w:rsidRDefault="003154E7" w:rsidP="006C4840">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Nodarbinātība</w:t>
            </w:r>
            <w:r w:rsidRPr="00EE5E38">
              <w:rPr>
                <w:rFonts w:eastAsia="Calibri" w:cs="Times New Roman"/>
                <w:noProof/>
                <w:sz w:val="20"/>
                <w:szCs w:val="20"/>
                <w:lang w:eastAsia="lv-LV"/>
              </w:rPr>
              <w:t>, tūkst. iedzīvotāju (atbilstoši darbaspēka apsekojumiem)</w:t>
            </w:r>
          </w:p>
        </w:tc>
        <w:tc>
          <w:tcPr>
            <w:tcW w:w="1108" w:type="dxa"/>
            <w:tcBorders>
              <w:top w:val="nil"/>
              <w:left w:val="nil"/>
              <w:bottom w:val="single" w:sz="4" w:space="0" w:color="auto"/>
              <w:right w:val="single" w:sz="4" w:space="0" w:color="auto"/>
            </w:tcBorders>
            <w:shd w:val="clear" w:color="auto" w:fill="auto"/>
            <w:noWrap/>
            <w:tcMar>
              <w:right w:w="170" w:type="dxa"/>
            </w:tcMar>
            <w:vAlign w:val="center"/>
          </w:tcPr>
          <w:p w14:paraId="140F355A"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886</w:t>
            </w:r>
          </w:p>
        </w:tc>
        <w:tc>
          <w:tcPr>
            <w:tcW w:w="9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267E75AB"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887</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C74EEE5"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887</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CFDB5DD"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884</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7C369D9F"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879</w:t>
            </w:r>
          </w:p>
        </w:tc>
      </w:tr>
      <w:tr w:rsidR="003154E7" w:rsidRPr="00500AAB" w14:paraId="0FF130A4" w14:textId="77777777" w:rsidTr="00B3512B">
        <w:trPr>
          <w:gridAfter w:val="1"/>
          <w:wAfter w:w="11" w:type="dxa"/>
          <w:trHeight w:val="312"/>
          <w:jc w:val="center"/>
        </w:trPr>
        <w:tc>
          <w:tcPr>
            <w:tcW w:w="3738" w:type="dxa"/>
            <w:tcBorders>
              <w:top w:val="nil"/>
              <w:left w:val="single" w:sz="4" w:space="0" w:color="auto"/>
              <w:bottom w:val="single" w:sz="4" w:space="0" w:color="auto"/>
              <w:right w:val="single" w:sz="4" w:space="0" w:color="auto"/>
            </w:tcBorders>
            <w:shd w:val="clear" w:color="auto" w:fill="auto"/>
            <w:noWrap/>
            <w:vAlign w:val="center"/>
            <w:hideMark/>
          </w:tcPr>
          <w:p w14:paraId="6B66B933" w14:textId="77777777" w:rsidR="003154E7" w:rsidRPr="00EE5E38" w:rsidRDefault="003154E7" w:rsidP="003154E7">
            <w:pPr>
              <w:spacing w:before="0" w:after="0"/>
              <w:jc w:val="left"/>
              <w:rPr>
                <w:rFonts w:eastAsia="Calibri" w:cs="Times New Roman"/>
                <w:noProof/>
                <w:sz w:val="20"/>
                <w:szCs w:val="20"/>
                <w:lang w:eastAsia="lv-LV"/>
              </w:rPr>
            </w:pPr>
            <w:r w:rsidRPr="00EE5E38">
              <w:rPr>
                <w:rFonts w:eastAsia="Calibri" w:cs="Times New Roman"/>
                <w:noProof/>
                <w:sz w:val="20"/>
                <w:szCs w:val="20"/>
                <w:lang w:eastAsia="lv-LV"/>
              </w:rPr>
              <w:t>pieaugums, %</w:t>
            </w:r>
          </w:p>
        </w:tc>
        <w:tc>
          <w:tcPr>
            <w:tcW w:w="1108" w:type="dxa"/>
            <w:tcBorders>
              <w:top w:val="nil"/>
              <w:left w:val="nil"/>
              <w:bottom w:val="single" w:sz="4" w:space="0" w:color="auto"/>
              <w:right w:val="single" w:sz="4" w:space="0" w:color="auto"/>
            </w:tcBorders>
            <w:shd w:val="clear" w:color="auto" w:fill="auto"/>
            <w:noWrap/>
            <w:tcMar>
              <w:right w:w="170" w:type="dxa"/>
            </w:tcMar>
            <w:vAlign w:val="center"/>
          </w:tcPr>
          <w:p w14:paraId="5EDBBEAE"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2,6</w:t>
            </w:r>
          </w:p>
        </w:tc>
        <w:tc>
          <w:tcPr>
            <w:tcW w:w="9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2F2EFB71"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0,1</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870FCE9"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0,0</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1A34ED5"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-0,3</w:t>
            </w:r>
          </w:p>
        </w:tc>
        <w:tc>
          <w:tcPr>
            <w:tcW w:w="1027"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1143990"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-0,6</w:t>
            </w:r>
          </w:p>
        </w:tc>
      </w:tr>
      <w:tr w:rsidR="003154E7" w:rsidRPr="00500AAB" w14:paraId="2C1C6E82" w14:textId="77777777" w:rsidTr="00B3512B">
        <w:trPr>
          <w:gridAfter w:val="1"/>
          <w:wAfter w:w="11" w:type="dxa"/>
          <w:trHeight w:val="415"/>
          <w:jc w:val="center"/>
        </w:trPr>
        <w:tc>
          <w:tcPr>
            <w:tcW w:w="3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3C990" w14:textId="77777777" w:rsidR="003154E7" w:rsidRPr="00EE5E38" w:rsidRDefault="003154E7" w:rsidP="006C4840">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Bezdarba līmenis</w:t>
            </w:r>
            <w:r w:rsidRPr="00EE5E38">
              <w:rPr>
                <w:rFonts w:eastAsia="Calibri" w:cs="Times New Roman"/>
                <w:noProof/>
                <w:sz w:val="20"/>
                <w:szCs w:val="20"/>
                <w:lang w:eastAsia="lv-LV"/>
              </w:rPr>
              <w:t xml:space="preserve"> (gada vidējais),</w:t>
            </w:r>
            <w:r w:rsidRPr="00EE5E38">
              <w:rPr>
                <w:rFonts w:eastAsia="Calibri" w:cs="Times New Roman"/>
                <w:noProof/>
                <w:sz w:val="20"/>
                <w:szCs w:val="20"/>
                <w:lang w:eastAsia="lv-LV"/>
              </w:rPr>
              <w:br/>
              <w:t>% no ekon. aktīviem iedzīv.</w:t>
            </w:r>
          </w:p>
        </w:tc>
        <w:tc>
          <w:tcPr>
            <w:tcW w:w="110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67B865D0"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6,9</w:t>
            </w:r>
          </w:p>
        </w:tc>
        <w:tc>
          <w:tcPr>
            <w:tcW w:w="920" w:type="dxa"/>
            <w:tcBorders>
              <w:top w:val="single" w:sz="4" w:space="0" w:color="auto"/>
              <w:left w:val="nil"/>
              <w:bottom w:val="single" w:sz="4" w:space="0" w:color="auto"/>
              <w:right w:val="single" w:sz="4" w:space="0" w:color="auto"/>
            </w:tcBorders>
            <w:shd w:val="clear" w:color="auto" w:fill="BDD6EE" w:themeFill="accent1" w:themeFillTint="66"/>
            <w:noWrap/>
            <w:tcMar>
              <w:right w:w="170" w:type="dxa"/>
            </w:tcMar>
            <w:vAlign w:val="center"/>
          </w:tcPr>
          <w:p w14:paraId="2826C7DD"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6,5</w:t>
            </w:r>
          </w:p>
        </w:tc>
        <w:tc>
          <w:tcPr>
            <w:tcW w:w="1027" w:type="dxa"/>
            <w:tcBorders>
              <w:top w:val="single" w:sz="4" w:space="0" w:color="auto"/>
              <w:left w:val="nil"/>
              <w:bottom w:val="single" w:sz="4" w:space="0" w:color="auto"/>
              <w:right w:val="single" w:sz="4" w:space="0" w:color="auto"/>
            </w:tcBorders>
            <w:shd w:val="clear" w:color="auto" w:fill="BDD6EE" w:themeFill="accent1" w:themeFillTint="66"/>
            <w:noWrap/>
            <w:tcMar>
              <w:right w:w="170" w:type="dxa"/>
            </w:tcMar>
            <w:vAlign w:val="center"/>
          </w:tcPr>
          <w:p w14:paraId="72CE20F4"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6,6</w:t>
            </w:r>
          </w:p>
        </w:tc>
        <w:tc>
          <w:tcPr>
            <w:tcW w:w="1027" w:type="dxa"/>
            <w:tcBorders>
              <w:top w:val="single" w:sz="4" w:space="0" w:color="auto"/>
              <w:left w:val="nil"/>
              <w:bottom w:val="single" w:sz="4" w:space="0" w:color="auto"/>
              <w:right w:val="single" w:sz="4" w:space="0" w:color="auto"/>
            </w:tcBorders>
            <w:shd w:val="clear" w:color="auto" w:fill="BDD6EE" w:themeFill="accent1" w:themeFillTint="66"/>
            <w:noWrap/>
            <w:tcMar>
              <w:right w:w="170" w:type="dxa"/>
            </w:tcMar>
            <w:vAlign w:val="center"/>
          </w:tcPr>
          <w:p w14:paraId="68D32F44"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6,4</w:t>
            </w:r>
          </w:p>
        </w:tc>
        <w:tc>
          <w:tcPr>
            <w:tcW w:w="1027" w:type="dxa"/>
            <w:tcBorders>
              <w:top w:val="single" w:sz="4" w:space="0" w:color="auto"/>
              <w:left w:val="nil"/>
              <w:bottom w:val="single" w:sz="4" w:space="0" w:color="auto"/>
              <w:right w:val="single" w:sz="4" w:space="0" w:color="auto"/>
            </w:tcBorders>
            <w:shd w:val="clear" w:color="auto" w:fill="BDD6EE" w:themeFill="accent1" w:themeFillTint="66"/>
            <w:noWrap/>
            <w:tcMar>
              <w:right w:w="170" w:type="dxa"/>
            </w:tcMar>
            <w:vAlign w:val="center"/>
          </w:tcPr>
          <w:p w14:paraId="08C94303" w14:textId="77777777" w:rsidR="003154E7" w:rsidRPr="00EE5E38" w:rsidRDefault="003154E7" w:rsidP="003154E7">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6,4</w:t>
            </w:r>
          </w:p>
        </w:tc>
      </w:tr>
    </w:tbl>
    <w:p w14:paraId="529C3E49" w14:textId="77777777" w:rsidR="00565001" w:rsidRDefault="00565001" w:rsidP="00766ABC">
      <w:r>
        <w:t>G</w:t>
      </w:r>
      <w:r w:rsidRPr="008A080D">
        <w:t xml:space="preserve">ada vidējās </w:t>
      </w:r>
      <w:r w:rsidRPr="00603355">
        <w:rPr>
          <w:b/>
          <w:bCs/>
        </w:rPr>
        <w:t>inflācijas</w:t>
      </w:r>
      <w:r w:rsidRPr="008A080D">
        <w:t xml:space="preserve"> prognoz</w:t>
      </w:r>
      <w:r>
        <w:t>e</w:t>
      </w:r>
      <w:r w:rsidRPr="008A080D">
        <w:t xml:space="preserve"> </w:t>
      </w:r>
      <w:r>
        <w:t xml:space="preserve">- </w:t>
      </w:r>
      <w:r w:rsidRPr="008A080D">
        <w:t>2023</w:t>
      </w:r>
      <w:r>
        <w:t>. gad</w:t>
      </w:r>
      <w:r w:rsidRPr="008A080D">
        <w:t>am 10,0% un 2024</w:t>
      </w:r>
      <w:r>
        <w:t>. gad</w:t>
      </w:r>
      <w:r w:rsidRPr="008A080D">
        <w:t>am 2,2%</w:t>
      </w:r>
      <w:r>
        <w:t xml:space="preserve"> -</w:t>
      </w:r>
      <w:r w:rsidRPr="008A080D">
        <w:t xml:space="preserve"> </w:t>
      </w:r>
      <w:r w:rsidRPr="003B5D6F">
        <w:t>salīdzinājumā ar februāra prognozēm atstāta bez izmaiņām, jo</w:t>
      </w:r>
      <w:r>
        <w:t xml:space="preserve"> p</w:t>
      </w:r>
      <w:r w:rsidRPr="008A080D">
        <w:t xml:space="preserve">atēriņa cenu dinamika </w:t>
      </w:r>
      <w:r>
        <w:t>2022. gad</w:t>
      </w:r>
      <w:r w:rsidRPr="008A080D">
        <w:t xml:space="preserve">a otrajā pusē un šā gada sākumā ir bijusi </w:t>
      </w:r>
      <w:r>
        <w:t>atbilstoša</w:t>
      </w:r>
      <w:r w:rsidRPr="008A080D">
        <w:t xml:space="preserve"> Finanšu ministrijas februāra sākuma prognozēm</w:t>
      </w:r>
      <w:r>
        <w:t>.</w:t>
      </w:r>
      <w:r w:rsidRPr="008A080D">
        <w:t xml:space="preserve"> Nākamajos divos gados tiek prognozēts cenu pieaugums attiecīgi 2,5% un 2,3% apmērā.</w:t>
      </w:r>
      <w:r>
        <w:t xml:space="preserve"> </w:t>
      </w:r>
      <w:r w:rsidRPr="00DB7F16">
        <w:t xml:space="preserve">Atbilstoši scenārijam, inflāciju ietekmēs enerģijas resursu un neapstrādātās pārtikas cenu </w:t>
      </w:r>
      <w:r>
        <w:t>inflācijas</w:t>
      </w:r>
      <w:r w:rsidRPr="00DB7F16">
        <w:t xml:space="preserve"> samazinājums 2023. gada otrajā pusē un, saglabājoties pašreizējai situācijai pasaules tirgos, cenu līmenis saglabāsies pašreizējā līmenī.</w:t>
      </w:r>
    </w:p>
    <w:p w14:paraId="4F0E4CC3" w14:textId="77777777" w:rsidR="00565001" w:rsidRDefault="00565001" w:rsidP="00766ABC">
      <w:r>
        <w:t xml:space="preserve">Tā kā 2023. gada sākumā </w:t>
      </w:r>
      <w:r w:rsidRPr="008E38DC">
        <w:t xml:space="preserve">mēneša vidējā </w:t>
      </w:r>
      <w:r w:rsidRPr="00261504">
        <w:rPr>
          <w:b/>
          <w:bCs/>
        </w:rPr>
        <w:t>darba samaksa</w:t>
      </w:r>
      <w:r w:rsidRPr="008E38DC">
        <w:t xml:space="preserve"> turpin</w:t>
      </w:r>
      <w:r>
        <w:t>āja</w:t>
      </w:r>
      <w:r w:rsidRPr="008E38DC">
        <w:t xml:space="preserve"> strauji augt, </w:t>
      </w:r>
      <w:r>
        <w:t xml:space="preserve">pateicoties gan </w:t>
      </w:r>
      <w:r w:rsidRPr="008E38DC">
        <w:t>minimālā</w:t>
      </w:r>
      <w:r>
        <w:t>s</w:t>
      </w:r>
      <w:r w:rsidRPr="008E38DC">
        <w:t xml:space="preserve"> darba samaksa</w:t>
      </w:r>
      <w:r>
        <w:t>s</w:t>
      </w:r>
      <w:r w:rsidRPr="008E38DC">
        <w:t xml:space="preserve"> paaugstinā</w:t>
      </w:r>
      <w:r>
        <w:t>šanai par 24%</w:t>
      </w:r>
      <w:r w:rsidRPr="008E38DC">
        <w:t xml:space="preserve">, </w:t>
      </w:r>
      <w:r>
        <w:t xml:space="preserve">gan </w:t>
      </w:r>
      <w:r w:rsidRPr="008E38DC">
        <w:t>valsts budžeta izdevum</w:t>
      </w:r>
      <w:r>
        <w:t>u palielināšanai</w:t>
      </w:r>
      <w:r w:rsidRPr="008E38DC">
        <w:t xml:space="preserve"> sabiedriskā sektora darbinieku algām, </w:t>
      </w:r>
      <w:r>
        <w:t xml:space="preserve">gan arī </w:t>
      </w:r>
      <w:r w:rsidRPr="008E38DC">
        <w:t>privāt</w:t>
      </w:r>
      <w:r>
        <w:t>o</w:t>
      </w:r>
      <w:r w:rsidRPr="008E38DC">
        <w:t xml:space="preserve"> uzņēmum</w:t>
      </w:r>
      <w:r>
        <w:t>u</w:t>
      </w:r>
      <w:r w:rsidRPr="008E38DC">
        <w:t xml:space="preserve"> snie</w:t>
      </w:r>
      <w:r>
        <w:t>gtajam</w:t>
      </w:r>
      <w:r w:rsidRPr="008E38DC">
        <w:t xml:space="preserve"> sav</w:t>
      </w:r>
      <w:r>
        <w:t>iem</w:t>
      </w:r>
      <w:r w:rsidRPr="008E38DC">
        <w:t xml:space="preserve"> darbiniek</w:t>
      </w:r>
      <w:r>
        <w:t>iem</w:t>
      </w:r>
      <w:r w:rsidRPr="008E38DC">
        <w:t xml:space="preserve"> enerģijas atbalst</w:t>
      </w:r>
      <w:r>
        <w:t xml:space="preserve">am, tad </w:t>
      </w:r>
      <w:r w:rsidRPr="008E38DC">
        <w:t>2023</w:t>
      </w:r>
      <w:r>
        <w:t>. gad</w:t>
      </w:r>
      <w:r w:rsidRPr="008E38DC">
        <w:t>a kopēj</w:t>
      </w:r>
      <w:r>
        <w:t>ais</w:t>
      </w:r>
      <w:r w:rsidRPr="008E38DC">
        <w:t xml:space="preserve"> algu pieaugum</w:t>
      </w:r>
      <w:r>
        <w:t xml:space="preserve">s sasniegtu </w:t>
      </w:r>
      <w:r w:rsidRPr="008E38DC">
        <w:t>11%</w:t>
      </w:r>
      <w:r>
        <w:t xml:space="preserve">, un </w:t>
      </w:r>
      <w:r w:rsidRPr="008E38DC">
        <w:t>2024</w:t>
      </w:r>
      <w:r>
        <w:t xml:space="preserve">. gadā – </w:t>
      </w:r>
      <w:r w:rsidRPr="008E38DC">
        <w:t xml:space="preserve">7,5%. </w:t>
      </w:r>
      <w:r>
        <w:t>Vidējā termiņā gan sagaidāms</w:t>
      </w:r>
      <w:r w:rsidRPr="008E38DC">
        <w:t>, ka algu pieauguma temps palēnināsies</w:t>
      </w:r>
      <w:r>
        <w:t xml:space="preserve"> un </w:t>
      </w:r>
      <w:r w:rsidRPr="008E38DC">
        <w:t>tuvo</w:t>
      </w:r>
      <w:r>
        <w:t>sies</w:t>
      </w:r>
      <w:r w:rsidRPr="008E38DC">
        <w:t xml:space="preserve"> produktivitātes pieauguma tempam</w:t>
      </w:r>
      <w:r>
        <w:t xml:space="preserve">, </w:t>
      </w:r>
      <w:r w:rsidRPr="008E38DC">
        <w:t>stabilizējoties 5% līmenī.</w:t>
      </w:r>
    </w:p>
    <w:p w14:paraId="72A3B14C" w14:textId="77777777" w:rsidR="00565001" w:rsidRDefault="00565001" w:rsidP="00766ABC">
      <w:r w:rsidRPr="00452381">
        <w:rPr>
          <w:b/>
          <w:bCs/>
        </w:rPr>
        <w:t>Bezdarba līmenis</w:t>
      </w:r>
      <w:r>
        <w:t xml:space="preserve">, saglabājoties relatīvi stabilai </w:t>
      </w:r>
      <w:r w:rsidRPr="00161BAE">
        <w:t>ekonomikas izaugsme</w:t>
      </w:r>
      <w:r>
        <w:t>i</w:t>
      </w:r>
      <w:r w:rsidRPr="00161BAE">
        <w:t xml:space="preserve">, </w:t>
      </w:r>
      <w:r>
        <w:t xml:space="preserve">turpinās samazināties, </w:t>
      </w:r>
      <w:r w:rsidRPr="00161BAE">
        <w:t>2023</w:t>
      </w:r>
      <w:r>
        <w:t xml:space="preserve">. gadā sasniedzot </w:t>
      </w:r>
      <w:r w:rsidRPr="00161BAE">
        <w:t>6,5%</w:t>
      </w:r>
      <w:r>
        <w:t>, un aptuveni šajā</w:t>
      </w:r>
      <w:r w:rsidRPr="00161BAE">
        <w:t xml:space="preserve"> līmen</w:t>
      </w:r>
      <w:r>
        <w:t>ī</w:t>
      </w:r>
      <w:r w:rsidRPr="00161BAE">
        <w:t xml:space="preserve"> </w:t>
      </w:r>
      <w:r>
        <w:t>saglabājoties</w:t>
      </w:r>
      <w:r w:rsidRPr="00161BAE">
        <w:t xml:space="preserve"> arī nākamajos trīs gados. Tautsaimniecībā nodarbināto iedzīvotāju skaits šogad un nākamgad </w:t>
      </w:r>
      <w:r>
        <w:t xml:space="preserve">vēl </w:t>
      </w:r>
      <w:r w:rsidRPr="00161BAE">
        <w:t xml:space="preserve">saglabāsies </w:t>
      </w:r>
      <w:r w:rsidRPr="00161BAE">
        <w:lastRenderedPageBreak/>
        <w:t>stabils, bet no 2025</w:t>
      </w:r>
      <w:r>
        <w:t>. gad</w:t>
      </w:r>
      <w:r w:rsidRPr="00161BAE">
        <w:t>a gaidāma neliela nodarbinātības samazināšanās, kas būs galvenokārt saistīta ar darbspējas vecuma iedzīvotāju skaita samazināšanos.</w:t>
      </w:r>
    </w:p>
    <w:p w14:paraId="0CD5B65C" w14:textId="77777777" w:rsidR="00565001" w:rsidRPr="00A05101" w:rsidRDefault="00565001" w:rsidP="00766ABC">
      <w:r w:rsidRPr="00A05101">
        <w:t xml:space="preserve">Aktualizējot makroekonomisko rādītāju prognozes, </w:t>
      </w:r>
      <w:r>
        <w:t xml:space="preserve">tika pieņemts, ka </w:t>
      </w:r>
      <w:r w:rsidRPr="00A05101">
        <w:t>ģeopolitiskā situācija būtiski nepasliktinās un nenotiek krasa karadarbības eskalācija</w:t>
      </w:r>
      <w:r>
        <w:t xml:space="preserve">, lai arī </w:t>
      </w:r>
      <w:r w:rsidRPr="00A05101">
        <w:t xml:space="preserve">joprojām </w:t>
      </w:r>
      <w:r>
        <w:t xml:space="preserve">pastāv </w:t>
      </w:r>
      <w:r w:rsidRPr="00A05101">
        <w:t xml:space="preserve">ļoti augsta nenoteiktība. Būtiskākie negatīvie </w:t>
      </w:r>
      <w:r w:rsidRPr="000A4958">
        <w:rPr>
          <w:b/>
          <w:bCs/>
        </w:rPr>
        <w:t>riski</w:t>
      </w:r>
      <w:r w:rsidRPr="00A05101">
        <w:t xml:space="preserve"> ir saistīti ar ģeopolitisko situāciju, ekonomiskās situācijas neprognozēti strauju pasliktināšanos </w:t>
      </w:r>
      <w:r w:rsidRPr="00A05101">
        <w:rPr>
          <w:noProof/>
        </w:rPr>
        <w:t>eirozonā, kā arī ar ie</w:t>
      </w:r>
      <w:r w:rsidRPr="00A05101">
        <w:t>spējamām straujām energoresursu cenu svārstībām un to ierobežoto pieejamību. Ekonomikas izaugsmi negatīvi var ietekmēt arī kavēšanās Eiropas Savienības fondu investīciju izmantošanā un ārējās konkurētspējas mazināšanās.</w:t>
      </w:r>
    </w:p>
    <w:p w14:paraId="7DC1A3BC" w14:textId="2D470E04" w:rsidR="00565001" w:rsidRDefault="00565001" w:rsidP="00766ABC">
      <w:r w:rsidRPr="00A05101">
        <w:t xml:space="preserve">Finanšu ministrijas prognozes par ekonomikas attīstību kopumā ir nedaudz piesardzīgākas, taču visai tuvas Eiropas Komisijas </w:t>
      </w:r>
      <w:r w:rsidR="00B3512B">
        <w:t xml:space="preserve">šā gada </w:t>
      </w:r>
      <w:r w:rsidRPr="00A05101">
        <w:t>15.</w:t>
      </w:r>
      <w:r w:rsidR="00B3512B">
        <w:t> </w:t>
      </w:r>
      <w:r w:rsidRPr="00A05101">
        <w:t>maijā publiskotajām prognozēm, kas paredz, ka Latvijas IKP 2023</w:t>
      </w:r>
      <w:r>
        <w:t>. gad</w:t>
      </w:r>
      <w:r w:rsidRPr="00A05101">
        <w:t>ā palielināsies par 1,4% un 2024</w:t>
      </w:r>
      <w:r>
        <w:t>. gad</w:t>
      </w:r>
      <w:r w:rsidRPr="00A05101">
        <w:t>ā – par 2,8%. Vienlaikus EK 2023</w:t>
      </w:r>
      <w:r>
        <w:t>. gad</w:t>
      </w:r>
      <w:r w:rsidRPr="00A05101">
        <w:t>am Latvijai prognozējusi arī nedaudz lēnāku patēriņa cenu pieaugumu, gada vidējo inflāciju paredzot 9,3% apmērā.</w:t>
      </w:r>
    </w:p>
    <w:p w14:paraId="2BC1BDA6" w14:textId="429554D5" w:rsidR="00565001" w:rsidRPr="00565001" w:rsidRDefault="00EE5E38" w:rsidP="00EE5E38">
      <w:r>
        <w:br w:type="page"/>
      </w:r>
    </w:p>
    <w:p w14:paraId="1A0DD6F9" w14:textId="157B862E" w:rsidR="007C45DB" w:rsidRPr="003068EF" w:rsidRDefault="00377CA0" w:rsidP="003068EF">
      <w:pPr>
        <w:pStyle w:val="Heading1"/>
        <w:ind w:left="357" w:hanging="357"/>
        <w:rPr>
          <w:noProof/>
          <w:sz w:val="28"/>
          <w:szCs w:val="28"/>
        </w:rPr>
      </w:pPr>
      <w:bookmarkStart w:id="2" w:name="_Toc403038743"/>
      <w:bookmarkStart w:id="3" w:name="_Toc142344001"/>
      <w:r w:rsidRPr="00FB3148">
        <w:rPr>
          <w:sz w:val="28"/>
          <w:szCs w:val="28"/>
        </w:rPr>
        <w:lastRenderedPageBreak/>
        <w:t xml:space="preserve">Kopbudžeta nodokļu un </w:t>
      </w:r>
      <w:r w:rsidRPr="00FB3148">
        <w:rPr>
          <w:noProof/>
          <w:sz w:val="28"/>
          <w:szCs w:val="28"/>
        </w:rPr>
        <w:t>valsts pamatbudžeta nenodokļu</w:t>
      </w:r>
      <w:r w:rsidRPr="00FB3148">
        <w:rPr>
          <w:sz w:val="28"/>
          <w:szCs w:val="28"/>
        </w:rPr>
        <w:t xml:space="preserve"> </w:t>
      </w:r>
      <w:r w:rsidR="000A6ED3" w:rsidRPr="00FB3148">
        <w:rPr>
          <w:noProof/>
          <w:sz w:val="28"/>
          <w:szCs w:val="28"/>
        </w:rPr>
        <w:t>ieņēmumu prognoze</w:t>
      </w:r>
      <w:r w:rsidR="00E95377">
        <w:rPr>
          <w:noProof/>
          <w:sz w:val="28"/>
          <w:szCs w:val="28"/>
        </w:rPr>
        <w:t>s</w:t>
      </w:r>
      <w:r w:rsidR="000A6ED3" w:rsidRPr="00FB3148">
        <w:rPr>
          <w:noProof/>
          <w:sz w:val="28"/>
          <w:szCs w:val="28"/>
        </w:rPr>
        <w:t xml:space="preserve"> 202</w:t>
      </w:r>
      <w:r w:rsidR="00B15B93">
        <w:rPr>
          <w:noProof/>
          <w:sz w:val="28"/>
          <w:szCs w:val="28"/>
        </w:rPr>
        <w:t>4</w:t>
      </w:r>
      <w:r w:rsidR="000A6ED3" w:rsidRPr="00FB3148">
        <w:rPr>
          <w:noProof/>
          <w:sz w:val="28"/>
          <w:szCs w:val="28"/>
        </w:rPr>
        <w:t>.-202</w:t>
      </w:r>
      <w:r w:rsidR="00B15B93">
        <w:rPr>
          <w:noProof/>
          <w:sz w:val="28"/>
          <w:szCs w:val="28"/>
        </w:rPr>
        <w:t>6</w:t>
      </w:r>
      <w:r w:rsidRPr="00FB3148">
        <w:rPr>
          <w:noProof/>
          <w:sz w:val="28"/>
          <w:szCs w:val="28"/>
        </w:rPr>
        <w:t>.</w:t>
      </w:r>
      <w:r w:rsidR="0001729F">
        <w:rPr>
          <w:noProof/>
          <w:sz w:val="28"/>
          <w:szCs w:val="28"/>
        </w:rPr>
        <w:t> </w:t>
      </w:r>
      <w:r w:rsidRPr="00FB3148">
        <w:rPr>
          <w:noProof/>
          <w:sz w:val="28"/>
          <w:szCs w:val="28"/>
        </w:rPr>
        <w:t>gadam</w:t>
      </w:r>
      <w:bookmarkEnd w:id="2"/>
      <w:bookmarkEnd w:id="3"/>
    </w:p>
    <w:p w14:paraId="14781297" w14:textId="3ED7467D" w:rsidR="007C45DB" w:rsidRDefault="007C45DB" w:rsidP="007C45DB">
      <w:pPr>
        <w:rPr>
          <w:noProof/>
        </w:rPr>
      </w:pPr>
      <w:r>
        <w:rPr>
          <w:noProof/>
        </w:rPr>
        <w:t>Nodokļu ieņēmumu prognozes ir sagatavotas, pamatojoties uz atjaunotajām vidēja termiņa makroekonomisko rādītāju prognozēm, kā arī, ņemot vērā 2023.</w:t>
      </w:r>
      <w:r w:rsidR="0001729F">
        <w:rPr>
          <w:noProof/>
        </w:rPr>
        <w:t> </w:t>
      </w:r>
      <w:r>
        <w:rPr>
          <w:noProof/>
        </w:rPr>
        <w:t>gada sešu mēnešu faktisko izpildi.</w:t>
      </w:r>
    </w:p>
    <w:p w14:paraId="5D6DD603" w14:textId="31BD0088" w:rsidR="007C45DB" w:rsidRDefault="007C45DB" w:rsidP="007C45DB">
      <w:pPr>
        <w:rPr>
          <w:noProof/>
        </w:rPr>
      </w:pPr>
      <w:r>
        <w:rPr>
          <w:noProof/>
        </w:rPr>
        <w:t>2023.</w:t>
      </w:r>
      <w:r w:rsidR="00D653F5">
        <w:rPr>
          <w:noProof/>
        </w:rPr>
        <w:t> </w:t>
      </w:r>
      <w:r>
        <w:rPr>
          <w:noProof/>
        </w:rPr>
        <w:t xml:space="preserve">gada sešu mēnešu kopbudžeta nodokļu ieņēmumi  6 209,5 milj. </w:t>
      </w:r>
      <w:r w:rsidRPr="00875C23">
        <w:rPr>
          <w:i/>
          <w:iCs/>
          <w:noProof/>
        </w:rPr>
        <w:t>euro</w:t>
      </w:r>
      <w:r>
        <w:rPr>
          <w:noProof/>
        </w:rPr>
        <w:t>, tajā skaitā, valsts budžetā 5 200,6 milj.</w:t>
      </w:r>
      <w:r w:rsidRPr="00875C23">
        <w:rPr>
          <w:i/>
          <w:iCs/>
          <w:noProof/>
        </w:rPr>
        <w:t xml:space="preserve"> euro</w:t>
      </w:r>
      <w:r>
        <w:rPr>
          <w:noProof/>
        </w:rPr>
        <w:t xml:space="preserve"> un pašvaldību budžetā 1 008,9 milj. </w:t>
      </w:r>
      <w:r w:rsidRPr="00875C23">
        <w:rPr>
          <w:i/>
          <w:iCs/>
          <w:noProof/>
        </w:rPr>
        <w:t>euro</w:t>
      </w:r>
      <w:r>
        <w:rPr>
          <w:noProof/>
        </w:rPr>
        <w:t xml:space="preserve">. Salīdzinot ar pērnā gada attiecīgo periodu kopbudžeta nodokļu ieņēmumi tika iekasēti par 698,6 milj. </w:t>
      </w:r>
      <w:r w:rsidRPr="00875C23">
        <w:rPr>
          <w:i/>
          <w:iCs/>
          <w:noProof/>
        </w:rPr>
        <w:t>euro</w:t>
      </w:r>
      <w:r>
        <w:rPr>
          <w:noProof/>
        </w:rPr>
        <w:t xml:space="preserve"> jeb 12,7% vairāk nekā 2022.</w:t>
      </w:r>
      <w:r w:rsidR="00D653F5">
        <w:rPr>
          <w:noProof/>
        </w:rPr>
        <w:t> </w:t>
      </w:r>
      <w:r>
        <w:rPr>
          <w:noProof/>
        </w:rPr>
        <w:t>gada sešos mēnešos, bet salīdzinot ar likumā “Par valsts budžetu 2023.</w:t>
      </w:r>
      <w:r w:rsidR="0001729F">
        <w:rPr>
          <w:noProof/>
        </w:rPr>
        <w:t> </w:t>
      </w:r>
      <w:r>
        <w:rPr>
          <w:noProof/>
        </w:rPr>
        <w:t xml:space="preserve">gadam un budžeta ietvaru 2023., 2024. un 2025. gadam” noteikto plānu – par 272,9 milj. </w:t>
      </w:r>
      <w:r w:rsidRPr="00875C23">
        <w:rPr>
          <w:i/>
          <w:iCs/>
          <w:noProof/>
        </w:rPr>
        <w:t>euro</w:t>
      </w:r>
      <w:r>
        <w:rPr>
          <w:noProof/>
        </w:rPr>
        <w:t xml:space="preserve"> jeb 4,6% vairāk. Attiecībā pret pērnā gada sešiem mēnešiem nodokļu ieņēmumi palielinājušies visās kategorijās, izņemot muitas nodokli, jo imports saistībā ar kara izraisīto ģeopolitisko situāciju no ārpussavienības valstīm audzis ar mazākiem tempiem, nekā bija prognozēts. Būtiskākais palielinājums vērojams pievienotās vērtības nodoklim, sociālās apdrošināšanas iemaksām, uzņēmumu ienākuma nodoklim un iedzīvotāju ienākuma nodoklim – ieņēmumi pieauguši attiecīgi par 320,3 milj. </w:t>
      </w:r>
      <w:r w:rsidRPr="00875C23">
        <w:rPr>
          <w:i/>
          <w:iCs/>
          <w:noProof/>
        </w:rPr>
        <w:t>euro</w:t>
      </w:r>
      <w:r>
        <w:rPr>
          <w:noProof/>
        </w:rPr>
        <w:t xml:space="preserve"> jeb 19,7%, 192,0 milj. </w:t>
      </w:r>
      <w:r w:rsidRPr="00875C23">
        <w:rPr>
          <w:i/>
          <w:iCs/>
          <w:noProof/>
        </w:rPr>
        <w:t>euro</w:t>
      </w:r>
      <w:r>
        <w:rPr>
          <w:noProof/>
        </w:rPr>
        <w:t xml:space="preserve"> jeb 9,0%, 119,3</w:t>
      </w:r>
      <w:r w:rsidR="0001729F">
        <w:rPr>
          <w:noProof/>
        </w:rPr>
        <w:t> </w:t>
      </w:r>
      <w:r>
        <w:rPr>
          <w:noProof/>
        </w:rPr>
        <w:t xml:space="preserve">milj. </w:t>
      </w:r>
      <w:r w:rsidRPr="00875C23">
        <w:rPr>
          <w:i/>
          <w:iCs/>
          <w:noProof/>
        </w:rPr>
        <w:t>euro</w:t>
      </w:r>
      <w:r>
        <w:rPr>
          <w:noProof/>
        </w:rPr>
        <w:t xml:space="preserve"> jeb 56,2 procentiem un 78,3 milj. </w:t>
      </w:r>
      <w:r w:rsidRPr="00875C23">
        <w:rPr>
          <w:i/>
          <w:iCs/>
          <w:noProof/>
        </w:rPr>
        <w:t>euro</w:t>
      </w:r>
      <w:r>
        <w:rPr>
          <w:noProof/>
        </w:rPr>
        <w:t xml:space="preserve"> jeb 7,7 procentiem. Darbaspēka nodokļu pieaugumu galvenokārt noteica straujāks darba samaksas fonda pieaugums nekā tika prognozēts. Pievienotās vērtības nodokļa pieuguma galvenais iemesls ir strauji augošais cenu līmenis visa veida precēm un pakalpojumiem. Savukārt uzņēmumu ienākuma nodokļa pieaugums saistās ar sadalāmās peļņas apmēru pieaugumu, tai skaitā no valsts kapitālsabiedrību dividenžu maksājumiem. Vienlaikus jāņem vērā, ka ekonomiku joprojām ietekmē ģeopolitiskā krīze, kā rezultātā tautsaimniecības izaugsmes tempu izmaiņas var atstāt iespaidu arī uz nodokļu ieņēmumiem gan absolūtajā, gan relatīvajā izteiksmē.</w:t>
      </w:r>
    </w:p>
    <w:p w14:paraId="59B822E8" w14:textId="63017E11" w:rsidR="007C45DB" w:rsidRDefault="007C45DB" w:rsidP="007C45DB">
      <w:pPr>
        <w:rPr>
          <w:noProof/>
        </w:rPr>
      </w:pPr>
      <w:r>
        <w:rPr>
          <w:noProof/>
        </w:rPr>
        <w:t>Ņemot vērā iepriekš minētās tendences, kopbudžeta nodokļu ieņēmumi tiek prognozēti ar pieaugumu salīdzinājumā ar Stabilitātes programmas prognozēm 2023.-2026.</w:t>
      </w:r>
      <w:r w:rsidR="0001729F">
        <w:rPr>
          <w:noProof/>
        </w:rPr>
        <w:t> </w:t>
      </w:r>
      <w:r>
        <w:rPr>
          <w:noProof/>
        </w:rPr>
        <w:t>gadam – 2023.</w:t>
      </w:r>
      <w:r w:rsidR="0001729F">
        <w:rPr>
          <w:noProof/>
        </w:rPr>
        <w:t> </w:t>
      </w:r>
      <w:r>
        <w:rPr>
          <w:noProof/>
        </w:rPr>
        <w:t>gadā par 1,7%, 2024.</w:t>
      </w:r>
      <w:r w:rsidR="0099160E">
        <w:rPr>
          <w:noProof/>
        </w:rPr>
        <w:t> </w:t>
      </w:r>
      <w:r>
        <w:rPr>
          <w:noProof/>
        </w:rPr>
        <w:t>gadā par 2,4%, 2025.</w:t>
      </w:r>
      <w:r w:rsidR="0001729F">
        <w:rPr>
          <w:noProof/>
        </w:rPr>
        <w:t> </w:t>
      </w:r>
      <w:r>
        <w:rPr>
          <w:noProof/>
        </w:rPr>
        <w:t>gadā par 3,0% un 2026.</w:t>
      </w:r>
      <w:r w:rsidR="0001729F">
        <w:rPr>
          <w:noProof/>
        </w:rPr>
        <w:t> </w:t>
      </w:r>
      <w:r>
        <w:rPr>
          <w:noProof/>
        </w:rPr>
        <w:t>gadā par 3,9</w:t>
      </w:r>
      <w:r w:rsidR="0001729F">
        <w:rPr>
          <w:noProof/>
        </w:rPr>
        <w:t> </w:t>
      </w:r>
      <w:r>
        <w:rPr>
          <w:noProof/>
        </w:rPr>
        <w:t>procentiem. 2024.</w:t>
      </w:r>
      <w:r w:rsidR="0099160E">
        <w:rPr>
          <w:noProof/>
        </w:rPr>
        <w:t> </w:t>
      </w:r>
      <w:r>
        <w:rPr>
          <w:noProof/>
        </w:rPr>
        <w:t xml:space="preserve">gadā kopbudžeta nodokļu ieņēmumi tiek prognozēti 13 540,9 milj. </w:t>
      </w:r>
      <w:r w:rsidRPr="00875C23">
        <w:rPr>
          <w:i/>
          <w:iCs/>
          <w:noProof/>
        </w:rPr>
        <w:t>euro</w:t>
      </w:r>
      <w:r>
        <w:rPr>
          <w:noProof/>
        </w:rPr>
        <w:t xml:space="preserve"> apmērā jeb ar 6,8% pieaugumu salīdzinājumā ar 2023.</w:t>
      </w:r>
      <w:r w:rsidR="0099160E">
        <w:rPr>
          <w:noProof/>
        </w:rPr>
        <w:t> </w:t>
      </w:r>
      <w:r>
        <w:rPr>
          <w:noProof/>
        </w:rPr>
        <w:t>gadu, savukārt 2025.</w:t>
      </w:r>
      <w:r w:rsidR="0099160E">
        <w:rPr>
          <w:noProof/>
        </w:rPr>
        <w:t> </w:t>
      </w:r>
      <w:r>
        <w:rPr>
          <w:noProof/>
        </w:rPr>
        <w:t>gadā un 2026.</w:t>
      </w:r>
      <w:r w:rsidR="0099160E">
        <w:rPr>
          <w:noProof/>
        </w:rPr>
        <w:t> </w:t>
      </w:r>
      <w:r>
        <w:rPr>
          <w:noProof/>
        </w:rPr>
        <w:t>gadā ar 6,0% pieaugumu pret iepriekšējo gadu</w:t>
      </w:r>
      <w:r w:rsidR="0001729F">
        <w:rPr>
          <w:noProof/>
        </w:rPr>
        <w:t xml:space="preserve"> (skat. 1. attēlu)</w:t>
      </w:r>
      <w:r>
        <w:rPr>
          <w:noProof/>
        </w:rPr>
        <w:t>.</w:t>
      </w:r>
    </w:p>
    <w:p w14:paraId="74A07B64" w14:textId="3D0FA687" w:rsidR="0099160E" w:rsidRDefault="0099160E" w:rsidP="0099160E">
      <w:pPr>
        <w:rPr>
          <w:noProof/>
        </w:rPr>
      </w:pPr>
      <w:r>
        <w:rPr>
          <w:noProof/>
        </w:rPr>
        <w:t>Kopumā tiek prognozēts, ka nodokļu ieņēmumu dinamika 2024.-2026.gadā būs atbilstoša prognozējamiem Latvijas tautsaimniecības attīstības tempiem, ņemot vērā katra nodokļa korelējošo makrodatu izmaiņas, taču rezultātā kopējo nodokļu ieņēmumu īpatsvaram IKP minētajā periodā saglabājoties relatīvi stabilā līmenī 31% apmērā.</w:t>
      </w:r>
    </w:p>
    <w:p w14:paraId="4BAAAA55" w14:textId="6361199B" w:rsidR="0099160E" w:rsidRDefault="0099160E" w:rsidP="0099160E">
      <w:pPr>
        <w:rPr>
          <w:noProof/>
        </w:rPr>
      </w:pPr>
      <w:r>
        <w:rPr>
          <w:noProof/>
        </w:rPr>
        <w:t xml:space="preserve">Valsts pamatbudžeta nenodokļu ieņēmumi 2023.gada sešos mēnešos ir 594,7 milj. </w:t>
      </w:r>
      <w:r w:rsidRPr="00875C23">
        <w:rPr>
          <w:i/>
          <w:iCs/>
          <w:noProof/>
        </w:rPr>
        <w:t>euro</w:t>
      </w:r>
      <w:r>
        <w:rPr>
          <w:noProof/>
        </w:rPr>
        <w:t xml:space="preserve">, kas ir par 228,3 milj. </w:t>
      </w:r>
      <w:r w:rsidRPr="00875C23">
        <w:rPr>
          <w:i/>
          <w:iCs/>
          <w:noProof/>
        </w:rPr>
        <w:t>euro</w:t>
      </w:r>
      <w:r>
        <w:rPr>
          <w:noProof/>
        </w:rPr>
        <w:t xml:space="preserve"> jeb 62,3% vairāk nekā 2022.gada attiecīgajā periodā un par 147,0 milj. </w:t>
      </w:r>
      <w:r w:rsidRPr="00875C23">
        <w:rPr>
          <w:i/>
          <w:iCs/>
          <w:noProof/>
        </w:rPr>
        <w:t>euro</w:t>
      </w:r>
      <w:r>
        <w:rPr>
          <w:noProof/>
        </w:rPr>
        <w:t xml:space="preserve"> jeb 32,8% vairāk par likumā “Par valsts budžetu 2023. gadam un budžeta ietvaru 2023., 2024. un 2025. gadam” noteikto plānu. 2023. gada 1. pusgadā lielākos valsts pamatbudžeta nenodokļu ieņēmumus veido ieņēmumi no dividendēm (maksājumi par valsts kapitāla izmantošanu), ieņēmumi no Latvijai piešķirto emisijas kvotu izsolīšanas, ieņēmumi no valsts nodevām par valsts sniegto nodrošinājumu un juridiskajiem un citiem pakalpojumiem, kā arī speciāliem mērķiem paredzētās valsts nodevas.</w:t>
      </w:r>
    </w:p>
    <w:p w14:paraId="7ACBB9B6" w14:textId="77777777" w:rsidR="0099160E" w:rsidRDefault="0099160E" w:rsidP="007C45DB">
      <w:pPr>
        <w:rPr>
          <w:noProof/>
        </w:rPr>
      </w:pPr>
    </w:p>
    <w:p w14:paraId="1FF2AAD9" w14:textId="77777777" w:rsidR="0099160E" w:rsidRDefault="00B3512B" w:rsidP="0001729F">
      <w:pPr>
        <w:jc w:val="center"/>
      </w:pPr>
      <w:r>
        <w:br w:type="page"/>
      </w:r>
    </w:p>
    <w:p w14:paraId="38E1B233" w14:textId="77777777" w:rsidR="0099160E" w:rsidRPr="00B3512B" w:rsidRDefault="0099160E" w:rsidP="0099160E">
      <w:pPr>
        <w:spacing w:before="0" w:after="0"/>
        <w:jc w:val="left"/>
        <w:rPr>
          <w:sz w:val="16"/>
          <w:szCs w:val="16"/>
        </w:rPr>
      </w:pPr>
      <w:r w:rsidRPr="00B3512B">
        <w:rPr>
          <w:sz w:val="16"/>
          <w:szCs w:val="16"/>
        </w:rPr>
        <w:lastRenderedPageBreak/>
        <w:t>* neieskaitot ieņēmumus vienotajā nodokļu kontā un VSAOI iemaksas 2.pensiju līmenī;</w:t>
      </w:r>
    </w:p>
    <w:p w14:paraId="457E1170" w14:textId="77777777" w:rsidR="0099160E" w:rsidRPr="00B17B89" w:rsidRDefault="0099160E" w:rsidP="0099160E">
      <w:pPr>
        <w:spacing w:before="0" w:after="0"/>
        <w:jc w:val="left"/>
        <w:rPr>
          <w:sz w:val="16"/>
          <w:szCs w:val="16"/>
        </w:rPr>
      </w:pPr>
      <w:r w:rsidRPr="00B3512B">
        <w:rPr>
          <w:sz w:val="16"/>
          <w:szCs w:val="16"/>
        </w:rPr>
        <w:t>** nodokļu ieņēmumi kopā («nodokļu slogs»)</w:t>
      </w:r>
    </w:p>
    <w:p w14:paraId="1911CA0C" w14:textId="5C54B77D" w:rsidR="0001729F" w:rsidRPr="00D8549C" w:rsidRDefault="0099160E" w:rsidP="0099160E">
      <w:pPr>
        <w:ind w:firstLine="0"/>
        <w:jc w:val="center"/>
        <w:rPr>
          <w:rFonts w:eastAsia="Calibri"/>
          <w:b/>
          <w:iCs/>
          <w:noProof/>
        </w:rPr>
      </w:pPr>
      <w:r w:rsidRPr="00B3512B">
        <w:rPr>
          <w:noProof/>
        </w:rPr>
        <w:drawing>
          <wp:anchor distT="0" distB="0" distL="114300" distR="114300" simplePos="0" relativeHeight="251658240" behindDoc="0" locked="0" layoutInCell="1" allowOverlap="1" wp14:anchorId="6C447794" wp14:editId="63DEFC02">
            <wp:simplePos x="0" y="0"/>
            <wp:positionH relativeFrom="margin">
              <wp:posOffset>490220</wp:posOffset>
            </wp:positionH>
            <wp:positionV relativeFrom="page">
              <wp:posOffset>1047750</wp:posOffset>
            </wp:positionV>
            <wp:extent cx="4805670" cy="2448000"/>
            <wp:effectExtent l="0" t="0" r="0" b="0"/>
            <wp:wrapTopAndBottom/>
            <wp:docPr id="639314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82" b="6090"/>
                    <a:stretch/>
                  </pic:blipFill>
                  <pic:spPr bwMode="auto">
                    <a:xfrm>
                      <a:off x="0" y="0"/>
                      <a:ext cx="4805670" cy="24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729F">
        <w:rPr>
          <w:rFonts w:eastAsia="Calibri"/>
          <w:b/>
          <w:iCs/>
          <w:noProof/>
        </w:rPr>
        <w:t>1</w:t>
      </w:r>
      <w:r w:rsidR="0001729F" w:rsidRPr="00D8549C">
        <w:rPr>
          <w:rFonts w:eastAsia="Calibri"/>
          <w:b/>
          <w:iCs/>
          <w:noProof/>
        </w:rPr>
        <w:t xml:space="preserve">. attēls. </w:t>
      </w:r>
      <w:r w:rsidR="0001729F" w:rsidRPr="00B3512B">
        <w:rPr>
          <w:rFonts w:eastAsia="Calibri"/>
          <w:b/>
          <w:bCs/>
          <w:iCs/>
          <w:noProof/>
        </w:rPr>
        <w:t>Kopbudžeta nodokļu ieņēmumi un kopējo nodokļu ieņēmumu īpatsvars iekšzemes kopproduktā</w:t>
      </w:r>
    </w:p>
    <w:p w14:paraId="070459DA" w14:textId="22FDFB3B" w:rsidR="007C45DB" w:rsidRDefault="007C45DB" w:rsidP="007C45DB">
      <w:pPr>
        <w:rPr>
          <w:noProof/>
        </w:rPr>
      </w:pPr>
      <w:r>
        <w:t>2024.</w:t>
      </w:r>
      <w:r w:rsidR="007821C5">
        <w:t> </w:t>
      </w:r>
      <w:r>
        <w:t xml:space="preserve">gadā valsts </w:t>
      </w:r>
      <w:r>
        <w:rPr>
          <w:noProof/>
        </w:rPr>
        <w:t>pamatbudžeta nenodokļu ieņēmumi tiek prognozēti ar 23,1% samazinājumu salīdzinājumā ar 2023.gadu, ko pamatā ietekmē ieņēmumu samazinājums no dividendēm, procentu ieņēmumu samazinājums par depozītiem un kontu atlikumiem, valsts nodevas par naftas produktu drošības rezervju uzturēšanu, kā arī valsts nodevas par valsts sniegto nodrošinājumu un juridiskajiem un citiem pakalpojumiem nodevas ieņēmumu samazinājums un ieņēmumu no Latvijai piešķirto emisijas kvotu izsolīšanas samazinājums. 2025.</w:t>
      </w:r>
      <w:r w:rsidR="007821C5">
        <w:rPr>
          <w:noProof/>
        </w:rPr>
        <w:t> </w:t>
      </w:r>
      <w:r>
        <w:rPr>
          <w:noProof/>
        </w:rPr>
        <w:t>gadā nenodokļu ieņēmumi tiek prognozēti ar 0,02% pieaugumu, bet 2026.</w:t>
      </w:r>
      <w:r w:rsidR="007821C5">
        <w:rPr>
          <w:noProof/>
        </w:rPr>
        <w:t> </w:t>
      </w:r>
      <w:r>
        <w:rPr>
          <w:noProof/>
        </w:rPr>
        <w:t>gadā ar 17,7% samazinājumu salīdzinājumā ar iepriekšējo gadu.</w:t>
      </w:r>
    </w:p>
    <w:p w14:paraId="6103C489" w14:textId="79DE7E4F" w:rsidR="007C45DB" w:rsidRPr="007C45DB" w:rsidRDefault="007C45DB" w:rsidP="007C45DB">
      <w:r>
        <w:br w:type="page"/>
      </w:r>
    </w:p>
    <w:p w14:paraId="270B3A88" w14:textId="7C3F3E6C" w:rsidR="00766ABC" w:rsidRPr="00766ABC" w:rsidRDefault="005700B6" w:rsidP="007C45DB">
      <w:pPr>
        <w:pStyle w:val="Heading1"/>
        <w:ind w:left="357" w:hanging="357"/>
        <w:rPr>
          <w:sz w:val="28"/>
          <w:szCs w:val="28"/>
        </w:rPr>
      </w:pPr>
      <w:bookmarkStart w:id="4" w:name="_Toc142344002"/>
      <w:bookmarkStart w:id="5" w:name="_Toc403038744"/>
      <w:r w:rsidRPr="00D1498B">
        <w:rPr>
          <w:sz w:val="28"/>
          <w:szCs w:val="28"/>
        </w:rPr>
        <w:lastRenderedPageBreak/>
        <w:t>Valdības apstiprinātie atbalsta pasākumi krīžu seku mazināšanai un to fiskālā ietekme</w:t>
      </w:r>
      <w:bookmarkEnd w:id="4"/>
    </w:p>
    <w:p w14:paraId="31E1259C" w14:textId="41DE7D51" w:rsidR="00D4179B" w:rsidRDefault="00D4179B" w:rsidP="00766ABC">
      <w:pPr>
        <w:ind w:firstLine="709"/>
        <w:rPr>
          <w:rFonts w:eastAsia="Calibri" w:cs="Times New Roman"/>
          <w:noProof/>
          <w:color w:val="000000"/>
          <w:szCs w:val="24"/>
        </w:rPr>
      </w:pPr>
      <w:r>
        <w:rPr>
          <w:rFonts w:eastAsia="Calibri" w:cs="Times New Roman"/>
          <w:noProof/>
          <w:color w:val="000000"/>
          <w:szCs w:val="24"/>
        </w:rPr>
        <w:t>Pēc</w:t>
      </w:r>
      <w:r w:rsidRPr="00D4179B">
        <w:rPr>
          <w:rFonts w:eastAsia="Calibri" w:cs="Times New Roman"/>
          <w:noProof/>
          <w:color w:val="000000"/>
          <w:szCs w:val="24"/>
        </w:rPr>
        <w:t xml:space="preserve"> Covid-19 pandēmijas </w:t>
      </w:r>
      <w:r>
        <w:rPr>
          <w:rFonts w:eastAsia="Calibri" w:cs="Times New Roman"/>
          <w:noProof/>
          <w:color w:val="000000"/>
          <w:szCs w:val="24"/>
        </w:rPr>
        <w:t>period</w:t>
      </w:r>
      <w:r w:rsidR="00C77E0B">
        <w:rPr>
          <w:rFonts w:eastAsia="Calibri" w:cs="Times New Roman"/>
          <w:noProof/>
          <w:color w:val="000000"/>
          <w:szCs w:val="24"/>
        </w:rPr>
        <w:t>a</w:t>
      </w:r>
      <w:r>
        <w:rPr>
          <w:rFonts w:eastAsia="Calibri" w:cs="Times New Roman"/>
          <w:noProof/>
          <w:color w:val="000000"/>
          <w:szCs w:val="24"/>
        </w:rPr>
        <w:t xml:space="preserve"> Latvija 2022. un 2023. gados sniedza būtisku atbalstu sabiedrībai</w:t>
      </w:r>
      <w:r w:rsidRPr="00D4179B">
        <w:rPr>
          <w:rFonts w:eastAsia="Calibri" w:cs="Times New Roman"/>
          <w:noProof/>
          <w:color w:val="000000"/>
          <w:szCs w:val="24"/>
        </w:rPr>
        <w:t xml:space="preserve"> energoresursu cenu pieauguma ietekmes mazināšanai</w:t>
      </w:r>
      <w:r w:rsidR="00C77E0B">
        <w:rPr>
          <w:rFonts w:eastAsia="Calibri" w:cs="Times New Roman"/>
          <w:noProof/>
          <w:color w:val="000000"/>
          <w:szCs w:val="24"/>
        </w:rPr>
        <w:t xml:space="preserve"> (turpmāk</w:t>
      </w:r>
      <w:r w:rsidR="008E08C0">
        <w:rPr>
          <w:rFonts w:eastAsia="Calibri" w:cs="Times New Roman"/>
          <w:noProof/>
          <w:color w:val="000000"/>
          <w:szCs w:val="24"/>
        </w:rPr>
        <w:t xml:space="preserve"> </w:t>
      </w:r>
      <w:r w:rsidR="00C77E0B">
        <w:rPr>
          <w:rFonts w:eastAsia="Calibri" w:cs="Times New Roman"/>
          <w:noProof/>
          <w:color w:val="000000"/>
          <w:szCs w:val="24"/>
        </w:rPr>
        <w:t>- energoatbalsts)</w:t>
      </w:r>
      <w:r>
        <w:rPr>
          <w:rFonts w:eastAsia="Calibri" w:cs="Times New Roman"/>
          <w:noProof/>
          <w:color w:val="000000"/>
          <w:szCs w:val="24"/>
        </w:rPr>
        <w:t>. Tāpat</w:t>
      </w:r>
      <w:r w:rsidRPr="00D4179B">
        <w:rPr>
          <w:rFonts w:eastAsia="Calibri" w:cs="Times New Roman"/>
          <w:noProof/>
          <w:color w:val="000000"/>
          <w:szCs w:val="24"/>
        </w:rPr>
        <w:t xml:space="preserve"> </w:t>
      </w:r>
      <w:r>
        <w:rPr>
          <w:rFonts w:eastAsia="Calibri" w:cs="Times New Roman"/>
          <w:noProof/>
          <w:color w:val="000000"/>
          <w:szCs w:val="24"/>
        </w:rPr>
        <w:t>nozīmīgs finansējums atvēlēts</w:t>
      </w:r>
      <w:r w:rsidRPr="00D4179B">
        <w:rPr>
          <w:rFonts w:eastAsia="Calibri" w:cs="Times New Roman"/>
          <w:noProof/>
          <w:color w:val="000000"/>
          <w:szCs w:val="24"/>
        </w:rPr>
        <w:t xml:space="preserve"> Ukrainas </w:t>
      </w:r>
      <w:r>
        <w:rPr>
          <w:rFonts w:eastAsia="Calibri" w:cs="Times New Roman"/>
          <w:noProof/>
          <w:color w:val="000000"/>
          <w:szCs w:val="24"/>
        </w:rPr>
        <w:t>civiliedzīvotāju</w:t>
      </w:r>
      <w:r w:rsidRPr="00D4179B">
        <w:rPr>
          <w:rFonts w:eastAsia="Calibri" w:cs="Times New Roman"/>
          <w:noProof/>
          <w:color w:val="000000"/>
          <w:szCs w:val="24"/>
        </w:rPr>
        <w:t xml:space="preserve"> atbalstam</w:t>
      </w:r>
      <w:r>
        <w:rPr>
          <w:rFonts w:eastAsia="Calibri" w:cs="Times New Roman"/>
          <w:noProof/>
          <w:color w:val="000000"/>
          <w:szCs w:val="24"/>
        </w:rPr>
        <w:t>, ņemot vērā 2022.</w:t>
      </w:r>
      <w:r w:rsidR="004161BA">
        <w:rPr>
          <w:rFonts w:eastAsia="Calibri" w:cs="Times New Roman"/>
          <w:noProof/>
          <w:color w:val="000000"/>
          <w:szCs w:val="24"/>
        </w:rPr>
        <w:t> </w:t>
      </w:r>
      <w:r>
        <w:rPr>
          <w:rFonts w:eastAsia="Calibri" w:cs="Times New Roman"/>
          <w:noProof/>
          <w:color w:val="000000"/>
          <w:szCs w:val="24"/>
        </w:rPr>
        <w:t>gada Krievijas pilna mēroga iebrukumu Ukrainā</w:t>
      </w:r>
      <w:r w:rsidRPr="00D4179B">
        <w:rPr>
          <w:rFonts w:eastAsia="Calibri" w:cs="Times New Roman"/>
          <w:noProof/>
          <w:color w:val="000000"/>
          <w:szCs w:val="24"/>
        </w:rPr>
        <w:t xml:space="preserve">. </w:t>
      </w:r>
      <w:r w:rsidR="0003089D">
        <w:rPr>
          <w:rFonts w:eastAsia="Calibri" w:cs="Times New Roman"/>
          <w:noProof/>
          <w:color w:val="000000"/>
          <w:szCs w:val="24"/>
        </w:rPr>
        <w:t>2023.</w:t>
      </w:r>
      <w:r w:rsidR="00B17B89">
        <w:rPr>
          <w:rFonts w:eastAsia="Calibri" w:cs="Times New Roman"/>
          <w:noProof/>
          <w:color w:val="000000"/>
          <w:szCs w:val="24"/>
        </w:rPr>
        <w:t> </w:t>
      </w:r>
      <w:r w:rsidR="0003089D">
        <w:rPr>
          <w:rFonts w:eastAsia="Calibri" w:cs="Times New Roman"/>
          <w:noProof/>
          <w:color w:val="000000"/>
          <w:szCs w:val="24"/>
        </w:rPr>
        <w:t>gads ir pēdējais, kurā kopš 2020.</w:t>
      </w:r>
      <w:r w:rsidR="004161BA">
        <w:rPr>
          <w:rFonts w:eastAsia="Calibri" w:cs="Times New Roman"/>
          <w:noProof/>
          <w:color w:val="000000"/>
          <w:szCs w:val="24"/>
        </w:rPr>
        <w:t> </w:t>
      </w:r>
      <w:r w:rsidR="0003089D">
        <w:rPr>
          <w:rFonts w:eastAsia="Calibri" w:cs="Times New Roman"/>
          <w:noProof/>
          <w:color w:val="000000"/>
          <w:szCs w:val="24"/>
        </w:rPr>
        <w:t>gada tiek paredzēts nozīmīgs finansējums atbalsta pasākumiem krīžu seku mazināšanai.</w:t>
      </w:r>
    </w:p>
    <w:p w14:paraId="60878DE7" w14:textId="3329D574" w:rsidR="00D25AC4" w:rsidRDefault="00FE3024" w:rsidP="00766ABC">
      <w:pPr>
        <w:ind w:firstLine="709"/>
        <w:rPr>
          <w:rFonts w:eastAsia="Calibri" w:cs="Times New Roman"/>
          <w:noProof/>
          <w:color w:val="000000"/>
          <w:szCs w:val="24"/>
        </w:rPr>
      </w:pPr>
      <w:r w:rsidRPr="0003089D">
        <w:rPr>
          <w:rFonts w:eastAsia="Calibri" w:cs="Times New Roman"/>
          <w:noProof/>
          <w:color w:val="000000"/>
          <w:szCs w:val="24"/>
        </w:rPr>
        <w:t xml:space="preserve">Kopējais </w:t>
      </w:r>
      <w:r w:rsidR="0003089D" w:rsidRPr="0003089D">
        <w:rPr>
          <w:rFonts w:eastAsia="Calibri" w:cs="Times New Roman"/>
          <w:noProof/>
          <w:color w:val="000000"/>
          <w:szCs w:val="24"/>
        </w:rPr>
        <w:t>plānotais atbalsts</w:t>
      </w:r>
      <w:r w:rsidRPr="0003089D">
        <w:rPr>
          <w:rFonts w:eastAsia="Calibri" w:cs="Times New Roman"/>
          <w:noProof/>
          <w:color w:val="000000"/>
          <w:szCs w:val="24"/>
        </w:rPr>
        <w:t xml:space="preserve"> 2023. gadam </w:t>
      </w:r>
      <w:r w:rsidR="0003089D" w:rsidRPr="0003089D">
        <w:rPr>
          <w:rFonts w:eastAsia="Calibri" w:cs="Times New Roman"/>
          <w:noProof/>
          <w:color w:val="000000"/>
          <w:szCs w:val="24"/>
        </w:rPr>
        <w:t>atbilst</w:t>
      </w:r>
      <w:r w:rsidR="00C77E0B">
        <w:rPr>
          <w:rFonts w:eastAsia="Calibri" w:cs="Times New Roman"/>
          <w:noProof/>
          <w:color w:val="000000"/>
          <w:szCs w:val="24"/>
        </w:rPr>
        <w:t>o</w:t>
      </w:r>
      <w:r w:rsidR="0003089D" w:rsidRPr="0003089D">
        <w:rPr>
          <w:rFonts w:eastAsia="Calibri" w:cs="Times New Roman"/>
          <w:noProof/>
          <w:color w:val="000000"/>
          <w:szCs w:val="24"/>
        </w:rPr>
        <w:t xml:space="preserve">ši FM apkopotajai informācijai </w:t>
      </w:r>
      <w:r w:rsidR="00C77E0B">
        <w:rPr>
          <w:rFonts w:eastAsia="Calibri" w:cs="Times New Roman"/>
          <w:noProof/>
          <w:color w:val="000000"/>
          <w:szCs w:val="24"/>
        </w:rPr>
        <w:t>ir</w:t>
      </w:r>
      <w:r w:rsidR="0003089D" w:rsidRPr="0003089D">
        <w:rPr>
          <w:rFonts w:eastAsia="Calibri" w:cs="Times New Roman"/>
          <w:noProof/>
          <w:color w:val="000000"/>
          <w:szCs w:val="24"/>
        </w:rPr>
        <w:t xml:space="preserve"> 824</w:t>
      </w:r>
      <w:r w:rsidR="00B17B89">
        <w:rPr>
          <w:rFonts w:eastAsia="Calibri" w:cs="Times New Roman"/>
          <w:noProof/>
          <w:color w:val="000000"/>
          <w:szCs w:val="24"/>
        </w:rPr>
        <w:t> </w:t>
      </w:r>
      <w:r w:rsidRPr="0003089D">
        <w:rPr>
          <w:rFonts w:eastAsia="Calibri" w:cs="Times New Roman"/>
          <w:noProof/>
          <w:color w:val="000000"/>
          <w:szCs w:val="24"/>
        </w:rPr>
        <w:t xml:space="preserve">milj. </w:t>
      </w:r>
      <w:r w:rsidRPr="0003089D">
        <w:rPr>
          <w:rFonts w:eastAsia="Calibri" w:cs="Times New Roman"/>
          <w:i/>
          <w:iCs/>
          <w:noProof/>
          <w:color w:val="000000"/>
          <w:szCs w:val="24"/>
        </w:rPr>
        <w:t>euro</w:t>
      </w:r>
      <w:r w:rsidRPr="0003089D">
        <w:rPr>
          <w:rFonts w:eastAsia="Calibri" w:cs="Times New Roman"/>
          <w:noProof/>
          <w:color w:val="000000"/>
          <w:szCs w:val="24"/>
        </w:rPr>
        <w:t xml:space="preserve"> jeb 1,</w:t>
      </w:r>
      <w:r w:rsidR="0003089D" w:rsidRPr="0003089D">
        <w:rPr>
          <w:rFonts w:eastAsia="Calibri" w:cs="Times New Roman"/>
          <w:noProof/>
          <w:color w:val="000000"/>
          <w:szCs w:val="24"/>
        </w:rPr>
        <w:t>9</w:t>
      </w:r>
      <w:r w:rsidRPr="0003089D">
        <w:rPr>
          <w:rFonts w:eastAsia="Calibri" w:cs="Times New Roman"/>
          <w:noProof/>
          <w:color w:val="000000"/>
          <w:szCs w:val="24"/>
        </w:rPr>
        <w:t>% no IKP</w:t>
      </w:r>
      <w:r w:rsidR="0003089D" w:rsidRPr="0003089D">
        <w:rPr>
          <w:rFonts w:eastAsia="Calibri" w:cs="Times New Roman"/>
          <w:noProof/>
          <w:color w:val="000000"/>
          <w:szCs w:val="24"/>
        </w:rPr>
        <w:t xml:space="preserve">. </w:t>
      </w:r>
      <w:r w:rsidRPr="0003089D">
        <w:rPr>
          <w:rFonts w:eastAsia="Calibri" w:cs="Times New Roman"/>
          <w:noProof/>
          <w:color w:val="000000"/>
          <w:szCs w:val="24"/>
        </w:rPr>
        <w:t xml:space="preserve">Atbalsta ietekme uz vispārējās valdības budžeta bilanci ir negatīva, </w:t>
      </w:r>
      <w:r w:rsidRPr="00393292">
        <w:rPr>
          <w:rFonts w:eastAsia="Calibri" w:cs="Times New Roman"/>
          <w:noProof/>
          <w:color w:val="000000"/>
          <w:szCs w:val="24"/>
        </w:rPr>
        <w:t>un 202</w:t>
      </w:r>
      <w:r w:rsidR="0003089D" w:rsidRPr="00393292">
        <w:rPr>
          <w:rFonts w:eastAsia="Calibri" w:cs="Times New Roman"/>
          <w:noProof/>
          <w:color w:val="000000"/>
          <w:szCs w:val="24"/>
        </w:rPr>
        <w:t>3</w:t>
      </w:r>
      <w:r w:rsidRPr="00393292">
        <w:rPr>
          <w:rFonts w:eastAsia="Calibri" w:cs="Times New Roman"/>
          <w:noProof/>
          <w:color w:val="000000"/>
          <w:szCs w:val="24"/>
        </w:rPr>
        <w:t xml:space="preserve">. gadā tā </w:t>
      </w:r>
      <w:r w:rsidR="0003089D" w:rsidRPr="00393292">
        <w:rPr>
          <w:rFonts w:eastAsia="Calibri" w:cs="Times New Roman"/>
          <w:noProof/>
          <w:color w:val="000000"/>
          <w:szCs w:val="24"/>
        </w:rPr>
        <w:t xml:space="preserve">FM vērtējumā tiek sagaidīta 726 milj. </w:t>
      </w:r>
      <w:r w:rsidR="0003089D" w:rsidRPr="00393292">
        <w:rPr>
          <w:rFonts w:eastAsia="Calibri" w:cs="Times New Roman"/>
          <w:i/>
          <w:iCs/>
          <w:noProof/>
          <w:color w:val="000000"/>
          <w:szCs w:val="24"/>
        </w:rPr>
        <w:t>euro</w:t>
      </w:r>
      <w:r w:rsidR="0003089D" w:rsidRPr="00393292">
        <w:rPr>
          <w:rFonts w:eastAsia="Calibri" w:cs="Times New Roman"/>
          <w:noProof/>
          <w:color w:val="000000"/>
          <w:szCs w:val="24"/>
        </w:rPr>
        <w:t xml:space="preserve"> apmērā jeb 1,7% no IKP.</w:t>
      </w:r>
      <w:r w:rsidRPr="00393292">
        <w:rPr>
          <w:rFonts w:eastAsia="Calibri" w:cs="Times New Roman"/>
          <w:noProof/>
          <w:color w:val="000000"/>
          <w:szCs w:val="24"/>
        </w:rPr>
        <w:t xml:space="preserve"> (skat. </w:t>
      </w:r>
      <w:r w:rsidR="00393292" w:rsidRPr="00393292">
        <w:rPr>
          <w:rFonts w:eastAsia="Calibri" w:cs="Times New Roman"/>
          <w:noProof/>
          <w:color w:val="000000"/>
          <w:szCs w:val="24"/>
        </w:rPr>
        <w:t>3</w:t>
      </w:r>
      <w:r w:rsidR="00CA648F" w:rsidRPr="00393292">
        <w:rPr>
          <w:rFonts w:eastAsia="Calibri" w:cs="Times New Roman"/>
          <w:noProof/>
          <w:color w:val="000000"/>
          <w:szCs w:val="24"/>
        </w:rPr>
        <w:t>.</w:t>
      </w:r>
      <w:r w:rsidR="00C46348" w:rsidRPr="00393292">
        <w:rPr>
          <w:rFonts w:eastAsia="Calibri" w:cs="Times New Roman"/>
          <w:noProof/>
          <w:color w:val="000000"/>
          <w:szCs w:val="24"/>
        </w:rPr>
        <w:t> </w:t>
      </w:r>
      <w:r w:rsidR="00CA648F" w:rsidRPr="00393292">
        <w:rPr>
          <w:rFonts w:eastAsia="Calibri" w:cs="Times New Roman"/>
          <w:noProof/>
          <w:color w:val="000000"/>
          <w:szCs w:val="24"/>
        </w:rPr>
        <w:t>tabulu</w:t>
      </w:r>
      <w:r w:rsidRPr="00393292">
        <w:rPr>
          <w:rFonts w:eastAsia="Calibri" w:cs="Times New Roman"/>
          <w:noProof/>
          <w:color w:val="000000"/>
          <w:szCs w:val="24"/>
        </w:rPr>
        <w:t xml:space="preserve">). </w:t>
      </w:r>
      <w:r w:rsidR="005E6FD6">
        <w:rPr>
          <w:rFonts w:eastAsia="Calibri" w:cs="Times New Roman"/>
          <w:noProof/>
          <w:color w:val="000000"/>
          <w:szCs w:val="24"/>
        </w:rPr>
        <w:t xml:space="preserve"> </w:t>
      </w:r>
    </w:p>
    <w:p w14:paraId="658D86BC" w14:textId="459E2F40" w:rsidR="00D25AC4" w:rsidRDefault="00D25AC4" w:rsidP="00766ABC">
      <w:pPr>
        <w:ind w:firstLine="709"/>
        <w:rPr>
          <w:rFonts w:eastAsia="Calibri" w:cs="Times New Roman"/>
          <w:noProof/>
          <w:color w:val="000000"/>
          <w:szCs w:val="24"/>
        </w:rPr>
      </w:pPr>
      <w:r w:rsidRPr="005E6FD6">
        <w:rPr>
          <w:rFonts w:eastAsia="Calibri" w:cs="Times New Roman"/>
          <w:noProof/>
          <w:color w:val="000000"/>
          <w:szCs w:val="24"/>
        </w:rPr>
        <w:t xml:space="preserve">Covid-19 atbalsta finansējums tiek plānots jau būtiski mazākā apmērā kā iepriekšējos gados, faktiski turpinoties tikai atsevišķiem uzsāktajiem investīciju projektiem un paredzot finansējumu Covid-19 vakcīnu iegādei, kas iepriekš pasūtītas, kā arī turpinoties finanšu institūcijas ALTUM programmu īstenošanai ar ietekmi </w:t>
      </w:r>
      <w:r>
        <w:rPr>
          <w:rFonts w:eastAsia="Calibri" w:cs="Times New Roman"/>
          <w:noProof/>
          <w:color w:val="000000"/>
          <w:szCs w:val="24"/>
        </w:rPr>
        <w:t>uz bilanci</w:t>
      </w:r>
      <w:r w:rsidRPr="005E6FD6">
        <w:rPr>
          <w:rFonts w:eastAsia="Calibri" w:cs="Times New Roman"/>
          <w:noProof/>
          <w:color w:val="000000"/>
          <w:szCs w:val="24"/>
        </w:rPr>
        <w:t>, kas izriet no programmu realizācijas rādītājiem.</w:t>
      </w:r>
      <w:r>
        <w:rPr>
          <w:rFonts w:eastAsia="Calibri" w:cs="Times New Roman"/>
          <w:noProof/>
          <w:color w:val="000000"/>
          <w:szCs w:val="24"/>
        </w:rPr>
        <w:t xml:space="preserve"> </w:t>
      </w:r>
    </w:p>
    <w:p w14:paraId="0176BDCE" w14:textId="40A02EB9" w:rsidR="00D25AC4" w:rsidRDefault="00D25AC4" w:rsidP="00766ABC">
      <w:pPr>
        <w:ind w:firstLine="709"/>
        <w:rPr>
          <w:rFonts w:eastAsia="Calibri" w:cs="Times New Roman"/>
          <w:noProof/>
          <w:color w:val="000000"/>
          <w:szCs w:val="24"/>
        </w:rPr>
      </w:pPr>
      <w:r w:rsidRPr="005E6FD6">
        <w:rPr>
          <w:rFonts w:eastAsia="Calibri" w:cs="Times New Roman"/>
          <w:noProof/>
          <w:color w:val="000000"/>
          <w:szCs w:val="24"/>
        </w:rPr>
        <w:t xml:space="preserve">Ieplānotais energoatbalsts </w:t>
      </w:r>
      <w:r w:rsidR="00D653F5">
        <w:rPr>
          <w:rFonts w:eastAsia="Calibri" w:cs="Times New Roman"/>
          <w:noProof/>
          <w:color w:val="000000"/>
          <w:szCs w:val="24"/>
        </w:rPr>
        <w:t xml:space="preserve">bija </w:t>
      </w:r>
      <w:r w:rsidRPr="005E6FD6">
        <w:rPr>
          <w:rFonts w:eastAsia="Calibri" w:cs="Times New Roman"/>
          <w:noProof/>
          <w:color w:val="000000"/>
          <w:szCs w:val="24"/>
        </w:rPr>
        <w:t>paredzēts pamatā līdz šā gada 30. aprīlim</w:t>
      </w:r>
      <w:r w:rsidR="00D653F5">
        <w:rPr>
          <w:rFonts w:eastAsia="Calibri" w:cs="Times New Roman"/>
          <w:noProof/>
          <w:color w:val="000000"/>
          <w:szCs w:val="24"/>
        </w:rPr>
        <w:t>,</w:t>
      </w:r>
      <w:r w:rsidRPr="005E6FD6">
        <w:rPr>
          <w:rFonts w:eastAsia="Calibri" w:cs="Times New Roman"/>
          <w:noProof/>
          <w:color w:val="000000"/>
          <w:szCs w:val="24"/>
        </w:rPr>
        <w:t xml:space="preserve"> un par atbalsta nepieciešamību nākamajā apkures sezonā</w:t>
      </w:r>
      <w:r w:rsidR="00D653F5">
        <w:rPr>
          <w:rFonts w:eastAsia="Calibri" w:cs="Times New Roman"/>
          <w:noProof/>
          <w:color w:val="000000"/>
          <w:szCs w:val="24"/>
        </w:rPr>
        <w:t xml:space="preserve"> valdībai vēl ir jālemj</w:t>
      </w:r>
      <w:r w:rsidRPr="005E6FD6">
        <w:rPr>
          <w:rFonts w:eastAsia="Calibri" w:cs="Times New Roman"/>
          <w:noProof/>
          <w:color w:val="000000"/>
          <w:szCs w:val="24"/>
        </w:rPr>
        <w:t>, par prioritāti virzot mērķētāka atbalsta nodrošināšanu</w:t>
      </w:r>
      <w:r>
        <w:rPr>
          <w:rFonts w:eastAsia="Calibri" w:cs="Times New Roman"/>
          <w:noProof/>
          <w:color w:val="000000"/>
          <w:szCs w:val="24"/>
        </w:rPr>
        <w:t xml:space="preserve"> ar Būvniecības valsts kontroles biroja starpniecību.</w:t>
      </w:r>
    </w:p>
    <w:p w14:paraId="1AF16D9D" w14:textId="63C3FCDE" w:rsidR="00D25AC4" w:rsidRDefault="00D25AC4" w:rsidP="00766ABC">
      <w:pPr>
        <w:ind w:firstLine="709"/>
        <w:rPr>
          <w:rFonts w:eastAsia="Calibri" w:cs="Times New Roman"/>
          <w:noProof/>
          <w:color w:val="000000"/>
          <w:szCs w:val="24"/>
        </w:rPr>
      </w:pPr>
      <w:r w:rsidRPr="00D25AC4">
        <w:rPr>
          <w:rFonts w:eastAsia="Calibri" w:cs="Times New Roman"/>
          <w:noProof/>
          <w:color w:val="000000"/>
          <w:szCs w:val="24"/>
        </w:rPr>
        <w:t>Ukrainas iedzīvotājiem, kuri ieceļojuši Latvijā, tiek sniegta sociālā palīdzība un nodrošināti sociālie pakalpojumi. Tiek segti ēdināšanas un izmitināšanas izdevumi, pašvaldības izmaksā vienreizēju pabalstu krīzes situācijā, valsts nodrošina vienreizēju pabalstu darba uzsākšanai. Piešķirts finansējums pirmsskolas izglītības pakalpojuma nodrošināšanai bēgļu bērniem, kā arī līdzekļi latviešu valodas kursiem.</w:t>
      </w:r>
      <w:r>
        <w:rPr>
          <w:rFonts w:eastAsia="Calibri" w:cs="Times New Roman"/>
          <w:noProof/>
          <w:color w:val="000000"/>
          <w:szCs w:val="24"/>
        </w:rPr>
        <w:t xml:space="preserve"> </w:t>
      </w:r>
      <w:r w:rsidRPr="00D25AC4">
        <w:rPr>
          <w:rFonts w:eastAsia="Calibri" w:cs="Times New Roman"/>
          <w:noProof/>
          <w:color w:val="000000"/>
          <w:szCs w:val="24"/>
        </w:rPr>
        <w:t xml:space="preserve">Tāpat </w:t>
      </w:r>
      <w:r>
        <w:rPr>
          <w:rFonts w:eastAsia="Calibri" w:cs="Times New Roman"/>
          <w:noProof/>
          <w:color w:val="000000"/>
          <w:szCs w:val="24"/>
        </w:rPr>
        <w:t>tiek</w:t>
      </w:r>
      <w:r w:rsidRPr="00D25AC4">
        <w:rPr>
          <w:rFonts w:eastAsia="Calibri" w:cs="Times New Roman"/>
          <w:noProof/>
          <w:color w:val="000000"/>
          <w:szCs w:val="24"/>
        </w:rPr>
        <w:t xml:space="preserve"> veiktas iemaksas starptautiskajās organizācijās humānās un militārās palīdzības sniegšanai Ukrainai</w:t>
      </w:r>
      <w:r>
        <w:rPr>
          <w:rFonts w:eastAsia="Calibri" w:cs="Times New Roman"/>
          <w:noProof/>
          <w:color w:val="000000"/>
          <w:szCs w:val="24"/>
        </w:rPr>
        <w:t>.</w:t>
      </w:r>
      <w:r w:rsidRPr="00D25AC4">
        <w:rPr>
          <w:rFonts w:eastAsia="Calibri" w:cs="Times New Roman"/>
          <w:noProof/>
          <w:color w:val="000000"/>
          <w:szCs w:val="24"/>
        </w:rPr>
        <w:t xml:space="preserve"> </w:t>
      </w:r>
    </w:p>
    <w:p w14:paraId="40FFF9EE" w14:textId="05DE1D5D" w:rsidR="00FE3024" w:rsidRPr="005E6FD6" w:rsidRDefault="00393292" w:rsidP="00FE3024">
      <w:pPr>
        <w:ind w:firstLine="709"/>
        <w:jc w:val="center"/>
        <w:rPr>
          <w:rFonts w:eastAsia="Calibri" w:cs="Times New Roman"/>
          <w:b/>
          <w:bCs/>
          <w:color w:val="000000"/>
          <w:szCs w:val="24"/>
        </w:rPr>
      </w:pPr>
      <w:r>
        <w:rPr>
          <w:rFonts w:eastAsia="Calibri" w:cs="Times New Roman"/>
          <w:b/>
          <w:bCs/>
          <w:color w:val="000000"/>
          <w:szCs w:val="24"/>
        </w:rPr>
        <w:t>3</w:t>
      </w:r>
      <w:r w:rsidR="00FE3024" w:rsidRPr="00C46348">
        <w:rPr>
          <w:rFonts w:eastAsia="Calibri" w:cs="Times New Roman"/>
          <w:b/>
          <w:bCs/>
          <w:color w:val="000000"/>
          <w:szCs w:val="24"/>
        </w:rPr>
        <w:t>. </w:t>
      </w:r>
      <w:r w:rsidR="00CA648F" w:rsidRPr="00C46348">
        <w:rPr>
          <w:rFonts w:eastAsia="Calibri" w:cs="Times New Roman"/>
          <w:b/>
          <w:bCs/>
          <w:color w:val="000000"/>
          <w:szCs w:val="24"/>
        </w:rPr>
        <w:t>tabula</w:t>
      </w:r>
      <w:r w:rsidR="00FE3024" w:rsidRPr="00C46348">
        <w:rPr>
          <w:rFonts w:eastAsia="Calibri" w:cs="Times New Roman"/>
          <w:b/>
          <w:bCs/>
          <w:color w:val="000000"/>
          <w:szCs w:val="24"/>
        </w:rPr>
        <w:t xml:space="preserve">. </w:t>
      </w:r>
      <w:r w:rsidR="00C46348">
        <w:rPr>
          <w:rFonts w:eastAsia="Calibri" w:cs="Times New Roman"/>
          <w:b/>
          <w:bCs/>
          <w:color w:val="000000"/>
          <w:szCs w:val="24"/>
        </w:rPr>
        <w:t>At</w:t>
      </w:r>
      <w:r w:rsidR="00CA648F" w:rsidRPr="005E6FD6">
        <w:rPr>
          <w:rFonts w:eastAsia="Calibri" w:cs="Times New Roman"/>
          <w:b/>
          <w:bCs/>
          <w:color w:val="000000"/>
          <w:szCs w:val="24"/>
        </w:rPr>
        <w:t>balsta apmērs un ietekme uz vispārējās valdības budžeta bilanci</w:t>
      </w:r>
      <w:r w:rsidR="00FE3024" w:rsidRPr="005E6FD6">
        <w:rPr>
          <w:rFonts w:eastAsia="Calibri" w:cs="Times New Roman"/>
          <w:b/>
          <w:bCs/>
          <w:color w:val="000000"/>
          <w:szCs w:val="24"/>
        </w:rPr>
        <w:t xml:space="preserve">, </w:t>
      </w:r>
      <w:r w:rsidR="00CA648F" w:rsidRPr="005E6FD6">
        <w:rPr>
          <w:rFonts w:eastAsia="Calibri" w:cs="Times New Roman"/>
          <w:b/>
          <w:bCs/>
          <w:noProof/>
          <w:color w:val="000000"/>
          <w:szCs w:val="24"/>
        </w:rPr>
        <w:t xml:space="preserve">milj. </w:t>
      </w:r>
      <w:r w:rsidR="00CA648F" w:rsidRPr="005E6FD6">
        <w:rPr>
          <w:rFonts w:eastAsia="Calibri" w:cs="Times New Roman"/>
          <w:b/>
          <w:bCs/>
          <w:i/>
          <w:iCs/>
          <w:noProof/>
          <w:color w:val="000000"/>
          <w:szCs w:val="24"/>
        </w:rPr>
        <w:t>euro</w:t>
      </w:r>
      <w:r w:rsidR="00CA648F" w:rsidRPr="005E6FD6">
        <w:rPr>
          <w:rFonts w:eastAsia="Calibri" w:cs="Times New Roman"/>
          <w:b/>
          <w:bCs/>
          <w:noProof/>
          <w:color w:val="000000"/>
          <w:szCs w:val="24"/>
        </w:rPr>
        <w:t xml:space="preserve"> un</w:t>
      </w:r>
      <w:r w:rsidR="00CA648F" w:rsidRPr="005E6FD6">
        <w:rPr>
          <w:rFonts w:eastAsia="Calibri" w:cs="Times New Roman"/>
          <w:b/>
          <w:bCs/>
          <w:color w:val="000000"/>
          <w:szCs w:val="24"/>
        </w:rPr>
        <w:t xml:space="preserve"> </w:t>
      </w:r>
      <w:r w:rsidR="00FE3024" w:rsidRPr="005E6FD6">
        <w:rPr>
          <w:rFonts w:eastAsia="Calibri" w:cs="Times New Roman"/>
          <w:b/>
          <w:bCs/>
          <w:color w:val="000000"/>
          <w:szCs w:val="24"/>
        </w:rPr>
        <w:t>% no IKP</w:t>
      </w:r>
    </w:p>
    <w:tbl>
      <w:tblPr>
        <w:tblW w:w="9097" w:type="dxa"/>
        <w:tblLook w:val="04A0" w:firstRow="1" w:lastRow="0" w:firstColumn="1" w:lastColumn="0" w:noHBand="0" w:noVBand="1"/>
      </w:tblPr>
      <w:tblGrid>
        <w:gridCol w:w="1660"/>
        <w:gridCol w:w="677"/>
        <w:gridCol w:w="666"/>
        <w:gridCol w:w="666"/>
        <w:gridCol w:w="683"/>
        <w:gridCol w:w="905"/>
        <w:gridCol w:w="696"/>
        <w:gridCol w:w="783"/>
        <w:gridCol w:w="784"/>
        <w:gridCol w:w="855"/>
        <w:gridCol w:w="905"/>
      </w:tblGrid>
      <w:tr w:rsidR="00D25AC4" w:rsidRPr="00E84E68" w14:paraId="6D4E35F9" w14:textId="77777777" w:rsidTr="00B17B89">
        <w:trPr>
          <w:trHeight w:val="67"/>
        </w:trPr>
        <w:tc>
          <w:tcPr>
            <w:tcW w:w="1607" w:type="dxa"/>
            <w:vMerge w:val="restart"/>
            <w:tcBorders>
              <w:top w:val="single" w:sz="4" w:space="0" w:color="auto"/>
              <w:left w:val="single" w:sz="4" w:space="0" w:color="auto"/>
              <w:bottom w:val="single" w:sz="4" w:space="0" w:color="000000"/>
              <w:right w:val="single" w:sz="4" w:space="0" w:color="auto"/>
            </w:tcBorders>
            <w:shd w:val="clear" w:color="FFFFFF" w:fill="auto"/>
            <w:noWrap/>
            <w:vAlign w:val="bottom"/>
            <w:hideMark/>
          </w:tcPr>
          <w:p w14:paraId="04A73E3E" w14:textId="77777777" w:rsidR="00E84E68" w:rsidRPr="00E84E68" w:rsidRDefault="00E84E68" w:rsidP="00E84E68">
            <w:pPr>
              <w:spacing w:before="0" w:after="0"/>
              <w:ind w:firstLine="0"/>
              <w:jc w:val="center"/>
              <w:rPr>
                <w:rFonts w:eastAsia="Times New Roman" w:cs="Times New Roman"/>
                <w:noProof/>
                <w:color w:val="000000"/>
                <w:sz w:val="20"/>
                <w:szCs w:val="20"/>
                <w:lang w:eastAsia="lv-LV"/>
              </w:rPr>
            </w:pPr>
            <w:r w:rsidRPr="00E84E68">
              <w:rPr>
                <w:rFonts w:eastAsia="Times New Roman" w:cs="Times New Roman"/>
                <w:noProof/>
                <w:color w:val="000000"/>
                <w:sz w:val="20"/>
                <w:szCs w:val="20"/>
                <w:lang w:eastAsia="lv-LV"/>
              </w:rPr>
              <w:t> </w:t>
            </w:r>
          </w:p>
        </w:tc>
        <w:tc>
          <w:tcPr>
            <w:tcW w:w="1985" w:type="dxa"/>
            <w:gridSpan w:val="3"/>
            <w:tcBorders>
              <w:top w:val="single" w:sz="4" w:space="0" w:color="auto"/>
              <w:left w:val="nil"/>
              <w:bottom w:val="single" w:sz="4" w:space="0" w:color="auto"/>
              <w:right w:val="single" w:sz="4" w:space="0" w:color="000000"/>
            </w:tcBorders>
            <w:shd w:val="clear" w:color="FFFFFF" w:fill="auto"/>
            <w:noWrap/>
            <w:vAlign w:val="center"/>
            <w:hideMark/>
          </w:tcPr>
          <w:p w14:paraId="1F0B88B9"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Fakts</w:t>
            </w:r>
          </w:p>
        </w:tc>
        <w:tc>
          <w:tcPr>
            <w:tcW w:w="661" w:type="dxa"/>
            <w:tcBorders>
              <w:top w:val="single" w:sz="4" w:space="0" w:color="auto"/>
              <w:left w:val="nil"/>
              <w:bottom w:val="nil"/>
              <w:right w:val="single" w:sz="4" w:space="0" w:color="auto"/>
            </w:tcBorders>
            <w:shd w:val="clear" w:color="FFFFFF" w:fill="auto"/>
            <w:noWrap/>
            <w:vAlign w:val="center"/>
            <w:hideMark/>
          </w:tcPr>
          <w:p w14:paraId="1888DD87"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Plāns</w:t>
            </w:r>
          </w:p>
        </w:tc>
        <w:tc>
          <w:tcPr>
            <w:tcW w:w="876" w:type="dxa"/>
            <w:tcBorders>
              <w:top w:val="single" w:sz="4" w:space="0" w:color="auto"/>
              <w:left w:val="nil"/>
              <w:bottom w:val="nil"/>
              <w:right w:val="double" w:sz="4" w:space="0" w:color="auto"/>
            </w:tcBorders>
            <w:shd w:val="clear" w:color="FFFFFF" w:fill="auto"/>
            <w:noWrap/>
            <w:vAlign w:val="center"/>
            <w:hideMark/>
          </w:tcPr>
          <w:p w14:paraId="55A73FFC" w14:textId="2BD30A5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Izpilde</w:t>
            </w:r>
            <w:r w:rsidR="00D25AC4" w:rsidRPr="00C46348">
              <w:rPr>
                <w:rFonts w:eastAsia="Times New Roman" w:cs="Times New Roman"/>
                <w:color w:val="000000"/>
                <w:sz w:val="20"/>
                <w:szCs w:val="20"/>
                <w:lang w:eastAsia="lv-LV"/>
              </w:rPr>
              <w:t>*</w:t>
            </w:r>
          </w:p>
        </w:tc>
        <w:tc>
          <w:tcPr>
            <w:tcW w:w="2263" w:type="dxa"/>
            <w:gridSpan w:val="3"/>
            <w:tcBorders>
              <w:top w:val="single" w:sz="4" w:space="0" w:color="auto"/>
              <w:left w:val="double" w:sz="4" w:space="0" w:color="auto"/>
              <w:bottom w:val="single" w:sz="4" w:space="0" w:color="auto"/>
              <w:right w:val="single" w:sz="4" w:space="0" w:color="000000"/>
            </w:tcBorders>
            <w:shd w:val="clear" w:color="FFFFFF" w:fill="auto"/>
            <w:noWrap/>
            <w:vAlign w:val="center"/>
            <w:hideMark/>
          </w:tcPr>
          <w:p w14:paraId="0C4E8C61"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Fakts</w:t>
            </w:r>
          </w:p>
        </w:tc>
        <w:tc>
          <w:tcPr>
            <w:tcW w:w="827" w:type="dxa"/>
            <w:tcBorders>
              <w:top w:val="single" w:sz="4" w:space="0" w:color="auto"/>
              <w:left w:val="nil"/>
              <w:bottom w:val="nil"/>
              <w:right w:val="single" w:sz="4" w:space="0" w:color="auto"/>
            </w:tcBorders>
            <w:shd w:val="clear" w:color="FFFFFF" w:fill="auto"/>
            <w:noWrap/>
            <w:vAlign w:val="center"/>
            <w:hideMark/>
          </w:tcPr>
          <w:p w14:paraId="3C6C12F2"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Novērt.</w:t>
            </w:r>
          </w:p>
        </w:tc>
        <w:tc>
          <w:tcPr>
            <w:tcW w:w="876" w:type="dxa"/>
            <w:tcBorders>
              <w:top w:val="single" w:sz="4" w:space="0" w:color="auto"/>
              <w:left w:val="nil"/>
              <w:bottom w:val="nil"/>
              <w:right w:val="single" w:sz="4" w:space="0" w:color="auto"/>
            </w:tcBorders>
            <w:shd w:val="clear" w:color="FFFFFF" w:fill="auto"/>
            <w:noWrap/>
            <w:vAlign w:val="center"/>
            <w:hideMark/>
          </w:tcPr>
          <w:p w14:paraId="191FA01D" w14:textId="5A406D1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Izpilde</w:t>
            </w:r>
            <w:r w:rsidR="00D25AC4" w:rsidRPr="00C46348">
              <w:rPr>
                <w:rFonts w:eastAsia="Times New Roman" w:cs="Times New Roman"/>
                <w:color w:val="000000"/>
                <w:sz w:val="20"/>
                <w:szCs w:val="20"/>
                <w:lang w:eastAsia="lv-LV"/>
              </w:rPr>
              <w:t>*</w:t>
            </w:r>
          </w:p>
        </w:tc>
      </w:tr>
      <w:tr w:rsidR="00D25AC4" w:rsidRPr="00E84E68" w14:paraId="73FCD8F9" w14:textId="77777777" w:rsidTr="00B17B89">
        <w:trPr>
          <w:trHeight w:val="67"/>
        </w:trPr>
        <w:tc>
          <w:tcPr>
            <w:tcW w:w="1607" w:type="dxa"/>
            <w:vMerge/>
            <w:tcBorders>
              <w:top w:val="single" w:sz="4" w:space="0" w:color="auto"/>
              <w:left w:val="single" w:sz="4" w:space="0" w:color="auto"/>
              <w:bottom w:val="single" w:sz="4" w:space="0" w:color="000000"/>
              <w:right w:val="single" w:sz="4" w:space="0" w:color="auto"/>
            </w:tcBorders>
            <w:vAlign w:val="center"/>
            <w:hideMark/>
          </w:tcPr>
          <w:p w14:paraId="6C798F8F" w14:textId="77777777" w:rsidR="00E84E68" w:rsidRPr="00E84E68" w:rsidRDefault="00E84E68" w:rsidP="00E84E68">
            <w:pPr>
              <w:spacing w:before="0" w:after="0"/>
              <w:ind w:firstLine="0"/>
              <w:jc w:val="left"/>
              <w:rPr>
                <w:rFonts w:eastAsia="Times New Roman" w:cs="Times New Roman"/>
                <w:noProof/>
                <w:color w:val="000000"/>
                <w:sz w:val="20"/>
                <w:szCs w:val="20"/>
                <w:lang w:eastAsia="lv-LV"/>
              </w:rPr>
            </w:pPr>
          </w:p>
        </w:tc>
        <w:tc>
          <w:tcPr>
            <w:tcW w:w="677" w:type="dxa"/>
            <w:tcBorders>
              <w:top w:val="nil"/>
              <w:left w:val="nil"/>
              <w:bottom w:val="single" w:sz="4" w:space="0" w:color="auto"/>
              <w:right w:val="single" w:sz="4" w:space="0" w:color="auto"/>
            </w:tcBorders>
            <w:shd w:val="clear" w:color="FFFFFF" w:fill="FFFFFF"/>
            <w:noWrap/>
            <w:vAlign w:val="center"/>
            <w:hideMark/>
          </w:tcPr>
          <w:p w14:paraId="0E8555C4"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2020</w:t>
            </w:r>
          </w:p>
        </w:tc>
        <w:tc>
          <w:tcPr>
            <w:tcW w:w="653" w:type="dxa"/>
            <w:tcBorders>
              <w:top w:val="nil"/>
              <w:left w:val="nil"/>
              <w:bottom w:val="single" w:sz="4" w:space="0" w:color="auto"/>
              <w:right w:val="single" w:sz="4" w:space="0" w:color="auto"/>
            </w:tcBorders>
            <w:shd w:val="clear" w:color="FFFFFF" w:fill="FFFFFF"/>
            <w:noWrap/>
            <w:vAlign w:val="center"/>
            <w:hideMark/>
          </w:tcPr>
          <w:p w14:paraId="2C37FA93"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2021</w:t>
            </w:r>
          </w:p>
        </w:tc>
        <w:tc>
          <w:tcPr>
            <w:tcW w:w="654" w:type="dxa"/>
            <w:tcBorders>
              <w:top w:val="nil"/>
              <w:left w:val="nil"/>
              <w:bottom w:val="single" w:sz="4" w:space="0" w:color="auto"/>
              <w:right w:val="single" w:sz="4" w:space="0" w:color="auto"/>
            </w:tcBorders>
            <w:shd w:val="clear" w:color="FFFFFF" w:fill="FFFFFF"/>
            <w:noWrap/>
            <w:vAlign w:val="center"/>
            <w:hideMark/>
          </w:tcPr>
          <w:p w14:paraId="7A949FFB"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2022</w:t>
            </w:r>
          </w:p>
        </w:tc>
        <w:tc>
          <w:tcPr>
            <w:tcW w:w="1537" w:type="dxa"/>
            <w:gridSpan w:val="2"/>
            <w:tcBorders>
              <w:top w:val="single" w:sz="4" w:space="0" w:color="auto"/>
              <w:left w:val="nil"/>
              <w:bottom w:val="single" w:sz="4" w:space="0" w:color="auto"/>
              <w:right w:val="double" w:sz="4" w:space="0" w:color="auto"/>
            </w:tcBorders>
            <w:shd w:val="clear" w:color="FFFFFF" w:fill="FFFFFF"/>
            <w:noWrap/>
            <w:vAlign w:val="center"/>
            <w:hideMark/>
          </w:tcPr>
          <w:p w14:paraId="32CA646F"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2023</w:t>
            </w:r>
          </w:p>
        </w:tc>
        <w:tc>
          <w:tcPr>
            <w:tcW w:w="696" w:type="dxa"/>
            <w:tcBorders>
              <w:top w:val="nil"/>
              <w:left w:val="double" w:sz="4" w:space="0" w:color="auto"/>
              <w:bottom w:val="single" w:sz="4" w:space="0" w:color="auto"/>
              <w:right w:val="single" w:sz="4" w:space="0" w:color="auto"/>
            </w:tcBorders>
            <w:shd w:val="clear" w:color="FFFFFF" w:fill="FFFFFF"/>
            <w:noWrap/>
            <w:vAlign w:val="center"/>
            <w:hideMark/>
          </w:tcPr>
          <w:p w14:paraId="197BC0BB"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2020</w:t>
            </w:r>
          </w:p>
        </w:tc>
        <w:tc>
          <w:tcPr>
            <w:tcW w:w="783" w:type="dxa"/>
            <w:tcBorders>
              <w:top w:val="nil"/>
              <w:left w:val="nil"/>
              <w:bottom w:val="single" w:sz="4" w:space="0" w:color="auto"/>
              <w:right w:val="single" w:sz="4" w:space="0" w:color="auto"/>
            </w:tcBorders>
            <w:shd w:val="clear" w:color="FFFFFF" w:fill="FFFFFF"/>
            <w:noWrap/>
            <w:vAlign w:val="center"/>
            <w:hideMark/>
          </w:tcPr>
          <w:p w14:paraId="3B9D8792"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2021</w:t>
            </w:r>
          </w:p>
        </w:tc>
        <w:tc>
          <w:tcPr>
            <w:tcW w:w="784" w:type="dxa"/>
            <w:tcBorders>
              <w:top w:val="nil"/>
              <w:left w:val="nil"/>
              <w:bottom w:val="single" w:sz="4" w:space="0" w:color="auto"/>
              <w:right w:val="single" w:sz="4" w:space="0" w:color="auto"/>
            </w:tcBorders>
            <w:shd w:val="clear" w:color="FFFFFF" w:fill="FFFFFF"/>
            <w:noWrap/>
            <w:vAlign w:val="center"/>
            <w:hideMark/>
          </w:tcPr>
          <w:p w14:paraId="2566CA60"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2022</w:t>
            </w:r>
          </w:p>
        </w:tc>
        <w:tc>
          <w:tcPr>
            <w:tcW w:w="1703" w:type="dxa"/>
            <w:gridSpan w:val="2"/>
            <w:tcBorders>
              <w:top w:val="single" w:sz="4" w:space="0" w:color="auto"/>
              <w:left w:val="nil"/>
              <w:bottom w:val="single" w:sz="4" w:space="0" w:color="auto"/>
              <w:right w:val="single" w:sz="4" w:space="0" w:color="auto"/>
            </w:tcBorders>
            <w:shd w:val="clear" w:color="FFFFFF" w:fill="FFFFFF"/>
            <w:noWrap/>
            <w:vAlign w:val="center"/>
            <w:hideMark/>
          </w:tcPr>
          <w:p w14:paraId="736E92A6"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2023</w:t>
            </w:r>
          </w:p>
        </w:tc>
      </w:tr>
      <w:tr w:rsidR="00E84E68" w:rsidRPr="00E84E68" w14:paraId="37F7EE94" w14:textId="77777777" w:rsidTr="00B17B89">
        <w:trPr>
          <w:trHeight w:val="67"/>
        </w:trPr>
        <w:tc>
          <w:tcPr>
            <w:tcW w:w="1607" w:type="dxa"/>
            <w:vMerge/>
            <w:tcBorders>
              <w:top w:val="single" w:sz="4" w:space="0" w:color="auto"/>
              <w:left w:val="single" w:sz="4" w:space="0" w:color="auto"/>
              <w:bottom w:val="single" w:sz="4" w:space="0" w:color="000000"/>
              <w:right w:val="single" w:sz="4" w:space="0" w:color="auto"/>
            </w:tcBorders>
            <w:vAlign w:val="center"/>
            <w:hideMark/>
          </w:tcPr>
          <w:p w14:paraId="461CAD3C" w14:textId="77777777" w:rsidR="00E84E68" w:rsidRPr="00E84E68" w:rsidRDefault="00E84E68" w:rsidP="00E84E68">
            <w:pPr>
              <w:spacing w:before="0" w:after="0"/>
              <w:ind w:firstLine="0"/>
              <w:jc w:val="left"/>
              <w:rPr>
                <w:rFonts w:eastAsia="Times New Roman" w:cs="Times New Roman"/>
                <w:noProof/>
                <w:color w:val="000000"/>
                <w:sz w:val="20"/>
                <w:szCs w:val="20"/>
                <w:lang w:eastAsia="lv-LV"/>
              </w:rPr>
            </w:pPr>
          </w:p>
        </w:tc>
        <w:tc>
          <w:tcPr>
            <w:tcW w:w="3523" w:type="dxa"/>
            <w:gridSpan w:val="5"/>
            <w:tcBorders>
              <w:top w:val="single" w:sz="4" w:space="0" w:color="auto"/>
              <w:left w:val="nil"/>
              <w:bottom w:val="single" w:sz="4" w:space="0" w:color="auto"/>
              <w:right w:val="double" w:sz="4" w:space="0" w:color="auto"/>
            </w:tcBorders>
            <w:shd w:val="clear" w:color="auto" w:fill="auto"/>
            <w:noWrap/>
            <w:vAlign w:val="center"/>
            <w:hideMark/>
          </w:tcPr>
          <w:p w14:paraId="552EBC79" w14:textId="77777777" w:rsidR="00E84E68" w:rsidRPr="00E84E68" w:rsidRDefault="00E84E68" w:rsidP="00E84E68">
            <w:pPr>
              <w:spacing w:before="0" w:after="0"/>
              <w:ind w:firstLine="0"/>
              <w:jc w:val="center"/>
              <w:rPr>
                <w:rFonts w:eastAsia="Times New Roman" w:cs="Times New Roman"/>
                <w:i/>
                <w:iCs/>
                <w:color w:val="000000"/>
                <w:sz w:val="20"/>
                <w:szCs w:val="20"/>
                <w:lang w:eastAsia="lv-LV"/>
              </w:rPr>
            </w:pPr>
            <w:r w:rsidRPr="00E84E68">
              <w:rPr>
                <w:rFonts w:eastAsia="Times New Roman" w:cs="Times New Roman"/>
                <w:i/>
                <w:iCs/>
                <w:color w:val="000000"/>
                <w:sz w:val="20"/>
                <w:szCs w:val="20"/>
                <w:lang w:eastAsia="lv-LV"/>
              </w:rPr>
              <w:t>Atbalsta apmērs</w:t>
            </w:r>
          </w:p>
        </w:tc>
        <w:tc>
          <w:tcPr>
            <w:tcW w:w="3967" w:type="dxa"/>
            <w:gridSpan w:val="5"/>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D015A73" w14:textId="77777777" w:rsidR="00E84E68" w:rsidRPr="00E84E68" w:rsidRDefault="00E84E68" w:rsidP="00E84E68">
            <w:pPr>
              <w:spacing w:before="0" w:after="0"/>
              <w:ind w:firstLine="0"/>
              <w:jc w:val="center"/>
              <w:rPr>
                <w:rFonts w:eastAsia="Times New Roman" w:cs="Times New Roman"/>
                <w:i/>
                <w:iCs/>
                <w:color w:val="000000"/>
                <w:sz w:val="20"/>
                <w:szCs w:val="20"/>
                <w:lang w:eastAsia="lv-LV"/>
              </w:rPr>
            </w:pPr>
            <w:r w:rsidRPr="00E84E68">
              <w:rPr>
                <w:rFonts w:eastAsia="Times New Roman" w:cs="Times New Roman"/>
                <w:i/>
                <w:iCs/>
                <w:color w:val="000000"/>
                <w:sz w:val="20"/>
                <w:szCs w:val="20"/>
                <w:lang w:eastAsia="lv-LV"/>
              </w:rPr>
              <w:t>Ietekme uz vispārējās valdības budžeta bilanci</w:t>
            </w:r>
          </w:p>
        </w:tc>
      </w:tr>
      <w:tr w:rsidR="00D25AC4" w:rsidRPr="00E84E68" w14:paraId="127F6B49" w14:textId="77777777" w:rsidTr="00B17B89">
        <w:trPr>
          <w:trHeight w:val="67"/>
        </w:trPr>
        <w:tc>
          <w:tcPr>
            <w:tcW w:w="1607" w:type="dxa"/>
            <w:tcBorders>
              <w:top w:val="nil"/>
              <w:left w:val="single" w:sz="4" w:space="0" w:color="auto"/>
              <w:bottom w:val="single" w:sz="4" w:space="0" w:color="auto"/>
              <w:right w:val="single" w:sz="4" w:space="0" w:color="auto"/>
            </w:tcBorders>
            <w:shd w:val="clear" w:color="FFFFFF" w:fill="FFFFFF"/>
            <w:noWrap/>
            <w:vAlign w:val="center"/>
            <w:hideMark/>
          </w:tcPr>
          <w:p w14:paraId="3D8886E5" w14:textId="77777777" w:rsidR="00E84E68" w:rsidRPr="00E84E68" w:rsidRDefault="00E84E68" w:rsidP="00E84E68">
            <w:pPr>
              <w:spacing w:before="0" w:after="0"/>
              <w:ind w:firstLine="0"/>
              <w:jc w:val="left"/>
              <w:rPr>
                <w:rFonts w:eastAsia="Times New Roman" w:cs="Times New Roman"/>
                <w:noProof/>
                <w:color w:val="000000"/>
                <w:sz w:val="20"/>
                <w:szCs w:val="20"/>
                <w:lang w:eastAsia="lv-LV"/>
              </w:rPr>
            </w:pPr>
            <w:r w:rsidRPr="00E84E68">
              <w:rPr>
                <w:rFonts w:eastAsia="Times New Roman" w:cs="Times New Roman"/>
                <w:noProof/>
                <w:color w:val="000000"/>
                <w:sz w:val="20"/>
                <w:szCs w:val="20"/>
                <w:lang w:eastAsia="lv-LV"/>
              </w:rPr>
              <w:t>Covid-19 atbalsts</w:t>
            </w:r>
          </w:p>
        </w:tc>
        <w:tc>
          <w:tcPr>
            <w:tcW w:w="677" w:type="dxa"/>
            <w:tcBorders>
              <w:top w:val="nil"/>
              <w:left w:val="nil"/>
              <w:bottom w:val="single" w:sz="4" w:space="0" w:color="auto"/>
              <w:right w:val="single" w:sz="4" w:space="0" w:color="auto"/>
            </w:tcBorders>
            <w:shd w:val="clear" w:color="FFFFFF" w:fill="FFFFFF"/>
            <w:noWrap/>
            <w:hideMark/>
          </w:tcPr>
          <w:p w14:paraId="39ABE4F2" w14:textId="5D52630A"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1282</w:t>
            </w:r>
          </w:p>
        </w:tc>
        <w:tc>
          <w:tcPr>
            <w:tcW w:w="653" w:type="dxa"/>
            <w:tcBorders>
              <w:top w:val="nil"/>
              <w:left w:val="nil"/>
              <w:bottom w:val="single" w:sz="4" w:space="0" w:color="auto"/>
              <w:right w:val="single" w:sz="4" w:space="0" w:color="auto"/>
            </w:tcBorders>
            <w:shd w:val="clear" w:color="FFFFFF" w:fill="FFFFFF"/>
            <w:noWrap/>
            <w:hideMark/>
          </w:tcPr>
          <w:p w14:paraId="127AE505" w14:textId="3CAE6FDE"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2315</w:t>
            </w:r>
          </w:p>
        </w:tc>
        <w:tc>
          <w:tcPr>
            <w:tcW w:w="654" w:type="dxa"/>
            <w:tcBorders>
              <w:top w:val="nil"/>
              <w:left w:val="nil"/>
              <w:bottom w:val="single" w:sz="4" w:space="0" w:color="auto"/>
              <w:right w:val="single" w:sz="4" w:space="0" w:color="auto"/>
            </w:tcBorders>
            <w:shd w:val="clear" w:color="000000" w:fill="FFFFFF"/>
            <w:noWrap/>
            <w:hideMark/>
          </w:tcPr>
          <w:p w14:paraId="0FB0A0C6"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966</w:t>
            </w:r>
          </w:p>
        </w:tc>
        <w:tc>
          <w:tcPr>
            <w:tcW w:w="661" w:type="dxa"/>
            <w:tcBorders>
              <w:top w:val="nil"/>
              <w:left w:val="nil"/>
              <w:bottom w:val="single" w:sz="4" w:space="0" w:color="auto"/>
              <w:right w:val="single" w:sz="4" w:space="0" w:color="auto"/>
            </w:tcBorders>
            <w:shd w:val="clear" w:color="000000" w:fill="FFFFFF"/>
            <w:noWrap/>
            <w:hideMark/>
          </w:tcPr>
          <w:p w14:paraId="06148900"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101</w:t>
            </w:r>
          </w:p>
        </w:tc>
        <w:tc>
          <w:tcPr>
            <w:tcW w:w="876" w:type="dxa"/>
            <w:tcBorders>
              <w:top w:val="nil"/>
              <w:left w:val="nil"/>
              <w:bottom w:val="single" w:sz="4" w:space="0" w:color="auto"/>
              <w:right w:val="double" w:sz="4" w:space="0" w:color="auto"/>
            </w:tcBorders>
            <w:shd w:val="clear" w:color="000000" w:fill="FFFFFF"/>
            <w:noWrap/>
            <w:hideMark/>
          </w:tcPr>
          <w:p w14:paraId="5CD879E6"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27</w:t>
            </w:r>
          </w:p>
        </w:tc>
        <w:tc>
          <w:tcPr>
            <w:tcW w:w="696" w:type="dxa"/>
            <w:tcBorders>
              <w:top w:val="nil"/>
              <w:left w:val="double" w:sz="4" w:space="0" w:color="auto"/>
              <w:bottom w:val="single" w:sz="4" w:space="0" w:color="auto"/>
              <w:right w:val="single" w:sz="4" w:space="0" w:color="auto"/>
            </w:tcBorders>
            <w:shd w:val="clear" w:color="FFFFFF" w:fill="FFFFFF"/>
            <w:noWrap/>
            <w:hideMark/>
          </w:tcPr>
          <w:p w14:paraId="77C94F88"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-961</w:t>
            </w:r>
          </w:p>
        </w:tc>
        <w:tc>
          <w:tcPr>
            <w:tcW w:w="783" w:type="dxa"/>
            <w:tcBorders>
              <w:top w:val="nil"/>
              <w:left w:val="nil"/>
              <w:bottom w:val="single" w:sz="4" w:space="0" w:color="auto"/>
              <w:right w:val="single" w:sz="4" w:space="0" w:color="auto"/>
            </w:tcBorders>
            <w:shd w:val="clear" w:color="FFFFFF" w:fill="FFFFFF"/>
            <w:noWrap/>
            <w:hideMark/>
          </w:tcPr>
          <w:p w14:paraId="00FD1297" w14:textId="49E53018"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-2103</w:t>
            </w:r>
          </w:p>
        </w:tc>
        <w:tc>
          <w:tcPr>
            <w:tcW w:w="784" w:type="dxa"/>
            <w:tcBorders>
              <w:top w:val="nil"/>
              <w:left w:val="nil"/>
              <w:bottom w:val="single" w:sz="4" w:space="0" w:color="auto"/>
              <w:right w:val="single" w:sz="4" w:space="0" w:color="auto"/>
            </w:tcBorders>
            <w:shd w:val="clear" w:color="000000" w:fill="FFFFFF"/>
            <w:noWrap/>
            <w:hideMark/>
          </w:tcPr>
          <w:p w14:paraId="07BED9D7"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-796</w:t>
            </w:r>
          </w:p>
        </w:tc>
        <w:tc>
          <w:tcPr>
            <w:tcW w:w="827" w:type="dxa"/>
            <w:tcBorders>
              <w:top w:val="nil"/>
              <w:left w:val="nil"/>
              <w:bottom w:val="single" w:sz="4" w:space="0" w:color="auto"/>
              <w:right w:val="single" w:sz="4" w:space="0" w:color="auto"/>
            </w:tcBorders>
            <w:shd w:val="clear" w:color="000000" w:fill="FFFFFF"/>
            <w:noWrap/>
            <w:hideMark/>
          </w:tcPr>
          <w:p w14:paraId="3FB7BC50"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-133</w:t>
            </w:r>
          </w:p>
        </w:tc>
        <w:tc>
          <w:tcPr>
            <w:tcW w:w="876" w:type="dxa"/>
            <w:tcBorders>
              <w:top w:val="nil"/>
              <w:left w:val="nil"/>
              <w:bottom w:val="single" w:sz="4" w:space="0" w:color="auto"/>
              <w:right w:val="single" w:sz="4" w:space="0" w:color="auto"/>
            </w:tcBorders>
            <w:shd w:val="clear" w:color="000000" w:fill="FFFFFF"/>
            <w:noWrap/>
            <w:hideMark/>
          </w:tcPr>
          <w:p w14:paraId="06C018AD"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-33</w:t>
            </w:r>
          </w:p>
        </w:tc>
      </w:tr>
      <w:tr w:rsidR="00D25AC4" w:rsidRPr="00E84E68" w14:paraId="6CE9917B" w14:textId="77777777" w:rsidTr="00B17B89">
        <w:trPr>
          <w:trHeight w:val="234"/>
        </w:trPr>
        <w:tc>
          <w:tcPr>
            <w:tcW w:w="1607" w:type="dxa"/>
            <w:tcBorders>
              <w:top w:val="nil"/>
              <w:left w:val="single" w:sz="4" w:space="0" w:color="auto"/>
              <w:bottom w:val="single" w:sz="4" w:space="0" w:color="auto"/>
              <w:right w:val="single" w:sz="4" w:space="0" w:color="auto"/>
            </w:tcBorders>
            <w:shd w:val="clear" w:color="FFFFFF" w:fill="FFFFFF"/>
            <w:noWrap/>
            <w:vAlign w:val="center"/>
            <w:hideMark/>
          </w:tcPr>
          <w:p w14:paraId="3D43791B" w14:textId="77777777" w:rsidR="00E84E68" w:rsidRPr="00E84E68" w:rsidRDefault="00E84E68" w:rsidP="00E84E68">
            <w:pPr>
              <w:spacing w:before="0" w:after="0"/>
              <w:ind w:firstLine="0"/>
              <w:jc w:val="left"/>
              <w:rPr>
                <w:rFonts w:eastAsia="Times New Roman" w:cs="Times New Roman"/>
                <w:noProof/>
                <w:color w:val="000000"/>
                <w:sz w:val="20"/>
                <w:szCs w:val="20"/>
                <w:lang w:eastAsia="lv-LV"/>
              </w:rPr>
            </w:pPr>
            <w:r w:rsidRPr="00E84E68">
              <w:rPr>
                <w:rFonts w:eastAsia="Times New Roman" w:cs="Times New Roman"/>
                <w:noProof/>
                <w:color w:val="000000"/>
                <w:sz w:val="20"/>
                <w:szCs w:val="20"/>
                <w:lang w:eastAsia="lv-LV"/>
              </w:rPr>
              <w:t>Energoatbalsts</w:t>
            </w:r>
          </w:p>
        </w:tc>
        <w:tc>
          <w:tcPr>
            <w:tcW w:w="677" w:type="dxa"/>
            <w:tcBorders>
              <w:top w:val="nil"/>
              <w:left w:val="nil"/>
              <w:bottom w:val="single" w:sz="4" w:space="0" w:color="auto"/>
              <w:right w:val="single" w:sz="4" w:space="0" w:color="auto"/>
            </w:tcBorders>
            <w:shd w:val="clear" w:color="FFFFFF" w:fill="FFFFFF"/>
            <w:noWrap/>
            <w:hideMark/>
          </w:tcPr>
          <w:p w14:paraId="6089D361"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 </w:t>
            </w:r>
          </w:p>
        </w:tc>
        <w:tc>
          <w:tcPr>
            <w:tcW w:w="653" w:type="dxa"/>
            <w:tcBorders>
              <w:top w:val="nil"/>
              <w:left w:val="nil"/>
              <w:bottom w:val="single" w:sz="4" w:space="0" w:color="auto"/>
              <w:right w:val="single" w:sz="4" w:space="0" w:color="auto"/>
            </w:tcBorders>
            <w:shd w:val="clear" w:color="FFFFFF" w:fill="FFFFFF"/>
            <w:noWrap/>
            <w:hideMark/>
          </w:tcPr>
          <w:p w14:paraId="227F1086"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2</w:t>
            </w:r>
          </w:p>
        </w:tc>
        <w:tc>
          <w:tcPr>
            <w:tcW w:w="654" w:type="dxa"/>
            <w:tcBorders>
              <w:top w:val="nil"/>
              <w:left w:val="nil"/>
              <w:bottom w:val="single" w:sz="4" w:space="0" w:color="auto"/>
              <w:right w:val="single" w:sz="4" w:space="0" w:color="auto"/>
            </w:tcBorders>
            <w:shd w:val="clear" w:color="FFFFFF" w:fill="FFFFFF"/>
            <w:noWrap/>
            <w:hideMark/>
          </w:tcPr>
          <w:p w14:paraId="7FA9A7D0"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604</w:t>
            </w:r>
          </w:p>
        </w:tc>
        <w:tc>
          <w:tcPr>
            <w:tcW w:w="661" w:type="dxa"/>
            <w:tcBorders>
              <w:top w:val="nil"/>
              <w:left w:val="nil"/>
              <w:bottom w:val="single" w:sz="4" w:space="0" w:color="auto"/>
              <w:right w:val="single" w:sz="4" w:space="0" w:color="auto"/>
            </w:tcBorders>
            <w:shd w:val="clear" w:color="FFFFFF" w:fill="FFFFFF"/>
            <w:noWrap/>
            <w:hideMark/>
          </w:tcPr>
          <w:p w14:paraId="2A97CD2D"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622</w:t>
            </w:r>
          </w:p>
        </w:tc>
        <w:tc>
          <w:tcPr>
            <w:tcW w:w="876" w:type="dxa"/>
            <w:tcBorders>
              <w:top w:val="nil"/>
              <w:left w:val="nil"/>
              <w:bottom w:val="single" w:sz="4" w:space="0" w:color="auto"/>
              <w:right w:val="double" w:sz="4" w:space="0" w:color="auto"/>
            </w:tcBorders>
            <w:shd w:val="clear" w:color="FFFFFF" w:fill="FFFFFF"/>
            <w:noWrap/>
            <w:hideMark/>
          </w:tcPr>
          <w:p w14:paraId="1CA6FF82"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417</w:t>
            </w:r>
          </w:p>
        </w:tc>
        <w:tc>
          <w:tcPr>
            <w:tcW w:w="696" w:type="dxa"/>
            <w:tcBorders>
              <w:top w:val="nil"/>
              <w:left w:val="double" w:sz="4" w:space="0" w:color="auto"/>
              <w:bottom w:val="single" w:sz="4" w:space="0" w:color="auto"/>
              <w:right w:val="single" w:sz="4" w:space="0" w:color="auto"/>
            </w:tcBorders>
            <w:shd w:val="clear" w:color="FFFFFF" w:fill="FFFFFF"/>
            <w:noWrap/>
            <w:hideMark/>
          </w:tcPr>
          <w:p w14:paraId="4DA4CEA1"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 </w:t>
            </w:r>
          </w:p>
        </w:tc>
        <w:tc>
          <w:tcPr>
            <w:tcW w:w="783" w:type="dxa"/>
            <w:tcBorders>
              <w:top w:val="nil"/>
              <w:left w:val="nil"/>
              <w:bottom w:val="single" w:sz="4" w:space="0" w:color="auto"/>
              <w:right w:val="single" w:sz="4" w:space="0" w:color="auto"/>
            </w:tcBorders>
            <w:shd w:val="clear" w:color="FFFFFF" w:fill="FFFFFF"/>
            <w:noWrap/>
            <w:hideMark/>
          </w:tcPr>
          <w:p w14:paraId="4697DD5D"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-2</w:t>
            </w:r>
          </w:p>
        </w:tc>
        <w:tc>
          <w:tcPr>
            <w:tcW w:w="784" w:type="dxa"/>
            <w:tcBorders>
              <w:top w:val="nil"/>
              <w:left w:val="nil"/>
              <w:bottom w:val="single" w:sz="4" w:space="0" w:color="auto"/>
              <w:right w:val="single" w:sz="4" w:space="0" w:color="auto"/>
            </w:tcBorders>
            <w:shd w:val="clear" w:color="FFFFFF" w:fill="FFFFFF"/>
            <w:noWrap/>
            <w:hideMark/>
          </w:tcPr>
          <w:p w14:paraId="4B1421AF"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-604</w:t>
            </w:r>
          </w:p>
        </w:tc>
        <w:tc>
          <w:tcPr>
            <w:tcW w:w="827" w:type="dxa"/>
            <w:tcBorders>
              <w:top w:val="nil"/>
              <w:left w:val="nil"/>
              <w:bottom w:val="single" w:sz="4" w:space="0" w:color="auto"/>
              <w:right w:val="single" w:sz="4" w:space="0" w:color="auto"/>
            </w:tcBorders>
            <w:shd w:val="clear" w:color="000000" w:fill="FFFFFF"/>
            <w:noWrap/>
            <w:hideMark/>
          </w:tcPr>
          <w:p w14:paraId="5E5D1BCD"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-522</w:t>
            </w:r>
          </w:p>
        </w:tc>
        <w:tc>
          <w:tcPr>
            <w:tcW w:w="876" w:type="dxa"/>
            <w:tcBorders>
              <w:top w:val="nil"/>
              <w:left w:val="nil"/>
              <w:bottom w:val="single" w:sz="4" w:space="0" w:color="auto"/>
              <w:right w:val="single" w:sz="4" w:space="0" w:color="auto"/>
            </w:tcBorders>
            <w:shd w:val="clear" w:color="FFFFFF" w:fill="FFFFFF"/>
            <w:noWrap/>
            <w:hideMark/>
          </w:tcPr>
          <w:p w14:paraId="35007086"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-417</w:t>
            </w:r>
          </w:p>
        </w:tc>
      </w:tr>
      <w:tr w:rsidR="00D25AC4" w:rsidRPr="00E84E68" w14:paraId="7CAAFC6C" w14:textId="77777777" w:rsidTr="00B17B89">
        <w:trPr>
          <w:trHeight w:val="470"/>
        </w:trPr>
        <w:tc>
          <w:tcPr>
            <w:tcW w:w="1607" w:type="dxa"/>
            <w:tcBorders>
              <w:top w:val="nil"/>
              <w:left w:val="single" w:sz="4" w:space="0" w:color="auto"/>
              <w:bottom w:val="single" w:sz="4" w:space="0" w:color="auto"/>
              <w:right w:val="single" w:sz="4" w:space="0" w:color="auto"/>
            </w:tcBorders>
            <w:shd w:val="clear" w:color="FFFFFF" w:fill="FFFFFF"/>
            <w:vAlign w:val="center"/>
            <w:hideMark/>
          </w:tcPr>
          <w:p w14:paraId="577EFC7D" w14:textId="77777777" w:rsidR="00E84E68" w:rsidRPr="00E84E68" w:rsidRDefault="00E84E68" w:rsidP="00E84E68">
            <w:pPr>
              <w:spacing w:before="0" w:after="0"/>
              <w:ind w:firstLine="0"/>
              <w:jc w:val="left"/>
              <w:rPr>
                <w:rFonts w:eastAsia="Times New Roman" w:cs="Times New Roman"/>
                <w:color w:val="000000"/>
                <w:sz w:val="20"/>
                <w:szCs w:val="20"/>
                <w:lang w:eastAsia="lv-LV"/>
              </w:rPr>
            </w:pPr>
            <w:r w:rsidRPr="00E84E68">
              <w:rPr>
                <w:rFonts w:eastAsia="Times New Roman" w:cs="Times New Roman"/>
                <w:color w:val="000000"/>
                <w:sz w:val="20"/>
                <w:szCs w:val="20"/>
                <w:lang w:eastAsia="lv-LV"/>
              </w:rPr>
              <w:t>Atbalsts Ukrainas civiliedzīvotājiem</w:t>
            </w:r>
          </w:p>
        </w:tc>
        <w:tc>
          <w:tcPr>
            <w:tcW w:w="677" w:type="dxa"/>
            <w:tcBorders>
              <w:top w:val="nil"/>
              <w:left w:val="nil"/>
              <w:bottom w:val="single" w:sz="4" w:space="0" w:color="auto"/>
              <w:right w:val="single" w:sz="4" w:space="0" w:color="auto"/>
            </w:tcBorders>
            <w:shd w:val="clear" w:color="FFFFFF" w:fill="FFFFFF"/>
            <w:noWrap/>
            <w:vAlign w:val="center"/>
            <w:hideMark/>
          </w:tcPr>
          <w:p w14:paraId="3DA93B53"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 </w:t>
            </w:r>
          </w:p>
        </w:tc>
        <w:tc>
          <w:tcPr>
            <w:tcW w:w="653" w:type="dxa"/>
            <w:tcBorders>
              <w:top w:val="nil"/>
              <w:left w:val="nil"/>
              <w:bottom w:val="single" w:sz="4" w:space="0" w:color="auto"/>
              <w:right w:val="single" w:sz="4" w:space="0" w:color="auto"/>
            </w:tcBorders>
            <w:shd w:val="clear" w:color="FFFFFF" w:fill="FFFFFF"/>
            <w:noWrap/>
            <w:vAlign w:val="center"/>
            <w:hideMark/>
          </w:tcPr>
          <w:p w14:paraId="2055B8EB"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 </w:t>
            </w:r>
          </w:p>
        </w:tc>
        <w:tc>
          <w:tcPr>
            <w:tcW w:w="654" w:type="dxa"/>
            <w:tcBorders>
              <w:top w:val="nil"/>
              <w:left w:val="nil"/>
              <w:bottom w:val="single" w:sz="4" w:space="0" w:color="auto"/>
              <w:right w:val="single" w:sz="4" w:space="0" w:color="auto"/>
            </w:tcBorders>
            <w:shd w:val="clear" w:color="FFFFFF" w:fill="FFFFFF"/>
            <w:noWrap/>
            <w:vAlign w:val="center"/>
            <w:hideMark/>
          </w:tcPr>
          <w:p w14:paraId="13A3DA14"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81</w:t>
            </w:r>
          </w:p>
        </w:tc>
        <w:tc>
          <w:tcPr>
            <w:tcW w:w="661" w:type="dxa"/>
            <w:tcBorders>
              <w:top w:val="nil"/>
              <w:left w:val="nil"/>
              <w:bottom w:val="single" w:sz="4" w:space="0" w:color="auto"/>
              <w:right w:val="single" w:sz="4" w:space="0" w:color="auto"/>
            </w:tcBorders>
            <w:shd w:val="clear" w:color="FFFFFF" w:fill="FFFFFF"/>
            <w:noWrap/>
            <w:vAlign w:val="center"/>
            <w:hideMark/>
          </w:tcPr>
          <w:p w14:paraId="0FF1E86B"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102</w:t>
            </w:r>
          </w:p>
        </w:tc>
        <w:tc>
          <w:tcPr>
            <w:tcW w:w="876" w:type="dxa"/>
            <w:tcBorders>
              <w:top w:val="nil"/>
              <w:left w:val="nil"/>
              <w:bottom w:val="single" w:sz="4" w:space="0" w:color="auto"/>
              <w:right w:val="double" w:sz="4" w:space="0" w:color="auto"/>
            </w:tcBorders>
            <w:shd w:val="clear" w:color="FFFFFF" w:fill="FFFFFF"/>
            <w:noWrap/>
            <w:vAlign w:val="center"/>
            <w:hideMark/>
          </w:tcPr>
          <w:p w14:paraId="4E6DF85C"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34</w:t>
            </w:r>
          </w:p>
        </w:tc>
        <w:tc>
          <w:tcPr>
            <w:tcW w:w="696" w:type="dxa"/>
            <w:tcBorders>
              <w:top w:val="nil"/>
              <w:left w:val="double" w:sz="4" w:space="0" w:color="auto"/>
              <w:bottom w:val="single" w:sz="4" w:space="0" w:color="auto"/>
              <w:right w:val="single" w:sz="4" w:space="0" w:color="auto"/>
            </w:tcBorders>
            <w:shd w:val="clear" w:color="FFFFFF" w:fill="FFFFFF"/>
            <w:noWrap/>
            <w:vAlign w:val="center"/>
            <w:hideMark/>
          </w:tcPr>
          <w:p w14:paraId="6BDDB0B2"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 </w:t>
            </w:r>
          </w:p>
        </w:tc>
        <w:tc>
          <w:tcPr>
            <w:tcW w:w="783" w:type="dxa"/>
            <w:tcBorders>
              <w:top w:val="nil"/>
              <w:left w:val="nil"/>
              <w:bottom w:val="single" w:sz="4" w:space="0" w:color="auto"/>
              <w:right w:val="single" w:sz="4" w:space="0" w:color="auto"/>
            </w:tcBorders>
            <w:shd w:val="clear" w:color="FFFFFF" w:fill="FFFFFF"/>
            <w:noWrap/>
            <w:vAlign w:val="center"/>
            <w:hideMark/>
          </w:tcPr>
          <w:p w14:paraId="32D07D3F"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 </w:t>
            </w:r>
          </w:p>
        </w:tc>
        <w:tc>
          <w:tcPr>
            <w:tcW w:w="784" w:type="dxa"/>
            <w:tcBorders>
              <w:top w:val="nil"/>
              <w:left w:val="nil"/>
              <w:bottom w:val="single" w:sz="4" w:space="0" w:color="auto"/>
              <w:right w:val="single" w:sz="4" w:space="0" w:color="auto"/>
            </w:tcBorders>
            <w:shd w:val="clear" w:color="FFFFFF" w:fill="FFFFFF"/>
            <w:noWrap/>
            <w:vAlign w:val="center"/>
            <w:hideMark/>
          </w:tcPr>
          <w:p w14:paraId="0361B8FA"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-81</w:t>
            </w:r>
          </w:p>
        </w:tc>
        <w:tc>
          <w:tcPr>
            <w:tcW w:w="827" w:type="dxa"/>
            <w:tcBorders>
              <w:top w:val="nil"/>
              <w:left w:val="nil"/>
              <w:bottom w:val="single" w:sz="4" w:space="0" w:color="auto"/>
              <w:right w:val="single" w:sz="4" w:space="0" w:color="auto"/>
            </w:tcBorders>
            <w:shd w:val="clear" w:color="000000" w:fill="FFFFFF"/>
            <w:noWrap/>
            <w:vAlign w:val="center"/>
            <w:hideMark/>
          </w:tcPr>
          <w:p w14:paraId="5701EF30"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-72</w:t>
            </w:r>
          </w:p>
        </w:tc>
        <w:tc>
          <w:tcPr>
            <w:tcW w:w="876" w:type="dxa"/>
            <w:tcBorders>
              <w:top w:val="nil"/>
              <w:left w:val="nil"/>
              <w:bottom w:val="single" w:sz="4" w:space="0" w:color="auto"/>
              <w:right w:val="single" w:sz="4" w:space="0" w:color="auto"/>
            </w:tcBorders>
            <w:shd w:val="clear" w:color="FFFFFF" w:fill="FFFFFF"/>
            <w:noWrap/>
            <w:vAlign w:val="center"/>
            <w:hideMark/>
          </w:tcPr>
          <w:p w14:paraId="0041F043" w14:textId="77777777" w:rsidR="00E84E68" w:rsidRPr="00E84E68" w:rsidRDefault="00E84E68" w:rsidP="00E84E68">
            <w:pPr>
              <w:spacing w:before="0" w:after="0"/>
              <w:ind w:firstLine="0"/>
              <w:jc w:val="center"/>
              <w:rPr>
                <w:rFonts w:eastAsia="Times New Roman" w:cs="Times New Roman"/>
                <w:color w:val="000000"/>
                <w:sz w:val="20"/>
                <w:szCs w:val="20"/>
                <w:lang w:eastAsia="lv-LV"/>
              </w:rPr>
            </w:pPr>
            <w:r w:rsidRPr="00E84E68">
              <w:rPr>
                <w:rFonts w:eastAsia="Times New Roman" w:cs="Times New Roman"/>
                <w:color w:val="000000"/>
                <w:sz w:val="20"/>
                <w:szCs w:val="20"/>
                <w:lang w:eastAsia="lv-LV"/>
              </w:rPr>
              <w:t>-34</w:t>
            </w:r>
          </w:p>
        </w:tc>
      </w:tr>
      <w:tr w:rsidR="00D25AC4" w:rsidRPr="00E84E68" w14:paraId="15D2D08F" w14:textId="77777777" w:rsidTr="00B17B89">
        <w:trPr>
          <w:trHeight w:val="225"/>
        </w:trPr>
        <w:tc>
          <w:tcPr>
            <w:tcW w:w="1607"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46A2C361" w14:textId="77777777" w:rsidR="00E84E68" w:rsidRPr="00E84E68" w:rsidRDefault="00E84E68" w:rsidP="00E84E68">
            <w:pPr>
              <w:spacing w:before="0" w:after="0"/>
              <w:ind w:firstLine="0"/>
              <w:jc w:val="left"/>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KOPĀ</w:t>
            </w:r>
          </w:p>
        </w:tc>
        <w:tc>
          <w:tcPr>
            <w:tcW w:w="677" w:type="dxa"/>
            <w:tcBorders>
              <w:top w:val="nil"/>
              <w:left w:val="nil"/>
              <w:bottom w:val="single" w:sz="4" w:space="0" w:color="auto"/>
              <w:right w:val="single" w:sz="4" w:space="0" w:color="auto"/>
            </w:tcBorders>
            <w:shd w:val="clear" w:color="auto" w:fill="BDD6EE" w:themeFill="accent1" w:themeFillTint="66"/>
            <w:noWrap/>
            <w:vAlign w:val="center"/>
            <w:hideMark/>
          </w:tcPr>
          <w:p w14:paraId="6D2E4A1C" w14:textId="0B066D72"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1282</w:t>
            </w:r>
          </w:p>
        </w:tc>
        <w:tc>
          <w:tcPr>
            <w:tcW w:w="653" w:type="dxa"/>
            <w:tcBorders>
              <w:top w:val="nil"/>
              <w:left w:val="nil"/>
              <w:bottom w:val="single" w:sz="4" w:space="0" w:color="auto"/>
              <w:right w:val="single" w:sz="4" w:space="0" w:color="auto"/>
            </w:tcBorders>
            <w:shd w:val="clear" w:color="auto" w:fill="BDD6EE" w:themeFill="accent1" w:themeFillTint="66"/>
            <w:noWrap/>
            <w:vAlign w:val="center"/>
            <w:hideMark/>
          </w:tcPr>
          <w:p w14:paraId="23DE0744" w14:textId="10A16112"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2317</w:t>
            </w:r>
          </w:p>
        </w:tc>
        <w:tc>
          <w:tcPr>
            <w:tcW w:w="654" w:type="dxa"/>
            <w:tcBorders>
              <w:top w:val="nil"/>
              <w:left w:val="nil"/>
              <w:bottom w:val="single" w:sz="4" w:space="0" w:color="auto"/>
              <w:right w:val="single" w:sz="4" w:space="0" w:color="auto"/>
            </w:tcBorders>
            <w:shd w:val="clear" w:color="auto" w:fill="BDD6EE" w:themeFill="accent1" w:themeFillTint="66"/>
            <w:noWrap/>
            <w:vAlign w:val="center"/>
            <w:hideMark/>
          </w:tcPr>
          <w:p w14:paraId="17C96F2F" w14:textId="1A159AED"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1650</w:t>
            </w:r>
          </w:p>
        </w:tc>
        <w:tc>
          <w:tcPr>
            <w:tcW w:w="661" w:type="dxa"/>
            <w:tcBorders>
              <w:top w:val="nil"/>
              <w:left w:val="nil"/>
              <w:bottom w:val="single" w:sz="4" w:space="0" w:color="auto"/>
              <w:right w:val="single" w:sz="4" w:space="0" w:color="auto"/>
            </w:tcBorders>
            <w:shd w:val="clear" w:color="auto" w:fill="BDD6EE" w:themeFill="accent1" w:themeFillTint="66"/>
            <w:noWrap/>
            <w:vAlign w:val="center"/>
            <w:hideMark/>
          </w:tcPr>
          <w:p w14:paraId="25BB0962"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824</w:t>
            </w:r>
          </w:p>
        </w:tc>
        <w:tc>
          <w:tcPr>
            <w:tcW w:w="876" w:type="dxa"/>
            <w:tcBorders>
              <w:top w:val="nil"/>
              <w:left w:val="nil"/>
              <w:bottom w:val="single" w:sz="4" w:space="0" w:color="auto"/>
              <w:right w:val="double" w:sz="4" w:space="0" w:color="auto"/>
            </w:tcBorders>
            <w:shd w:val="clear" w:color="auto" w:fill="BDD6EE" w:themeFill="accent1" w:themeFillTint="66"/>
            <w:noWrap/>
            <w:vAlign w:val="center"/>
            <w:hideMark/>
          </w:tcPr>
          <w:p w14:paraId="1363CDFE"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479</w:t>
            </w:r>
          </w:p>
        </w:tc>
        <w:tc>
          <w:tcPr>
            <w:tcW w:w="696" w:type="dxa"/>
            <w:tcBorders>
              <w:top w:val="nil"/>
              <w:left w:val="double" w:sz="4" w:space="0" w:color="auto"/>
              <w:bottom w:val="single" w:sz="4" w:space="0" w:color="auto"/>
              <w:right w:val="single" w:sz="4" w:space="0" w:color="auto"/>
            </w:tcBorders>
            <w:shd w:val="clear" w:color="auto" w:fill="BDD6EE" w:themeFill="accent1" w:themeFillTint="66"/>
            <w:noWrap/>
            <w:vAlign w:val="center"/>
            <w:hideMark/>
          </w:tcPr>
          <w:p w14:paraId="76E2577F"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-961</w:t>
            </w:r>
          </w:p>
        </w:tc>
        <w:tc>
          <w:tcPr>
            <w:tcW w:w="783" w:type="dxa"/>
            <w:tcBorders>
              <w:top w:val="nil"/>
              <w:left w:val="nil"/>
              <w:bottom w:val="single" w:sz="4" w:space="0" w:color="auto"/>
              <w:right w:val="single" w:sz="4" w:space="0" w:color="auto"/>
            </w:tcBorders>
            <w:shd w:val="clear" w:color="auto" w:fill="BDD6EE" w:themeFill="accent1" w:themeFillTint="66"/>
            <w:noWrap/>
            <w:vAlign w:val="center"/>
            <w:hideMark/>
          </w:tcPr>
          <w:p w14:paraId="64439540" w14:textId="7872D2D2"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-2105</w:t>
            </w:r>
          </w:p>
        </w:tc>
        <w:tc>
          <w:tcPr>
            <w:tcW w:w="784" w:type="dxa"/>
            <w:tcBorders>
              <w:top w:val="nil"/>
              <w:left w:val="nil"/>
              <w:bottom w:val="single" w:sz="4" w:space="0" w:color="auto"/>
              <w:right w:val="single" w:sz="4" w:space="0" w:color="auto"/>
            </w:tcBorders>
            <w:shd w:val="clear" w:color="auto" w:fill="BDD6EE" w:themeFill="accent1" w:themeFillTint="66"/>
            <w:noWrap/>
            <w:vAlign w:val="center"/>
            <w:hideMark/>
          </w:tcPr>
          <w:p w14:paraId="0FC1AAAB" w14:textId="680EB4C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-1481</w:t>
            </w:r>
          </w:p>
        </w:tc>
        <w:tc>
          <w:tcPr>
            <w:tcW w:w="827" w:type="dxa"/>
            <w:tcBorders>
              <w:top w:val="nil"/>
              <w:left w:val="nil"/>
              <w:bottom w:val="single" w:sz="4" w:space="0" w:color="auto"/>
              <w:right w:val="single" w:sz="4" w:space="0" w:color="auto"/>
            </w:tcBorders>
            <w:shd w:val="clear" w:color="auto" w:fill="BDD6EE" w:themeFill="accent1" w:themeFillTint="66"/>
            <w:noWrap/>
            <w:vAlign w:val="center"/>
            <w:hideMark/>
          </w:tcPr>
          <w:p w14:paraId="13BD239D"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-726</w:t>
            </w:r>
          </w:p>
        </w:tc>
        <w:tc>
          <w:tcPr>
            <w:tcW w:w="876" w:type="dxa"/>
            <w:tcBorders>
              <w:top w:val="nil"/>
              <w:left w:val="nil"/>
              <w:bottom w:val="single" w:sz="4" w:space="0" w:color="auto"/>
              <w:right w:val="single" w:sz="4" w:space="0" w:color="auto"/>
            </w:tcBorders>
            <w:shd w:val="clear" w:color="auto" w:fill="BDD6EE" w:themeFill="accent1" w:themeFillTint="66"/>
            <w:noWrap/>
            <w:vAlign w:val="center"/>
            <w:hideMark/>
          </w:tcPr>
          <w:p w14:paraId="5A0BE812"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-485</w:t>
            </w:r>
          </w:p>
        </w:tc>
      </w:tr>
      <w:tr w:rsidR="00D25AC4" w:rsidRPr="00E84E68" w14:paraId="03FE7C47" w14:textId="77777777" w:rsidTr="00B17B89">
        <w:trPr>
          <w:trHeight w:val="67"/>
        </w:trPr>
        <w:tc>
          <w:tcPr>
            <w:tcW w:w="1607"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5397C581" w14:textId="77777777" w:rsidR="00E84E68" w:rsidRPr="00E84E68" w:rsidRDefault="00E84E68" w:rsidP="005E6FD6">
            <w:pPr>
              <w:spacing w:before="0" w:after="0"/>
              <w:ind w:firstLine="0"/>
              <w:jc w:val="left"/>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 no IKP</w:t>
            </w:r>
          </w:p>
        </w:tc>
        <w:tc>
          <w:tcPr>
            <w:tcW w:w="677" w:type="dxa"/>
            <w:tcBorders>
              <w:top w:val="nil"/>
              <w:left w:val="nil"/>
              <w:bottom w:val="single" w:sz="4" w:space="0" w:color="auto"/>
              <w:right w:val="single" w:sz="4" w:space="0" w:color="auto"/>
            </w:tcBorders>
            <w:shd w:val="clear" w:color="auto" w:fill="BDD6EE" w:themeFill="accent1" w:themeFillTint="66"/>
            <w:noWrap/>
            <w:hideMark/>
          </w:tcPr>
          <w:p w14:paraId="0080D19D"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4,2%</w:t>
            </w:r>
          </w:p>
        </w:tc>
        <w:tc>
          <w:tcPr>
            <w:tcW w:w="653" w:type="dxa"/>
            <w:tcBorders>
              <w:top w:val="nil"/>
              <w:left w:val="nil"/>
              <w:bottom w:val="single" w:sz="4" w:space="0" w:color="auto"/>
              <w:right w:val="single" w:sz="4" w:space="0" w:color="auto"/>
            </w:tcBorders>
            <w:shd w:val="clear" w:color="auto" w:fill="BDD6EE" w:themeFill="accent1" w:themeFillTint="66"/>
            <w:noWrap/>
            <w:hideMark/>
          </w:tcPr>
          <w:p w14:paraId="68F62F27"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6,9%</w:t>
            </w:r>
          </w:p>
        </w:tc>
        <w:tc>
          <w:tcPr>
            <w:tcW w:w="654" w:type="dxa"/>
            <w:tcBorders>
              <w:top w:val="nil"/>
              <w:left w:val="nil"/>
              <w:bottom w:val="single" w:sz="4" w:space="0" w:color="auto"/>
              <w:right w:val="single" w:sz="4" w:space="0" w:color="auto"/>
            </w:tcBorders>
            <w:shd w:val="clear" w:color="auto" w:fill="BDD6EE" w:themeFill="accent1" w:themeFillTint="66"/>
            <w:noWrap/>
            <w:hideMark/>
          </w:tcPr>
          <w:p w14:paraId="477BD112"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4,2%</w:t>
            </w:r>
          </w:p>
        </w:tc>
        <w:tc>
          <w:tcPr>
            <w:tcW w:w="661" w:type="dxa"/>
            <w:tcBorders>
              <w:top w:val="nil"/>
              <w:left w:val="nil"/>
              <w:bottom w:val="single" w:sz="4" w:space="0" w:color="auto"/>
              <w:right w:val="single" w:sz="4" w:space="0" w:color="auto"/>
            </w:tcBorders>
            <w:shd w:val="clear" w:color="auto" w:fill="BDD6EE" w:themeFill="accent1" w:themeFillTint="66"/>
            <w:noWrap/>
            <w:hideMark/>
          </w:tcPr>
          <w:p w14:paraId="7410860A"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1,9%</w:t>
            </w:r>
          </w:p>
        </w:tc>
        <w:tc>
          <w:tcPr>
            <w:tcW w:w="876" w:type="dxa"/>
            <w:tcBorders>
              <w:top w:val="nil"/>
              <w:left w:val="nil"/>
              <w:bottom w:val="single" w:sz="4" w:space="0" w:color="auto"/>
              <w:right w:val="double" w:sz="4" w:space="0" w:color="auto"/>
            </w:tcBorders>
            <w:shd w:val="clear" w:color="auto" w:fill="BDD6EE" w:themeFill="accent1" w:themeFillTint="66"/>
            <w:noWrap/>
            <w:hideMark/>
          </w:tcPr>
          <w:p w14:paraId="38F31A0E"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1,1%</w:t>
            </w:r>
          </w:p>
        </w:tc>
        <w:tc>
          <w:tcPr>
            <w:tcW w:w="696" w:type="dxa"/>
            <w:tcBorders>
              <w:top w:val="nil"/>
              <w:left w:val="double" w:sz="4" w:space="0" w:color="auto"/>
              <w:bottom w:val="single" w:sz="4" w:space="0" w:color="auto"/>
              <w:right w:val="single" w:sz="4" w:space="0" w:color="auto"/>
            </w:tcBorders>
            <w:shd w:val="clear" w:color="auto" w:fill="BDD6EE" w:themeFill="accent1" w:themeFillTint="66"/>
            <w:noWrap/>
            <w:hideMark/>
          </w:tcPr>
          <w:p w14:paraId="613B5EA1" w14:textId="1BE614F8" w:rsidR="00E84E68" w:rsidRPr="00E84E68" w:rsidRDefault="00D25AC4" w:rsidP="00D25AC4">
            <w:pPr>
              <w:spacing w:before="0" w:after="0"/>
              <w:ind w:firstLine="0"/>
              <w:rPr>
                <w:rFonts w:eastAsia="Times New Roman" w:cs="Times New Roman"/>
                <w:b/>
                <w:bCs/>
                <w:color w:val="000000"/>
                <w:sz w:val="18"/>
                <w:szCs w:val="18"/>
                <w:lang w:eastAsia="lv-LV"/>
              </w:rPr>
            </w:pPr>
            <w:r w:rsidRPr="00D25AC4">
              <w:rPr>
                <w:rFonts w:eastAsia="Times New Roman" w:cs="Times New Roman"/>
                <w:b/>
                <w:bCs/>
                <w:color w:val="000000"/>
                <w:sz w:val="18"/>
                <w:szCs w:val="18"/>
                <w:lang w:eastAsia="lv-LV"/>
              </w:rPr>
              <w:t>-</w:t>
            </w:r>
            <w:r w:rsidR="00E84E68" w:rsidRPr="00E84E68">
              <w:rPr>
                <w:rFonts w:eastAsia="Times New Roman" w:cs="Times New Roman"/>
                <w:b/>
                <w:bCs/>
                <w:color w:val="000000"/>
                <w:sz w:val="18"/>
                <w:szCs w:val="18"/>
                <w:lang w:eastAsia="lv-LV"/>
              </w:rPr>
              <w:t>3,2%</w:t>
            </w:r>
          </w:p>
        </w:tc>
        <w:tc>
          <w:tcPr>
            <w:tcW w:w="783" w:type="dxa"/>
            <w:tcBorders>
              <w:top w:val="nil"/>
              <w:left w:val="nil"/>
              <w:bottom w:val="single" w:sz="4" w:space="0" w:color="auto"/>
              <w:right w:val="single" w:sz="4" w:space="0" w:color="auto"/>
            </w:tcBorders>
            <w:shd w:val="clear" w:color="auto" w:fill="BDD6EE" w:themeFill="accent1" w:themeFillTint="66"/>
            <w:noWrap/>
            <w:hideMark/>
          </w:tcPr>
          <w:p w14:paraId="3DAA34A2"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-6,3%</w:t>
            </w:r>
          </w:p>
        </w:tc>
        <w:tc>
          <w:tcPr>
            <w:tcW w:w="784" w:type="dxa"/>
            <w:tcBorders>
              <w:top w:val="nil"/>
              <w:left w:val="nil"/>
              <w:bottom w:val="single" w:sz="4" w:space="0" w:color="auto"/>
              <w:right w:val="single" w:sz="4" w:space="0" w:color="auto"/>
            </w:tcBorders>
            <w:shd w:val="clear" w:color="auto" w:fill="BDD6EE" w:themeFill="accent1" w:themeFillTint="66"/>
            <w:noWrap/>
            <w:hideMark/>
          </w:tcPr>
          <w:p w14:paraId="45B20524"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-3,8%</w:t>
            </w:r>
          </w:p>
        </w:tc>
        <w:tc>
          <w:tcPr>
            <w:tcW w:w="827" w:type="dxa"/>
            <w:tcBorders>
              <w:top w:val="nil"/>
              <w:left w:val="nil"/>
              <w:bottom w:val="single" w:sz="4" w:space="0" w:color="auto"/>
              <w:right w:val="single" w:sz="4" w:space="0" w:color="auto"/>
            </w:tcBorders>
            <w:shd w:val="clear" w:color="auto" w:fill="BDD6EE" w:themeFill="accent1" w:themeFillTint="66"/>
            <w:noWrap/>
            <w:hideMark/>
          </w:tcPr>
          <w:p w14:paraId="597C0B32"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-1,7%</w:t>
            </w:r>
          </w:p>
        </w:tc>
        <w:tc>
          <w:tcPr>
            <w:tcW w:w="876" w:type="dxa"/>
            <w:tcBorders>
              <w:top w:val="nil"/>
              <w:left w:val="nil"/>
              <w:bottom w:val="single" w:sz="4" w:space="0" w:color="auto"/>
              <w:right w:val="single" w:sz="4" w:space="0" w:color="auto"/>
            </w:tcBorders>
            <w:shd w:val="clear" w:color="auto" w:fill="BDD6EE" w:themeFill="accent1" w:themeFillTint="66"/>
            <w:noWrap/>
            <w:hideMark/>
          </w:tcPr>
          <w:p w14:paraId="06C66432" w14:textId="77777777" w:rsidR="00E84E68" w:rsidRPr="00E84E68" w:rsidRDefault="00E84E68" w:rsidP="00E84E68">
            <w:pPr>
              <w:spacing w:before="0" w:after="0"/>
              <w:ind w:firstLine="0"/>
              <w:jc w:val="center"/>
              <w:rPr>
                <w:rFonts w:eastAsia="Times New Roman" w:cs="Times New Roman"/>
                <w:b/>
                <w:bCs/>
                <w:color w:val="000000"/>
                <w:sz w:val="20"/>
                <w:szCs w:val="20"/>
                <w:lang w:eastAsia="lv-LV"/>
              </w:rPr>
            </w:pPr>
            <w:r w:rsidRPr="00E84E68">
              <w:rPr>
                <w:rFonts w:eastAsia="Times New Roman" w:cs="Times New Roman"/>
                <w:b/>
                <w:bCs/>
                <w:color w:val="000000"/>
                <w:sz w:val="20"/>
                <w:szCs w:val="20"/>
                <w:lang w:eastAsia="lv-LV"/>
              </w:rPr>
              <w:t>-1,1%</w:t>
            </w:r>
          </w:p>
        </w:tc>
      </w:tr>
    </w:tbl>
    <w:p w14:paraId="19302725" w14:textId="62BEA164" w:rsidR="00D25AC4" w:rsidRPr="00C46348" w:rsidRDefault="00D25AC4" w:rsidP="00D25AC4">
      <w:pPr>
        <w:spacing w:before="0"/>
        <w:ind w:firstLine="0"/>
        <w:rPr>
          <w:rFonts w:eastAsia="Calibri" w:cs="Times New Roman"/>
          <w:noProof/>
          <w:color w:val="000000"/>
          <w:sz w:val="16"/>
          <w:szCs w:val="16"/>
        </w:rPr>
      </w:pPr>
      <w:r w:rsidRPr="00C46348">
        <w:rPr>
          <w:rFonts w:eastAsia="Calibri" w:cs="Times New Roman"/>
          <w:noProof/>
          <w:color w:val="000000"/>
          <w:sz w:val="16"/>
          <w:szCs w:val="16"/>
        </w:rPr>
        <w:t>*Izpildes dati līdz 30.06.2023.</w:t>
      </w:r>
    </w:p>
    <w:p w14:paraId="3CE99F77" w14:textId="0C65C22C" w:rsidR="00FE3024" w:rsidRPr="00B15B93" w:rsidRDefault="005E6FD6" w:rsidP="00766ABC">
      <w:pPr>
        <w:ind w:firstLine="709"/>
        <w:rPr>
          <w:highlight w:val="yellow"/>
        </w:rPr>
      </w:pPr>
      <w:r w:rsidRPr="00CA648F">
        <w:rPr>
          <w:rFonts w:eastAsia="Calibri" w:cs="Times New Roman"/>
          <w:noProof/>
          <w:color w:val="000000"/>
          <w:szCs w:val="24"/>
        </w:rPr>
        <w:t>Ņemot vērā Valsts kases datus un citu iestāžu sniegto informāciju 2023. gadā sagaidāms zemāks izdevumu apjoms energoatbalstam un Ukrainas civiliedzīvotāju atbalstam kā tika plānots</w:t>
      </w:r>
      <w:r w:rsidR="00D653F5">
        <w:rPr>
          <w:rFonts w:eastAsia="Calibri" w:cs="Times New Roman"/>
          <w:noProof/>
          <w:color w:val="000000"/>
          <w:szCs w:val="24"/>
        </w:rPr>
        <w:t>,</w:t>
      </w:r>
      <w:r w:rsidRPr="00CA648F">
        <w:rPr>
          <w:rFonts w:eastAsia="Calibri" w:cs="Times New Roman"/>
          <w:noProof/>
          <w:color w:val="000000"/>
          <w:szCs w:val="24"/>
        </w:rPr>
        <w:t xml:space="preserve"> izstrādājot 2023.</w:t>
      </w:r>
      <w:r w:rsidR="00D653F5">
        <w:rPr>
          <w:rFonts w:eastAsia="Calibri" w:cs="Times New Roman"/>
          <w:noProof/>
          <w:color w:val="000000"/>
          <w:szCs w:val="24"/>
        </w:rPr>
        <w:t> </w:t>
      </w:r>
      <w:r w:rsidRPr="00CA648F">
        <w:rPr>
          <w:rFonts w:eastAsia="Calibri" w:cs="Times New Roman"/>
          <w:noProof/>
          <w:color w:val="000000"/>
          <w:szCs w:val="24"/>
        </w:rPr>
        <w:t>gada budžetu.</w:t>
      </w:r>
      <w:r>
        <w:rPr>
          <w:rFonts w:eastAsia="Calibri" w:cs="Times New Roman"/>
          <w:noProof/>
          <w:color w:val="000000"/>
          <w:szCs w:val="24"/>
        </w:rPr>
        <w:t xml:space="preserve"> Atbilstoši FM apkopotajai informācijai šā gada pirmajos sešos mēnešos faktiskā atbalsta </w:t>
      </w:r>
      <w:r w:rsidRPr="005E6FD6">
        <w:rPr>
          <w:rFonts w:eastAsia="Calibri" w:cs="Times New Roman"/>
          <w:noProof/>
          <w:color w:val="000000"/>
          <w:szCs w:val="24"/>
        </w:rPr>
        <w:t xml:space="preserve">apmērs veido 417 milj. </w:t>
      </w:r>
      <w:r w:rsidRPr="005E6FD6">
        <w:rPr>
          <w:rFonts w:eastAsia="Calibri" w:cs="Times New Roman"/>
          <w:i/>
          <w:iCs/>
          <w:noProof/>
          <w:color w:val="000000"/>
          <w:szCs w:val="24"/>
        </w:rPr>
        <w:t>euro</w:t>
      </w:r>
      <w:r w:rsidRPr="005E6FD6">
        <w:rPr>
          <w:rFonts w:eastAsia="Calibri" w:cs="Times New Roman"/>
          <w:noProof/>
          <w:color w:val="000000"/>
          <w:szCs w:val="24"/>
        </w:rPr>
        <w:t xml:space="preserve"> energoatbalstam, par aptuveni 200 milj. </w:t>
      </w:r>
      <w:r w:rsidRPr="005E6FD6">
        <w:rPr>
          <w:rFonts w:eastAsia="Calibri" w:cs="Times New Roman"/>
          <w:i/>
          <w:iCs/>
          <w:noProof/>
          <w:color w:val="000000"/>
          <w:szCs w:val="24"/>
        </w:rPr>
        <w:t>euro</w:t>
      </w:r>
      <w:r w:rsidRPr="005E6FD6">
        <w:rPr>
          <w:rFonts w:eastAsia="Calibri" w:cs="Times New Roman"/>
          <w:noProof/>
          <w:color w:val="000000"/>
          <w:szCs w:val="24"/>
        </w:rPr>
        <w:t xml:space="preserve"> mazāk kā tika paredzēts budžetā. Savukārt Ukrainas civiliedzīvotājiem sniegtā atbalsta apjoms </w:t>
      </w:r>
      <w:r w:rsidR="00C46348">
        <w:rPr>
          <w:rFonts w:eastAsia="Calibri" w:cs="Times New Roman"/>
          <w:noProof/>
          <w:color w:val="000000"/>
          <w:szCs w:val="24"/>
        </w:rPr>
        <w:t xml:space="preserve">šā gada </w:t>
      </w:r>
      <w:r w:rsidRPr="005E6FD6">
        <w:rPr>
          <w:rFonts w:eastAsia="Calibri" w:cs="Times New Roman"/>
          <w:noProof/>
          <w:color w:val="000000"/>
          <w:szCs w:val="24"/>
        </w:rPr>
        <w:t>pirmajā pusgadā veido 34</w:t>
      </w:r>
      <w:r w:rsidR="00C46348">
        <w:rPr>
          <w:rFonts w:eastAsia="Calibri" w:cs="Times New Roman"/>
          <w:noProof/>
          <w:color w:val="000000"/>
          <w:szCs w:val="24"/>
        </w:rPr>
        <w:t> </w:t>
      </w:r>
      <w:r w:rsidRPr="005E6FD6">
        <w:rPr>
          <w:rFonts w:eastAsia="Calibri" w:cs="Times New Roman"/>
          <w:noProof/>
          <w:color w:val="000000"/>
          <w:szCs w:val="24"/>
        </w:rPr>
        <w:t xml:space="preserve">milj. </w:t>
      </w:r>
      <w:r w:rsidRPr="005E6FD6">
        <w:rPr>
          <w:rFonts w:eastAsia="Calibri" w:cs="Times New Roman"/>
          <w:i/>
          <w:iCs/>
          <w:noProof/>
          <w:color w:val="000000"/>
          <w:szCs w:val="24"/>
        </w:rPr>
        <w:t>euro</w:t>
      </w:r>
      <w:r w:rsidRPr="005E6FD6">
        <w:rPr>
          <w:rFonts w:eastAsia="Calibri" w:cs="Times New Roman"/>
          <w:noProof/>
          <w:color w:val="000000"/>
          <w:szCs w:val="24"/>
        </w:rPr>
        <w:t xml:space="preserve">, bet </w:t>
      </w:r>
      <w:r w:rsidR="00C77E0B">
        <w:rPr>
          <w:rFonts w:eastAsia="Calibri" w:cs="Times New Roman"/>
          <w:noProof/>
          <w:color w:val="000000"/>
          <w:szCs w:val="24"/>
        </w:rPr>
        <w:t xml:space="preserve">ar </w:t>
      </w:r>
      <w:r w:rsidRPr="005E6FD6">
        <w:rPr>
          <w:rFonts w:eastAsia="Calibri" w:cs="Times New Roman"/>
          <w:noProof/>
          <w:color w:val="000000"/>
          <w:szCs w:val="24"/>
        </w:rPr>
        <w:t>Covid-19 saistītajos pasākumos 27</w:t>
      </w:r>
      <w:r w:rsidR="00C46348">
        <w:rPr>
          <w:rFonts w:eastAsia="Calibri" w:cs="Times New Roman"/>
          <w:noProof/>
          <w:color w:val="000000"/>
          <w:szCs w:val="24"/>
        </w:rPr>
        <w:t> </w:t>
      </w:r>
      <w:r w:rsidRPr="005E6FD6">
        <w:rPr>
          <w:rFonts w:eastAsia="Calibri" w:cs="Times New Roman"/>
          <w:noProof/>
          <w:color w:val="000000"/>
          <w:szCs w:val="24"/>
        </w:rPr>
        <w:t xml:space="preserve">milj. </w:t>
      </w:r>
      <w:r w:rsidRPr="005E6FD6">
        <w:rPr>
          <w:rFonts w:eastAsia="Calibri" w:cs="Times New Roman"/>
          <w:i/>
          <w:iCs/>
          <w:noProof/>
          <w:color w:val="000000"/>
          <w:szCs w:val="24"/>
        </w:rPr>
        <w:t>euro</w:t>
      </w:r>
      <w:r w:rsidRPr="005E6FD6">
        <w:rPr>
          <w:rFonts w:eastAsia="Calibri" w:cs="Times New Roman"/>
          <w:noProof/>
          <w:color w:val="000000"/>
          <w:szCs w:val="24"/>
        </w:rPr>
        <w:t>.</w:t>
      </w:r>
    </w:p>
    <w:p w14:paraId="3BC00076" w14:textId="77777777" w:rsidR="005700B6" w:rsidRDefault="005700B6">
      <w:pPr>
        <w:spacing w:before="0" w:after="0"/>
        <w:ind w:firstLine="0"/>
        <w:jc w:val="left"/>
        <w:rPr>
          <w:rFonts w:eastAsiaTheme="majorEastAsia" w:cstheme="majorBidi"/>
          <w:b/>
          <w:sz w:val="28"/>
          <w:szCs w:val="28"/>
        </w:rPr>
      </w:pPr>
      <w:r>
        <w:rPr>
          <w:sz w:val="28"/>
          <w:szCs w:val="28"/>
        </w:rPr>
        <w:br w:type="page"/>
      </w:r>
    </w:p>
    <w:p w14:paraId="55AE1EB6" w14:textId="23C4392D" w:rsidR="008C2A5C" w:rsidRDefault="00377CA0" w:rsidP="008C63F6">
      <w:pPr>
        <w:pStyle w:val="Heading1"/>
        <w:ind w:left="360"/>
        <w:rPr>
          <w:sz w:val="28"/>
          <w:szCs w:val="28"/>
        </w:rPr>
      </w:pPr>
      <w:bookmarkStart w:id="6" w:name="_Toc142344003"/>
      <w:r w:rsidRPr="008C2A5C">
        <w:rPr>
          <w:sz w:val="28"/>
          <w:szCs w:val="28"/>
        </w:rPr>
        <w:lastRenderedPageBreak/>
        <w:t>Vispārējās valdības budžeta bilances prognoze</w:t>
      </w:r>
      <w:r w:rsidR="003714E5">
        <w:rPr>
          <w:sz w:val="28"/>
          <w:szCs w:val="28"/>
        </w:rPr>
        <w:t xml:space="preserve"> </w:t>
      </w:r>
      <w:r w:rsidRPr="008C2A5C">
        <w:rPr>
          <w:sz w:val="28"/>
          <w:szCs w:val="28"/>
        </w:rPr>
        <w:t>pie nemainīgas valdības politikas 202</w:t>
      </w:r>
      <w:r w:rsidR="00B15B93">
        <w:rPr>
          <w:sz w:val="28"/>
          <w:szCs w:val="28"/>
        </w:rPr>
        <w:t>4</w:t>
      </w:r>
      <w:r w:rsidRPr="008C2A5C">
        <w:rPr>
          <w:sz w:val="28"/>
          <w:szCs w:val="28"/>
        </w:rPr>
        <w:t>.-202</w:t>
      </w:r>
      <w:r w:rsidR="00B15B93">
        <w:rPr>
          <w:sz w:val="28"/>
          <w:szCs w:val="28"/>
        </w:rPr>
        <w:t>6</w:t>
      </w:r>
      <w:r w:rsidRPr="008C2A5C">
        <w:rPr>
          <w:sz w:val="28"/>
          <w:szCs w:val="28"/>
        </w:rPr>
        <w:t>.</w:t>
      </w:r>
      <w:r w:rsidR="00F51ED8">
        <w:rPr>
          <w:sz w:val="28"/>
          <w:szCs w:val="28"/>
        </w:rPr>
        <w:t> </w:t>
      </w:r>
      <w:r w:rsidRPr="008C2A5C">
        <w:rPr>
          <w:sz w:val="28"/>
          <w:szCs w:val="28"/>
        </w:rPr>
        <w:t>gadam</w:t>
      </w:r>
      <w:bookmarkEnd w:id="5"/>
      <w:bookmarkEnd w:id="6"/>
    </w:p>
    <w:p w14:paraId="701A07A1" w14:textId="13F11653" w:rsidR="0027377E" w:rsidRPr="002327A1" w:rsidRDefault="0027377E" w:rsidP="00766ABC">
      <w:pPr>
        <w:rPr>
          <w:color w:val="000000" w:themeColor="text1"/>
        </w:rPr>
      </w:pPr>
      <w:r w:rsidRPr="002327A1">
        <w:rPr>
          <w:color w:val="000000" w:themeColor="text1"/>
        </w:rPr>
        <w:t>Finanšu ministrija ir aktualizējusi vispārējās valdības budžeta bilances vidējam termiņam, ņemot vērā Valsts kases datus par konsolidētā kopbudžeta izpildi šā gada pirmaj</w:t>
      </w:r>
      <w:r w:rsidR="002327A1" w:rsidRPr="002327A1">
        <w:rPr>
          <w:color w:val="000000" w:themeColor="text1"/>
        </w:rPr>
        <w:t>ā</w:t>
      </w:r>
      <w:r w:rsidRPr="002327A1">
        <w:rPr>
          <w:color w:val="000000" w:themeColor="text1"/>
        </w:rPr>
        <w:t xml:space="preserve"> </w:t>
      </w:r>
      <w:r w:rsidR="002327A1" w:rsidRPr="002327A1">
        <w:rPr>
          <w:color w:val="000000" w:themeColor="text1"/>
        </w:rPr>
        <w:t>pusgadā</w:t>
      </w:r>
      <w:r w:rsidRPr="002327A1">
        <w:rPr>
          <w:color w:val="000000" w:themeColor="text1"/>
        </w:rPr>
        <w:t xml:space="preserve">, aktualizētās nodokļu un </w:t>
      </w:r>
      <w:r w:rsidRPr="002327A1">
        <w:rPr>
          <w:noProof/>
          <w:color w:val="000000" w:themeColor="text1"/>
        </w:rPr>
        <w:t>nenodokļu ieņēmumu prognozes</w:t>
      </w:r>
      <w:r w:rsidR="00D653F5">
        <w:rPr>
          <w:noProof/>
          <w:color w:val="000000" w:themeColor="text1"/>
        </w:rPr>
        <w:t xml:space="preserve"> atbilstoši atjaunotajam makroscenārijam</w:t>
      </w:r>
      <w:r w:rsidRPr="002327A1">
        <w:rPr>
          <w:noProof/>
          <w:color w:val="000000" w:themeColor="text1"/>
        </w:rPr>
        <w:t>, valsts pamatbudžeta un speciālā budžeta bāzes izdevumus</w:t>
      </w:r>
      <w:r w:rsidR="00D653F5">
        <w:rPr>
          <w:color w:val="000000" w:themeColor="text1"/>
        </w:rPr>
        <w:t xml:space="preserve"> </w:t>
      </w:r>
      <w:r w:rsidRPr="002327A1">
        <w:rPr>
          <w:color w:val="000000" w:themeColor="text1"/>
        </w:rPr>
        <w:t>vidējam termiņam</w:t>
      </w:r>
      <w:r w:rsidR="003714E5" w:rsidRPr="002327A1">
        <w:rPr>
          <w:color w:val="000000" w:themeColor="text1"/>
        </w:rPr>
        <w:t xml:space="preserve">. </w:t>
      </w:r>
    </w:p>
    <w:p w14:paraId="02B73FB7" w14:textId="49122F3D" w:rsidR="009E57D7" w:rsidRDefault="002327A1" w:rsidP="00766ABC">
      <w:pPr>
        <w:rPr>
          <w:noProof/>
          <w:color w:val="000000" w:themeColor="text1"/>
        </w:rPr>
      </w:pPr>
      <w:r w:rsidRPr="002327A1">
        <w:rPr>
          <w:color w:val="000000" w:themeColor="text1"/>
        </w:rPr>
        <w:t>V</w:t>
      </w:r>
      <w:r w:rsidR="00427EBB" w:rsidRPr="002327A1">
        <w:rPr>
          <w:color w:val="000000" w:themeColor="text1"/>
        </w:rPr>
        <w:t>ispārējās valdības budžeta deficīts</w:t>
      </w:r>
      <w:r w:rsidRPr="002327A1">
        <w:rPr>
          <w:color w:val="000000" w:themeColor="text1"/>
        </w:rPr>
        <w:t xml:space="preserve"> Finanšu ministrijas vērtējumā</w:t>
      </w:r>
      <w:r w:rsidR="00427EBB" w:rsidRPr="002327A1">
        <w:rPr>
          <w:color w:val="000000" w:themeColor="text1"/>
        </w:rPr>
        <w:t xml:space="preserve"> </w:t>
      </w:r>
      <w:r w:rsidR="00427EBB" w:rsidRPr="002327A1">
        <w:rPr>
          <w:b/>
          <w:bCs/>
          <w:color w:val="000000" w:themeColor="text1"/>
        </w:rPr>
        <w:t>202</w:t>
      </w:r>
      <w:r w:rsidRPr="002327A1">
        <w:rPr>
          <w:b/>
          <w:bCs/>
          <w:color w:val="000000" w:themeColor="text1"/>
        </w:rPr>
        <w:t>3</w:t>
      </w:r>
      <w:r w:rsidR="00427EBB" w:rsidRPr="002327A1">
        <w:rPr>
          <w:b/>
          <w:bCs/>
          <w:color w:val="000000" w:themeColor="text1"/>
        </w:rPr>
        <w:t>. gad</w:t>
      </w:r>
      <w:r w:rsidRPr="002327A1">
        <w:rPr>
          <w:b/>
          <w:bCs/>
          <w:color w:val="000000" w:themeColor="text1"/>
        </w:rPr>
        <w:t>ā</w:t>
      </w:r>
      <w:r w:rsidR="00427EBB" w:rsidRPr="002327A1">
        <w:rPr>
          <w:color w:val="000000" w:themeColor="text1"/>
        </w:rPr>
        <w:t xml:space="preserve"> </w:t>
      </w:r>
      <w:r w:rsidRPr="002327A1">
        <w:rPr>
          <w:color w:val="000000" w:themeColor="text1"/>
        </w:rPr>
        <w:t>sasniegs 2,7% no IKP,</w:t>
      </w:r>
      <w:r w:rsidR="00F51ED8" w:rsidRPr="002327A1">
        <w:rPr>
          <w:color w:val="000000" w:themeColor="text1"/>
        </w:rPr>
        <w:t xml:space="preserve"> un tas ir</w:t>
      </w:r>
      <w:r w:rsidR="00F70CA8" w:rsidRPr="002327A1">
        <w:rPr>
          <w:color w:val="000000" w:themeColor="text1"/>
        </w:rPr>
        <w:t xml:space="preserve"> par </w:t>
      </w:r>
      <w:r w:rsidRPr="002327A1">
        <w:rPr>
          <w:color w:val="000000" w:themeColor="text1"/>
        </w:rPr>
        <w:t>1,3</w:t>
      </w:r>
      <w:r w:rsidR="00F70CA8" w:rsidRPr="002327A1">
        <w:rPr>
          <w:color w:val="000000" w:themeColor="text1"/>
        </w:rPr>
        <w:t xml:space="preserve"> procentpunktiem zemāks </w:t>
      </w:r>
      <w:r w:rsidR="00F51ED8" w:rsidRPr="002327A1">
        <w:rPr>
          <w:color w:val="000000" w:themeColor="text1"/>
        </w:rPr>
        <w:t>ne</w:t>
      </w:r>
      <w:r w:rsidR="00F70CA8" w:rsidRPr="002327A1">
        <w:rPr>
          <w:color w:val="000000" w:themeColor="text1"/>
        </w:rPr>
        <w:t xml:space="preserve">kā </w:t>
      </w:r>
      <w:r w:rsidR="00F51ED8" w:rsidRPr="002327A1">
        <w:rPr>
          <w:color w:val="000000" w:themeColor="text1"/>
        </w:rPr>
        <w:t xml:space="preserve">prognozēts </w:t>
      </w:r>
      <w:r>
        <w:rPr>
          <w:color w:val="000000" w:themeColor="text1"/>
        </w:rPr>
        <w:t xml:space="preserve">šā gada </w:t>
      </w:r>
      <w:r w:rsidR="00D653F5">
        <w:rPr>
          <w:color w:val="000000" w:themeColor="text1"/>
        </w:rPr>
        <w:t>marta beigās,</w:t>
      </w:r>
      <w:r>
        <w:rPr>
          <w:color w:val="000000" w:themeColor="text1"/>
        </w:rPr>
        <w:t xml:space="preserve"> izstrādājot Stabilitātes programmu 2023.-2026. gadam</w:t>
      </w:r>
      <w:r w:rsidR="009A32C3">
        <w:rPr>
          <w:color w:val="000000" w:themeColor="text1"/>
        </w:rPr>
        <w:t xml:space="preserve"> (skat. 2. attēlu). </w:t>
      </w:r>
      <w:r>
        <w:rPr>
          <w:color w:val="000000" w:themeColor="text1"/>
        </w:rPr>
        <w:t xml:space="preserve">Tāpat novērtētais deficīta līmenis ir par 1,4 procentpunktiem zemāks kā pieļaujamais vispārējās valdības budžeta deficīts, kas noteikts </w:t>
      </w:r>
      <w:r w:rsidRPr="002F6DC4">
        <w:rPr>
          <w:color w:val="000000" w:themeColor="text1"/>
          <w:szCs w:val="24"/>
        </w:rPr>
        <w:t>likum</w:t>
      </w:r>
      <w:r>
        <w:rPr>
          <w:color w:val="000000" w:themeColor="text1"/>
          <w:szCs w:val="24"/>
        </w:rPr>
        <w:t>ā</w:t>
      </w:r>
      <w:r w:rsidRPr="002F6DC4">
        <w:rPr>
          <w:color w:val="000000" w:themeColor="text1"/>
          <w:szCs w:val="24"/>
        </w:rPr>
        <w:t xml:space="preserve"> “</w:t>
      </w:r>
      <w:r w:rsidRPr="002327A1">
        <w:rPr>
          <w:color w:val="000000" w:themeColor="text1"/>
          <w:szCs w:val="24"/>
        </w:rPr>
        <w:t>Par valsts budžetu 2023. gadam un budžeta ietvaru 2023., 2024. un 2025. gadam</w:t>
      </w:r>
      <w:r w:rsidRPr="002F6DC4">
        <w:rPr>
          <w:color w:val="000000" w:themeColor="text1"/>
          <w:szCs w:val="24"/>
        </w:rPr>
        <w:t>”</w:t>
      </w:r>
      <w:r>
        <w:rPr>
          <w:color w:val="000000" w:themeColor="text1"/>
          <w:szCs w:val="24"/>
        </w:rPr>
        <w:t xml:space="preserve"> un zemākais kopš Covid-19 pandēmijas sākuma </w:t>
      </w:r>
      <w:r w:rsidRPr="00393292">
        <w:rPr>
          <w:color w:val="000000" w:themeColor="text1"/>
          <w:szCs w:val="24"/>
        </w:rPr>
        <w:t>2020. gadā</w:t>
      </w:r>
      <w:r w:rsidR="00700009">
        <w:rPr>
          <w:color w:val="000000" w:themeColor="text1"/>
          <w:szCs w:val="24"/>
        </w:rPr>
        <w:t>.</w:t>
      </w:r>
    </w:p>
    <w:p w14:paraId="7B40F10E" w14:textId="464954E6" w:rsidR="0094183F" w:rsidRDefault="001C6D6A" w:rsidP="00766ABC">
      <w:pPr>
        <w:rPr>
          <w:noProof/>
          <w:color w:val="000000" w:themeColor="text1"/>
        </w:rPr>
      </w:pPr>
      <w:r>
        <w:rPr>
          <w:noProof/>
          <w:color w:val="000000" w:themeColor="text1"/>
        </w:rPr>
        <w:t xml:space="preserve">Balstoties uz faktisko izpildi šā gada 6 mēnešos, </w:t>
      </w:r>
      <w:r w:rsidR="00D653F5">
        <w:rPr>
          <w:noProof/>
          <w:color w:val="000000" w:themeColor="text1"/>
        </w:rPr>
        <w:t xml:space="preserve">deficīta novērtējumā </w:t>
      </w:r>
      <w:r>
        <w:rPr>
          <w:noProof/>
          <w:color w:val="000000" w:themeColor="text1"/>
        </w:rPr>
        <w:t xml:space="preserve">2023. gadam </w:t>
      </w:r>
      <w:r w:rsidR="00D653F5">
        <w:rPr>
          <w:noProof/>
          <w:color w:val="000000" w:themeColor="text1"/>
        </w:rPr>
        <w:t xml:space="preserve">ir </w:t>
      </w:r>
      <w:r>
        <w:rPr>
          <w:noProof/>
          <w:color w:val="000000" w:themeColor="text1"/>
        </w:rPr>
        <w:t>iekļauts</w:t>
      </w:r>
      <w:r w:rsidR="00D653F5">
        <w:rPr>
          <w:noProof/>
          <w:color w:val="000000" w:themeColor="text1"/>
        </w:rPr>
        <w:t xml:space="preserve"> par </w:t>
      </w:r>
      <w:r>
        <w:rPr>
          <w:noProof/>
          <w:color w:val="000000" w:themeColor="text1"/>
        </w:rPr>
        <w:t xml:space="preserve">aptuveni </w:t>
      </w:r>
      <w:r w:rsidR="00D653F5">
        <w:rPr>
          <w:noProof/>
          <w:color w:val="000000" w:themeColor="text1"/>
        </w:rPr>
        <w:t xml:space="preserve">100 milj. </w:t>
      </w:r>
      <w:r w:rsidR="00D653F5" w:rsidRPr="00D653F5">
        <w:rPr>
          <w:i/>
          <w:iCs/>
          <w:noProof/>
          <w:color w:val="000000" w:themeColor="text1"/>
        </w:rPr>
        <w:t>euro</w:t>
      </w:r>
      <w:r w:rsidR="00D653F5">
        <w:rPr>
          <w:noProof/>
          <w:color w:val="000000" w:themeColor="text1"/>
        </w:rPr>
        <w:t xml:space="preserve"> mazāks apjoms </w:t>
      </w:r>
      <w:r>
        <w:rPr>
          <w:noProof/>
          <w:color w:val="000000" w:themeColor="text1"/>
        </w:rPr>
        <w:t xml:space="preserve">energoatbalstam, kā arī par 30 milj. </w:t>
      </w:r>
      <w:r w:rsidRPr="001C6D6A">
        <w:rPr>
          <w:i/>
          <w:iCs/>
          <w:noProof/>
          <w:color w:val="000000" w:themeColor="text1"/>
        </w:rPr>
        <w:t>euro</w:t>
      </w:r>
      <w:r>
        <w:rPr>
          <w:noProof/>
          <w:color w:val="000000" w:themeColor="text1"/>
        </w:rPr>
        <w:t xml:space="preserve"> mazāks apjoms Ukrainas civiliedzīvotāju atbalstam</w:t>
      </w:r>
      <w:r w:rsidR="00700009">
        <w:rPr>
          <w:noProof/>
          <w:color w:val="000000" w:themeColor="text1"/>
        </w:rPr>
        <w:t xml:space="preserve"> nekā iepriekš plānots</w:t>
      </w:r>
      <w:r>
        <w:rPr>
          <w:noProof/>
          <w:color w:val="000000" w:themeColor="text1"/>
        </w:rPr>
        <w:t xml:space="preserve">. </w:t>
      </w:r>
      <w:r w:rsidR="00D653F5" w:rsidRPr="009E57D7">
        <w:rPr>
          <w:noProof/>
          <w:color w:val="000000" w:themeColor="text1"/>
        </w:rPr>
        <w:t>2023.</w:t>
      </w:r>
      <w:r w:rsidR="00D653F5">
        <w:rPr>
          <w:noProof/>
          <w:color w:val="000000" w:themeColor="text1"/>
        </w:rPr>
        <w:t> </w:t>
      </w:r>
      <w:r w:rsidR="00D653F5" w:rsidRPr="009E57D7">
        <w:rPr>
          <w:noProof/>
          <w:color w:val="000000" w:themeColor="text1"/>
        </w:rPr>
        <w:t>gads ir pēdējais, kurā plānots ievērojams atbalsts krīzes seku mazināšanai</w:t>
      </w:r>
      <w:r>
        <w:rPr>
          <w:noProof/>
          <w:color w:val="000000" w:themeColor="text1"/>
        </w:rPr>
        <w:t xml:space="preserve"> (skat. 3. tabulu).</w:t>
      </w:r>
    </w:p>
    <w:p w14:paraId="528F14DE" w14:textId="409EC4B4" w:rsidR="00700009" w:rsidRDefault="00700009" w:rsidP="00700009">
      <w:pPr>
        <w:rPr>
          <w:color w:val="000000" w:themeColor="text1"/>
        </w:rPr>
      </w:pPr>
      <w:r w:rsidRPr="00CC1DE8">
        <w:rPr>
          <w:b/>
          <w:color w:val="000000" w:themeColor="text1"/>
        </w:rPr>
        <w:t>2024. -2026. gadā</w:t>
      </w:r>
      <w:r w:rsidRPr="00CC1DE8">
        <w:rPr>
          <w:color w:val="000000" w:themeColor="text1"/>
        </w:rPr>
        <w:t xml:space="preserve"> vispārējās valdības budžeta deficīts pie nemainīgas valdības politikas tiek prognozēts 2,2% no IKP 2024. gadā un 1,3% no IKP</w:t>
      </w:r>
      <w:r>
        <w:rPr>
          <w:color w:val="000000" w:themeColor="text1"/>
        </w:rPr>
        <w:t xml:space="preserve"> </w:t>
      </w:r>
      <w:r w:rsidRPr="00CC1DE8">
        <w:rPr>
          <w:color w:val="000000" w:themeColor="text1"/>
        </w:rPr>
        <w:t xml:space="preserve">2025. gadā, bet 2026. gadā prognozēts pārpalikums 0,1% </w:t>
      </w:r>
      <w:r w:rsidRPr="00393292">
        <w:rPr>
          <w:color w:val="000000" w:themeColor="text1"/>
        </w:rPr>
        <w:t xml:space="preserve">no IKP (skat. </w:t>
      </w:r>
      <w:r w:rsidR="009A32C3">
        <w:rPr>
          <w:color w:val="000000" w:themeColor="text1"/>
        </w:rPr>
        <w:t>4. tabulu</w:t>
      </w:r>
      <w:r w:rsidRPr="00393292">
        <w:rPr>
          <w:color w:val="000000" w:themeColor="text1"/>
        </w:rPr>
        <w:t>).</w:t>
      </w:r>
    </w:p>
    <w:p w14:paraId="2A27C3CB" w14:textId="77777777" w:rsidR="00700009" w:rsidRPr="00B15B93" w:rsidRDefault="00700009" w:rsidP="00766ABC">
      <w:pPr>
        <w:rPr>
          <w:color w:val="000000" w:themeColor="text1"/>
          <w:highlight w:val="yellow"/>
        </w:rPr>
      </w:pPr>
    </w:p>
    <w:p w14:paraId="5DEAC362" w14:textId="3CA9030E" w:rsidR="00D8549C" w:rsidRPr="00B15B93" w:rsidRDefault="00D8549C" w:rsidP="001A6678">
      <w:pPr>
        <w:ind w:firstLine="0"/>
        <w:jc w:val="center"/>
        <w:rPr>
          <w:color w:val="000000" w:themeColor="text1"/>
          <w:highlight w:val="yellow"/>
        </w:rPr>
      </w:pPr>
      <w:r w:rsidRPr="00D8549C">
        <w:rPr>
          <w:noProof/>
        </w:rPr>
        <w:drawing>
          <wp:inline distT="0" distB="0" distL="0" distR="0" wp14:anchorId="4DEDBD64" wp14:editId="6D49C0A5">
            <wp:extent cx="5760085" cy="3452495"/>
            <wp:effectExtent l="0" t="0" r="0" b="0"/>
            <wp:docPr id="1879014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3452495"/>
                    </a:xfrm>
                    <a:prstGeom prst="rect">
                      <a:avLst/>
                    </a:prstGeom>
                    <a:noFill/>
                    <a:ln>
                      <a:noFill/>
                    </a:ln>
                  </pic:spPr>
                </pic:pic>
              </a:graphicData>
            </a:graphic>
          </wp:inline>
        </w:drawing>
      </w:r>
    </w:p>
    <w:p w14:paraId="5D4750AF" w14:textId="75841700" w:rsidR="00DD5336" w:rsidRPr="00D8549C" w:rsidRDefault="00D653F5" w:rsidP="00862CE6">
      <w:pPr>
        <w:jc w:val="center"/>
        <w:rPr>
          <w:rFonts w:eastAsia="Calibri"/>
          <w:b/>
          <w:iCs/>
          <w:noProof/>
        </w:rPr>
      </w:pPr>
      <w:r>
        <w:rPr>
          <w:rFonts w:eastAsia="Calibri"/>
          <w:b/>
          <w:iCs/>
          <w:noProof/>
        </w:rPr>
        <w:t>2</w:t>
      </w:r>
      <w:r w:rsidR="006426B3" w:rsidRPr="00D8549C">
        <w:rPr>
          <w:rFonts w:eastAsia="Calibri"/>
          <w:b/>
          <w:iCs/>
          <w:noProof/>
        </w:rPr>
        <w:t xml:space="preserve">. attēls. Vispārējās valdības budžeta </w:t>
      </w:r>
      <w:r w:rsidR="001A6678" w:rsidRPr="00D8549C">
        <w:rPr>
          <w:rFonts w:eastAsia="Calibri"/>
          <w:b/>
          <w:iCs/>
          <w:noProof/>
        </w:rPr>
        <w:t xml:space="preserve">ieņēmumi, izdevumi un </w:t>
      </w:r>
      <w:r w:rsidR="006426B3" w:rsidRPr="00D8549C">
        <w:rPr>
          <w:rFonts w:eastAsia="Calibri"/>
          <w:b/>
          <w:iCs/>
          <w:noProof/>
        </w:rPr>
        <w:t>bilance, % no IKP</w:t>
      </w:r>
    </w:p>
    <w:p w14:paraId="7B6D6194" w14:textId="77777777" w:rsidR="00700009" w:rsidRDefault="00700009">
      <w:pPr>
        <w:spacing w:before="0" w:after="0"/>
        <w:ind w:firstLine="0"/>
        <w:jc w:val="left"/>
        <w:rPr>
          <w:noProof/>
          <w:color w:val="000000" w:themeColor="text1"/>
        </w:rPr>
      </w:pPr>
      <w:r>
        <w:rPr>
          <w:noProof/>
          <w:color w:val="000000" w:themeColor="text1"/>
        </w:rPr>
        <w:br w:type="page"/>
      </w:r>
    </w:p>
    <w:p w14:paraId="439115F6" w14:textId="212E68D0" w:rsidR="00CC4153" w:rsidRDefault="00CC4153" w:rsidP="00CC4153">
      <w:pPr>
        <w:rPr>
          <w:noProof/>
          <w:color w:val="000000" w:themeColor="text1"/>
        </w:rPr>
      </w:pPr>
      <w:r>
        <w:rPr>
          <w:noProof/>
          <w:color w:val="000000" w:themeColor="text1"/>
        </w:rPr>
        <w:lastRenderedPageBreak/>
        <w:t>Šā gada 6 mēnešos</w:t>
      </w:r>
      <w:r w:rsidR="00313290" w:rsidRPr="00AB127D">
        <w:rPr>
          <w:noProof/>
          <w:color w:val="000000" w:themeColor="text1"/>
        </w:rPr>
        <w:t>,</w:t>
      </w:r>
      <w:r w:rsidR="00AB127D" w:rsidRPr="00AB127D">
        <w:rPr>
          <w:noProof/>
          <w:color w:val="000000" w:themeColor="text1"/>
        </w:rPr>
        <w:t xml:space="preserve"> līdzīgi kā pērn,</w:t>
      </w:r>
      <w:r w:rsidR="00313290" w:rsidRPr="00AB127D">
        <w:rPr>
          <w:noProof/>
          <w:color w:val="000000" w:themeColor="text1"/>
        </w:rPr>
        <w:t xml:space="preserve"> nodokļu ieņēmumi bijuši būtiski augstāki kā iepriekš plānots. </w:t>
      </w:r>
      <w:r w:rsidRPr="00AB127D">
        <w:rPr>
          <w:noProof/>
          <w:color w:val="000000" w:themeColor="text1"/>
        </w:rPr>
        <w:t xml:space="preserve">Augsts inflācijas līmenis Eiropā un Latvijā ir saglabājies ilgāk kā iepriekš plānots un, lai gan energoresursu cenas šobrīd ir pazeminājušās un stabilizējušās, preču un pakalpojumu cenu līmenis joprojām turpina palielināties. </w:t>
      </w:r>
      <w:r>
        <w:rPr>
          <w:noProof/>
          <w:color w:val="000000" w:themeColor="text1"/>
        </w:rPr>
        <w:t>Darba tirgū vērojams nozīmīgs vidējās darba samaksas pieaugums, pozitīvi ietekmējot darba spēka nodokļu ieņēmumus. Attiecīgi, s</w:t>
      </w:r>
      <w:r w:rsidR="00313290" w:rsidRPr="00AB127D">
        <w:rPr>
          <w:noProof/>
          <w:color w:val="000000" w:themeColor="text1"/>
        </w:rPr>
        <w:t xml:space="preserve">alīdzinot ar </w:t>
      </w:r>
      <w:r w:rsidR="00AB127D" w:rsidRPr="00AB127D">
        <w:rPr>
          <w:noProof/>
          <w:color w:val="000000" w:themeColor="text1"/>
        </w:rPr>
        <w:t>pavasarī</w:t>
      </w:r>
      <w:r w:rsidR="00313290" w:rsidRPr="00AB127D">
        <w:rPr>
          <w:noProof/>
          <w:color w:val="000000" w:themeColor="text1"/>
        </w:rPr>
        <w:t xml:space="preserve"> apstiprinātajām prognozēm</w:t>
      </w:r>
      <w:r w:rsidR="001A6678" w:rsidRPr="00AB127D">
        <w:rPr>
          <w:noProof/>
          <w:color w:val="000000" w:themeColor="text1"/>
        </w:rPr>
        <w:t>,</w:t>
      </w:r>
      <w:r w:rsidR="00313290" w:rsidRPr="00AB127D">
        <w:rPr>
          <w:noProof/>
          <w:color w:val="000000" w:themeColor="text1"/>
        </w:rPr>
        <w:t xml:space="preserve"> </w:t>
      </w:r>
      <w:r>
        <w:rPr>
          <w:noProof/>
          <w:color w:val="000000" w:themeColor="text1"/>
        </w:rPr>
        <w:t xml:space="preserve">ir </w:t>
      </w:r>
      <w:r w:rsidR="00313290" w:rsidRPr="00AB127D">
        <w:rPr>
          <w:noProof/>
          <w:color w:val="000000" w:themeColor="text1"/>
        </w:rPr>
        <w:t>palielināts novērtējums gan par sagaidāmo nodokļu, gan arī nenodokļu ieņēmumu apmēru, kas būtiski uzlabo bilances apmēru</w:t>
      </w:r>
      <w:r>
        <w:rPr>
          <w:noProof/>
          <w:color w:val="000000" w:themeColor="text1"/>
        </w:rPr>
        <w:t xml:space="preserve"> (skat. 3. attēlu).</w:t>
      </w:r>
    </w:p>
    <w:p w14:paraId="18491F48" w14:textId="72BD0462" w:rsidR="0021237F" w:rsidRDefault="00CC4153" w:rsidP="00B43CE1">
      <w:pPr>
        <w:rPr>
          <w:noProof/>
          <w:color w:val="000000" w:themeColor="text1"/>
        </w:rPr>
      </w:pPr>
      <w:r>
        <w:rPr>
          <w:noProof/>
          <w:color w:val="000000" w:themeColor="text1"/>
        </w:rPr>
        <w:t xml:space="preserve">Tāpat, salīdzinot ar Stabilitātes programmas 2023. -2026. gadam prognozēm, ir </w:t>
      </w:r>
      <w:r w:rsidR="00CC1DE8">
        <w:rPr>
          <w:noProof/>
          <w:color w:val="000000" w:themeColor="text1"/>
        </w:rPr>
        <w:t>pārskatīt</w:t>
      </w:r>
      <w:r>
        <w:rPr>
          <w:noProof/>
          <w:color w:val="000000" w:themeColor="text1"/>
        </w:rPr>
        <w:t>i</w:t>
      </w:r>
      <w:r w:rsidR="00CC1DE8">
        <w:rPr>
          <w:noProof/>
          <w:color w:val="000000" w:themeColor="text1"/>
        </w:rPr>
        <w:t xml:space="preserve"> valsts speciālā budžeta izdevum</w:t>
      </w:r>
      <w:r>
        <w:rPr>
          <w:noProof/>
          <w:color w:val="000000" w:themeColor="text1"/>
        </w:rPr>
        <w:t xml:space="preserve">i </w:t>
      </w:r>
      <w:r w:rsidR="007D2774">
        <w:rPr>
          <w:noProof/>
          <w:color w:val="000000" w:themeColor="text1"/>
        </w:rPr>
        <w:t>vidējā termiņā</w:t>
      </w:r>
      <w:r w:rsidR="004161BA">
        <w:rPr>
          <w:noProof/>
          <w:color w:val="000000" w:themeColor="text1"/>
        </w:rPr>
        <w:t>. G</w:t>
      </w:r>
      <w:r>
        <w:rPr>
          <w:noProof/>
          <w:color w:val="000000" w:themeColor="text1"/>
        </w:rPr>
        <w:t xml:space="preserve">alvenokārt ir samazināti izdevumi slimības pabalstiem, ņemot vērā straujāku prognozēto slimības pabalstu saņēmēju skaita samazinājumu visā </w:t>
      </w:r>
      <w:r w:rsidRPr="00572C1B">
        <w:rPr>
          <w:noProof/>
          <w:color w:val="000000" w:themeColor="text1"/>
        </w:rPr>
        <w:t xml:space="preserve">vidējā termiņā, kā arī </w:t>
      </w:r>
      <w:r w:rsidR="004161BA">
        <w:rPr>
          <w:noProof/>
          <w:color w:val="000000" w:themeColor="text1"/>
        </w:rPr>
        <w:t>nedaudz samazināti</w:t>
      </w:r>
      <w:r w:rsidRPr="00572C1B">
        <w:rPr>
          <w:noProof/>
          <w:color w:val="000000" w:themeColor="text1"/>
        </w:rPr>
        <w:t xml:space="preserve"> izdevum</w:t>
      </w:r>
      <w:r w:rsidR="004161BA">
        <w:rPr>
          <w:noProof/>
          <w:color w:val="000000" w:themeColor="text1"/>
        </w:rPr>
        <w:t>i</w:t>
      </w:r>
      <w:r w:rsidRPr="00572C1B">
        <w:rPr>
          <w:noProof/>
          <w:color w:val="000000" w:themeColor="text1"/>
        </w:rPr>
        <w:t xml:space="preserve"> pensijām, ņemot vērā </w:t>
      </w:r>
      <w:r w:rsidR="00CC1DE8" w:rsidRPr="00572C1B">
        <w:rPr>
          <w:noProof/>
          <w:color w:val="000000" w:themeColor="text1"/>
        </w:rPr>
        <w:t>zemāku pensiju indeksācijas apmēru</w:t>
      </w:r>
      <w:r w:rsidRPr="00572C1B">
        <w:rPr>
          <w:noProof/>
          <w:color w:val="000000" w:themeColor="text1"/>
        </w:rPr>
        <w:t>.</w:t>
      </w:r>
      <w:r w:rsidR="00C77E0B" w:rsidRPr="00572C1B">
        <w:rPr>
          <w:noProof/>
          <w:color w:val="000000" w:themeColor="text1"/>
        </w:rPr>
        <w:t xml:space="preserve"> </w:t>
      </w:r>
      <w:r w:rsidR="008E08C0" w:rsidRPr="00572C1B">
        <w:rPr>
          <w:noProof/>
          <w:color w:val="000000" w:themeColor="text1"/>
        </w:rPr>
        <w:t>Zemāki indeksācijas koefic</w:t>
      </w:r>
      <w:r w:rsidR="004161BA">
        <w:rPr>
          <w:noProof/>
          <w:color w:val="000000" w:themeColor="text1"/>
        </w:rPr>
        <w:t>i</w:t>
      </w:r>
      <w:r w:rsidR="008E08C0" w:rsidRPr="00572C1B">
        <w:rPr>
          <w:noProof/>
          <w:color w:val="000000" w:themeColor="text1"/>
        </w:rPr>
        <w:t xml:space="preserve">enti </w:t>
      </w:r>
      <w:r w:rsidR="004161BA">
        <w:rPr>
          <w:noProof/>
          <w:color w:val="000000" w:themeColor="text1"/>
        </w:rPr>
        <w:t xml:space="preserve">2023. un 2024. gadā </w:t>
      </w:r>
      <w:r w:rsidR="008E08C0" w:rsidRPr="00572C1B">
        <w:rPr>
          <w:noProof/>
          <w:color w:val="000000" w:themeColor="text1"/>
        </w:rPr>
        <w:t>salīdzinājumā ar Stabilitātes programmu</w:t>
      </w:r>
      <w:r w:rsidR="001413AF">
        <w:rPr>
          <w:noProof/>
          <w:color w:val="000000" w:themeColor="text1"/>
        </w:rPr>
        <w:t xml:space="preserve"> </w:t>
      </w:r>
      <w:r w:rsidR="008E08C0" w:rsidRPr="00572C1B">
        <w:rPr>
          <w:noProof/>
          <w:color w:val="000000" w:themeColor="text1"/>
        </w:rPr>
        <w:t>ir mazākas inflācijas pa mēnešiem</w:t>
      </w:r>
      <w:r w:rsidR="004161BA" w:rsidRPr="004161BA">
        <w:rPr>
          <w:noProof/>
          <w:color w:val="000000" w:themeColor="text1"/>
        </w:rPr>
        <w:t xml:space="preserve"> </w:t>
      </w:r>
      <w:r w:rsidR="004161BA" w:rsidRPr="00572C1B">
        <w:rPr>
          <w:noProof/>
          <w:color w:val="000000" w:themeColor="text1"/>
        </w:rPr>
        <w:t>dēļ</w:t>
      </w:r>
      <w:r w:rsidR="008E08C0" w:rsidRPr="00572C1B">
        <w:rPr>
          <w:noProof/>
          <w:color w:val="000000" w:themeColor="text1"/>
        </w:rPr>
        <w:t>.</w:t>
      </w:r>
      <w:r w:rsidR="001413AF">
        <w:rPr>
          <w:noProof/>
          <w:color w:val="000000" w:themeColor="text1"/>
        </w:rPr>
        <w:t xml:space="preserve"> </w:t>
      </w:r>
      <w:r w:rsidR="001413AF" w:rsidRPr="001413AF">
        <w:rPr>
          <w:noProof/>
          <w:color w:val="000000" w:themeColor="text1"/>
        </w:rPr>
        <w:t>Neskatoties uz to</w:t>
      </w:r>
      <w:r w:rsidR="00A34448">
        <w:rPr>
          <w:noProof/>
          <w:color w:val="000000" w:themeColor="text1"/>
        </w:rPr>
        <w:t>,</w:t>
      </w:r>
      <w:r w:rsidR="001413AF" w:rsidRPr="001413AF">
        <w:rPr>
          <w:noProof/>
          <w:color w:val="000000" w:themeColor="text1"/>
        </w:rPr>
        <w:t xml:space="preserve"> ka indeksācijas koeficienti 2025. un 2026.</w:t>
      </w:r>
      <w:r w:rsidR="00A34448">
        <w:rPr>
          <w:noProof/>
          <w:color w:val="000000" w:themeColor="text1"/>
        </w:rPr>
        <w:t xml:space="preserve"> </w:t>
      </w:r>
      <w:r w:rsidR="001413AF" w:rsidRPr="001413AF">
        <w:rPr>
          <w:noProof/>
          <w:color w:val="000000" w:themeColor="text1"/>
        </w:rPr>
        <w:t>gadam tiek prognozēti lielāki, kopējo indeksācijas samazin</w:t>
      </w:r>
      <w:r w:rsidR="00180135">
        <w:rPr>
          <w:noProof/>
          <w:color w:val="000000" w:themeColor="text1"/>
        </w:rPr>
        <w:t>ājumu ietekem</w:t>
      </w:r>
      <w:r w:rsidR="00B43CE1">
        <w:rPr>
          <w:noProof/>
          <w:color w:val="000000" w:themeColor="text1"/>
        </w:rPr>
        <w:t>ē</w:t>
      </w:r>
      <w:r w:rsidR="00180135">
        <w:rPr>
          <w:noProof/>
          <w:color w:val="000000" w:themeColor="text1"/>
        </w:rPr>
        <w:t xml:space="preserve"> mazāki 2023. un 2024. gada indeks</w:t>
      </w:r>
      <w:r w:rsidR="00A61FA2">
        <w:rPr>
          <w:noProof/>
          <w:color w:val="000000" w:themeColor="text1"/>
        </w:rPr>
        <w:t>ā</w:t>
      </w:r>
      <w:r w:rsidR="00180135">
        <w:rPr>
          <w:noProof/>
          <w:color w:val="000000" w:themeColor="text1"/>
        </w:rPr>
        <w:t xml:space="preserve">cijas izdevumi. </w:t>
      </w:r>
      <w:r>
        <w:rPr>
          <w:noProof/>
          <w:color w:val="000000" w:themeColor="text1"/>
        </w:rPr>
        <w:t xml:space="preserve">2026. gadā ietekme uz bilanci vairs nav tik pozitīva kā iepriekšējos gados, jo izdevumi vecuma pensijām tiek prognozēti lielāki nekā prognozēts Stabilitātes programmā, </w:t>
      </w:r>
      <w:r w:rsidR="0021237F">
        <w:rPr>
          <w:noProof/>
          <w:color w:val="000000" w:themeColor="text1"/>
        </w:rPr>
        <w:t>Labklājības ministrijai pārskatot pensiju saņēmēju skaitu atbilstoši demogrāfijai, kas paredz pakāpenisku 65+ iedzīvotāju skaita pieaugumu pēc 2025.</w:t>
      </w:r>
      <w:r w:rsidR="004161BA">
        <w:rPr>
          <w:noProof/>
          <w:color w:val="000000" w:themeColor="text1"/>
        </w:rPr>
        <w:t> </w:t>
      </w:r>
      <w:r w:rsidR="0021237F">
        <w:rPr>
          <w:noProof/>
          <w:color w:val="000000" w:themeColor="text1"/>
        </w:rPr>
        <w:t>gada</w:t>
      </w:r>
      <w:r w:rsidR="004161BA">
        <w:rPr>
          <w:noProof/>
          <w:color w:val="000000" w:themeColor="text1"/>
        </w:rPr>
        <w:t>.</w:t>
      </w:r>
    </w:p>
    <w:p w14:paraId="6011C839" w14:textId="2784A6E1" w:rsidR="00CC4153" w:rsidRPr="00B15B93" w:rsidRDefault="00CC4153" w:rsidP="00CC4153">
      <w:pPr>
        <w:rPr>
          <w:color w:val="000000" w:themeColor="text1"/>
          <w:highlight w:val="yellow"/>
        </w:rPr>
      </w:pPr>
      <w:r>
        <w:rPr>
          <w:szCs w:val="24"/>
        </w:rPr>
        <w:t>Savukārt, negatīvi v</w:t>
      </w:r>
      <w:r w:rsidRPr="00C92B2B">
        <w:rPr>
          <w:szCs w:val="24"/>
        </w:rPr>
        <w:t>ispārējās valdības bilanci ietekmējuši augstāki pašvaldību pamat</w:t>
      </w:r>
      <w:r>
        <w:rPr>
          <w:szCs w:val="24"/>
        </w:rPr>
        <w:t>funkciju</w:t>
      </w:r>
      <w:r w:rsidRPr="00C92B2B">
        <w:rPr>
          <w:szCs w:val="24"/>
        </w:rPr>
        <w:t xml:space="preserve"> izdevumi,</w:t>
      </w:r>
      <w:r>
        <w:rPr>
          <w:szCs w:val="24"/>
        </w:rPr>
        <w:t xml:space="preserve"> ņemot vērā faktisko izpildi šā gada 6 mēnešos,</w:t>
      </w:r>
      <w:r w:rsidRPr="00C92B2B">
        <w:rPr>
          <w:szCs w:val="24"/>
        </w:rPr>
        <w:t xml:space="preserve"> </w:t>
      </w:r>
      <w:r>
        <w:rPr>
          <w:szCs w:val="24"/>
        </w:rPr>
        <w:t xml:space="preserve">lielāki </w:t>
      </w:r>
      <w:r w:rsidRPr="00C92B2B">
        <w:rPr>
          <w:szCs w:val="24"/>
        </w:rPr>
        <w:t xml:space="preserve">izdevumi </w:t>
      </w:r>
      <w:r>
        <w:rPr>
          <w:szCs w:val="24"/>
        </w:rPr>
        <w:t xml:space="preserve">ārvalstu finanšu palīdzības (ĀFP) </w:t>
      </w:r>
      <w:r w:rsidR="00C75EFD">
        <w:rPr>
          <w:szCs w:val="24"/>
        </w:rPr>
        <w:t xml:space="preserve">projektu </w:t>
      </w:r>
      <w:r w:rsidRPr="00C92B2B">
        <w:rPr>
          <w:szCs w:val="24"/>
        </w:rPr>
        <w:t>nacionālajam līdzfinansējumam</w:t>
      </w:r>
      <w:r>
        <w:rPr>
          <w:szCs w:val="24"/>
        </w:rPr>
        <w:t xml:space="preserve">, pamatā pieaugot kopējiem izdevumiem ĀFP projektu īstenošanai, it īpaši jaunajam ES fondu plānošanas periodam, kā arī procentu izdevumi un </w:t>
      </w:r>
      <w:r w:rsidR="007D2774">
        <w:rPr>
          <w:szCs w:val="24"/>
        </w:rPr>
        <w:t>pieklasificēto komersantu bilances izmaiņas.</w:t>
      </w:r>
    </w:p>
    <w:p w14:paraId="29FED04E" w14:textId="67338AA1" w:rsidR="00D8549C" w:rsidRDefault="00D8549C" w:rsidP="006426B3">
      <w:pPr>
        <w:jc w:val="center"/>
        <w:rPr>
          <w:b/>
          <w:color w:val="000000" w:themeColor="text1"/>
          <w:highlight w:val="yellow"/>
        </w:rPr>
      </w:pPr>
      <w:r w:rsidRPr="00D8549C">
        <w:rPr>
          <w:noProof/>
        </w:rPr>
        <w:drawing>
          <wp:inline distT="0" distB="0" distL="0" distR="0" wp14:anchorId="1FD3F8F8" wp14:editId="1F7CAE28">
            <wp:extent cx="5130800" cy="3803650"/>
            <wp:effectExtent l="0" t="0" r="0" b="6350"/>
            <wp:docPr id="753717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1652"/>
                    <a:stretch/>
                  </pic:blipFill>
                  <pic:spPr bwMode="auto">
                    <a:xfrm>
                      <a:off x="0" y="0"/>
                      <a:ext cx="5130800" cy="3803650"/>
                    </a:xfrm>
                    <a:prstGeom prst="rect">
                      <a:avLst/>
                    </a:prstGeom>
                    <a:noFill/>
                    <a:ln>
                      <a:noFill/>
                    </a:ln>
                    <a:extLst>
                      <a:ext uri="{53640926-AAD7-44D8-BBD7-CCE9431645EC}">
                        <a14:shadowObscured xmlns:a14="http://schemas.microsoft.com/office/drawing/2010/main"/>
                      </a:ext>
                    </a:extLst>
                  </pic:spPr>
                </pic:pic>
              </a:graphicData>
            </a:graphic>
          </wp:inline>
        </w:drawing>
      </w:r>
    </w:p>
    <w:p w14:paraId="15696811" w14:textId="1DECB286" w:rsidR="007D2774" w:rsidRPr="00A34448" w:rsidRDefault="00D653F5" w:rsidP="00A34448">
      <w:pPr>
        <w:jc w:val="center"/>
        <w:rPr>
          <w:rFonts w:eastAsia="Calibri"/>
          <w:b/>
          <w:i/>
          <w:noProof/>
        </w:rPr>
      </w:pPr>
      <w:r>
        <w:rPr>
          <w:rFonts w:eastAsia="Calibri"/>
          <w:b/>
          <w:iCs/>
          <w:noProof/>
        </w:rPr>
        <w:t>3</w:t>
      </w:r>
      <w:r w:rsidR="006426B3" w:rsidRPr="00D8549C">
        <w:rPr>
          <w:rFonts w:eastAsia="Calibri"/>
          <w:b/>
          <w:iCs/>
          <w:noProof/>
        </w:rPr>
        <w:t>. attēls. Vispārējās valdības budžeta bilances</w:t>
      </w:r>
      <w:r w:rsidR="00D8549C">
        <w:rPr>
          <w:rFonts w:eastAsia="Calibri"/>
          <w:b/>
          <w:iCs/>
          <w:noProof/>
        </w:rPr>
        <w:t xml:space="preserve"> (pie nema</w:t>
      </w:r>
      <w:r w:rsidR="009E57D7">
        <w:rPr>
          <w:rFonts w:eastAsia="Calibri"/>
          <w:b/>
          <w:iCs/>
          <w:noProof/>
        </w:rPr>
        <w:t>i</w:t>
      </w:r>
      <w:r w:rsidR="00D8549C">
        <w:rPr>
          <w:rFonts w:eastAsia="Calibri"/>
          <w:b/>
          <w:iCs/>
          <w:noProof/>
        </w:rPr>
        <w:t>nīgas politikas)</w:t>
      </w:r>
      <w:r w:rsidR="006426B3" w:rsidRPr="00D8549C">
        <w:rPr>
          <w:rFonts w:eastAsia="Calibri"/>
          <w:b/>
          <w:iCs/>
          <w:noProof/>
        </w:rPr>
        <w:t xml:space="preserve"> izmaiņas salīdzinājumā ar</w:t>
      </w:r>
      <w:r w:rsidR="00D8549C">
        <w:rPr>
          <w:rFonts w:eastAsia="Calibri"/>
          <w:b/>
          <w:iCs/>
          <w:noProof/>
        </w:rPr>
        <w:t xml:space="preserve"> Stabilitātes programmu 2023.-2026.gadam</w:t>
      </w:r>
      <w:r w:rsidR="006426B3" w:rsidRPr="00D8549C">
        <w:rPr>
          <w:rFonts w:eastAsia="Calibri"/>
          <w:b/>
          <w:iCs/>
          <w:noProof/>
        </w:rPr>
        <w:t xml:space="preserve">, milj. </w:t>
      </w:r>
      <w:r w:rsidR="006426B3" w:rsidRPr="00D8549C">
        <w:rPr>
          <w:rFonts w:eastAsia="Calibri"/>
          <w:b/>
          <w:i/>
          <w:noProof/>
        </w:rPr>
        <w:t>eur</w:t>
      </w:r>
      <w:r w:rsidR="004161BA">
        <w:rPr>
          <w:rFonts w:eastAsia="Calibri"/>
          <w:b/>
          <w:i/>
          <w:noProof/>
        </w:rPr>
        <w:t>o</w:t>
      </w:r>
    </w:p>
    <w:p w14:paraId="67854981" w14:textId="0D5A63F6" w:rsidR="0027377E" w:rsidRPr="00CC1DE8" w:rsidRDefault="00393292" w:rsidP="00D76DDA">
      <w:pPr>
        <w:ind w:left="720" w:hanging="720"/>
        <w:jc w:val="center"/>
        <w:rPr>
          <w:rFonts w:eastAsia="Calibri" w:cs="Times New Roman"/>
          <w:b/>
          <w:noProof/>
          <w:szCs w:val="24"/>
        </w:rPr>
      </w:pPr>
      <w:r w:rsidRPr="00393292">
        <w:rPr>
          <w:rFonts w:eastAsia="Calibri" w:cs="Times New Roman"/>
          <w:b/>
          <w:noProof/>
          <w:szCs w:val="24"/>
        </w:rPr>
        <w:lastRenderedPageBreak/>
        <w:t>4</w:t>
      </w:r>
      <w:r w:rsidR="0027377E" w:rsidRPr="00393292">
        <w:rPr>
          <w:rFonts w:eastAsia="Calibri" w:cs="Times New Roman"/>
          <w:b/>
          <w:noProof/>
          <w:szCs w:val="24"/>
        </w:rPr>
        <w:t>.</w:t>
      </w:r>
      <w:r w:rsidR="00C417A7" w:rsidRPr="00393292">
        <w:rPr>
          <w:rFonts w:eastAsia="Calibri" w:cs="Times New Roman"/>
          <w:b/>
          <w:noProof/>
          <w:szCs w:val="24"/>
        </w:rPr>
        <w:t> </w:t>
      </w:r>
      <w:r w:rsidR="0027377E" w:rsidRPr="00393292">
        <w:rPr>
          <w:rFonts w:eastAsia="Calibri" w:cs="Times New Roman"/>
          <w:b/>
          <w:noProof/>
          <w:szCs w:val="24"/>
        </w:rPr>
        <w:t>tabula.</w:t>
      </w:r>
      <w:r w:rsidR="0027377E" w:rsidRPr="00393292">
        <w:rPr>
          <w:rFonts w:eastAsia="Calibri" w:cs="Times New Roman"/>
          <w:b/>
          <w:szCs w:val="24"/>
        </w:rPr>
        <w:t xml:space="preserve"> Vispārējās</w:t>
      </w:r>
      <w:r w:rsidR="0027377E" w:rsidRPr="00B90EA4">
        <w:rPr>
          <w:rFonts w:eastAsia="Calibri" w:cs="Times New Roman"/>
          <w:b/>
          <w:szCs w:val="24"/>
        </w:rPr>
        <w:t xml:space="preserve"> valdības budžeta bilance pa budžeta līmeņiem,</w:t>
      </w:r>
      <w:r w:rsidR="007D2774">
        <w:rPr>
          <w:rFonts w:eastAsia="Calibri" w:cs="Times New Roman"/>
          <w:b/>
          <w:noProof/>
          <w:szCs w:val="24"/>
        </w:rPr>
        <w:br/>
      </w:r>
      <w:r w:rsidR="001B4BB8" w:rsidRPr="00CC1DE8">
        <w:rPr>
          <w:rFonts w:eastAsia="Calibri" w:cs="Times New Roman"/>
          <w:b/>
          <w:noProof/>
          <w:szCs w:val="24"/>
        </w:rPr>
        <w:t xml:space="preserve">milj. </w:t>
      </w:r>
      <w:r w:rsidR="001B4BB8" w:rsidRPr="00CC1DE8">
        <w:rPr>
          <w:rFonts w:eastAsia="Calibri" w:cs="Times New Roman"/>
          <w:b/>
          <w:i/>
          <w:noProof/>
          <w:szCs w:val="24"/>
        </w:rPr>
        <w:t>euro</w:t>
      </w:r>
      <w:r w:rsidR="001B4BB8" w:rsidRPr="00CC1DE8">
        <w:rPr>
          <w:rFonts w:eastAsia="Calibri" w:cs="Times New Roman"/>
          <w:b/>
          <w:szCs w:val="24"/>
        </w:rPr>
        <w:t xml:space="preserve"> un </w:t>
      </w:r>
      <w:r w:rsidR="0027377E" w:rsidRPr="00CC1DE8">
        <w:rPr>
          <w:rFonts w:eastAsia="Calibri" w:cs="Times New Roman"/>
          <w:b/>
          <w:szCs w:val="24"/>
        </w:rPr>
        <w:t>% no IKP</w:t>
      </w:r>
    </w:p>
    <w:tbl>
      <w:tblPr>
        <w:tblStyle w:val="TableGrid1"/>
        <w:tblW w:w="5095" w:type="pct"/>
        <w:jc w:val="center"/>
        <w:tblLayout w:type="fixed"/>
        <w:tblLook w:val="04A0" w:firstRow="1" w:lastRow="0" w:firstColumn="1" w:lastColumn="0" w:noHBand="0" w:noVBand="1"/>
      </w:tblPr>
      <w:tblGrid>
        <w:gridCol w:w="3167"/>
        <w:gridCol w:w="860"/>
        <w:gridCol w:w="860"/>
        <w:gridCol w:w="860"/>
        <w:gridCol w:w="18"/>
        <w:gridCol w:w="869"/>
        <w:gridCol w:w="860"/>
        <w:gridCol w:w="860"/>
        <w:gridCol w:w="879"/>
      </w:tblGrid>
      <w:tr w:rsidR="0027377E" w:rsidRPr="00CC1DE8" w14:paraId="3C086645" w14:textId="77777777" w:rsidTr="00D76DDA">
        <w:trPr>
          <w:trHeight w:val="19"/>
          <w:tblHeader/>
          <w:jc w:val="center"/>
        </w:trPr>
        <w:tc>
          <w:tcPr>
            <w:tcW w:w="3168" w:type="dxa"/>
            <w:tcBorders>
              <w:bottom w:val="nil"/>
            </w:tcBorders>
            <w:noWrap/>
            <w:hideMark/>
          </w:tcPr>
          <w:p w14:paraId="7F61C754" w14:textId="77777777" w:rsidR="0027377E" w:rsidRPr="00CC1DE8" w:rsidRDefault="0027377E" w:rsidP="00907163">
            <w:pPr>
              <w:spacing w:before="0" w:after="0"/>
              <w:ind w:firstLine="0"/>
              <w:contextualSpacing/>
              <w:jc w:val="left"/>
              <w:rPr>
                <w:rFonts w:eastAsia="Times New Roman"/>
                <w:color w:val="000000"/>
                <w:sz w:val="18"/>
                <w:szCs w:val="18"/>
              </w:rPr>
            </w:pPr>
            <w:r w:rsidRPr="00CC1DE8">
              <w:rPr>
                <w:rFonts w:eastAsia="Times New Roman"/>
                <w:color w:val="000000"/>
                <w:sz w:val="18"/>
                <w:szCs w:val="18"/>
              </w:rPr>
              <w:t> </w:t>
            </w:r>
          </w:p>
        </w:tc>
        <w:tc>
          <w:tcPr>
            <w:tcW w:w="860" w:type="dxa"/>
            <w:noWrap/>
            <w:hideMark/>
          </w:tcPr>
          <w:p w14:paraId="6528F02D" w14:textId="58D2D873" w:rsidR="0027377E" w:rsidRPr="00CC1DE8" w:rsidRDefault="004D720F" w:rsidP="00907163">
            <w:pPr>
              <w:spacing w:before="0" w:after="0"/>
              <w:ind w:firstLine="0"/>
              <w:contextualSpacing/>
              <w:jc w:val="center"/>
              <w:rPr>
                <w:rFonts w:eastAsia="Times New Roman"/>
                <w:b/>
                <w:bCs/>
                <w:sz w:val="18"/>
                <w:szCs w:val="18"/>
              </w:rPr>
            </w:pPr>
            <w:r w:rsidRPr="00CC1DE8">
              <w:rPr>
                <w:rFonts w:eastAsia="Times New Roman"/>
                <w:b/>
                <w:bCs/>
                <w:sz w:val="18"/>
                <w:szCs w:val="18"/>
              </w:rPr>
              <w:t>2020</w:t>
            </w:r>
          </w:p>
        </w:tc>
        <w:tc>
          <w:tcPr>
            <w:tcW w:w="860" w:type="dxa"/>
            <w:noWrap/>
            <w:hideMark/>
          </w:tcPr>
          <w:p w14:paraId="6E92E88E" w14:textId="125EED36" w:rsidR="0027377E" w:rsidRPr="00CC1DE8" w:rsidRDefault="0027377E" w:rsidP="00907163">
            <w:pPr>
              <w:spacing w:before="0" w:after="0"/>
              <w:ind w:firstLine="0"/>
              <w:contextualSpacing/>
              <w:jc w:val="center"/>
              <w:rPr>
                <w:rFonts w:eastAsia="Times New Roman"/>
                <w:b/>
                <w:bCs/>
                <w:sz w:val="18"/>
                <w:szCs w:val="18"/>
              </w:rPr>
            </w:pPr>
            <w:r w:rsidRPr="00CC1DE8">
              <w:rPr>
                <w:rFonts w:eastAsia="Times New Roman"/>
                <w:b/>
                <w:bCs/>
                <w:sz w:val="18"/>
                <w:szCs w:val="18"/>
              </w:rPr>
              <w:t>202</w:t>
            </w:r>
            <w:r w:rsidR="00D16868" w:rsidRPr="00CC1DE8">
              <w:rPr>
                <w:rFonts w:eastAsia="Times New Roman"/>
                <w:b/>
                <w:bCs/>
                <w:sz w:val="18"/>
                <w:szCs w:val="18"/>
              </w:rPr>
              <w:t>1</w:t>
            </w:r>
          </w:p>
        </w:tc>
        <w:tc>
          <w:tcPr>
            <w:tcW w:w="860" w:type="dxa"/>
            <w:noWrap/>
            <w:hideMark/>
          </w:tcPr>
          <w:p w14:paraId="14F0733E" w14:textId="5DA88E39" w:rsidR="0027377E" w:rsidRPr="00CC1DE8" w:rsidRDefault="0027377E" w:rsidP="00907163">
            <w:pPr>
              <w:spacing w:before="0" w:after="0"/>
              <w:ind w:firstLine="0"/>
              <w:contextualSpacing/>
              <w:jc w:val="center"/>
              <w:rPr>
                <w:rFonts w:eastAsia="Times New Roman"/>
                <w:b/>
                <w:bCs/>
                <w:sz w:val="18"/>
                <w:szCs w:val="18"/>
              </w:rPr>
            </w:pPr>
            <w:r w:rsidRPr="00CC1DE8">
              <w:rPr>
                <w:rFonts w:eastAsia="Times New Roman"/>
                <w:b/>
                <w:bCs/>
                <w:sz w:val="18"/>
                <w:szCs w:val="18"/>
              </w:rPr>
              <w:t>202</w:t>
            </w:r>
            <w:r w:rsidR="00D16868" w:rsidRPr="00CC1DE8">
              <w:rPr>
                <w:rFonts w:eastAsia="Times New Roman"/>
                <w:b/>
                <w:bCs/>
                <w:sz w:val="18"/>
                <w:szCs w:val="18"/>
              </w:rPr>
              <w:t>2</w:t>
            </w:r>
          </w:p>
        </w:tc>
        <w:tc>
          <w:tcPr>
            <w:tcW w:w="886" w:type="dxa"/>
            <w:gridSpan w:val="2"/>
            <w:noWrap/>
            <w:hideMark/>
          </w:tcPr>
          <w:p w14:paraId="6781DB7A" w14:textId="30F8B80D" w:rsidR="0027377E" w:rsidRPr="00CC1DE8" w:rsidRDefault="0027377E" w:rsidP="00907163">
            <w:pPr>
              <w:spacing w:before="0" w:after="0"/>
              <w:ind w:firstLine="0"/>
              <w:contextualSpacing/>
              <w:jc w:val="center"/>
              <w:rPr>
                <w:rFonts w:eastAsia="Times New Roman"/>
                <w:b/>
                <w:bCs/>
                <w:sz w:val="18"/>
                <w:szCs w:val="18"/>
              </w:rPr>
            </w:pPr>
            <w:r w:rsidRPr="00CC1DE8">
              <w:rPr>
                <w:rFonts w:eastAsia="Times New Roman"/>
                <w:b/>
                <w:bCs/>
                <w:sz w:val="18"/>
                <w:szCs w:val="18"/>
              </w:rPr>
              <w:t>202</w:t>
            </w:r>
            <w:r w:rsidR="00D16868" w:rsidRPr="00CC1DE8">
              <w:rPr>
                <w:rFonts w:eastAsia="Times New Roman"/>
                <w:b/>
                <w:bCs/>
                <w:sz w:val="18"/>
                <w:szCs w:val="18"/>
              </w:rPr>
              <w:t>3</w:t>
            </w:r>
          </w:p>
        </w:tc>
        <w:tc>
          <w:tcPr>
            <w:tcW w:w="860" w:type="dxa"/>
            <w:noWrap/>
            <w:hideMark/>
          </w:tcPr>
          <w:p w14:paraId="7BCDBBDF" w14:textId="7DC57027" w:rsidR="0027377E" w:rsidRPr="00CC1DE8" w:rsidRDefault="0027377E" w:rsidP="00907163">
            <w:pPr>
              <w:spacing w:before="0" w:after="0"/>
              <w:ind w:firstLine="0"/>
              <w:contextualSpacing/>
              <w:jc w:val="center"/>
              <w:rPr>
                <w:rFonts w:eastAsia="Times New Roman"/>
                <w:b/>
                <w:bCs/>
                <w:sz w:val="18"/>
                <w:szCs w:val="18"/>
              </w:rPr>
            </w:pPr>
            <w:r w:rsidRPr="00CC1DE8">
              <w:rPr>
                <w:rFonts w:eastAsia="Times New Roman"/>
                <w:b/>
                <w:bCs/>
                <w:sz w:val="18"/>
                <w:szCs w:val="18"/>
              </w:rPr>
              <w:t>202</w:t>
            </w:r>
            <w:r w:rsidR="00D16868" w:rsidRPr="00CC1DE8">
              <w:rPr>
                <w:rFonts w:eastAsia="Times New Roman"/>
                <w:b/>
                <w:bCs/>
                <w:sz w:val="18"/>
                <w:szCs w:val="18"/>
              </w:rPr>
              <w:t>4</w:t>
            </w:r>
          </w:p>
        </w:tc>
        <w:tc>
          <w:tcPr>
            <w:tcW w:w="860" w:type="dxa"/>
            <w:noWrap/>
            <w:hideMark/>
          </w:tcPr>
          <w:p w14:paraId="1EAD5113" w14:textId="4FB5C1E6" w:rsidR="0027377E" w:rsidRPr="00CC1DE8" w:rsidRDefault="0027377E" w:rsidP="00907163">
            <w:pPr>
              <w:spacing w:before="0" w:after="0"/>
              <w:ind w:firstLine="0"/>
              <w:contextualSpacing/>
              <w:jc w:val="center"/>
              <w:rPr>
                <w:rFonts w:eastAsia="Times New Roman"/>
                <w:b/>
                <w:bCs/>
                <w:sz w:val="18"/>
                <w:szCs w:val="18"/>
              </w:rPr>
            </w:pPr>
            <w:r w:rsidRPr="00CC1DE8">
              <w:rPr>
                <w:rFonts w:eastAsia="Times New Roman"/>
                <w:b/>
                <w:bCs/>
                <w:sz w:val="18"/>
                <w:szCs w:val="18"/>
              </w:rPr>
              <w:t>202</w:t>
            </w:r>
            <w:r w:rsidR="00D16868" w:rsidRPr="00CC1DE8">
              <w:rPr>
                <w:rFonts w:eastAsia="Times New Roman"/>
                <w:b/>
                <w:bCs/>
                <w:sz w:val="18"/>
                <w:szCs w:val="18"/>
              </w:rPr>
              <w:t>5</w:t>
            </w:r>
          </w:p>
        </w:tc>
        <w:tc>
          <w:tcPr>
            <w:tcW w:w="878" w:type="dxa"/>
            <w:noWrap/>
            <w:hideMark/>
          </w:tcPr>
          <w:p w14:paraId="7A0C1180" w14:textId="44955519" w:rsidR="0027377E" w:rsidRPr="00CC1DE8" w:rsidRDefault="0027377E" w:rsidP="00907163">
            <w:pPr>
              <w:spacing w:before="0" w:after="0"/>
              <w:ind w:firstLine="0"/>
              <w:contextualSpacing/>
              <w:jc w:val="center"/>
              <w:rPr>
                <w:rFonts w:eastAsia="Times New Roman"/>
                <w:b/>
                <w:bCs/>
                <w:sz w:val="18"/>
                <w:szCs w:val="18"/>
              </w:rPr>
            </w:pPr>
            <w:r w:rsidRPr="00CC1DE8">
              <w:rPr>
                <w:rFonts w:eastAsia="Times New Roman"/>
                <w:b/>
                <w:bCs/>
                <w:sz w:val="18"/>
                <w:szCs w:val="18"/>
              </w:rPr>
              <w:t>202</w:t>
            </w:r>
            <w:r w:rsidR="00D16868" w:rsidRPr="00CC1DE8">
              <w:rPr>
                <w:rFonts w:eastAsia="Times New Roman"/>
                <w:b/>
                <w:bCs/>
                <w:sz w:val="18"/>
                <w:szCs w:val="18"/>
              </w:rPr>
              <w:t>6</w:t>
            </w:r>
          </w:p>
        </w:tc>
      </w:tr>
      <w:tr w:rsidR="0027377E" w:rsidRPr="00D16868" w14:paraId="7D1BE473" w14:textId="77777777" w:rsidTr="00D76DDA">
        <w:trPr>
          <w:trHeight w:val="19"/>
          <w:tblHeader/>
          <w:jc w:val="center"/>
        </w:trPr>
        <w:tc>
          <w:tcPr>
            <w:tcW w:w="3168" w:type="dxa"/>
            <w:tcBorders>
              <w:top w:val="nil"/>
            </w:tcBorders>
            <w:noWrap/>
            <w:hideMark/>
          </w:tcPr>
          <w:p w14:paraId="294827D4" w14:textId="77777777" w:rsidR="0027377E" w:rsidRPr="00CC1DE8" w:rsidRDefault="0027377E" w:rsidP="00907163">
            <w:pPr>
              <w:spacing w:before="0" w:after="0"/>
              <w:ind w:firstLine="0"/>
              <w:contextualSpacing/>
              <w:jc w:val="left"/>
              <w:rPr>
                <w:rFonts w:eastAsia="Times New Roman"/>
                <w:b/>
                <w:bCs/>
                <w:color w:val="000000"/>
                <w:sz w:val="18"/>
                <w:szCs w:val="18"/>
              </w:rPr>
            </w:pPr>
            <w:r w:rsidRPr="00CC1DE8">
              <w:rPr>
                <w:rFonts w:eastAsia="Times New Roman"/>
                <w:b/>
                <w:bCs/>
                <w:color w:val="000000"/>
                <w:sz w:val="18"/>
                <w:szCs w:val="18"/>
              </w:rPr>
              <w:t> </w:t>
            </w:r>
          </w:p>
        </w:tc>
        <w:tc>
          <w:tcPr>
            <w:tcW w:w="2598" w:type="dxa"/>
            <w:gridSpan w:val="4"/>
            <w:hideMark/>
          </w:tcPr>
          <w:p w14:paraId="502CC3C9" w14:textId="77777777" w:rsidR="0027377E" w:rsidRPr="00CC1DE8" w:rsidRDefault="0027377E" w:rsidP="00907163">
            <w:pPr>
              <w:spacing w:before="0" w:after="0"/>
              <w:ind w:firstLine="0"/>
              <w:contextualSpacing/>
              <w:jc w:val="center"/>
              <w:rPr>
                <w:rFonts w:eastAsia="Times New Roman"/>
                <w:sz w:val="18"/>
                <w:szCs w:val="18"/>
              </w:rPr>
            </w:pPr>
            <w:r w:rsidRPr="00CC1DE8">
              <w:rPr>
                <w:rFonts w:eastAsia="Times New Roman"/>
                <w:sz w:val="18"/>
                <w:szCs w:val="18"/>
              </w:rPr>
              <w:t>Fakts</w:t>
            </w:r>
          </w:p>
        </w:tc>
        <w:tc>
          <w:tcPr>
            <w:tcW w:w="869" w:type="dxa"/>
            <w:hideMark/>
          </w:tcPr>
          <w:p w14:paraId="605FD2B4" w14:textId="77777777" w:rsidR="0027377E" w:rsidRPr="00CC1DE8" w:rsidRDefault="0027377E" w:rsidP="00907163">
            <w:pPr>
              <w:spacing w:before="0" w:after="0"/>
              <w:ind w:firstLine="0"/>
              <w:contextualSpacing/>
              <w:jc w:val="center"/>
              <w:rPr>
                <w:rFonts w:eastAsia="Times New Roman"/>
                <w:sz w:val="18"/>
                <w:szCs w:val="18"/>
              </w:rPr>
            </w:pPr>
            <w:r w:rsidRPr="00CC1DE8">
              <w:rPr>
                <w:rFonts w:eastAsia="Times New Roman"/>
                <w:sz w:val="18"/>
                <w:szCs w:val="18"/>
              </w:rPr>
              <w:t>Novērt.</w:t>
            </w:r>
          </w:p>
        </w:tc>
        <w:tc>
          <w:tcPr>
            <w:tcW w:w="2599" w:type="dxa"/>
            <w:gridSpan w:val="3"/>
            <w:hideMark/>
          </w:tcPr>
          <w:p w14:paraId="572337AE" w14:textId="77777777" w:rsidR="0027377E" w:rsidRPr="00D16868" w:rsidRDefault="0027377E" w:rsidP="00907163">
            <w:pPr>
              <w:spacing w:before="0" w:after="0"/>
              <w:ind w:firstLine="0"/>
              <w:contextualSpacing/>
              <w:jc w:val="center"/>
              <w:rPr>
                <w:rFonts w:eastAsia="Times New Roman"/>
                <w:sz w:val="18"/>
                <w:szCs w:val="18"/>
              </w:rPr>
            </w:pPr>
            <w:r w:rsidRPr="00CC1DE8">
              <w:rPr>
                <w:rFonts w:eastAsia="Times New Roman"/>
                <w:sz w:val="18"/>
                <w:szCs w:val="18"/>
              </w:rPr>
              <w:t>Prognoze</w:t>
            </w:r>
          </w:p>
        </w:tc>
      </w:tr>
      <w:tr w:rsidR="00075306" w:rsidRPr="00D16868" w14:paraId="1AC41DCB" w14:textId="77777777" w:rsidTr="00D76DDA">
        <w:trPr>
          <w:trHeight w:val="103"/>
          <w:tblHeader/>
          <w:jc w:val="center"/>
        </w:trPr>
        <w:tc>
          <w:tcPr>
            <w:tcW w:w="3168" w:type="dxa"/>
            <w:shd w:val="clear" w:color="auto" w:fill="5B9BD5" w:themeFill="accent1"/>
            <w:noWrap/>
            <w:hideMark/>
          </w:tcPr>
          <w:p w14:paraId="3218129A" w14:textId="77777777" w:rsidR="00D16868" w:rsidRPr="00D16868" w:rsidRDefault="00D16868" w:rsidP="00D16868">
            <w:pPr>
              <w:spacing w:before="0" w:after="0"/>
              <w:ind w:firstLine="0"/>
              <w:contextualSpacing/>
              <w:jc w:val="left"/>
              <w:rPr>
                <w:rFonts w:eastAsia="Times New Roman"/>
                <w:b/>
                <w:bCs/>
                <w:sz w:val="18"/>
                <w:szCs w:val="18"/>
              </w:rPr>
            </w:pPr>
            <w:r w:rsidRPr="00D16868">
              <w:rPr>
                <w:rFonts w:eastAsia="Times New Roman"/>
                <w:b/>
                <w:bCs/>
                <w:sz w:val="18"/>
                <w:szCs w:val="18"/>
              </w:rPr>
              <w:t>Vispārējās valdības budžeta bilance, % no IKP</w:t>
            </w:r>
          </w:p>
        </w:tc>
        <w:tc>
          <w:tcPr>
            <w:tcW w:w="860" w:type="dxa"/>
            <w:shd w:val="clear" w:color="auto" w:fill="5B9BD5" w:themeFill="accent1"/>
            <w:noWrap/>
            <w:vAlign w:val="center"/>
            <w:hideMark/>
          </w:tcPr>
          <w:p w14:paraId="608E7D7A" w14:textId="599AD0E9" w:rsidR="00D16868" w:rsidRPr="00D76DDA" w:rsidRDefault="00D16868" w:rsidP="00D76DDA">
            <w:pPr>
              <w:spacing w:before="0" w:after="0"/>
              <w:ind w:firstLine="0"/>
              <w:contextualSpacing/>
              <w:jc w:val="center"/>
              <w:rPr>
                <w:rFonts w:eastAsia="Times New Roman"/>
                <w:b/>
                <w:bCs/>
                <w:sz w:val="18"/>
                <w:szCs w:val="18"/>
                <w:highlight w:val="yellow"/>
              </w:rPr>
            </w:pPr>
            <w:r w:rsidRPr="00D76DDA">
              <w:rPr>
                <w:b/>
                <w:bCs/>
                <w:sz w:val="18"/>
                <w:szCs w:val="18"/>
              </w:rPr>
              <w:t>-4,4</w:t>
            </w:r>
          </w:p>
        </w:tc>
        <w:tc>
          <w:tcPr>
            <w:tcW w:w="860" w:type="dxa"/>
            <w:shd w:val="clear" w:color="auto" w:fill="5B9BD5" w:themeFill="accent1"/>
            <w:noWrap/>
            <w:vAlign w:val="center"/>
          </w:tcPr>
          <w:p w14:paraId="5570A1DD" w14:textId="234D62F2" w:rsidR="00D16868" w:rsidRPr="00D76DDA" w:rsidRDefault="00D16868" w:rsidP="00D76DDA">
            <w:pPr>
              <w:spacing w:before="0" w:after="0"/>
              <w:ind w:firstLine="0"/>
              <w:contextualSpacing/>
              <w:jc w:val="center"/>
              <w:rPr>
                <w:rFonts w:eastAsia="Times New Roman"/>
                <w:b/>
                <w:bCs/>
                <w:sz w:val="18"/>
                <w:szCs w:val="18"/>
                <w:highlight w:val="yellow"/>
              </w:rPr>
            </w:pPr>
            <w:r w:rsidRPr="00D76DDA">
              <w:rPr>
                <w:b/>
                <w:bCs/>
                <w:sz w:val="18"/>
                <w:szCs w:val="18"/>
              </w:rPr>
              <w:t>-7,1</w:t>
            </w:r>
          </w:p>
        </w:tc>
        <w:tc>
          <w:tcPr>
            <w:tcW w:w="860" w:type="dxa"/>
            <w:shd w:val="clear" w:color="auto" w:fill="5B9BD5" w:themeFill="accent1"/>
            <w:noWrap/>
            <w:vAlign w:val="center"/>
          </w:tcPr>
          <w:p w14:paraId="5CFE6E61" w14:textId="6AD9B1C2" w:rsidR="00D16868" w:rsidRPr="00D76DDA" w:rsidRDefault="00D16868" w:rsidP="00D76DDA">
            <w:pPr>
              <w:spacing w:before="0" w:after="0"/>
              <w:ind w:firstLine="0"/>
              <w:contextualSpacing/>
              <w:jc w:val="center"/>
              <w:rPr>
                <w:b/>
                <w:bCs/>
                <w:sz w:val="18"/>
                <w:szCs w:val="18"/>
              </w:rPr>
            </w:pPr>
            <w:r w:rsidRPr="00D76DDA">
              <w:rPr>
                <w:b/>
                <w:bCs/>
                <w:sz w:val="18"/>
                <w:szCs w:val="18"/>
              </w:rPr>
              <w:t>-4,4</w:t>
            </w:r>
          </w:p>
        </w:tc>
        <w:tc>
          <w:tcPr>
            <w:tcW w:w="886" w:type="dxa"/>
            <w:gridSpan w:val="2"/>
            <w:shd w:val="clear" w:color="auto" w:fill="5B9BD5" w:themeFill="accent1"/>
            <w:noWrap/>
            <w:vAlign w:val="center"/>
          </w:tcPr>
          <w:p w14:paraId="27DD69F0" w14:textId="3C854322" w:rsidR="00D16868" w:rsidRPr="00D76DDA" w:rsidRDefault="00D16868" w:rsidP="00D76DDA">
            <w:pPr>
              <w:spacing w:before="0" w:after="0"/>
              <w:ind w:firstLine="0"/>
              <w:contextualSpacing/>
              <w:jc w:val="center"/>
              <w:rPr>
                <w:b/>
                <w:bCs/>
                <w:sz w:val="18"/>
                <w:szCs w:val="18"/>
              </w:rPr>
            </w:pPr>
            <w:r w:rsidRPr="00D76DDA">
              <w:rPr>
                <w:b/>
                <w:bCs/>
                <w:sz w:val="18"/>
                <w:szCs w:val="18"/>
              </w:rPr>
              <w:t>-2,7</w:t>
            </w:r>
          </w:p>
        </w:tc>
        <w:tc>
          <w:tcPr>
            <w:tcW w:w="860" w:type="dxa"/>
            <w:shd w:val="clear" w:color="auto" w:fill="5B9BD5" w:themeFill="accent1"/>
            <w:noWrap/>
            <w:vAlign w:val="center"/>
          </w:tcPr>
          <w:p w14:paraId="7435E8D6" w14:textId="5F6D394E" w:rsidR="00D16868" w:rsidRPr="00D76DDA" w:rsidRDefault="00D16868" w:rsidP="00D76DDA">
            <w:pPr>
              <w:spacing w:before="0" w:after="0"/>
              <w:ind w:firstLine="0"/>
              <w:contextualSpacing/>
              <w:jc w:val="center"/>
              <w:rPr>
                <w:b/>
                <w:bCs/>
                <w:sz w:val="18"/>
                <w:szCs w:val="18"/>
              </w:rPr>
            </w:pPr>
            <w:r w:rsidRPr="00D76DDA">
              <w:rPr>
                <w:b/>
                <w:bCs/>
                <w:sz w:val="18"/>
                <w:szCs w:val="18"/>
              </w:rPr>
              <w:t>-2,2</w:t>
            </w:r>
          </w:p>
        </w:tc>
        <w:tc>
          <w:tcPr>
            <w:tcW w:w="860" w:type="dxa"/>
            <w:shd w:val="clear" w:color="auto" w:fill="5B9BD5" w:themeFill="accent1"/>
            <w:noWrap/>
            <w:vAlign w:val="center"/>
          </w:tcPr>
          <w:p w14:paraId="533252FA" w14:textId="7C3C49E3" w:rsidR="00D16868" w:rsidRPr="00D76DDA" w:rsidRDefault="00D16868" w:rsidP="00D76DDA">
            <w:pPr>
              <w:spacing w:before="0" w:after="0"/>
              <w:ind w:firstLine="0"/>
              <w:contextualSpacing/>
              <w:jc w:val="center"/>
              <w:rPr>
                <w:b/>
                <w:bCs/>
                <w:sz w:val="18"/>
                <w:szCs w:val="18"/>
              </w:rPr>
            </w:pPr>
            <w:r w:rsidRPr="00D76DDA">
              <w:rPr>
                <w:b/>
                <w:bCs/>
                <w:sz w:val="18"/>
                <w:szCs w:val="18"/>
              </w:rPr>
              <w:t>-1,3</w:t>
            </w:r>
          </w:p>
        </w:tc>
        <w:tc>
          <w:tcPr>
            <w:tcW w:w="878" w:type="dxa"/>
            <w:shd w:val="clear" w:color="auto" w:fill="5B9BD5" w:themeFill="accent1"/>
            <w:noWrap/>
            <w:vAlign w:val="center"/>
          </w:tcPr>
          <w:p w14:paraId="4CA616C3" w14:textId="2FEB8087" w:rsidR="00D16868" w:rsidRPr="00D76DDA" w:rsidRDefault="00D16868" w:rsidP="00D76DDA">
            <w:pPr>
              <w:spacing w:before="0" w:after="0"/>
              <w:ind w:firstLine="0"/>
              <w:contextualSpacing/>
              <w:jc w:val="center"/>
              <w:rPr>
                <w:b/>
                <w:bCs/>
                <w:sz w:val="18"/>
                <w:szCs w:val="18"/>
              </w:rPr>
            </w:pPr>
            <w:r w:rsidRPr="00D76DDA">
              <w:rPr>
                <w:b/>
                <w:bCs/>
                <w:sz w:val="18"/>
                <w:szCs w:val="18"/>
              </w:rPr>
              <w:t>0,1</w:t>
            </w:r>
          </w:p>
        </w:tc>
      </w:tr>
      <w:tr w:rsidR="000E10A1" w:rsidRPr="00D16868" w14:paraId="24FC90D6" w14:textId="77777777" w:rsidTr="00D76DDA">
        <w:trPr>
          <w:trHeight w:val="65"/>
          <w:tblHeader/>
          <w:jc w:val="center"/>
        </w:trPr>
        <w:tc>
          <w:tcPr>
            <w:tcW w:w="3168" w:type="dxa"/>
            <w:shd w:val="clear" w:color="auto" w:fill="BDD6EE" w:themeFill="accent1" w:themeFillTint="66"/>
            <w:noWrap/>
            <w:hideMark/>
          </w:tcPr>
          <w:p w14:paraId="70B7BE40" w14:textId="77777777" w:rsidR="000E10A1" w:rsidRPr="00D16868" w:rsidRDefault="000E10A1" w:rsidP="000E10A1">
            <w:pPr>
              <w:spacing w:before="0" w:after="0"/>
              <w:ind w:firstLine="0"/>
              <w:contextualSpacing/>
              <w:jc w:val="left"/>
              <w:rPr>
                <w:rFonts w:eastAsia="Times New Roman"/>
                <w:b/>
                <w:bCs/>
                <w:sz w:val="18"/>
                <w:szCs w:val="18"/>
              </w:rPr>
            </w:pPr>
            <w:r w:rsidRPr="00D16868">
              <w:rPr>
                <w:rFonts w:eastAsia="Times New Roman"/>
                <w:b/>
                <w:bCs/>
                <w:sz w:val="18"/>
                <w:szCs w:val="18"/>
              </w:rPr>
              <w:t>Vispārējās valdības budžeta bilance</w:t>
            </w:r>
          </w:p>
        </w:tc>
        <w:tc>
          <w:tcPr>
            <w:tcW w:w="860" w:type="dxa"/>
            <w:shd w:val="clear" w:color="auto" w:fill="BDD6EE" w:themeFill="accent1" w:themeFillTint="66"/>
            <w:noWrap/>
            <w:vAlign w:val="center"/>
          </w:tcPr>
          <w:p w14:paraId="540A7E5B" w14:textId="469C9713"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-1 321,2</w:t>
            </w:r>
          </w:p>
        </w:tc>
        <w:tc>
          <w:tcPr>
            <w:tcW w:w="860" w:type="dxa"/>
            <w:shd w:val="clear" w:color="auto" w:fill="BDD6EE" w:themeFill="accent1" w:themeFillTint="66"/>
            <w:noWrap/>
            <w:vAlign w:val="center"/>
          </w:tcPr>
          <w:p w14:paraId="319E527C" w14:textId="7BA4ED73"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-2 397,6</w:t>
            </w:r>
          </w:p>
        </w:tc>
        <w:tc>
          <w:tcPr>
            <w:tcW w:w="860" w:type="dxa"/>
            <w:shd w:val="clear" w:color="auto" w:fill="BDD6EE" w:themeFill="accent1" w:themeFillTint="66"/>
            <w:noWrap/>
            <w:vAlign w:val="center"/>
          </w:tcPr>
          <w:p w14:paraId="21CF2854" w14:textId="199861A7" w:rsidR="000E10A1" w:rsidRPr="00D76DDA" w:rsidRDefault="000E10A1" w:rsidP="00D76DDA">
            <w:pPr>
              <w:spacing w:before="0" w:after="0"/>
              <w:ind w:firstLine="0"/>
              <w:contextualSpacing/>
              <w:jc w:val="center"/>
              <w:rPr>
                <w:b/>
                <w:bCs/>
                <w:sz w:val="18"/>
                <w:szCs w:val="18"/>
              </w:rPr>
            </w:pPr>
            <w:r w:rsidRPr="00D76DDA">
              <w:rPr>
                <w:sz w:val="18"/>
                <w:szCs w:val="18"/>
              </w:rPr>
              <w:t>-1 720,9</w:t>
            </w:r>
          </w:p>
        </w:tc>
        <w:tc>
          <w:tcPr>
            <w:tcW w:w="886" w:type="dxa"/>
            <w:gridSpan w:val="2"/>
            <w:shd w:val="clear" w:color="auto" w:fill="BDD6EE" w:themeFill="accent1" w:themeFillTint="66"/>
            <w:noWrap/>
            <w:vAlign w:val="center"/>
          </w:tcPr>
          <w:p w14:paraId="234AEAB8" w14:textId="08118A37" w:rsidR="000E10A1" w:rsidRPr="00D76DDA" w:rsidRDefault="000E10A1" w:rsidP="00D76DDA">
            <w:pPr>
              <w:spacing w:before="0" w:after="0"/>
              <w:ind w:firstLine="0"/>
              <w:contextualSpacing/>
              <w:jc w:val="center"/>
              <w:rPr>
                <w:b/>
                <w:bCs/>
                <w:sz w:val="18"/>
                <w:szCs w:val="18"/>
              </w:rPr>
            </w:pPr>
            <w:r w:rsidRPr="00D76DDA">
              <w:rPr>
                <w:sz w:val="18"/>
                <w:szCs w:val="18"/>
              </w:rPr>
              <w:t>-1 190,9</w:t>
            </w:r>
          </w:p>
        </w:tc>
        <w:tc>
          <w:tcPr>
            <w:tcW w:w="860" w:type="dxa"/>
            <w:shd w:val="clear" w:color="auto" w:fill="BDD6EE" w:themeFill="accent1" w:themeFillTint="66"/>
            <w:noWrap/>
            <w:vAlign w:val="center"/>
          </w:tcPr>
          <w:p w14:paraId="0C1B6445" w14:textId="4B487B33" w:rsidR="000E10A1" w:rsidRPr="00D76DDA" w:rsidRDefault="000E10A1" w:rsidP="00D76DDA">
            <w:pPr>
              <w:spacing w:before="0" w:after="0"/>
              <w:ind w:firstLine="0"/>
              <w:contextualSpacing/>
              <w:jc w:val="center"/>
              <w:rPr>
                <w:b/>
                <w:bCs/>
                <w:sz w:val="18"/>
                <w:szCs w:val="18"/>
              </w:rPr>
            </w:pPr>
            <w:r w:rsidRPr="00D76DDA">
              <w:rPr>
                <w:sz w:val="18"/>
                <w:szCs w:val="18"/>
              </w:rPr>
              <w:t>-1 016,2</w:t>
            </w:r>
          </w:p>
        </w:tc>
        <w:tc>
          <w:tcPr>
            <w:tcW w:w="860" w:type="dxa"/>
            <w:shd w:val="clear" w:color="auto" w:fill="BDD6EE" w:themeFill="accent1" w:themeFillTint="66"/>
            <w:noWrap/>
            <w:vAlign w:val="center"/>
          </w:tcPr>
          <w:p w14:paraId="11E2733A" w14:textId="5EE5BD22" w:rsidR="000E10A1" w:rsidRPr="00D76DDA" w:rsidRDefault="000E10A1" w:rsidP="00D76DDA">
            <w:pPr>
              <w:spacing w:before="0" w:after="0"/>
              <w:ind w:firstLine="0"/>
              <w:contextualSpacing/>
              <w:jc w:val="center"/>
              <w:rPr>
                <w:b/>
                <w:bCs/>
                <w:sz w:val="18"/>
                <w:szCs w:val="18"/>
              </w:rPr>
            </w:pPr>
            <w:r w:rsidRPr="00D76DDA">
              <w:rPr>
                <w:sz w:val="18"/>
                <w:szCs w:val="18"/>
              </w:rPr>
              <w:t>-640,2</w:t>
            </w:r>
          </w:p>
        </w:tc>
        <w:tc>
          <w:tcPr>
            <w:tcW w:w="878" w:type="dxa"/>
            <w:shd w:val="clear" w:color="auto" w:fill="BDD6EE" w:themeFill="accent1" w:themeFillTint="66"/>
            <w:noWrap/>
            <w:vAlign w:val="center"/>
          </w:tcPr>
          <w:p w14:paraId="376B287A" w14:textId="3D556E21" w:rsidR="000E10A1" w:rsidRPr="00D76DDA" w:rsidRDefault="000E10A1" w:rsidP="00D76DDA">
            <w:pPr>
              <w:spacing w:before="0" w:after="0"/>
              <w:ind w:firstLine="0"/>
              <w:contextualSpacing/>
              <w:jc w:val="center"/>
              <w:rPr>
                <w:b/>
                <w:bCs/>
                <w:sz w:val="18"/>
                <w:szCs w:val="18"/>
              </w:rPr>
            </w:pPr>
            <w:r w:rsidRPr="00D76DDA">
              <w:rPr>
                <w:sz w:val="18"/>
                <w:szCs w:val="18"/>
              </w:rPr>
              <w:t>71,2</w:t>
            </w:r>
          </w:p>
        </w:tc>
      </w:tr>
      <w:tr w:rsidR="000E10A1" w:rsidRPr="00D16868" w14:paraId="79D4CA01" w14:textId="77777777" w:rsidTr="00D76DDA">
        <w:trPr>
          <w:trHeight w:val="65"/>
          <w:tblHeader/>
          <w:jc w:val="center"/>
        </w:trPr>
        <w:tc>
          <w:tcPr>
            <w:tcW w:w="3168" w:type="dxa"/>
            <w:noWrap/>
            <w:hideMark/>
          </w:tcPr>
          <w:p w14:paraId="084D2448"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EKS KOREKCIJAS</w:t>
            </w:r>
          </w:p>
        </w:tc>
        <w:tc>
          <w:tcPr>
            <w:tcW w:w="860" w:type="dxa"/>
            <w:noWrap/>
            <w:vAlign w:val="center"/>
          </w:tcPr>
          <w:p w14:paraId="12759D06" w14:textId="5D939BC7"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-196,3</w:t>
            </w:r>
          </w:p>
        </w:tc>
        <w:tc>
          <w:tcPr>
            <w:tcW w:w="860" w:type="dxa"/>
            <w:noWrap/>
            <w:vAlign w:val="center"/>
          </w:tcPr>
          <w:p w14:paraId="4515B1DE" w14:textId="681785E2"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-552,8</w:t>
            </w:r>
          </w:p>
        </w:tc>
        <w:tc>
          <w:tcPr>
            <w:tcW w:w="860" w:type="dxa"/>
            <w:noWrap/>
            <w:vAlign w:val="center"/>
          </w:tcPr>
          <w:p w14:paraId="6C555E73" w14:textId="3D802847" w:rsidR="000E10A1" w:rsidRPr="00D76DDA" w:rsidRDefault="000E10A1" w:rsidP="00D76DDA">
            <w:pPr>
              <w:spacing w:before="0" w:after="0"/>
              <w:ind w:firstLine="0"/>
              <w:contextualSpacing/>
              <w:jc w:val="center"/>
              <w:rPr>
                <w:sz w:val="18"/>
                <w:szCs w:val="18"/>
              </w:rPr>
            </w:pPr>
            <w:r w:rsidRPr="00D76DDA">
              <w:rPr>
                <w:sz w:val="18"/>
                <w:szCs w:val="18"/>
              </w:rPr>
              <w:t>-270,2</w:t>
            </w:r>
          </w:p>
        </w:tc>
        <w:tc>
          <w:tcPr>
            <w:tcW w:w="886" w:type="dxa"/>
            <w:gridSpan w:val="2"/>
            <w:noWrap/>
            <w:vAlign w:val="center"/>
          </w:tcPr>
          <w:p w14:paraId="22154296" w14:textId="2D4C1612" w:rsidR="000E10A1" w:rsidRPr="00D76DDA" w:rsidRDefault="000E10A1" w:rsidP="00D76DDA">
            <w:pPr>
              <w:spacing w:before="0" w:after="0"/>
              <w:ind w:firstLine="0"/>
              <w:contextualSpacing/>
              <w:jc w:val="center"/>
              <w:rPr>
                <w:sz w:val="18"/>
                <w:szCs w:val="18"/>
              </w:rPr>
            </w:pPr>
            <w:r w:rsidRPr="00D76DDA">
              <w:rPr>
                <w:sz w:val="18"/>
                <w:szCs w:val="18"/>
              </w:rPr>
              <w:t>143,9</w:t>
            </w:r>
          </w:p>
        </w:tc>
        <w:tc>
          <w:tcPr>
            <w:tcW w:w="860" w:type="dxa"/>
            <w:noWrap/>
            <w:vAlign w:val="center"/>
          </w:tcPr>
          <w:p w14:paraId="24A8420C" w14:textId="622063F7" w:rsidR="000E10A1" w:rsidRPr="00D76DDA" w:rsidRDefault="000E10A1" w:rsidP="00D76DDA">
            <w:pPr>
              <w:spacing w:before="0" w:after="0"/>
              <w:ind w:firstLine="0"/>
              <w:contextualSpacing/>
              <w:jc w:val="center"/>
              <w:rPr>
                <w:sz w:val="18"/>
                <w:szCs w:val="18"/>
              </w:rPr>
            </w:pPr>
            <w:r w:rsidRPr="00D76DDA">
              <w:rPr>
                <w:sz w:val="18"/>
                <w:szCs w:val="18"/>
              </w:rPr>
              <w:t>333,7</w:t>
            </w:r>
          </w:p>
        </w:tc>
        <w:tc>
          <w:tcPr>
            <w:tcW w:w="860" w:type="dxa"/>
            <w:noWrap/>
            <w:vAlign w:val="center"/>
          </w:tcPr>
          <w:p w14:paraId="65FA79C2" w14:textId="370B1A43" w:rsidR="000E10A1" w:rsidRPr="00D76DDA" w:rsidRDefault="000E10A1" w:rsidP="00D76DDA">
            <w:pPr>
              <w:spacing w:before="0" w:after="0"/>
              <w:ind w:firstLine="0"/>
              <w:contextualSpacing/>
              <w:jc w:val="center"/>
              <w:rPr>
                <w:sz w:val="18"/>
                <w:szCs w:val="18"/>
              </w:rPr>
            </w:pPr>
            <w:r w:rsidRPr="00D76DDA">
              <w:rPr>
                <w:sz w:val="18"/>
                <w:szCs w:val="18"/>
              </w:rPr>
              <w:t>284,0</w:t>
            </w:r>
          </w:p>
        </w:tc>
        <w:tc>
          <w:tcPr>
            <w:tcW w:w="878" w:type="dxa"/>
            <w:noWrap/>
            <w:vAlign w:val="center"/>
          </w:tcPr>
          <w:p w14:paraId="551DF88B" w14:textId="24715F10" w:rsidR="000E10A1" w:rsidRPr="00D76DDA" w:rsidRDefault="000E10A1" w:rsidP="00D76DDA">
            <w:pPr>
              <w:spacing w:before="0" w:after="0"/>
              <w:ind w:firstLine="0"/>
              <w:contextualSpacing/>
              <w:jc w:val="center"/>
              <w:rPr>
                <w:sz w:val="18"/>
                <w:szCs w:val="18"/>
              </w:rPr>
            </w:pPr>
            <w:r w:rsidRPr="00D76DDA">
              <w:rPr>
                <w:sz w:val="18"/>
                <w:szCs w:val="18"/>
              </w:rPr>
              <w:t>308,7</w:t>
            </w:r>
          </w:p>
        </w:tc>
      </w:tr>
      <w:tr w:rsidR="000E10A1" w:rsidRPr="00D16868" w14:paraId="137B1D3F" w14:textId="77777777" w:rsidTr="00D76DDA">
        <w:trPr>
          <w:trHeight w:val="65"/>
          <w:tblHeader/>
          <w:jc w:val="center"/>
        </w:trPr>
        <w:tc>
          <w:tcPr>
            <w:tcW w:w="3168" w:type="dxa"/>
            <w:shd w:val="clear" w:color="auto" w:fill="BDD6EE" w:themeFill="accent1" w:themeFillTint="66"/>
            <w:noWrap/>
            <w:hideMark/>
          </w:tcPr>
          <w:p w14:paraId="73567C93" w14:textId="77777777" w:rsidR="000E10A1" w:rsidRPr="00D16868" w:rsidRDefault="000E10A1" w:rsidP="000E10A1">
            <w:pPr>
              <w:spacing w:before="0" w:after="0"/>
              <w:ind w:firstLine="0"/>
              <w:contextualSpacing/>
              <w:jc w:val="left"/>
              <w:rPr>
                <w:rFonts w:eastAsia="Times New Roman"/>
                <w:b/>
                <w:bCs/>
                <w:sz w:val="18"/>
                <w:szCs w:val="18"/>
              </w:rPr>
            </w:pPr>
            <w:r w:rsidRPr="00D16868">
              <w:rPr>
                <w:rFonts w:eastAsia="Times New Roman"/>
                <w:b/>
                <w:bCs/>
                <w:sz w:val="18"/>
                <w:szCs w:val="18"/>
              </w:rPr>
              <w:t>KOPBUDŽETA BILANCE</w:t>
            </w:r>
          </w:p>
        </w:tc>
        <w:tc>
          <w:tcPr>
            <w:tcW w:w="860" w:type="dxa"/>
            <w:shd w:val="clear" w:color="auto" w:fill="BDD6EE" w:themeFill="accent1" w:themeFillTint="66"/>
            <w:noWrap/>
            <w:vAlign w:val="center"/>
          </w:tcPr>
          <w:p w14:paraId="57F6091D" w14:textId="60F47795"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-1 124,9</w:t>
            </w:r>
          </w:p>
        </w:tc>
        <w:tc>
          <w:tcPr>
            <w:tcW w:w="860" w:type="dxa"/>
            <w:shd w:val="clear" w:color="auto" w:fill="BDD6EE" w:themeFill="accent1" w:themeFillTint="66"/>
            <w:noWrap/>
            <w:vAlign w:val="center"/>
          </w:tcPr>
          <w:p w14:paraId="14C8852A" w14:textId="19C64678"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-1 844,8</w:t>
            </w:r>
          </w:p>
        </w:tc>
        <w:tc>
          <w:tcPr>
            <w:tcW w:w="860" w:type="dxa"/>
            <w:shd w:val="clear" w:color="auto" w:fill="BDD6EE" w:themeFill="accent1" w:themeFillTint="66"/>
            <w:noWrap/>
            <w:vAlign w:val="center"/>
          </w:tcPr>
          <w:p w14:paraId="6BA957C0" w14:textId="5BF1888E" w:rsidR="000E10A1" w:rsidRPr="00D76DDA" w:rsidRDefault="000E10A1" w:rsidP="00D76DDA">
            <w:pPr>
              <w:spacing w:before="0" w:after="0"/>
              <w:ind w:firstLine="0"/>
              <w:contextualSpacing/>
              <w:jc w:val="center"/>
              <w:rPr>
                <w:b/>
                <w:bCs/>
                <w:sz w:val="18"/>
                <w:szCs w:val="18"/>
              </w:rPr>
            </w:pPr>
            <w:r w:rsidRPr="00D76DDA">
              <w:rPr>
                <w:sz w:val="18"/>
                <w:szCs w:val="18"/>
              </w:rPr>
              <w:t>-1 450,7</w:t>
            </w:r>
          </w:p>
        </w:tc>
        <w:tc>
          <w:tcPr>
            <w:tcW w:w="886" w:type="dxa"/>
            <w:gridSpan w:val="2"/>
            <w:shd w:val="clear" w:color="auto" w:fill="BDD6EE" w:themeFill="accent1" w:themeFillTint="66"/>
            <w:noWrap/>
            <w:vAlign w:val="center"/>
          </w:tcPr>
          <w:p w14:paraId="5A984321" w14:textId="02272441" w:rsidR="000E10A1" w:rsidRPr="00D76DDA" w:rsidRDefault="000E10A1" w:rsidP="00D76DDA">
            <w:pPr>
              <w:spacing w:before="0" w:after="0"/>
              <w:ind w:firstLine="0"/>
              <w:contextualSpacing/>
              <w:jc w:val="center"/>
              <w:rPr>
                <w:b/>
                <w:bCs/>
                <w:sz w:val="18"/>
                <w:szCs w:val="18"/>
              </w:rPr>
            </w:pPr>
            <w:r w:rsidRPr="00D76DDA">
              <w:rPr>
                <w:sz w:val="18"/>
                <w:szCs w:val="18"/>
              </w:rPr>
              <w:t>-1 334,8</w:t>
            </w:r>
          </w:p>
        </w:tc>
        <w:tc>
          <w:tcPr>
            <w:tcW w:w="860" w:type="dxa"/>
            <w:shd w:val="clear" w:color="auto" w:fill="BDD6EE" w:themeFill="accent1" w:themeFillTint="66"/>
            <w:noWrap/>
            <w:vAlign w:val="center"/>
          </w:tcPr>
          <w:p w14:paraId="1E5435DD" w14:textId="3B2F7F4E" w:rsidR="000E10A1" w:rsidRPr="00D76DDA" w:rsidRDefault="000E10A1" w:rsidP="00D76DDA">
            <w:pPr>
              <w:spacing w:before="0" w:after="0"/>
              <w:ind w:firstLine="0"/>
              <w:contextualSpacing/>
              <w:jc w:val="center"/>
              <w:rPr>
                <w:b/>
                <w:bCs/>
                <w:sz w:val="18"/>
                <w:szCs w:val="18"/>
              </w:rPr>
            </w:pPr>
            <w:r w:rsidRPr="00D76DDA">
              <w:rPr>
                <w:sz w:val="18"/>
                <w:szCs w:val="18"/>
              </w:rPr>
              <w:t>-1 349,9</w:t>
            </w:r>
          </w:p>
        </w:tc>
        <w:tc>
          <w:tcPr>
            <w:tcW w:w="860" w:type="dxa"/>
            <w:shd w:val="clear" w:color="auto" w:fill="BDD6EE" w:themeFill="accent1" w:themeFillTint="66"/>
            <w:noWrap/>
            <w:vAlign w:val="center"/>
          </w:tcPr>
          <w:p w14:paraId="1FA30FD7" w14:textId="5EE3E769" w:rsidR="000E10A1" w:rsidRPr="00D76DDA" w:rsidRDefault="000E10A1" w:rsidP="00D76DDA">
            <w:pPr>
              <w:spacing w:before="0" w:after="0"/>
              <w:ind w:firstLine="0"/>
              <w:contextualSpacing/>
              <w:jc w:val="center"/>
              <w:rPr>
                <w:b/>
                <w:bCs/>
                <w:sz w:val="18"/>
                <w:szCs w:val="18"/>
              </w:rPr>
            </w:pPr>
            <w:r w:rsidRPr="00D76DDA">
              <w:rPr>
                <w:sz w:val="18"/>
                <w:szCs w:val="18"/>
              </w:rPr>
              <w:t>-924,2</w:t>
            </w:r>
          </w:p>
        </w:tc>
        <w:tc>
          <w:tcPr>
            <w:tcW w:w="878" w:type="dxa"/>
            <w:shd w:val="clear" w:color="auto" w:fill="BDD6EE" w:themeFill="accent1" w:themeFillTint="66"/>
            <w:noWrap/>
            <w:vAlign w:val="center"/>
          </w:tcPr>
          <w:p w14:paraId="4DA3798E" w14:textId="4F8425D4" w:rsidR="000E10A1" w:rsidRPr="00D76DDA" w:rsidRDefault="000E10A1" w:rsidP="00D76DDA">
            <w:pPr>
              <w:spacing w:before="0" w:after="0"/>
              <w:ind w:firstLine="0"/>
              <w:contextualSpacing/>
              <w:jc w:val="center"/>
              <w:rPr>
                <w:b/>
                <w:bCs/>
                <w:sz w:val="18"/>
                <w:szCs w:val="18"/>
              </w:rPr>
            </w:pPr>
            <w:r w:rsidRPr="00D76DDA">
              <w:rPr>
                <w:sz w:val="18"/>
                <w:szCs w:val="18"/>
              </w:rPr>
              <w:t>-237,4</w:t>
            </w:r>
          </w:p>
        </w:tc>
      </w:tr>
      <w:tr w:rsidR="000E10A1" w:rsidRPr="00D16868" w14:paraId="1319AF2A" w14:textId="77777777" w:rsidTr="00D76DDA">
        <w:trPr>
          <w:trHeight w:val="65"/>
          <w:tblHeader/>
          <w:jc w:val="center"/>
        </w:trPr>
        <w:tc>
          <w:tcPr>
            <w:tcW w:w="3168" w:type="dxa"/>
            <w:noWrap/>
            <w:hideMark/>
          </w:tcPr>
          <w:p w14:paraId="751DB97F"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Ieņēmumi</w:t>
            </w:r>
          </w:p>
        </w:tc>
        <w:tc>
          <w:tcPr>
            <w:tcW w:w="860" w:type="dxa"/>
            <w:noWrap/>
            <w:vAlign w:val="center"/>
          </w:tcPr>
          <w:p w14:paraId="10624582" w14:textId="3416E8A7"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11 337,4</w:t>
            </w:r>
          </w:p>
        </w:tc>
        <w:tc>
          <w:tcPr>
            <w:tcW w:w="860" w:type="dxa"/>
            <w:noWrap/>
            <w:vAlign w:val="center"/>
          </w:tcPr>
          <w:p w14:paraId="2511562F" w14:textId="7CBA882A"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12 549,2</w:t>
            </w:r>
          </w:p>
        </w:tc>
        <w:tc>
          <w:tcPr>
            <w:tcW w:w="860" w:type="dxa"/>
            <w:noWrap/>
            <w:vAlign w:val="center"/>
          </w:tcPr>
          <w:p w14:paraId="25240744" w14:textId="6B19C7DF" w:rsidR="000E10A1" w:rsidRPr="00D76DDA" w:rsidRDefault="000E10A1" w:rsidP="00D76DDA">
            <w:pPr>
              <w:spacing w:before="0" w:after="0"/>
              <w:ind w:firstLine="0"/>
              <w:contextualSpacing/>
              <w:jc w:val="center"/>
              <w:rPr>
                <w:sz w:val="18"/>
                <w:szCs w:val="18"/>
              </w:rPr>
            </w:pPr>
            <w:r w:rsidRPr="00D76DDA">
              <w:rPr>
                <w:sz w:val="18"/>
                <w:szCs w:val="18"/>
              </w:rPr>
              <w:t>14 273,8</w:t>
            </w:r>
          </w:p>
        </w:tc>
        <w:tc>
          <w:tcPr>
            <w:tcW w:w="886" w:type="dxa"/>
            <w:gridSpan w:val="2"/>
            <w:noWrap/>
            <w:vAlign w:val="center"/>
          </w:tcPr>
          <w:p w14:paraId="72378C66" w14:textId="7372B663" w:rsidR="000E10A1" w:rsidRPr="00D76DDA" w:rsidRDefault="000E10A1" w:rsidP="00D76DDA">
            <w:pPr>
              <w:spacing w:before="0" w:after="0"/>
              <w:ind w:firstLine="0"/>
              <w:contextualSpacing/>
              <w:jc w:val="center"/>
              <w:rPr>
                <w:sz w:val="18"/>
                <w:szCs w:val="18"/>
              </w:rPr>
            </w:pPr>
            <w:r w:rsidRPr="00D76DDA">
              <w:rPr>
                <w:sz w:val="18"/>
                <w:szCs w:val="18"/>
              </w:rPr>
              <w:t>15 569,1</w:t>
            </w:r>
          </w:p>
        </w:tc>
        <w:tc>
          <w:tcPr>
            <w:tcW w:w="860" w:type="dxa"/>
            <w:noWrap/>
            <w:vAlign w:val="center"/>
          </w:tcPr>
          <w:p w14:paraId="581216F2" w14:textId="346312F4" w:rsidR="000E10A1" w:rsidRPr="00D76DDA" w:rsidRDefault="000E10A1" w:rsidP="00D76DDA">
            <w:pPr>
              <w:spacing w:before="0" w:after="0"/>
              <w:ind w:firstLine="0"/>
              <w:contextualSpacing/>
              <w:jc w:val="center"/>
              <w:rPr>
                <w:sz w:val="18"/>
                <w:szCs w:val="18"/>
              </w:rPr>
            </w:pPr>
            <w:r w:rsidRPr="00D76DDA">
              <w:rPr>
                <w:sz w:val="18"/>
                <w:szCs w:val="18"/>
              </w:rPr>
              <w:t>16 632,0</w:t>
            </w:r>
          </w:p>
        </w:tc>
        <w:tc>
          <w:tcPr>
            <w:tcW w:w="860" w:type="dxa"/>
            <w:noWrap/>
            <w:vAlign w:val="center"/>
          </w:tcPr>
          <w:p w14:paraId="49071F59" w14:textId="05608A2E" w:rsidR="000E10A1" w:rsidRPr="00D76DDA" w:rsidRDefault="000E10A1" w:rsidP="00D76DDA">
            <w:pPr>
              <w:spacing w:before="0" w:after="0"/>
              <w:ind w:firstLine="0"/>
              <w:contextualSpacing/>
              <w:jc w:val="center"/>
              <w:rPr>
                <w:sz w:val="18"/>
                <w:szCs w:val="18"/>
              </w:rPr>
            </w:pPr>
            <w:r w:rsidRPr="00D76DDA">
              <w:rPr>
                <w:sz w:val="18"/>
                <w:szCs w:val="18"/>
              </w:rPr>
              <w:t>17 405,4</w:t>
            </w:r>
          </w:p>
        </w:tc>
        <w:tc>
          <w:tcPr>
            <w:tcW w:w="878" w:type="dxa"/>
            <w:noWrap/>
            <w:vAlign w:val="center"/>
          </w:tcPr>
          <w:p w14:paraId="314A8694" w14:textId="4D6B00E1" w:rsidR="000E10A1" w:rsidRPr="00D76DDA" w:rsidRDefault="000E10A1" w:rsidP="00D76DDA">
            <w:pPr>
              <w:spacing w:before="0" w:after="0"/>
              <w:ind w:firstLine="0"/>
              <w:contextualSpacing/>
              <w:jc w:val="center"/>
              <w:rPr>
                <w:sz w:val="18"/>
                <w:szCs w:val="18"/>
              </w:rPr>
            </w:pPr>
            <w:r w:rsidRPr="00D76DDA">
              <w:rPr>
                <w:sz w:val="18"/>
                <w:szCs w:val="18"/>
              </w:rPr>
              <w:t>17 943,2</w:t>
            </w:r>
          </w:p>
        </w:tc>
      </w:tr>
      <w:tr w:rsidR="000E10A1" w:rsidRPr="00D16868" w14:paraId="3E981837" w14:textId="77777777" w:rsidTr="00D76DDA">
        <w:trPr>
          <w:trHeight w:val="65"/>
          <w:tblHeader/>
          <w:jc w:val="center"/>
        </w:trPr>
        <w:tc>
          <w:tcPr>
            <w:tcW w:w="3168" w:type="dxa"/>
            <w:noWrap/>
            <w:hideMark/>
          </w:tcPr>
          <w:p w14:paraId="5B61981A" w14:textId="77777777" w:rsidR="000E10A1" w:rsidRPr="00D16868" w:rsidRDefault="000E10A1" w:rsidP="000E10A1">
            <w:pPr>
              <w:spacing w:before="0" w:after="0"/>
              <w:ind w:firstLineChars="100" w:firstLine="180"/>
              <w:contextualSpacing/>
              <w:jc w:val="left"/>
              <w:rPr>
                <w:rFonts w:eastAsia="Times New Roman"/>
                <w:sz w:val="18"/>
                <w:szCs w:val="18"/>
              </w:rPr>
            </w:pPr>
            <w:r w:rsidRPr="00D16868">
              <w:rPr>
                <w:rFonts w:eastAsia="Times New Roman"/>
                <w:sz w:val="18"/>
                <w:szCs w:val="18"/>
              </w:rPr>
              <w:t>Nodokļu ieņēmumi</w:t>
            </w:r>
          </w:p>
        </w:tc>
        <w:tc>
          <w:tcPr>
            <w:tcW w:w="860" w:type="dxa"/>
            <w:noWrap/>
            <w:vAlign w:val="center"/>
          </w:tcPr>
          <w:p w14:paraId="4A14FFFA" w14:textId="2B3ADC16"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9 006,5</w:t>
            </w:r>
          </w:p>
        </w:tc>
        <w:tc>
          <w:tcPr>
            <w:tcW w:w="860" w:type="dxa"/>
            <w:noWrap/>
            <w:vAlign w:val="center"/>
          </w:tcPr>
          <w:p w14:paraId="22ACEE31" w14:textId="5F16CAF4"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10 031,0</w:t>
            </w:r>
          </w:p>
        </w:tc>
        <w:tc>
          <w:tcPr>
            <w:tcW w:w="860" w:type="dxa"/>
            <w:noWrap/>
            <w:vAlign w:val="center"/>
          </w:tcPr>
          <w:p w14:paraId="5F3A9581" w14:textId="0816CB58" w:rsidR="000E10A1" w:rsidRPr="00D76DDA" w:rsidRDefault="000E10A1" w:rsidP="00D76DDA">
            <w:pPr>
              <w:spacing w:before="0" w:after="0"/>
              <w:ind w:firstLine="0"/>
              <w:contextualSpacing/>
              <w:jc w:val="center"/>
              <w:rPr>
                <w:sz w:val="18"/>
                <w:szCs w:val="18"/>
              </w:rPr>
            </w:pPr>
            <w:r w:rsidRPr="00D76DDA">
              <w:rPr>
                <w:sz w:val="18"/>
                <w:szCs w:val="18"/>
              </w:rPr>
              <w:t>11 557,3</w:t>
            </w:r>
          </w:p>
        </w:tc>
        <w:tc>
          <w:tcPr>
            <w:tcW w:w="886" w:type="dxa"/>
            <w:gridSpan w:val="2"/>
            <w:noWrap/>
            <w:vAlign w:val="center"/>
          </w:tcPr>
          <w:p w14:paraId="65866F8B" w14:textId="6F910ED9" w:rsidR="000E10A1" w:rsidRPr="00D76DDA" w:rsidRDefault="000E10A1" w:rsidP="00D76DDA">
            <w:pPr>
              <w:spacing w:before="0" w:after="0"/>
              <w:ind w:firstLine="0"/>
              <w:contextualSpacing/>
              <w:jc w:val="center"/>
              <w:rPr>
                <w:sz w:val="18"/>
                <w:szCs w:val="18"/>
              </w:rPr>
            </w:pPr>
            <w:r w:rsidRPr="00D76DDA">
              <w:rPr>
                <w:sz w:val="18"/>
                <w:szCs w:val="18"/>
              </w:rPr>
              <w:t>12 678,1</w:t>
            </w:r>
          </w:p>
        </w:tc>
        <w:tc>
          <w:tcPr>
            <w:tcW w:w="860" w:type="dxa"/>
            <w:noWrap/>
            <w:vAlign w:val="center"/>
          </w:tcPr>
          <w:p w14:paraId="71722719" w14:textId="5DA9845C" w:rsidR="000E10A1" w:rsidRPr="00D76DDA" w:rsidRDefault="000E10A1" w:rsidP="00D76DDA">
            <w:pPr>
              <w:spacing w:before="0" w:after="0"/>
              <w:ind w:firstLine="0"/>
              <w:contextualSpacing/>
              <w:jc w:val="center"/>
              <w:rPr>
                <w:sz w:val="18"/>
                <w:szCs w:val="18"/>
              </w:rPr>
            </w:pPr>
            <w:r w:rsidRPr="00D76DDA">
              <w:rPr>
                <w:sz w:val="18"/>
                <w:szCs w:val="18"/>
              </w:rPr>
              <w:t>13 540,9</w:t>
            </w:r>
          </w:p>
        </w:tc>
        <w:tc>
          <w:tcPr>
            <w:tcW w:w="860" w:type="dxa"/>
            <w:noWrap/>
            <w:vAlign w:val="center"/>
          </w:tcPr>
          <w:p w14:paraId="4352D0BC" w14:textId="18E6A473" w:rsidR="000E10A1" w:rsidRPr="00D76DDA" w:rsidRDefault="000E10A1" w:rsidP="00D76DDA">
            <w:pPr>
              <w:spacing w:before="0" w:after="0"/>
              <w:ind w:firstLine="0"/>
              <w:contextualSpacing/>
              <w:jc w:val="center"/>
              <w:rPr>
                <w:sz w:val="18"/>
                <w:szCs w:val="18"/>
              </w:rPr>
            </w:pPr>
            <w:r w:rsidRPr="00D76DDA">
              <w:rPr>
                <w:sz w:val="18"/>
                <w:szCs w:val="18"/>
              </w:rPr>
              <w:t>14 354,3</w:t>
            </w:r>
          </w:p>
        </w:tc>
        <w:tc>
          <w:tcPr>
            <w:tcW w:w="878" w:type="dxa"/>
            <w:noWrap/>
            <w:vAlign w:val="center"/>
          </w:tcPr>
          <w:p w14:paraId="5B1E9071" w14:textId="16870731" w:rsidR="000E10A1" w:rsidRPr="00D76DDA" w:rsidRDefault="000E10A1" w:rsidP="00D76DDA">
            <w:pPr>
              <w:spacing w:before="0" w:after="0"/>
              <w:ind w:firstLine="0"/>
              <w:contextualSpacing/>
              <w:jc w:val="center"/>
              <w:rPr>
                <w:sz w:val="18"/>
                <w:szCs w:val="18"/>
              </w:rPr>
            </w:pPr>
            <w:r w:rsidRPr="00D76DDA">
              <w:rPr>
                <w:sz w:val="18"/>
                <w:szCs w:val="18"/>
              </w:rPr>
              <w:t>15 212,8</w:t>
            </w:r>
          </w:p>
        </w:tc>
      </w:tr>
      <w:tr w:rsidR="000E10A1" w:rsidRPr="00D16868" w14:paraId="1A42C601" w14:textId="77777777" w:rsidTr="00D76DDA">
        <w:trPr>
          <w:trHeight w:val="65"/>
          <w:tblHeader/>
          <w:jc w:val="center"/>
        </w:trPr>
        <w:tc>
          <w:tcPr>
            <w:tcW w:w="3168" w:type="dxa"/>
            <w:noWrap/>
            <w:hideMark/>
          </w:tcPr>
          <w:p w14:paraId="6BE5D5A9" w14:textId="77777777" w:rsidR="000E10A1" w:rsidRPr="00D16868" w:rsidRDefault="000E10A1" w:rsidP="000E10A1">
            <w:pPr>
              <w:spacing w:before="0" w:after="0"/>
              <w:ind w:firstLineChars="100" w:firstLine="180"/>
              <w:contextualSpacing/>
              <w:jc w:val="left"/>
              <w:rPr>
                <w:rFonts w:eastAsia="Times New Roman"/>
                <w:sz w:val="18"/>
                <w:szCs w:val="18"/>
              </w:rPr>
            </w:pPr>
            <w:r w:rsidRPr="00D16868">
              <w:rPr>
                <w:rFonts w:eastAsia="Times New Roman"/>
                <w:noProof/>
                <w:sz w:val="18"/>
                <w:szCs w:val="18"/>
              </w:rPr>
              <w:t>Nenodokļu ieņēmum</w:t>
            </w:r>
            <w:r w:rsidRPr="00D16868">
              <w:rPr>
                <w:rFonts w:eastAsia="Times New Roman"/>
                <w:sz w:val="18"/>
                <w:szCs w:val="18"/>
              </w:rPr>
              <w:t>i</w:t>
            </w:r>
          </w:p>
        </w:tc>
        <w:tc>
          <w:tcPr>
            <w:tcW w:w="860" w:type="dxa"/>
            <w:noWrap/>
            <w:vAlign w:val="center"/>
          </w:tcPr>
          <w:p w14:paraId="6B42B2DF" w14:textId="08726274"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666,3</w:t>
            </w:r>
          </w:p>
        </w:tc>
        <w:tc>
          <w:tcPr>
            <w:tcW w:w="860" w:type="dxa"/>
            <w:noWrap/>
            <w:vAlign w:val="center"/>
          </w:tcPr>
          <w:p w14:paraId="78D5063A" w14:textId="1FEE5FD6"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771,2</w:t>
            </w:r>
          </w:p>
        </w:tc>
        <w:tc>
          <w:tcPr>
            <w:tcW w:w="860" w:type="dxa"/>
            <w:noWrap/>
            <w:vAlign w:val="center"/>
          </w:tcPr>
          <w:p w14:paraId="1F5CCA98" w14:textId="13B94647" w:rsidR="000E10A1" w:rsidRPr="00D76DDA" w:rsidRDefault="000E10A1" w:rsidP="00D76DDA">
            <w:pPr>
              <w:spacing w:before="0" w:after="0"/>
              <w:ind w:firstLine="0"/>
              <w:contextualSpacing/>
              <w:jc w:val="center"/>
              <w:rPr>
                <w:sz w:val="18"/>
                <w:szCs w:val="18"/>
              </w:rPr>
            </w:pPr>
            <w:r w:rsidRPr="00D76DDA">
              <w:rPr>
                <w:sz w:val="18"/>
                <w:szCs w:val="18"/>
              </w:rPr>
              <w:t>847,6</w:t>
            </w:r>
          </w:p>
        </w:tc>
        <w:tc>
          <w:tcPr>
            <w:tcW w:w="886" w:type="dxa"/>
            <w:gridSpan w:val="2"/>
            <w:noWrap/>
            <w:vAlign w:val="center"/>
          </w:tcPr>
          <w:p w14:paraId="45D4F5DF" w14:textId="6C986C15" w:rsidR="000E10A1" w:rsidRPr="00D76DDA" w:rsidRDefault="000E10A1" w:rsidP="00D76DDA">
            <w:pPr>
              <w:spacing w:before="0" w:after="0"/>
              <w:ind w:firstLine="0"/>
              <w:contextualSpacing/>
              <w:jc w:val="center"/>
              <w:rPr>
                <w:sz w:val="18"/>
                <w:szCs w:val="18"/>
              </w:rPr>
            </w:pPr>
            <w:r w:rsidRPr="00D76DDA">
              <w:rPr>
                <w:sz w:val="18"/>
                <w:szCs w:val="18"/>
              </w:rPr>
              <w:t>972,4</w:t>
            </w:r>
          </w:p>
        </w:tc>
        <w:tc>
          <w:tcPr>
            <w:tcW w:w="860" w:type="dxa"/>
            <w:noWrap/>
            <w:vAlign w:val="center"/>
          </w:tcPr>
          <w:p w14:paraId="15E93EE3" w14:textId="355595AD" w:rsidR="000E10A1" w:rsidRPr="00D76DDA" w:rsidRDefault="000E10A1" w:rsidP="00D76DDA">
            <w:pPr>
              <w:spacing w:before="0" w:after="0"/>
              <w:ind w:firstLine="0"/>
              <w:contextualSpacing/>
              <w:jc w:val="center"/>
              <w:rPr>
                <w:sz w:val="18"/>
                <w:szCs w:val="18"/>
              </w:rPr>
            </w:pPr>
            <w:r w:rsidRPr="00D76DDA">
              <w:rPr>
                <w:sz w:val="18"/>
                <w:szCs w:val="18"/>
              </w:rPr>
              <w:t>747,4</w:t>
            </w:r>
          </w:p>
        </w:tc>
        <w:tc>
          <w:tcPr>
            <w:tcW w:w="860" w:type="dxa"/>
            <w:noWrap/>
            <w:vAlign w:val="center"/>
          </w:tcPr>
          <w:p w14:paraId="301E39E5" w14:textId="717B57A3" w:rsidR="000E10A1" w:rsidRPr="00D76DDA" w:rsidRDefault="000E10A1" w:rsidP="00D76DDA">
            <w:pPr>
              <w:spacing w:before="0" w:after="0"/>
              <w:ind w:firstLine="0"/>
              <w:contextualSpacing/>
              <w:jc w:val="center"/>
              <w:rPr>
                <w:sz w:val="18"/>
                <w:szCs w:val="18"/>
              </w:rPr>
            </w:pPr>
            <w:r w:rsidRPr="00D76DDA">
              <w:rPr>
                <w:sz w:val="18"/>
                <w:szCs w:val="18"/>
              </w:rPr>
              <w:t>747,0</w:t>
            </w:r>
          </w:p>
        </w:tc>
        <w:tc>
          <w:tcPr>
            <w:tcW w:w="878" w:type="dxa"/>
            <w:noWrap/>
            <w:vAlign w:val="center"/>
          </w:tcPr>
          <w:p w14:paraId="129FDF36" w14:textId="14BCC7AA" w:rsidR="000E10A1" w:rsidRPr="00D76DDA" w:rsidRDefault="000E10A1" w:rsidP="00D76DDA">
            <w:pPr>
              <w:spacing w:before="0" w:after="0"/>
              <w:ind w:firstLine="0"/>
              <w:contextualSpacing/>
              <w:jc w:val="center"/>
              <w:rPr>
                <w:sz w:val="18"/>
                <w:szCs w:val="18"/>
              </w:rPr>
            </w:pPr>
            <w:r w:rsidRPr="00D76DDA">
              <w:rPr>
                <w:sz w:val="18"/>
                <w:szCs w:val="18"/>
              </w:rPr>
              <w:t>634,0</w:t>
            </w:r>
          </w:p>
        </w:tc>
      </w:tr>
      <w:tr w:rsidR="000E10A1" w:rsidRPr="00D16868" w14:paraId="4F68F30D" w14:textId="77777777" w:rsidTr="00D76DDA">
        <w:trPr>
          <w:trHeight w:val="65"/>
          <w:tblHeader/>
          <w:jc w:val="center"/>
        </w:trPr>
        <w:tc>
          <w:tcPr>
            <w:tcW w:w="3168" w:type="dxa"/>
            <w:noWrap/>
            <w:hideMark/>
          </w:tcPr>
          <w:p w14:paraId="0EB2CE5C" w14:textId="77777777" w:rsidR="000E10A1" w:rsidRPr="00D16868" w:rsidRDefault="000E10A1" w:rsidP="000E10A1">
            <w:pPr>
              <w:spacing w:before="0" w:after="0"/>
              <w:ind w:firstLineChars="100" w:firstLine="180"/>
              <w:contextualSpacing/>
              <w:jc w:val="left"/>
              <w:rPr>
                <w:rFonts w:eastAsia="Times New Roman"/>
                <w:sz w:val="18"/>
                <w:szCs w:val="18"/>
              </w:rPr>
            </w:pPr>
            <w:r w:rsidRPr="00D16868">
              <w:rPr>
                <w:rFonts w:eastAsia="Times New Roman"/>
                <w:sz w:val="18"/>
                <w:szCs w:val="18"/>
              </w:rPr>
              <w:t>Pašu ieņēmumi</w:t>
            </w:r>
          </w:p>
        </w:tc>
        <w:tc>
          <w:tcPr>
            <w:tcW w:w="860" w:type="dxa"/>
            <w:noWrap/>
            <w:vAlign w:val="center"/>
          </w:tcPr>
          <w:p w14:paraId="7CA36986" w14:textId="41BA137F"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348,4</w:t>
            </w:r>
          </w:p>
        </w:tc>
        <w:tc>
          <w:tcPr>
            <w:tcW w:w="860" w:type="dxa"/>
            <w:noWrap/>
            <w:vAlign w:val="center"/>
          </w:tcPr>
          <w:p w14:paraId="24142C2C" w14:textId="592D51EA"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372,5</w:t>
            </w:r>
          </w:p>
        </w:tc>
        <w:tc>
          <w:tcPr>
            <w:tcW w:w="860" w:type="dxa"/>
            <w:noWrap/>
            <w:vAlign w:val="center"/>
          </w:tcPr>
          <w:p w14:paraId="34EF5C71" w14:textId="01AD0642" w:rsidR="000E10A1" w:rsidRPr="00D76DDA" w:rsidRDefault="000E10A1" w:rsidP="00D76DDA">
            <w:pPr>
              <w:spacing w:before="0" w:after="0"/>
              <w:ind w:firstLine="0"/>
              <w:contextualSpacing/>
              <w:jc w:val="center"/>
              <w:rPr>
                <w:sz w:val="18"/>
                <w:szCs w:val="18"/>
              </w:rPr>
            </w:pPr>
            <w:r w:rsidRPr="00D76DDA">
              <w:rPr>
                <w:sz w:val="18"/>
                <w:szCs w:val="18"/>
              </w:rPr>
              <w:t>427,7</w:t>
            </w:r>
          </w:p>
        </w:tc>
        <w:tc>
          <w:tcPr>
            <w:tcW w:w="886" w:type="dxa"/>
            <w:gridSpan w:val="2"/>
            <w:noWrap/>
            <w:vAlign w:val="center"/>
          </w:tcPr>
          <w:p w14:paraId="5DBA2754" w14:textId="52F6BC7B" w:rsidR="000E10A1" w:rsidRPr="00D76DDA" w:rsidRDefault="000E10A1" w:rsidP="00D76DDA">
            <w:pPr>
              <w:spacing w:before="0" w:after="0"/>
              <w:ind w:firstLine="0"/>
              <w:contextualSpacing/>
              <w:jc w:val="center"/>
              <w:rPr>
                <w:sz w:val="18"/>
                <w:szCs w:val="18"/>
              </w:rPr>
            </w:pPr>
            <w:r w:rsidRPr="00D76DDA">
              <w:rPr>
                <w:sz w:val="18"/>
                <w:szCs w:val="18"/>
              </w:rPr>
              <w:t>460,0</w:t>
            </w:r>
          </w:p>
        </w:tc>
        <w:tc>
          <w:tcPr>
            <w:tcW w:w="860" w:type="dxa"/>
            <w:noWrap/>
            <w:vAlign w:val="center"/>
          </w:tcPr>
          <w:p w14:paraId="498397E8" w14:textId="2C1DDA0F" w:rsidR="000E10A1" w:rsidRPr="00D76DDA" w:rsidRDefault="000E10A1" w:rsidP="00D76DDA">
            <w:pPr>
              <w:spacing w:before="0" w:after="0"/>
              <w:ind w:firstLine="0"/>
              <w:contextualSpacing/>
              <w:jc w:val="center"/>
              <w:rPr>
                <w:sz w:val="18"/>
                <w:szCs w:val="18"/>
              </w:rPr>
            </w:pPr>
            <w:r w:rsidRPr="00D76DDA">
              <w:rPr>
                <w:sz w:val="18"/>
                <w:szCs w:val="18"/>
              </w:rPr>
              <w:t>462,1</w:t>
            </w:r>
          </w:p>
        </w:tc>
        <w:tc>
          <w:tcPr>
            <w:tcW w:w="860" w:type="dxa"/>
            <w:noWrap/>
            <w:vAlign w:val="center"/>
          </w:tcPr>
          <w:p w14:paraId="586789AE" w14:textId="7D874BC3" w:rsidR="000E10A1" w:rsidRPr="00D76DDA" w:rsidRDefault="000E10A1" w:rsidP="00D76DDA">
            <w:pPr>
              <w:spacing w:before="0" w:after="0"/>
              <w:ind w:firstLine="0"/>
              <w:contextualSpacing/>
              <w:jc w:val="center"/>
              <w:rPr>
                <w:sz w:val="18"/>
                <w:szCs w:val="18"/>
              </w:rPr>
            </w:pPr>
            <w:r w:rsidRPr="00D76DDA">
              <w:rPr>
                <w:sz w:val="18"/>
                <w:szCs w:val="18"/>
              </w:rPr>
              <w:t>457,8</w:t>
            </w:r>
          </w:p>
        </w:tc>
        <w:tc>
          <w:tcPr>
            <w:tcW w:w="878" w:type="dxa"/>
            <w:noWrap/>
            <w:vAlign w:val="center"/>
          </w:tcPr>
          <w:p w14:paraId="1719AF5B" w14:textId="24D5CB59" w:rsidR="000E10A1" w:rsidRPr="00D76DDA" w:rsidRDefault="000E10A1" w:rsidP="00D76DDA">
            <w:pPr>
              <w:spacing w:before="0" w:after="0"/>
              <w:ind w:firstLine="0"/>
              <w:contextualSpacing/>
              <w:jc w:val="center"/>
              <w:rPr>
                <w:sz w:val="18"/>
                <w:szCs w:val="18"/>
              </w:rPr>
            </w:pPr>
            <w:r w:rsidRPr="00D76DDA">
              <w:rPr>
                <w:sz w:val="18"/>
                <w:szCs w:val="18"/>
              </w:rPr>
              <w:t>461,2</w:t>
            </w:r>
          </w:p>
        </w:tc>
      </w:tr>
      <w:tr w:rsidR="000E10A1" w:rsidRPr="00D16868" w14:paraId="39AF24F3" w14:textId="77777777" w:rsidTr="00D76DDA">
        <w:trPr>
          <w:trHeight w:val="65"/>
          <w:tblHeader/>
          <w:jc w:val="center"/>
        </w:trPr>
        <w:tc>
          <w:tcPr>
            <w:tcW w:w="3168" w:type="dxa"/>
            <w:noWrap/>
            <w:hideMark/>
          </w:tcPr>
          <w:p w14:paraId="08410E05" w14:textId="77777777" w:rsidR="000E10A1" w:rsidRPr="00D16868" w:rsidRDefault="000E10A1" w:rsidP="000E10A1">
            <w:pPr>
              <w:spacing w:before="0" w:after="0"/>
              <w:ind w:firstLineChars="100" w:firstLine="180"/>
              <w:contextualSpacing/>
              <w:jc w:val="left"/>
              <w:rPr>
                <w:rFonts w:eastAsia="Times New Roman"/>
                <w:sz w:val="18"/>
                <w:szCs w:val="18"/>
              </w:rPr>
            </w:pPr>
            <w:r w:rsidRPr="00D16868">
              <w:rPr>
                <w:rFonts w:eastAsia="Times New Roman"/>
                <w:sz w:val="18"/>
                <w:szCs w:val="18"/>
              </w:rPr>
              <w:t>Ārvalstu finanšu palīdzība</w:t>
            </w:r>
          </w:p>
        </w:tc>
        <w:tc>
          <w:tcPr>
            <w:tcW w:w="860" w:type="dxa"/>
            <w:noWrap/>
            <w:vAlign w:val="center"/>
          </w:tcPr>
          <w:p w14:paraId="42C3968E" w14:textId="0BAC3C9A"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1 310,3</w:t>
            </w:r>
          </w:p>
        </w:tc>
        <w:tc>
          <w:tcPr>
            <w:tcW w:w="860" w:type="dxa"/>
            <w:noWrap/>
            <w:vAlign w:val="center"/>
          </w:tcPr>
          <w:p w14:paraId="64739D06" w14:textId="602CE560"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1 371,0</w:t>
            </w:r>
          </w:p>
        </w:tc>
        <w:tc>
          <w:tcPr>
            <w:tcW w:w="860" w:type="dxa"/>
            <w:noWrap/>
            <w:vAlign w:val="center"/>
          </w:tcPr>
          <w:p w14:paraId="425BEE68" w14:textId="040922DA" w:rsidR="000E10A1" w:rsidRPr="00D76DDA" w:rsidRDefault="000E10A1" w:rsidP="00D76DDA">
            <w:pPr>
              <w:spacing w:before="0" w:after="0"/>
              <w:ind w:firstLine="0"/>
              <w:contextualSpacing/>
              <w:jc w:val="center"/>
              <w:rPr>
                <w:sz w:val="18"/>
                <w:szCs w:val="18"/>
              </w:rPr>
            </w:pPr>
            <w:r w:rsidRPr="00D76DDA">
              <w:rPr>
                <w:sz w:val="18"/>
                <w:szCs w:val="18"/>
              </w:rPr>
              <w:t>1 439,7</w:t>
            </w:r>
          </w:p>
        </w:tc>
        <w:tc>
          <w:tcPr>
            <w:tcW w:w="886" w:type="dxa"/>
            <w:gridSpan w:val="2"/>
            <w:noWrap/>
            <w:vAlign w:val="center"/>
          </w:tcPr>
          <w:p w14:paraId="5BD5F5F4" w14:textId="7E908801" w:rsidR="000E10A1" w:rsidRPr="00D76DDA" w:rsidRDefault="000E10A1" w:rsidP="00D76DDA">
            <w:pPr>
              <w:spacing w:before="0" w:after="0"/>
              <w:ind w:firstLine="0"/>
              <w:contextualSpacing/>
              <w:jc w:val="center"/>
              <w:rPr>
                <w:sz w:val="18"/>
                <w:szCs w:val="18"/>
              </w:rPr>
            </w:pPr>
            <w:r w:rsidRPr="00D76DDA">
              <w:rPr>
                <w:sz w:val="18"/>
                <w:szCs w:val="18"/>
              </w:rPr>
              <w:t>1 456,9</w:t>
            </w:r>
          </w:p>
        </w:tc>
        <w:tc>
          <w:tcPr>
            <w:tcW w:w="860" w:type="dxa"/>
            <w:noWrap/>
            <w:vAlign w:val="center"/>
          </w:tcPr>
          <w:p w14:paraId="3A497A3E" w14:textId="6FB7D3AD" w:rsidR="000E10A1" w:rsidRPr="00D76DDA" w:rsidRDefault="000E10A1" w:rsidP="00D76DDA">
            <w:pPr>
              <w:spacing w:before="0" w:after="0"/>
              <w:ind w:firstLine="0"/>
              <w:contextualSpacing/>
              <w:jc w:val="center"/>
              <w:rPr>
                <w:sz w:val="18"/>
                <w:szCs w:val="18"/>
              </w:rPr>
            </w:pPr>
            <w:r w:rsidRPr="00D76DDA">
              <w:rPr>
                <w:sz w:val="18"/>
                <w:szCs w:val="18"/>
              </w:rPr>
              <w:t>1 880,4</w:t>
            </w:r>
          </w:p>
        </w:tc>
        <w:tc>
          <w:tcPr>
            <w:tcW w:w="860" w:type="dxa"/>
            <w:noWrap/>
            <w:vAlign w:val="center"/>
          </w:tcPr>
          <w:p w14:paraId="2FE365E1" w14:textId="1A0C6D71" w:rsidR="000E10A1" w:rsidRPr="00D76DDA" w:rsidRDefault="000E10A1" w:rsidP="00D76DDA">
            <w:pPr>
              <w:spacing w:before="0" w:after="0"/>
              <w:ind w:firstLine="0"/>
              <w:contextualSpacing/>
              <w:jc w:val="center"/>
              <w:rPr>
                <w:sz w:val="18"/>
                <w:szCs w:val="18"/>
              </w:rPr>
            </w:pPr>
            <w:r w:rsidRPr="00D76DDA">
              <w:rPr>
                <w:sz w:val="18"/>
                <w:szCs w:val="18"/>
              </w:rPr>
              <w:t>1 845,0</w:t>
            </w:r>
          </w:p>
        </w:tc>
        <w:tc>
          <w:tcPr>
            <w:tcW w:w="878" w:type="dxa"/>
            <w:noWrap/>
            <w:vAlign w:val="center"/>
          </w:tcPr>
          <w:p w14:paraId="41C83BE9" w14:textId="4F33EFD1" w:rsidR="000E10A1" w:rsidRPr="00D76DDA" w:rsidRDefault="000E10A1" w:rsidP="00D76DDA">
            <w:pPr>
              <w:spacing w:before="0" w:after="0"/>
              <w:ind w:firstLine="0"/>
              <w:contextualSpacing/>
              <w:jc w:val="center"/>
              <w:rPr>
                <w:sz w:val="18"/>
                <w:szCs w:val="18"/>
              </w:rPr>
            </w:pPr>
            <w:r w:rsidRPr="00D76DDA">
              <w:rPr>
                <w:sz w:val="18"/>
                <w:szCs w:val="18"/>
              </w:rPr>
              <w:t>1 634,0</w:t>
            </w:r>
          </w:p>
        </w:tc>
      </w:tr>
      <w:tr w:rsidR="000E10A1" w:rsidRPr="00D16868" w14:paraId="2204E3BD" w14:textId="77777777" w:rsidTr="00D76DDA">
        <w:trPr>
          <w:trHeight w:val="65"/>
          <w:tblHeader/>
          <w:jc w:val="center"/>
        </w:trPr>
        <w:tc>
          <w:tcPr>
            <w:tcW w:w="3168" w:type="dxa"/>
            <w:noWrap/>
            <w:hideMark/>
          </w:tcPr>
          <w:p w14:paraId="0F2946D0" w14:textId="77777777" w:rsidR="000E10A1" w:rsidRPr="00D16868" w:rsidRDefault="000E10A1" w:rsidP="000E10A1">
            <w:pPr>
              <w:spacing w:before="0" w:after="0"/>
              <w:ind w:firstLineChars="100" w:firstLine="180"/>
              <w:contextualSpacing/>
              <w:jc w:val="left"/>
              <w:rPr>
                <w:rFonts w:eastAsia="Times New Roman"/>
                <w:sz w:val="18"/>
                <w:szCs w:val="18"/>
              </w:rPr>
            </w:pPr>
            <w:r w:rsidRPr="00D16868">
              <w:rPr>
                <w:rFonts w:eastAsia="Times New Roman"/>
                <w:sz w:val="18"/>
                <w:szCs w:val="18"/>
              </w:rPr>
              <w:t>Pārējie ieņēmumi</w:t>
            </w:r>
          </w:p>
        </w:tc>
        <w:tc>
          <w:tcPr>
            <w:tcW w:w="860" w:type="dxa"/>
            <w:noWrap/>
            <w:vAlign w:val="center"/>
          </w:tcPr>
          <w:p w14:paraId="3D8E4672" w14:textId="616CAFE4"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5,8</w:t>
            </w:r>
          </w:p>
        </w:tc>
        <w:tc>
          <w:tcPr>
            <w:tcW w:w="860" w:type="dxa"/>
            <w:noWrap/>
            <w:vAlign w:val="center"/>
          </w:tcPr>
          <w:p w14:paraId="163155B0" w14:textId="436F4061"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3,4</w:t>
            </w:r>
          </w:p>
        </w:tc>
        <w:tc>
          <w:tcPr>
            <w:tcW w:w="860" w:type="dxa"/>
            <w:noWrap/>
            <w:vAlign w:val="center"/>
          </w:tcPr>
          <w:p w14:paraId="7DB10558" w14:textId="5770DD68" w:rsidR="000E10A1" w:rsidRPr="00D76DDA" w:rsidRDefault="000E10A1" w:rsidP="00D76DDA">
            <w:pPr>
              <w:spacing w:before="0" w:after="0"/>
              <w:ind w:firstLine="0"/>
              <w:contextualSpacing/>
              <w:jc w:val="center"/>
              <w:rPr>
                <w:sz w:val="18"/>
                <w:szCs w:val="18"/>
              </w:rPr>
            </w:pPr>
            <w:r w:rsidRPr="00D76DDA">
              <w:rPr>
                <w:sz w:val="18"/>
                <w:szCs w:val="18"/>
              </w:rPr>
              <w:t>1,6</w:t>
            </w:r>
          </w:p>
        </w:tc>
        <w:tc>
          <w:tcPr>
            <w:tcW w:w="886" w:type="dxa"/>
            <w:gridSpan w:val="2"/>
            <w:noWrap/>
            <w:vAlign w:val="center"/>
          </w:tcPr>
          <w:p w14:paraId="0B26FAF5" w14:textId="09B10956" w:rsidR="000E10A1" w:rsidRPr="00D76DDA" w:rsidRDefault="000E10A1" w:rsidP="00D76DDA">
            <w:pPr>
              <w:spacing w:before="0" w:after="0"/>
              <w:ind w:firstLine="0"/>
              <w:contextualSpacing/>
              <w:jc w:val="center"/>
              <w:rPr>
                <w:sz w:val="18"/>
                <w:szCs w:val="18"/>
              </w:rPr>
            </w:pPr>
            <w:r w:rsidRPr="00D76DDA">
              <w:rPr>
                <w:sz w:val="18"/>
                <w:szCs w:val="18"/>
              </w:rPr>
              <w:t>1,7</w:t>
            </w:r>
          </w:p>
        </w:tc>
        <w:tc>
          <w:tcPr>
            <w:tcW w:w="860" w:type="dxa"/>
            <w:noWrap/>
            <w:vAlign w:val="center"/>
          </w:tcPr>
          <w:p w14:paraId="71763163" w14:textId="459F3C0D" w:rsidR="000E10A1" w:rsidRPr="00D76DDA" w:rsidRDefault="000E10A1" w:rsidP="00D76DDA">
            <w:pPr>
              <w:spacing w:before="0" w:after="0"/>
              <w:ind w:firstLine="0"/>
              <w:contextualSpacing/>
              <w:jc w:val="center"/>
              <w:rPr>
                <w:sz w:val="18"/>
                <w:szCs w:val="18"/>
              </w:rPr>
            </w:pPr>
            <w:r w:rsidRPr="00D76DDA">
              <w:rPr>
                <w:sz w:val="18"/>
                <w:szCs w:val="18"/>
              </w:rPr>
              <w:t>1,2</w:t>
            </w:r>
          </w:p>
        </w:tc>
        <w:tc>
          <w:tcPr>
            <w:tcW w:w="860" w:type="dxa"/>
            <w:noWrap/>
            <w:vAlign w:val="center"/>
          </w:tcPr>
          <w:p w14:paraId="5E519F7F" w14:textId="1F8F98D0" w:rsidR="000E10A1" w:rsidRPr="00D76DDA" w:rsidRDefault="000E10A1" w:rsidP="00D76DDA">
            <w:pPr>
              <w:spacing w:before="0" w:after="0"/>
              <w:ind w:firstLine="0"/>
              <w:contextualSpacing/>
              <w:jc w:val="center"/>
              <w:rPr>
                <w:sz w:val="18"/>
                <w:szCs w:val="18"/>
              </w:rPr>
            </w:pPr>
            <w:r w:rsidRPr="00D76DDA">
              <w:rPr>
                <w:sz w:val="18"/>
                <w:szCs w:val="18"/>
              </w:rPr>
              <w:t>1,2</w:t>
            </w:r>
          </w:p>
        </w:tc>
        <w:tc>
          <w:tcPr>
            <w:tcW w:w="878" w:type="dxa"/>
            <w:noWrap/>
            <w:vAlign w:val="center"/>
          </w:tcPr>
          <w:p w14:paraId="7C60A0C7" w14:textId="34083E86" w:rsidR="000E10A1" w:rsidRPr="00D76DDA" w:rsidRDefault="000E10A1" w:rsidP="00D76DDA">
            <w:pPr>
              <w:spacing w:before="0" w:after="0"/>
              <w:ind w:firstLine="0"/>
              <w:contextualSpacing/>
              <w:jc w:val="center"/>
              <w:rPr>
                <w:sz w:val="18"/>
                <w:szCs w:val="18"/>
              </w:rPr>
            </w:pPr>
            <w:r w:rsidRPr="00D76DDA">
              <w:rPr>
                <w:sz w:val="18"/>
                <w:szCs w:val="18"/>
              </w:rPr>
              <w:t>1,2</w:t>
            </w:r>
          </w:p>
        </w:tc>
      </w:tr>
      <w:tr w:rsidR="000E10A1" w:rsidRPr="00D16868" w14:paraId="5952C4F3" w14:textId="77777777" w:rsidTr="00D76DDA">
        <w:trPr>
          <w:trHeight w:val="65"/>
          <w:tblHeader/>
          <w:jc w:val="center"/>
        </w:trPr>
        <w:tc>
          <w:tcPr>
            <w:tcW w:w="3168" w:type="dxa"/>
            <w:noWrap/>
            <w:hideMark/>
          </w:tcPr>
          <w:p w14:paraId="30A17D70"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Izdevumi</w:t>
            </w:r>
          </w:p>
        </w:tc>
        <w:tc>
          <w:tcPr>
            <w:tcW w:w="860" w:type="dxa"/>
            <w:noWrap/>
            <w:vAlign w:val="center"/>
          </w:tcPr>
          <w:p w14:paraId="3E55F8DF" w14:textId="0B706694"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12 462,2</w:t>
            </w:r>
          </w:p>
        </w:tc>
        <w:tc>
          <w:tcPr>
            <w:tcW w:w="860" w:type="dxa"/>
            <w:noWrap/>
            <w:vAlign w:val="center"/>
          </w:tcPr>
          <w:p w14:paraId="03394BEC" w14:textId="357F2625"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14 394,0</w:t>
            </w:r>
          </w:p>
        </w:tc>
        <w:tc>
          <w:tcPr>
            <w:tcW w:w="860" w:type="dxa"/>
            <w:noWrap/>
            <w:vAlign w:val="center"/>
          </w:tcPr>
          <w:p w14:paraId="48224618" w14:textId="62994601" w:rsidR="000E10A1" w:rsidRPr="00D76DDA" w:rsidRDefault="000E10A1" w:rsidP="00D76DDA">
            <w:pPr>
              <w:spacing w:before="0" w:after="0"/>
              <w:ind w:firstLine="0"/>
              <w:contextualSpacing/>
              <w:jc w:val="center"/>
              <w:rPr>
                <w:sz w:val="18"/>
                <w:szCs w:val="18"/>
              </w:rPr>
            </w:pPr>
            <w:r w:rsidRPr="00D76DDA">
              <w:rPr>
                <w:sz w:val="18"/>
                <w:szCs w:val="18"/>
              </w:rPr>
              <w:t>15 724,5</w:t>
            </w:r>
          </w:p>
        </w:tc>
        <w:tc>
          <w:tcPr>
            <w:tcW w:w="886" w:type="dxa"/>
            <w:gridSpan w:val="2"/>
            <w:noWrap/>
            <w:vAlign w:val="center"/>
          </w:tcPr>
          <w:p w14:paraId="65E7EAC0" w14:textId="2B0444DB" w:rsidR="000E10A1" w:rsidRPr="00D76DDA" w:rsidRDefault="000E10A1" w:rsidP="00D76DDA">
            <w:pPr>
              <w:spacing w:before="0" w:after="0"/>
              <w:ind w:firstLine="0"/>
              <w:contextualSpacing/>
              <w:jc w:val="center"/>
              <w:rPr>
                <w:sz w:val="18"/>
                <w:szCs w:val="18"/>
              </w:rPr>
            </w:pPr>
            <w:r w:rsidRPr="00D76DDA">
              <w:rPr>
                <w:sz w:val="18"/>
                <w:szCs w:val="18"/>
              </w:rPr>
              <w:t>16 903,9</w:t>
            </w:r>
          </w:p>
        </w:tc>
        <w:tc>
          <w:tcPr>
            <w:tcW w:w="860" w:type="dxa"/>
            <w:noWrap/>
            <w:vAlign w:val="center"/>
          </w:tcPr>
          <w:p w14:paraId="0D25A50A" w14:textId="6858381B" w:rsidR="000E10A1" w:rsidRPr="00D76DDA" w:rsidRDefault="000E10A1" w:rsidP="00D76DDA">
            <w:pPr>
              <w:spacing w:before="0" w:after="0"/>
              <w:ind w:firstLine="0"/>
              <w:contextualSpacing/>
              <w:jc w:val="center"/>
              <w:rPr>
                <w:sz w:val="18"/>
                <w:szCs w:val="18"/>
              </w:rPr>
            </w:pPr>
            <w:r w:rsidRPr="00D76DDA">
              <w:rPr>
                <w:sz w:val="18"/>
                <w:szCs w:val="18"/>
              </w:rPr>
              <w:t>17 981,9</w:t>
            </w:r>
          </w:p>
        </w:tc>
        <w:tc>
          <w:tcPr>
            <w:tcW w:w="860" w:type="dxa"/>
            <w:noWrap/>
            <w:vAlign w:val="center"/>
          </w:tcPr>
          <w:p w14:paraId="78392993" w14:textId="4E12DF3A" w:rsidR="000E10A1" w:rsidRPr="00D76DDA" w:rsidRDefault="000E10A1" w:rsidP="00D76DDA">
            <w:pPr>
              <w:spacing w:before="0" w:after="0"/>
              <w:ind w:firstLine="0"/>
              <w:contextualSpacing/>
              <w:jc w:val="center"/>
              <w:rPr>
                <w:sz w:val="18"/>
                <w:szCs w:val="18"/>
              </w:rPr>
            </w:pPr>
            <w:r w:rsidRPr="00D76DDA">
              <w:rPr>
                <w:sz w:val="18"/>
                <w:szCs w:val="18"/>
              </w:rPr>
              <w:t>18 329,6</w:t>
            </w:r>
          </w:p>
        </w:tc>
        <w:tc>
          <w:tcPr>
            <w:tcW w:w="878" w:type="dxa"/>
            <w:noWrap/>
            <w:vAlign w:val="center"/>
          </w:tcPr>
          <w:p w14:paraId="43FCEE67" w14:textId="4303DD85" w:rsidR="000E10A1" w:rsidRPr="00D76DDA" w:rsidRDefault="000E10A1" w:rsidP="00D76DDA">
            <w:pPr>
              <w:spacing w:before="0" w:after="0"/>
              <w:ind w:firstLine="0"/>
              <w:contextualSpacing/>
              <w:jc w:val="center"/>
              <w:rPr>
                <w:sz w:val="18"/>
                <w:szCs w:val="18"/>
              </w:rPr>
            </w:pPr>
            <w:r w:rsidRPr="00D76DDA">
              <w:rPr>
                <w:sz w:val="18"/>
                <w:szCs w:val="18"/>
              </w:rPr>
              <w:t>18 180,6</w:t>
            </w:r>
          </w:p>
        </w:tc>
      </w:tr>
      <w:tr w:rsidR="000E10A1" w:rsidRPr="00D16868" w14:paraId="744C7366" w14:textId="77777777" w:rsidTr="00D76DDA">
        <w:trPr>
          <w:trHeight w:val="65"/>
          <w:tblHeader/>
          <w:jc w:val="center"/>
        </w:trPr>
        <w:tc>
          <w:tcPr>
            <w:tcW w:w="3168" w:type="dxa"/>
            <w:noWrap/>
            <w:hideMark/>
          </w:tcPr>
          <w:p w14:paraId="575A8ED2" w14:textId="0A6D7385" w:rsidR="000E10A1" w:rsidRPr="00D16868" w:rsidRDefault="000E10A1" w:rsidP="000E10A1">
            <w:pPr>
              <w:spacing w:before="0" w:after="0"/>
              <w:ind w:firstLine="0"/>
              <w:contextualSpacing/>
              <w:jc w:val="left"/>
              <w:rPr>
                <w:rFonts w:eastAsia="Times New Roman"/>
                <w:sz w:val="18"/>
                <w:szCs w:val="18"/>
              </w:rPr>
            </w:pPr>
            <w:r>
              <w:rPr>
                <w:rFonts w:eastAsia="Times New Roman"/>
                <w:sz w:val="18"/>
                <w:szCs w:val="18"/>
              </w:rPr>
              <w:t xml:space="preserve">    </w:t>
            </w:r>
            <w:r w:rsidRPr="00D16868">
              <w:rPr>
                <w:rFonts w:eastAsia="Times New Roman"/>
                <w:sz w:val="18"/>
                <w:szCs w:val="18"/>
              </w:rPr>
              <w:t>Atlīdzība</w:t>
            </w:r>
          </w:p>
        </w:tc>
        <w:tc>
          <w:tcPr>
            <w:tcW w:w="860" w:type="dxa"/>
            <w:noWrap/>
            <w:vAlign w:val="center"/>
          </w:tcPr>
          <w:p w14:paraId="4825E162" w14:textId="3024AE76"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2 712,2</w:t>
            </w:r>
          </w:p>
        </w:tc>
        <w:tc>
          <w:tcPr>
            <w:tcW w:w="860" w:type="dxa"/>
            <w:noWrap/>
            <w:vAlign w:val="center"/>
          </w:tcPr>
          <w:p w14:paraId="7044574C" w14:textId="2F368880"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2 939,5</w:t>
            </w:r>
          </w:p>
        </w:tc>
        <w:tc>
          <w:tcPr>
            <w:tcW w:w="860" w:type="dxa"/>
            <w:noWrap/>
            <w:vAlign w:val="center"/>
          </w:tcPr>
          <w:p w14:paraId="08D5F1A1" w14:textId="7E5D025E" w:rsidR="000E10A1" w:rsidRPr="00D76DDA" w:rsidRDefault="000E10A1" w:rsidP="00D76DDA">
            <w:pPr>
              <w:spacing w:before="0" w:after="0"/>
              <w:ind w:firstLine="0"/>
              <w:contextualSpacing/>
              <w:jc w:val="center"/>
              <w:rPr>
                <w:sz w:val="18"/>
                <w:szCs w:val="18"/>
              </w:rPr>
            </w:pPr>
            <w:r w:rsidRPr="00D76DDA">
              <w:rPr>
                <w:sz w:val="18"/>
                <w:szCs w:val="18"/>
              </w:rPr>
              <w:t>3 120,2</w:t>
            </w:r>
          </w:p>
        </w:tc>
        <w:tc>
          <w:tcPr>
            <w:tcW w:w="886" w:type="dxa"/>
            <w:gridSpan w:val="2"/>
            <w:noWrap/>
            <w:vAlign w:val="center"/>
          </w:tcPr>
          <w:p w14:paraId="12A35A13" w14:textId="5745EEFF" w:rsidR="000E10A1" w:rsidRPr="00D76DDA" w:rsidRDefault="000E10A1" w:rsidP="00D76DDA">
            <w:pPr>
              <w:spacing w:before="0" w:after="0"/>
              <w:ind w:firstLine="0"/>
              <w:contextualSpacing/>
              <w:jc w:val="center"/>
              <w:rPr>
                <w:sz w:val="18"/>
                <w:szCs w:val="18"/>
              </w:rPr>
            </w:pPr>
            <w:r w:rsidRPr="00D76DDA">
              <w:rPr>
                <w:sz w:val="18"/>
                <w:szCs w:val="18"/>
              </w:rPr>
              <w:t>3 543,1</w:t>
            </w:r>
          </w:p>
        </w:tc>
        <w:tc>
          <w:tcPr>
            <w:tcW w:w="860" w:type="dxa"/>
            <w:noWrap/>
            <w:vAlign w:val="center"/>
          </w:tcPr>
          <w:p w14:paraId="1FC3414D" w14:textId="4933ED4B" w:rsidR="000E10A1" w:rsidRPr="00D76DDA" w:rsidRDefault="000E10A1" w:rsidP="00D76DDA">
            <w:pPr>
              <w:spacing w:before="0" w:after="0"/>
              <w:ind w:firstLine="0"/>
              <w:contextualSpacing/>
              <w:jc w:val="center"/>
              <w:rPr>
                <w:sz w:val="18"/>
                <w:szCs w:val="18"/>
              </w:rPr>
            </w:pPr>
            <w:r w:rsidRPr="00D76DDA">
              <w:rPr>
                <w:sz w:val="18"/>
                <w:szCs w:val="18"/>
              </w:rPr>
              <w:t>3 723,4</w:t>
            </w:r>
          </w:p>
        </w:tc>
        <w:tc>
          <w:tcPr>
            <w:tcW w:w="860" w:type="dxa"/>
            <w:noWrap/>
            <w:vAlign w:val="center"/>
          </w:tcPr>
          <w:p w14:paraId="20ACFBDE" w14:textId="2B3A53AC" w:rsidR="000E10A1" w:rsidRPr="00D76DDA" w:rsidRDefault="000E10A1" w:rsidP="00D76DDA">
            <w:pPr>
              <w:spacing w:before="0" w:after="0"/>
              <w:ind w:firstLine="0"/>
              <w:contextualSpacing/>
              <w:jc w:val="center"/>
              <w:rPr>
                <w:sz w:val="18"/>
                <w:szCs w:val="18"/>
              </w:rPr>
            </w:pPr>
            <w:r w:rsidRPr="00D76DDA">
              <w:rPr>
                <w:sz w:val="18"/>
                <w:szCs w:val="18"/>
              </w:rPr>
              <w:t>3 737,3</w:t>
            </w:r>
          </w:p>
        </w:tc>
        <w:tc>
          <w:tcPr>
            <w:tcW w:w="878" w:type="dxa"/>
            <w:noWrap/>
            <w:vAlign w:val="center"/>
          </w:tcPr>
          <w:p w14:paraId="274745C6" w14:textId="1D7B54CA" w:rsidR="000E10A1" w:rsidRPr="00D76DDA" w:rsidRDefault="000E10A1" w:rsidP="00D76DDA">
            <w:pPr>
              <w:spacing w:before="0" w:after="0"/>
              <w:ind w:firstLine="0"/>
              <w:contextualSpacing/>
              <w:jc w:val="center"/>
              <w:rPr>
                <w:sz w:val="18"/>
                <w:szCs w:val="18"/>
              </w:rPr>
            </w:pPr>
            <w:r w:rsidRPr="00D76DDA">
              <w:rPr>
                <w:sz w:val="18"/>
                <w:szCs w:val="18"/>
              </w:rPr>
              <w:t>3 769,0</w:t>
            </w:r>
          </w:p>
        </w:tc>
      </w:tr>
      <w:tr w:rsidR="000E10A1" w:rsidRPr="00D16868" w14:paraId="551E4452" w14:textId="77777777" w:rsidTr="00D76DDA">
        <w:trPr>
          <w:trHeight w:val="65"/>
          <w:tblHeader/>
          <w:jc w:val="center"/>
        </w:trPr>
        <w:tc>
          <w:tcPr>
            <w:tcW w:w="3168" w:type="dxa"/>
            <w:noWrap/>
            <w:hideMark/>
          </w:tcPr>
          <w:p w14:paraId="33F41248" w14:textId="77777777" w:rsidR="000E10A1" w:rsidRPr="00D16868" w:rsidRDefault="000E10A1" w:rsidP="000E10A1">
            <w:pPr>
              <w:spacing w:before="0" w:after="0"/>
              <w:ind w:firstLineChars="100" w:firstLine="180"/>
              <w:contextualSpacing/>
              <w:jc w:val="left"/>
              <w:rPr>
                <w:rFonts w:eastAsia="Times New Roman"/>
                <w:sz w:val="18"/>
                <w:szCs w:val="18"/>
              </w:rPr>
            </w:pPr>
            <w:r w:rsidRPr="00D16868">
              <w:rPr>
                <w:rFonts w:eastAsia="Times New Roman"/>
                <w:sz w:val="18"/>
                <w:szCs w:val="18"/>
              </w:rPr>
              <w:t>Preces un pakalpojumi</w:t>
            </w:r>
          </w:p>
        </w:tc>
        <w:tc>
          <w:tcPr>
            <w:tcW w:w="860" w:type="dxa"/>
            <w:noWrap/>
            <w:vAlign w:val="center"/>
          </w:tcPr>
          <w:p w14:paraId="356E224F" w14:textId="3A810970"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1 470,2</w:t>
            </w:r>
          </w:p>
        </w:tc>
        <w:tc>
          <w:tcPr>
            <w:tcW w:w="860" w:type="dxa"/>
            <w:noWrap/>
            <w:vAlign w:val="center"/>
          </w:tcPr>
          <w:p w14:paraId="5D26F57B" w14:textId="4444FEF5"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1 554,6</w:t>
            </w:r>
          </w:p>
        </w:tc>
        <w:tc>
          <w:tcPr>
            <w:tcW w:w="860" w:type="dxa"/>
            <w:noWrap/>
            <w:vAlign w:val="center"/>
          </w:tcPr>
          <w:p w14:paraId="3AA46625" w14:textId="6345C4E2" w:rsidR="000E10A1" w:rsidRPr="00D76DDA" w:rsidRDefault="000E10A1" w:rsidP="00D76DDA">
            <w:pPr>
              <w:spacing w:before="0" w:after="0"/>
              <w:ind w:firstLine="0"/>
              <w:contextualSpacing/>
              <w:jc w:val="center"/>
              <w:rPr>
                <w:sz w:val="18"/>
                <w:szCs w:val="18"/>
              </w:rPr>
            </w:pPr>
            <w:r w:rsidRPr="00D76DDA">
              <w:rPr>
                <w:sz w:val="18"/>
                <w:szCs w:val="18"/>
              </w:rPr>
              <w:t>2 313,2</w:t>
            </w:r>
          </w:p>
        </w:tc>
        <w:tc>
          <w:tcPr>
            <w:tcW w:w="886" w:type="dxa"/>
            <w:gridSpan w:val="2"/>
            <w:noWrap/>
            <w:vAlign w:val="center"/>
          </w:tcPr>
          <w:p w14:paraId="4FEF79F3" w14:textId="1CE4CAA9" w:rsidR="000E10A1" w:rsidRPr="00D76DDA" w:rsidRDefault="000E10A1" w:rsidP="00D76DDA">
            <w:pPr>
              <w:spacing w:before="0" w:after="0"/>
              <w:ind w:firstLine="0"/>
              <w:contextualSpacing/>
              <w:jc w:val="center"/>
              <w:rPr>
                <w:sz w:val="18"/>
                <w:szCs w:val="18"/>
              </w:rPr>
            </w:pPr>
            <w:r w:rsidRPr="00D76DDA">
              <w:rPr>
                <w:sz w:val="18"/>
                <w:szCs w:val="18"/>
              </w:rPr>
              <w:t>2 054,5</w:t>
            </w:r>
          </w:p>
        </w:tc>
        <w:tc>
          <w:tcPr>
            <w:tcW w:w="860" w:type="dxa"/>
            <w:noWrap/>
            <w:vAlign w:val="center"/>
          </w:tcPr>
          <w:p w14:paraId="31263752" w14:textId="6E394711" w:rsidR="000E10A1" w:rsidRPr="00D76DDA" w:rsidRDefault="000E10A1" w:rsidP="00D76DDA">
            <w:pPr>
              <w:spacing w:before="0" w:after="0"/>
              <w:ind w:firstLine="0"/>
              <w:contextualSpacing/>
              <w:jc w:val="center"/>
              <w:rPr>
                <w:sz w:val="18"/>
                <w:szCs w:val="18"/>
              </w:rPr>
            </w:pPr>
            <w:r w:rsidRPr="00D76DDA">
              <w:rPr>
                <w:sz w:val="18"/>
                <w:szCs w:val="18"/>
              </w:rPr>
              <w:t>1 944,3</w:t>
            </w:r>
          </w:p>
        </w:tc>
        <w:tc>
          <w:tcPr>
            <w:tcW w:w="860" w:type="dxa"/>
            <w:noWrap/>
            <w:vAlign w:val="center"/>
          </w:tcPr>
          <w:p w14:paraId="222508AD" w14:textId="08693E8B" w:rsidR="000E10A1" w:rsidRPr="00D76DDA" w:rsidRDefault="000E10A1" w:rsidP="00D76DDA">
            <w:pPr>
              <w:spacing w:before="0" w:after="0"/>
              <w:ind w:firstLine="0"/>
              <w:contextualSpacing/>
              <w:jc w:val="center"/>
              <w:rPr>
                <w:sz w:val="18"/>
                <w:szCs w:val="18"/>
              </w:rPr>
            </w:pPr>
            <w:r w:rsidRPr="00D76DDA">
              <w:rPr>
                <w:sz w:val="18"/>
                <w:szCs w:val="18"/>
              </w:rPr>
              <w:t>1 994,8</w:t>
            </w:r>
          </w:p>
        </w:tc>
        <w:tc>
          <w:tcPr>
            <w:tcW w:w="878" w:type="dxa"/>
            <w:noWrap/>
            <w:vAlign w:val="center"/>
          </w:tcPr>
          <w:p w14:paraId="01CA9E0F" w14:textId="7FAC7CCE" w:rsidR="000E10A1" w:rsidRPr="00D76DDA" w:rsidRDefault="000E10A1" w:rsidP="00D76DDA">
            <w:pPr>
              <w:spacing w:before="0" w:after="0"/>
              <w:ind w:firstLine="0"/>
              <w:contextualSpacing/>
              <w:jc w:val="center"/>
              <w:rPr>
                <w:sz w:val="18"/>
                <w:szCs w:val="18"/>
              </w:rPr>
            </w:pPr>
            <w:r w:rsidRPr="00D76DDA">
              <w:rPr>
                <w:sz w:val="18"/>
                <w:szCs w:val="18"/>
              </w:rPr>
              <w:t>2 009,2</w:t>
            </w:r>
          </w:p>
        </w:tc>
      </w:tr>
      <w:tr w:rsidR="000E10A1" w:rsidRPr="00D16868" w14:paraId="0A5B310F" w14:textId="77777777" w:rsidTr="00D76DDA">
        <w:trPr>
          <w:trHeight w:val="65"/>
          <w:tblHeader/>
          <w:jc w:val="center"/>
        </w:trPr>
        <w:tc>
          <w:tcPr>
            <w:tcW w:w="3168" w:type="dxa"/>
            <w:noWrap/>
            <w:hideMark/>
          </w:tcPr>
          <w:p w14:paraId="052FD157" w14:textId="77777777" w:rsidR="000E10A1" w:rsidRPr="00D16868" w:rsidRDefault="000E10A1" w:rsidP="000E10A1">
            <w:pPr>
              <w:spacing w:before="0" w:after="0"/>
              <w:ind w:firstLineChars="100" w:firstLine="180"/>
              <w:contextualSpacing/>
              <w:jc w:val="left"/>
              <w:rPr>
                <w:rFonts w:eastAsia="Times New Roman"/>
                <w:sz w:val="18"/>
                <w:szCs w:val="18"/>
              </w:rPr>
            </w:pPr>
            <w:r w:rsidRPr="00D16868">
              <w:rPr>
                <w:rFonts w:eastAsia="Times New Roman"/>
                <w:sz w:val="18"/>
                <w:szCs w:val="18"/>
              </w:rPr>
              <w:t>Procentu izdevumi</w:t>
            </w:r>
          </w:p>
        </w:tc>
        <w:tc>
          <w:tcPr>
            <w:tcW w:w="860" w:type="dxa"/>
            <w:noWrap/>
            <w:vAlign w:val="center"/>
          </w:tcPr>
          <w:p w14:paraId="167EAF08" w14:textId="1947F6D5"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262,9</w:t>
            </w:r>
          </w:p>
        </w:tc>
        <w:tc>
          <w:tcPr>
            <w:tcW w:w="860" w:type="dxa"/>
            <w:noWrap/>
            <w:vAlign w:val="center"/>
          </w:tcPr>
          <w:p w14:paraId="150D70C5" w14:textId="1CF55ABE"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256,6</w:t>
            </w:r>
          </w:p>
        </w:tc>
        <w:tc>
          <w:tcPr>
            <w:tcW w:w="860" w:type="dxa"/>
            <w:noWrap/>
            <w:vAlign w:val="center"/>
          </w:tcPr>
          <w:p w14:paraId="3FABE525" w14:textId="1EDD41B4" w:rsidR="000E10A1" w:rsidRPr="00D76DDA" w:rsidRDefault="000E10A1" w:rsidP="00D76DDA">
            <w:pPr>
              <w:spacing w:before="0" w:after="0"/>
              <w:ind w:firstLine="0"/>
              <w:contextualSpacing/>
              <w:jc w:val="center"/>
              <w:rPr>
                <w:sz w:val="18"/>
                <w:szCs w:val="18"/>
              </w:rPr>
            </w:pPr>
            <w:r w:rsidRPr="00D76DDA">
              <w:rPr>
                <w:sz w:val="18"/>
                <w:szCs w:val="18"/>
              </w:rPr>
              <w:t>196,5</w:t>
            </w:r>
          </w:p>
        </w:tc>
        <w:tc>
          <w:tcPr>
            <w:tcW w:w="886" w:type="dxa"/>
            <w:gridSpan w:val="2"/>
            <w:noWrap/>
            <w:vAlign w:val="center"/>
          </w:tcPr>
          <w:p w14:paraId="4082A365" w14:textId="73D3ED47" w:rsidR="000E10A1" w:rsidRPr="00D76DDA" w:rsidRDefault="000E10A1" w:rsidP="00D76DDA">
            <w:pPr>
              <w:spacing w:before="0" w:after="0"/>
              <w:ind w:firstLine="0"/>
              <w:contextualSpacing/>
              <w:jc w:val="center"/>
              <w:rPr>
                <w:sz w:val="18"/>
                <w:szCs w:val="18"/>
              </w:rPr>
            </w:pPr>
            <w:r w:rsidRPr="00D76DDA">
              <w:rPr>
                <w:sz w:val="18"/>
                <w:szCs w:val="18"/>
              </w:rPr>
              <w:t>233,4</w:t>
            </w:r>
          </w:p>
        </w:tc>
        <w:tc>
          <w:tcPr>
            <w:tcW w:w="860" w:type="dxa"/>
            <w:noWrap/>
            <w:vAlign w:val="center"/>
          </w:tcPr>
          <w:p w14:paraId="6EC32332" w14:textId="2DE3A533" w:rsidR="000E10A1" w:rsidRPr="00D76DDA" w:rsidRDefault="000E10A1" w:rsidP="00D76DDA">
            <w:pPr>
              <w:spacing w:before="0" w:after="0"/>
              <w:ind w:firstLine="0"/>
              <w:contextualSpacing/>
              <w:jc w:val="center"/>
              <w:rPr>
                <w:sz w:val="18"/>
                <w:szCs w:val="18"/>
              </w:rPr>
            </w:pPr>
            <w:r w:rsidRPr="00D76DDA">
              <w:rPr>
                <w:sz w:val="18"/>
                <w:szCs w:val="18"/>
              </w:rPr>
              <w:t>382,0</w:t>
            </w:r>
          </w:p>
        </w:tc>
        <w:tc>
          <w:tcPr>
            <w:tcW w:w="860" w:type="dxa"/>
            <w:noWrap/>
            <w:vAlign w:val="center"/>
          </w:tcPr>
          <w:p w14:paraId="4F2A1645" w14:textId="2AD4D41D" w:rsidR="000E10A1" w:rsidRPr="00D76DDA" w:rsidRDefault="000E10A1" w:rsidP="00D76DDA">
            <w:pPr>
              <w:spacing w:before="0" w:after="0"/>
              <w:ind w:firstLine="0"/>
              <w:contextualSpacing/>
              <w:jc w:val="center"/>
              <w:rPr>
                <w:sz w:val="18"/>
                <w:szCs w:val="18"/>
              </w:rPr>
            </w:pPr>
            <w:r w:rsidRPr="00D76DDA">
              <w:rPr>
                <w:sz w:val="18"/>
                <w:szCs w:val="18"/>
              </w:rPr>
              <w:t>469,0</w:t>
            </w:r>
          </w:p>
        </w:tc>
        <w:tc>
          <w:tcPr>
            <w:tcW w:w="878" w:type="dxa"/>
            <w:noWrap/>
            <w:vAlign w:val="center"/>
          </w:tcPr>
          <w:p w14:paraId="1CA53E7E" w14:textId="68F50E9C" w:rsidR="000E10A1" w:rsidRPr="00D76DDA" w:rsidRDefault="000E10A1" w:rsidP="00D76DDA">
            <w:pPr>
              <w:spacing w:before="0" w:after="0"/>
              <w:ind w:firstLine="0"/>
              <w:contextualSpacing/>
              <w:jc w:val="center"/>
              <w:rPr>
                <w:sz w:val="18"/>
                <w:szCs w:val="18"/>
              </w:rPr>
            </w:pPr>
            <w:r w:rsidRPr="00D76DDA">
              <w:rPr>
                <w:sz w:val="18"/>
                <w:szCs w:val="18"/>
              </w:rPr>
              <w:t>508,5</w:t>
            </w:r>
          </w:p>
        </w:tc>
      </w:tr>
      <w:tr w:rsidR="000E10A1" w:rsidRPr="00D16868" w14:paraId="5D3093CA" w14:textId="77777777" w:rsidTr="00D76DDA">
        <w:trPr>
          <w:trHeight w:val="65"/>
          <w:tblHeader/>
          <w:jc w:val="center"/>
        </w:trPr>
        <w:tc>
          <w:tcPr>
            <w:tcW w:w="3168" w:type="dxa"/>
            <w:noWrap/>
            <w:hideMark/>
          </w:tcPr>
          <w:p w14:paraId="6775B249" w14:textId="77777777" w:rsidR="000E10A1" w:rsidRPr="00D16868" w:rsidRDefault="000E10A1" w:rsidP="000E10A1">
            <w:pPr>
              <w:spacing w:before="0" w:after="0"/>
              <w:ind w:firstLineChars="100" w:firstLine="180"/>
              <w:contextualSpacing/>
              <w:jc w:val="left"/>
              <w:rPr>
                <w:rFonts w:eastAsia="Times New Roman"/>
                <w:sz w:val="18"/>
                <w:szCs w:val="18"/>
              </w:rPr>
            </w:pPr>
            <w:r w:rsidRPr="00D16868">
              <w:rPr>
                <w:rFonts w:eastAsia="Times New Roman"/>
                <w:sz w:val="18"/>
                <w:szCs w:val="18"/>
              </w:rPr>
              <w:t>Subsīdijas un dotācijas</w:t>
            </w:r>
          </w:p>
        </w:tc>
        <w:tc>
          <w:tcPr>
            <w:tcW w:w="860" w:type="dxa"/>
            <w:noWrap/>
            <w:vAlign w:val="center"/>
          </w:tcPr>
          <w:p w14:paraId="2945904F" w14:textId="1F5B4F7A"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2 773,8</w:t>
            </w:r>
          </w:p>
        </w:tc>
        <w:tc>
          <w:tcPr>
            <w:tcW w:w="860" w:type="dxa"/>
            <w:noWrap/>
            <w:vAlign w:val="center"/>
          </w:tcPr>
          <w:p w14:paraId="6CBDEEDA" w14:textId="0AE01530"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3 627,6</w:t>
            </w:r>
          </w:p>
        </w:tc>
        <w:tc>
          <w:tcPr>
            <w:tcW w:w="860" w:type="dxa"/>
            <w:noWrap/>
            <w:vAlign w:val="center"/>
          </w:tcPr>
          <w:p w14:paraId="4D811E53" w14:textId="0754AEF9" w:rsidR="000E10A1" w:rsidRPr="00D76DDA" w:rsidRDefault="000E10A1" w:rsidP="00D76DDA">
            <w:pPr>
              <w:spacing w:before="0" w:after="0"/>
              <w:ind w:firstLine="0"/>
              <w:contextualSpacing/>
              <w:jc w:val="center"/>
              <w:rPr>
                <w:sz w:val="18"/>
                <w:szCs w:val="18"/>
              </w:rPr>
            </w:pPr>
            <w:r w:rsidRPr="00D76DDA">
              <w:rPr>
                <w:sz w:val="18"/>
                <w:szCs w:val="18"/>
              </w:rPr>
              <w:t>3 840,9</w:t>
            </w:r>
          </w:p>
        </w:tc>
        <w:tc>
          <w:tcPr>
            <w:tcW w:w="886" w:type="dxa"/>
            <w:gridSpan w:val="2"/>
            <w:noWrap/>
            <w:vAlign w:val="center"/>
          </w:tcPr>
          <w:p w14:paraId="6D753D2D" w14:textId="7EC38E62" w:rsidR="000E10A1" w:rsidRPr="00D76DDA" w:rsidRDefault="000E10A1" w:rsidP="00D76DDA">
            <w:pPr>
              <w:spacing w:before="0" w:after="0"/>
              <w:ind w:firstLine="0"/>
              <w:contextualSpacing/>
              <w:jc w:val="center"/>
              <w:rPr>
                <w:sz w:val="18"/>
                <w:szCs w:val="18"/>
              </w:rPr>
            </w:pPr>
            <w:r w:rsidRPr="00D76DDA">
              <w:rPr>
                <w:sz w:val="18"/>
                <w:szCs w:val="18"/>
              </w:rPr>
              <w:t>4 260,8</w:t>
            </w:r>
          </w:p>
        </w:tc>
        <w:tc>
          <w:tcPr>
            <w:tcW w:w="860" w:type="dxa"/>
            <w:noWrap/>
            <w:vAlign w:val="center"/>
          </w:tcPr>
          <w:p w14:paraId="45B8DE2F" w14:textId="6997A160" w:rsidR="000E10A1" w:rsidRPr="00D76DDA" w:rsidRDefault="000E10A1" w:rsidP="00D76DDA">
            <w:pPr>
              <w:spacing w:before="0" w:after="0"/>
              <w:ind w:firstLine="0"/>
              <w:contextualSpacing/>
              <w:jc w:val="center"/>
              <w:rPr>
                <w:sz w:val="18"/>
                <w:szCs w:val="18"/>
              </w:rPr>
            </w:pPr>
            <w:r w:rsidRPr="00D76DDA">
              <w:rPr>
                <w:sz w:val="18"/>
                <w:szCs w:val="18"/>
              </w:rPr>
              <w:t>4 748,3</w:t>
            </w:r>
          </w:p>
        </w:tc>
        <w:tc>
          <w:tcPr>
            <w:tcW w:w="860" w:type="dxa"/>
            <w:noWrap/>
            <w:vAlign w:val="center"/>
          </w:tcPr>
          <w:p w14:paraId="60308E35" w14:textId="7CEFD8D3" w:rsidR="000E10A1" w:rsidRPr="00D76DDA" w:rsidRDefault="000E10A1" w:rsidP="00D76DDA">
            <w:pPr>
              <w:spacing w:before="0" w:after="0"/>
              <w:ind w:firstLine="0"/>
              <w:contextualSpacing/>
              <w:jc w:val="center"/>
              <w:rPr>
                <w:sz w:val="18"/>
                <w:szCs w:val="18"/>
              </w:rPr>
            </w:pPr>
            <w:r w:rsidRPr="00D76DDA">
              <w:rPr>
                <w:sz w:val="18"/>
                <w:szCs w:val="18"/>
              </w:rPr>
              <w:t>4 685,0</w:t>
            </w:r>
          </w:p>
        </w:tc>
        <w:tc>
          <w:tcPr>
            <w:tcW w:w="878" w:type="dxa"/>
            <w:noWrap/>
            <w:vAlign w:val="center"/>
          </w:tcPr>
          <w:p w14:paraId="41CC7EFD" w14:textId="69FEFF91" w:rsidR="000E10A1" w:rsidRPr="00D76DDA" w:rsidRDefault="000E10A1" w:rsidP="00D76DDA">
            <w:pPr>
              <w:spacing w:before="0" w:after="0"/>
              <w:ind w:firstLine="0"/>
              <w:contextualSpacing/>
              <w:jc w:val="center"/>
              <w:rPr>
                <w:sz w:val="18"/>
                <w:szCs w:val="18"/>
              </w:rPr>
            </w:pPr>
            <w:r w:rsidRPr="00D76DDA">
              <w:rPr>
                <w:sz w:val="18"/>
                <w:szCs w:val="18"/>
              </w:rPr>
              <w:t>3 874,8</w:t>
            </w:r>
          </w:p>
        </w:tc>
      </w:tr>
      <w:tr w:rsidR="000E10A1" w:rsidRPr="00D16868" w14:paraId="40E89F22" w14:textId="77777777" w:rsidTr="00D76DDA">
        <w:trPr>
          <w:trHeight w:val="65"/>
          <w:tblHeader/>
          <w:jc w:val="center"/>
        </w:trPr>
        <w:tc>
          <w:tcPr>
            <w:tcW w:w="3168" w:type="dxa"/>
            <w:noWrap/>
            <w:hideMark/>
          </w:tcPr>
          <w:p w14:paraId="2BA28B18" w14:textId="77777777" w:rsidR="000E10A1" w:rsidRPr="00D16868" w:rsidRDefault="000E10A1" w:rsidP="000E10A1">
            <w:pPr>
              <w:spacing w:before="0" w:after="0"/>
              <w:ind w:firstLineChars="100" w:firstLine="180"/>
              <w:contextualSpacing/>
              <w:jc w:val="left"/>
              <w:rPr>
                <w:rFonts w:eastAsia="Times New Roman"/>
                <w:sz w:val="18"/>
                <w:szCs w:val="18"/>
              </w:rPr>
            </w:pPr>
            <w:r w:rsidRPr="00D16868">
              <w:rPr>
                <w:rFonts w:eastAsia="Times New Roman"/>
                <w:sz w:val="18"/>
                <w:szCs w:val="18"/>
              </w:rPr>
              <w:t>Sociālie pabalsti</w:t>
            </w:r>
          </w:p>
        </w:tc>
        <w:tc>
          <w:tcPr>
            <w:tcW w:w="860" w:type="dxa"/>
            <w:noWrap/>
            <w:vAlign w:val="center"/>
          </w:tcPr>
          <w:p w14:paraId="15BEE1FA" w14:textId="56E4E052"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3 620,3</w:t>
            </w:r>
          </w:p>
        </w:tc>
        <w:tc>
          <w:tcPr>
            <w:tcW w:w="860" w:type="dxa"/>
            <w:noWrap/>
            <w:vAlign w:val="center"/>
          </w:tcPr>
          <w:p w14:paraId="56EFE785" w14:textId="024480E3"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4 291,3</w:t>
            </w:r>
          </w:p>
        </w:tc>
        <w:tc>
          <w:tcPr>
            <w:tcW w:w="860" w:type="dxa"/>
            <w:noWrap/>
            <w:vAlign w:val="center"/>
          </w:tcPr>
          <w:p w14:paraId="4C91BFE5" w14:textId="4542A2B9" w:rsidR="000E10A1" w:rsidRPr="00D76DDA" w:rsidRDefault="000E10A1" w:rsidP="00D76DDA">
            <w:pPr>
              <w:spacing w:before="0" w:after="0"/>
              <w:ind w:firstLine="0"/>
              <w:contextualSpacing/>
              <w:jc w:val="center"/>
              <w:rPr>
                <w:sz w:val="18"/>
                <w:szCs w:val="18"/>
              </w:rPr>
            </w:pPr>
            <w:r w:rsidRPr="00D76DDA">
              <w:rPr>
                <w:sz w:val="18"/>
                <w:szCs w:val="18"/>
              </w:rPr>
              <w:t>4 523,6</w:t>
            </w:r>
          </w:p>
        </w:tc>
        <w:tc>
          <w:tcPr>
            <w:tcW w:w="886" w:type="dxa"/>
            <w:gridSpan w:val="2"/>
            <w:noWrap/>
            <w:vAlign w:val="center"/>
          </w:tcPr>
          <w:p w14:paraId="0E7B8139" w14:textId="71973F5D" w:rsidR="000E10A1" w:rsidRPr="00D76DDA" w:rsidRDefault="000E10A1" w:rsidP="00D76DDA">
            <w:pPr>
              <w:spacing w:before="0" w:after="0"/>
              <w:ind w:firstLine="0"/>
              <w:contextualSpacing/>
              <w:jc w:val="center"/>
              <w:rPr>
                <w:sz w:val="18"/>
                <w:szCs w:val="18"/>
              </w:rPr>
            </w:pPr>
            <w:r w:rsidRPr="00D76DDA">
              <w:rPr>
                <w:sz w:val="18"/>
                <w:szCs w:val="18"/>
              </w:rPr>
              <w:t>4 829,1</w:t>
            </w:r>
          </w:p>
        </w:tc>
        <w:tc>
          <w:tcPr>
            <w:tcW w:w="860" w:type="dxa"/>
            <w:noWrap/>
            <w:vAlign w:val="center"/>
          </w:tcPr>
          <w:p w14:paraId="331910B2" w14:textId="49DF11F1" w:rsidR="000E10A1" w:rsidRPr="00D76DDA" w:rsidRDefault="000E10A1" w:rsidP="00D76DDA">
            <w:pPr>
              <w:spacing w:before="0" w:after="0"/>
              <w:ind w:firstLine="0"/>
              <w:contextualSpacing/>
              <w:jc w:val="center"/>
              <w:rPr>
                <w:sz w:val="18"/>
                <w:szCs w:val="18"/>
              </w:rPr>
            </w:pPr>
            <w:r w:rsidRPr="00D76DDA">
              <w:rPr>
                <w:sz w:val="18"/>
                <w:szCs w:val="18"/>
              </w:rPr>
              <w:t>5 164,0</w:t>
            </w:r>
          </w:p>
        </w:tc>
        <w:tc>
          <w:tcPr>
            <w:tcW w:w="860" w:type="dxa"/>
            <w:noWrap/>
            <w:vAlign w:val="center"/>
          </w:tcPr>
          <w:p w14:paraId="63A23DDA" w14:textId="1E4C8CFF" w:rsidR="000E10A1" w:rsidRPr="00D76DDA" w:rsidRDefault="000E10A1" w:rsidP="00D76DDA">
            <w:pPr>
              <w:spacing w:before="0" w:after="0"/>
              <w:ind w:firstLine="0"/>
              <w:contextualSpacing/>
              <w:jc w:val="center"/>
              <w:rPr>
                <w:sz w:val="18"/>
                <w:szCs w:val="18"/>
              </w:rPr>
            </w:pPr>
            <w:r w:rsidRPr="00D76DDA">
              <w:rPr>
                <w:sz w:val="18"/>
                <w:szCs w:val="18"/>
              </w:rPr>
              <w:t>5 500,8</w:t>
            </w:r>
          </w:p>
        </w:tc>
        <w:tc>
          <w:tcPr>
            <w:tcW w:w="878" w:type="dxa"/>
            <w:noWrap/>
            <w:vAlign w:val="center"/>
          </w:tcPr>
          <w:p w14:paraId="622BAF15" w14:textId="4D717051" w:rsidR="000E10A1" w:rsidRPr="00D76DDA" w:rsidRDefault="000E10A1" w:rsidP="00D76DDA">
            <w:pPr>
              <w:spacing w:before="0" w:after="0"/>
              <w:ind w:firstLine="0"/>
              <w:contextualSpacing/>
              <w:jc w:val="center"/>
              <w:rPr>
                <w:sz w:val="18"/>
                <w:szCs w:val="18"/>
              </w:rPr>
            </w:pPr>
            <w:r w:rsidRPr="00D76DDA">
              <w:rPr>
                <w:sz w:val="18"/>
                <w:szCs w:val="18"/>
              </w:rPr>
              <w:t>5 896,8</w:t>
            </w:r>
          </w:p>
        </w:tc>
      </w:tr>
      <w:tr w:rsidR="000E10A1" w:rsidRPr="00D16868" w14:paraId="484D5898" w14:textId="77777777" w:rsidTr="00D76DDA">
        <w:trPr>
          <w:trHeight w:val="65"/>
          <w:tblHeader/>
          <w:jc w:val="center"/>
        </w:trPr>
        <w:tc>
          <w:tcPr>
            <w:tcW w:w="3168" w:type="dxa"/>
            <w:noWrap/>
            <w:hideMark/>
          </w:tcPr>
          <w:p w14:paraId="372DA169" w14:textId="77777777" w:rsidR="000E10A1" w:rsidRPr="00D16868" w:rsidRDefault="000E10A1" w:rsidP="000E10A1">
            <w:pPr>
              <w:spacing w:before="0" w:after="0"/>
              <w:ind w:firstLineChars="100" w:firstLine="180"/>
              <w:contextualSpacing/>
              <w:jc w:val="left"/>
              <w:rPr>
                <w:rFonts w:eastAsia="Times New Roman"/>
                <w:sz w:val="18"/>
                <w:szCs w:val="18"/>
              </w:rPr>
            </w:pPr>
            <w:r w:rsidRPr="00D16868">
              <w:rPr>
                <w:rFonts w:eastAsia="Times New Roman"/>
                <w:sz w:val="18"/>
                <w:szCs w:val="18"/>
              </w:rPr>
              <w:t>Iemaksas ES budžetā</w:t>
            </w:r>
          </w:p>
        </w:tc>
        <w:tc>
          <w:tcPr>
            <w:tcW w:w="860" w:type="dxa"/>
            <w:noWrap/>
            <w:vAlign w:val="center"/>
          </w:tcPr>
          <w:p w14:paraId="6C960C9D" w14:textId="48FDBE68"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321,6</w:t>
            </w:r>
          </w:p>
        </w:tc>
        <w:tc>
          <w:tcPr>
            <w:tcW w:w="860" w:type="dxa"/>
            <w:noWrap/>
            <w:vAlign w:val="center"/>
          </w:tcPr>
          <w:p w14:paraId="536ECA36" w14:textId="1305EB5A"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398,4</w:t>
            </w:r>
          </w:p>
        </w:tc>
        <w:tc>
          <w:tcPr>
            <w:tcW w:w="860" w:type="dxa"/>
            <w:noWrap/>
            <w:vAlign w:val="center"/>
          </w:tcPr>
          <w:p w14:paraId="5C50581A" w14:textId="7A42D7FF" w:rsidR="000E10A1" w:rsidRPr="00D76DDA" w:rsidRDefault="000E10A1" w:rsidP="00D76DDA">
            <w:pPr>
              <w:spacing w:before="0" w:after="0"/>
              <w:ind w:firstLine="0"/>
              <w:contextualSpacing/>
              <w:jc w:val="center"/>
              <w:rPr>
                <w:sz w:val="18"/>
                <w:szCs w:val="18"/>
              </w:rPr>
            </w:pPr>
            <w:r w:rsidRPr="00D76DDA">
              <w:rPr>
                <w:sz w:val="18"/>
                <w:szCs w:val="18"/>
              </w:rPr>
              <w:t>391,9</w:t>
            </w:r>
          </w:p>
        </w:tc>
        <w:tc>
          <w:tcPr>
            <w:tcW w:w="886" w:type="dxa"/>
            <w:gridSpan w:val="2"/>
            <w:noWrap/>
            <w:vAlign w:val="center"/>
          </w:tcPr>
          <w:p w14:paraId="1150B929" w14:textId="57B3AED5" w:rsidR="000E10A1" w:rsidRPr="00D76DDA" w:rsidRDefault="000E10A1" w:rsidP="00D76DDA">
            <w:pPr>
              <w:spacing w:before="0" w:after="0"/>
              <w:ind w:firstLine="0"/>
              <w:contextualSpacing/>
              <w:jc w:val="center"/>
              <w:rPr>
                <w:sz w:val="18"/>
                <w:szCs w:val="18"/>
              </w:rPr>
            </w:pPr>
            <w:r w:rsidRPr="00D76DDA">
              <w:rPr>
                <w:sz w:val="18"/>
                <w:szCs w:val="18"/>
              </w:rPr>
              <w:t>407,8</w:t>
            </w:r>
          </w:p>
        </w:tc>
        <w:tc>
          <w:tcPr>
            <w:tcW w:w="860" w:type="dxa"/>
            <w:noWrap/>
            <w:vAlign w:val="center"/>
          </w:tcPr>
          <w:p w14:paraId="60DC19F5" w14:textId="78118321" w:rsidR="000E10A1" w:rsidRPr="00D76DDA" w:rsidRDefault="000E10A1" w:rsidP="00D76DDA">
            <w:pPr>
              <w:spacing w:before="0" w:after="0"/>
              <w:ind w:firstLine="0"/>
              <w:contextualSpacing/>
              <w:jc w:val="center"/>
              <w:rPr>
                <w:sz w:val="18"/>
                <w:szCs w:val="18"/>
              </w:rPr>
            </w:pPr>
            <w:r w:rsidRPr="00D76DDA">
              <w:rPr>
                <w:sz w:val="18"/>
                <w:szCs w:val="18"/>
              </w:rPr>
              <w:t>424,0</w:t>
            </w:r>
          </w:p>
        </w:tc>
        <w:tc>
          <w:tcPr>
            <w:tcW w:w="860" w:type="dxa"/>
            <w:noWrap/>
            <w:vAlign w:val="center"/>
          </w:tcPr>
          <w:p w14:paraId="76DCB174" w14:textId="0A15F8E6" w:rsidR="000E10A1" w:rsidRPr="00D76DDA" w:rsidRDefault="000E10A1" w:rsidP="00D76DDA">
            <w:pPr>
              <w:spacing w:before="0" w:after="0"/>
              <w:ind w:firstLine="0"/>
              <w:contextualSpacing/>
              <w:jc w:val="center"/>
              <w:rPr>
                <w:sz w:val="18"/>
                <w:szCs w:val="18"/>
              </w:rPr>
            </w:pPr>
            <w:r w:rsidRPr="00D76DDA">
              <w:rPr>
                <w:sz w:val="18"/>
                <w:szCs w:val="18"/>
              </w:rPr>
              <w:t>434,5</w:t>
            </w:r>
          </w:p>
        </w:tc>
        <w:tc>
          <w:tcPr>
            <w:tcW w:w="878" w:type="dxa"/>
            <w:noWrap/>
            <w:vAlign w:val="center"/>
          </w:tcPr>
          <w:p w14:paraId="0B90AD19" w14:textId="258E8B3A" w:rsidR="000E10A1" w:rsidRPr="00D76DDA" w:rsidRDefault="000E10A1" w:rsidP="00D76DDA">
            <w:pPr>
              <w:spacing w:before="0" w:after="0"/>
              <w:ind w:firstLine="0"/>
              <w:contextualSpacing/>
              <w:jc w:val="center"/>
              <w:rPr>
                <w:sz w:val="18"/>
                <w:szCs w:val="18"/>
              </w:rPr>
            </w:pPr>
            <w:r w:rsidRPr="00D76DDA">
              <w:rPr>
                <w:sz w:val="18"/>
                <w:szCs w:val="18"/>
              </w:rPr>
              <w:t>476,2</w:t>
            </w:r>
          </w:p>
        </w:tc>
      </w:tr>
      <w:tr w:rsidR="000E10A1" w:rsidRPr="00D16868" w14:paraId="6FC9861C" w14:textId="77777777" w:rsidTr="00D76DDA">
        <w:trPr>
          <w:trHeight w:val="65"/>
          <w:tblHeader/>
          <w:jc w:val="center"/>
        </w:trPr>
        <w:tc>
          <w:tcPr>
            <w:tcW w:w="3168" w:type="dxa"/>
            <w:noWrap/>
            <w:hideMark/>
          </w:tcPr>
          <w:p w14:paraId="5A4CA81E" w14:textId="77777777" w:rsidR="000E10A1" w:rsidRPr="00D16868" w:rsidRDefault="000E10A1" w:rsidP="000E10A1">
            <w:pPr>
              <w:spacing w:before="0" w:after="0"/>
              <w:ind w:firstLineChars="100" w:firstLine="180"/>
              <w:contextualSpacing/>
              <w:jc w:val="left"/>
              <w:rPr>
                <w:rFonts w:eastAsia="Times New Roman"/>
                <w:sz w:val="18"/>
                <w:szCs w:val="18"/>
              </w:rPr>
            </w:pPr>
            <w:r w:rsidRPr="00D16868">
              <w:rPr>
                <w:rFonts w:eastAsia="Times New Roman"/>
                <w:sz w:val="18"/>
                <w:szCs w:val="18"/>
              </w:rPr>
              <w:t>Kapitālie izdevumi</w:t>
            </w:r>
          </w:p>
        </w:tc>
        <w:tc>
          <w:tcPr>
            <w:tcW w:w="860" w:type="dxa"/>
            <w:noWrap/>
            <w:vAlign w:val="center"/>
          </w:tcPr>
          <w:p w14:paraId="49DA6C20" w14:textId="12F4E23A"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1 251,9</w:t>
            </w:r>
          </w:p>
        </w:tc>
        <w:tc>
          <w:tcPr>
            <w:tcW w:w="860" w:type="dxa"/>
            <w:noWrap/>
            <w:vAlign w:val="center"/>
          </w:tcPr>
          <w:p w14:paraId="5B72F0AC" w14:textId="686043BB"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1 268,2</w:t>
            </w:r>
          </w:p>
        </w:tc>
        <w:tc>
          <w:tcPr>
            <w:tcW w:w="860" w:type="dxa"/>
            <w:noWrap/>
            <w:vAlign w:val="center"/>
          </w:tcPr>
          <w:p w14:paraId="6387E9A6" w14:textId="0DBE695F" w:rsidR="000E10A1" w:rsidRPr="00D76DDA" w:rsidRDefault="000E10A1" w:rsidP="00D76DDA">
            <w:pPr>
              <w:spacing w:before="0" w:after="0"/>
              <w:ind w:firstLine="0"/>
              <w:contextualSpacing/>
              <w:jc w:val="center"/>
              <w:rPr>
                <w:sz w:val="18"/>
                <w:szCs w:val="18"/>
              </w:rPr>
            </w:pPr>
            <w:r w:rsidRPr="00D76DDA">
              <w:rPr>
                <w:sz w:val="18"/>
                <w:szCs w:val="18"/>
              </w:rPr>
              <w:t>1 280,4</w:t>
            </w:r>
          </w:p>
        </w:tc>
        <w:tc>
          <w:tcPr>
            <w:tcW w:w="886" w:type="dxa"/>
            <w:gridSpan w:val="2"/>
            <w:noWrap/>
            <w:vAlign w:val="center"/>
          </w:tcPr>
          <w:p w14:paraId="701B661C" w14:textId="27922A0F" w:rsidR="000E10A1" w:rsidRPr="00D76DDA" w:rsidRDefault="000E10A1" w:rsidP="00D76DDA">
            <w:pPr>
              <w:spacing w:before="0" w:after="0"/>
              <w:ind w:firstLine="0"/>
              <w:contextualSpacing/>
              <w:jc w:val="center"/>
              <w:rPr>
                <w:sz w:val="18"/>
                <w:szCs w:val="18"/>
              </w:rPr>
            </w:pPr>
            <w:r w:rsidRPr="00D76DDA">
              <w:rPr>
                <w:sz w:val="18"/>
                <w:szCs w:val="18"/>
              </w:rPr>
              <w:t>1 485,0</w:t>
            </w:r>
          </w:p>
        </w:tc>
        <w:tc>
          <w:tcPr>
            <w:tcW w:w="860" w:type="dxa"/>
            <w:noWrap/>
            <w:vAlign w:val="center"/>
          </w:tcPr>
          <w:p w14:paraId="66293415" w14:textId="7C45EC1D" w:rsidR="000E10A1" w:rsidRPr="00D76DDA" w:rsidRDefault="000E10A1" w:rsidP="00D76DDA">
            <w:pPr>
              <w:spacing w:before="0" w:after="0"/>
              <w:ind w:firstLine="0"/>
              <w:contextualSpacing/>
              <w:jc w:val="center"/>
              <w:rPr>
                <w:sz w:val="18"/>
                <w:szCs w:val="18"/>
              </w:rPr>
            </w:pPr>
            <w:r w:rsidRPr="00D76DDA">
              <w:rPr>
                <w:sz w:val="18"/>
                <w:szCs w:val="18"/>
              </w:rPr>
              <w:t>1 545,1</w:t>
            </w:r>
          </w:p>
        </w:tc>
        <w:tc>
          <w:tcPr>
            <w:tcW w:w="860" w:type="dxa"/>
            <w:noWrap/>
            <w:vAlign w:val="center"/>
          </w:tcPr>
          <w:p w14:paraId="55C009D5" w14:textId="4A0D03F5" w:rsidR="000E10A1" w:rsidRPr="00D76DDA" w:rsidRDefault="000E10A1" w:rsidP="00D76DDA">
            <w:pPr>
              <w:spacing w:before="0" w:after="0"/>
              <w:ind w:firstLine="0"/>
              <w:contextualSpacing/>
              <w:jc w:val="center"/>
              <w:rPr>
                <w:sz w:val="18"/>
                <w:szCs w:val="18"/>
              </w:rPr>
            </w:pPr>
            <w:r w:rsidRPr="00D76DDA">
              <w:rPr>
                <w:sz w:val="18"/>
                <w:szCs w:val="18"/>
              </w:rPr>
              <w:t>1 458,8</w:t>
            </w:r>
          </w:p>
        </w:tc>
        <w:tc>
          <w:tcPr>
            <w:tcW w:w="878" w:type="dxa"/>
            <w:noWrap/>
            <w:vAlign w:val="center"/>
          </w:tcPr>
          <w:p w14:paraId="4346020D" w14:textId="51A4162B" w:rsidR="000E10A1" w:rsidRPr="00D76DDA" w:rsidRDefault="000E10A1" w:rsidP="00D76DDA">
            <w:pPr>
              <w:spacing w:before="0" w:after="0"/>
              <w:ind w:firstLine="0"/>
              <w:contextualSpacing/>
              <w:jc w:val="center"/>
              <w:rPr>
                <w:sz w:val="18"/>
                <w:szCs w:val="18"/>
              </w:rPr>
            </w:pPr>
            <w:r w:rsidRPr="00D76DDA">
              <w:rPr>
                <w:sz w:val="18"/>
                <w:szCs w:val="18"/>
              </w:rPr>
              <w:t>1 596,8</w:t>
            </w:r>
          </w:p>
        </w:tc>
      </w:tr>
      <w:tr w:rsidR="000E10A1" w:rsidRPr="00D16868" w14:paraId="7C919BB2" w14:textId="77777777" w:rsidTr="00D76DDA">
        <w:trPr>
          <w:trHeight w:val="65"/>
          <w:tblHeader/>
          <w:jc w:val="center"/>
        </w:trPr>
        <w:tc>
          <w:tcPr>
            <w:tcW w:w="3168" w:type="dxa"/>
            <w:noWrap/>
            <w:hideMark/>
          </w:tcPr>
          <w:p w14:paraId="212AD4C3" w14:textId="77777777" w:rsidR="000E10A1" w:rsidRPr="00D16868" w:rsidRDefault="000E10A1" w:rsidP="000E10A1">
            <w:pPr>
              <w:spacing w:before="0" w:after="0"/>
              <w:ind w:firstLineChars="100" w:firstLine="180"/>
              <w:contextualSpacing/>
              <w:jc w:val="left"/>
              <w:rPr>
                <w:rFonts w:eastAsia="Times New Roman"/>
                <w:sz w:val="18"/>
                <w:szCs w:val="18"/>
              </w:rPr>
            </w:pPr>
            <w:r w:rsidRPr="00D16868">
              <w:rPr>
                <w:rFonts w:eastAsia="Times New Roman"/>
                <w:sz w:val="18"/>
                <w:szCs w:val="18"/>
              </w:rPr>
              <w:t>Pārējie izdevumi</w:t>
            </w:r>
          </w:p>
        </w:tc>
        <w:tc>
          <w:tcPr>
            <w:tcW w:w="860" w:type="dxa"/>
            <w:noWrap/>
            <w:vAlign w:val="center"/>
          </w:tcPr>
          <w:p w14:paraId="03310899" w14:textId="78DFA84F"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49,4</w:t>
            </w:r>
          </w:p>
        </w:tc>
        <w:tc>
          <w:tcPr>
            <w:tcW w:w="860" w:type="dxa"/>
            <w:noWrap/>
            <w:vAlign w:val="center"/>
          </w:tcPr>
          <w:p w14:paraId="0B237B33" w14:textId="7FF2A8CD"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57,8</w:t>
            </w:r>
          </w:p>
        </w:tc>
        <w:tc>
          <w:tcPr>
            <w:tcW w:w="860" w:type="dxa"/>
            <w:noWrap/>
            <w:vAlign w:val="center"/>
          </w:tcPr>
          <w:p w14:paraId="6B3A0E0C" w14:textId="6B4B1A24" w:rsidR="000E10A1" w:rsidRPr="00D76DDA" w:rsidRDefault="000E10A1" w:rsidP="00D76DDA">
            <w:pPr>
              <w:spacing w:before="0" w:after="0"/>
              <w:ind w:firstLine="0"/>
              <w:contextualSpacing/>
              <w:jc w:val="center"/>
              <w:rPr>
                <w:sz w:val="18"/>
                <w:szCs w:val="18"/>
              </w:rPr>
            </w:pPr>
            <w:r w:rsidRPr="00D76DDA">
              <w:rPr>
                <w:sz w:val="18"/>
                <w:szCs w:val="18"/>
              </w:rPr>
              <w:t>57,8</w:t>
            </w:r>
          </w:p>
        </w:tc>
        <w:tc>
          <w:tcPr>
            <w:tcW w:w="886" w:type="dxa"/>
            <w:gridSpan w:val="2"/>
            <w:noWrap/>
            <w:vAlign w:val="center"/>
          </w:tcPr>
          <w:p w14:paraId="2D39CDE0" w14:textId="3F94F202" w:rsidR="000E10A1" w:rsidRPr="00D76DDA" w:rsidRDefault="000E10A1" w:rsidP="00D76DDA">
            <w:pPr>
              <w:spacing w:before="0" w:after="0"/>
              <w:ind w:firstLine="0"/>
              <w:contextualSpacing/>
              <w:jc w:val="center"/>
              <w:rPr>
                <w:sz w:val="18"/>
                <w:szCs w:val="18"/>
              </w:rPr>
            </w:pPr>
            <w:r w:rsidRPr="00D76DDA">
              <w:rPr>
                <w:sz w:val="18"/>
                <w:szCs w:val="18"/>
              </w:rPr>
              <w:t>90,1</w:t>
            </w:r>
          </w:p>
        </w:tc>
        <w:tc>
          <w:tcPr>
            <w:tcW w:w="860" w:type="dxa"/>
            <w:noWrap/>
            <w:vAlign w:val="center"/>
          </w:tcPr>
          <w:p w14:paraId="1D9BC7BE" w14:textId="52070969" w:rsidR="000E10A1" w:rsidRPr="00D76DDA" w:rsidRDefault="000E10A1" w:rsidP="00D76DDA">
            <w:pPr>
              <w:spacing w:before="0" w:after="0"/>
              <w:ind w:firstLine="0"/>
              <w:contextualSpacing/>
              <w:jc w:val="center"/>
              <w:rPr>
                <w:sz w:val="18"/>
                <w:szCs w:val="18"/>
              </w:rPr>
            </w:pPr>
            <w:r w:rsidRPr="00D76DDA">
              <w:rPr>
                <w:sz w:val="18"/>
                <w:szCs w:val="18"/>
              </w:rPr>
              <w:t>50,7</w:t>
            </w:r>
          </w:p>
        </w:tc>
        <w:tc>
          <w:tcPr>
            <w:tcW w:w="860" w:type="dxa"/>
            <w:noWrap/>
            <w:vAlign w:val="center"/>
          </w:tcPr>
          <w:p w14:paraId="7C4A94CB" w14:textId="01EF31F5" w:rsidR="000E10A1" w:rsidRPr="00D76DDA" w:rsidRDefault="000E10A1" w:rsidP="00D76DDA">
            <w:pPr>
              <w:spacing w:before="0" w:after="0"/>
              <w:ind w:firstLine="0"/>
              <w:contextualSpacing/>
              <w:jc w:val="center"/>
              <w:rPr>
                <w:sz w:val="18"/>
                <w:szCs w:val="18"/>
              </w:rPr>
            </w:pPr>
            <w:r w:rsidRPr="00D76DDA">
              <w:rPr>
                <w:sz w:val="18"/>
                <w:szCs w:val="18"/>
              </w:rPr>
              <w:t>49,4</w:t>
            </w:r>
          </w:p>
        </w:tc>
        <w:tc>
          <w:tcPr>
            <w:tcW w:w="878" w:type="dxa"/>
            <w:noWrap/>
            <w:vAlign w:val="center"/>
          </w:tcPr>
          <w:p w14:paraId="543B289B" w14:textId="7C3F4190" w:rsidR="000E10A1" w:rsidRPr="00D76DDA" w:rsidRDefault="000E10A1" w:rsidP="00D76DDA">
            <w:pPr>
              <w:spacing w:before="0" w:after="0"/>
              <w:ind w:firstLine="0"/>
              <w:contextualSpacing/>
              <w:jc w:val="center"/>
              <w:rPr>
                <w:sz w:val="18"/>
                <w:szCs w:val="18"/>
              </w:rPr>
            </w:pPr>
            <w:r w:rsidRPr="00D76DDA">
              <w:rPr>
                <w:sz w:val="18"/>
                <w:szCs w:val="18"/>
              </w:rPr>
              <w:t>49,3</w:t>
            </w:r>
          </w:p>
        </w:tc>
      </w:tr>
      <w:tr w:rsidR="000E10A1" w:rsidRPr="00D16868" w14:paraId="6F3FC745" w14:textId="77777777" w:rsidTr="00D76DDA">
        <w:trPr>
          <w:trHeight w:val="321"/>
          <w:tblHeader/>
          <w:jc w:val="center"/>
        </w:trPr>
        <w:tc>
          <w:tcPr>
            <w:tcW w:w="3168" w:type="dxa"/>
            <w:shd w:val="clear" w:color="auto" w:fill="BDD6EE" w:themeFill="accent1" w:themeFillTint="66"/>
            <w:noWrap/>
            <w:hideMark/>
          </w:tcPr>
          <w:p w14:paraId="790EF040" w14:textId="77777777" w:rsidR="000E10A1" w:rsidRPr="00D16868" w:rsidRDefault="000E10A1" w:rsidP="000E10A1">
            <w:pPr>
              <w:spacing w:before="0" w:after="0"/>
              <w:ind w:firstLine="0"/>
              <w:contextualSpacing/>
              <w:jc w:val="left"/>
              <w:rPr>
                <w:rFonts w:eastAsia="Times New Roman"/>
                <w:b/>
                <w:bCs/>
                <w:sz w:val="18"/>
                <w:szCs w:val="18"/>
              </w:rPr>
            </w:pPr>
            <w:r w:rsidRPr="00D16868">
              <w:rPr>
                <w:rFonts w:eastAsia="Times New Roman"/>
                <w:b/>
                <w:bCs/>
                <w:sz w:val="18"/>
                <w:szCs w:val="18"/>
              </w:rPr>
              <w:t xml:space="preserve">VALSTS BUDŽETA BILANCE (ieskaitot </w:t>
            </w:r>
            <w:r w:rsidRPr="00D16868">
              <w:rPr>
                <w:rFonts w:eastAsia="Times New Roman"/>
                <w:b/>
                <w:bCs/>
                <w:noProof/>
                <w:sz w:val="18"/>
                <w:szCs w:val="18"/>
              </w:rPr>
              <w:t>atvasinātās publ. pers.)</w:t>
            </w:r>
          </w:p>
        </w:tc>
        <w:tc>
          <w:tcPr>
            <w:tcW w:w="860" w:type="dxa"/>
            <w:shd w:val="clear" w:color="auto" w:fill="BDD6EE" w:themeFill="accent1" w:themeFillTint="66"/>
            <w:noWrap/>
            <w:vAlign w:val="center"/>
          </w:tcPr>
          <w:p w14:paraId="4D23B95E" w14:textId="56D6D791"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-1 085,2</w:t>
            </w:r>
          </w:p>
        </w:tc>
        <w:tc>
          <w:tcPr>
            <w:tcW w:w="860" w:type="dxa"/>
            <w:shd w:val="clear" w:color="auto" w:fill="BDD6EE" w:themeFill="accent1" w:themeFillTint="66"/>
            <w:noWrap/>
            <w:vAlign w:val="center"/>
          </w:tcPr>
          <w:p w14:paraId="6E8B1733" w14:textId="4D6B489E"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-1 753,9</w:t>
            </w:r>
          </w:p>
        </w:tc>
        <w:tc>
          <w:tcPr>
            <w:tcW w:w="860" w:type="dxa"/>
            <w:shd w:val="clear" w:color="auto" w:fill="BDD6EE" w:themeFill="accent1" w:themeFillTint="66"/>
            <w:noWrap/>
            <w:vAlign w:val="center"/>
          </w:tcPr>
          <w:p w14:paraId="6905E760" w14:textId="16D17F78" w:rsidR="000E10A1" w:rsidRPr="00D76DDA" w:rsidRDefault="000E10A1" w:rsidP="00D76DDA">
            <w:pPr>
              <w:spacing w:before="0" w:after="0"/>
              <w:ind w:firstLine="0"/>
              <w:contextualSpacing/>
              <w:jc w:val="center"/>
              <w:rPr>
                <w:b/>
                <w:bCs/>
                <w:sz w:val="18"/>
                <w:szCs w:val="18"/>
              </w:rPr>
            </w:pPr>
            <w:r w:rsidRPr="00D76DDA">
              <w:rPr>
                <w:sz w:val="18"/>
                <w:szCs w:val="18"/>
              </w:rPr>
              <w:t>-1 513,6</w:t>
            </w:r>
          </w:p>
        </w:tc>
        <w:tc>
          <w:tcPr>
            <w:tcW w:w="886" w:type="dxa"/>
            <w:gridSpan w:val="2"/>
            <w:shd w:val="clear" w:color="auto" w:fill="BDD6EE" w:themeFill="accent1" w:themeFillTint="66"/>
            <w:noWrap/>
            <w:vAlign w:val="center"/>
          </w:tcPr>
          <w:p w14:paraId="228A44CA" w14:textId="58357C4E" w:rsidR="000E10A1" w:rsidRPr="00D76DDA" w:rsidRDefault="000E10A1" w:rsidP="00D76DDA">
            <w:pPr>
              <w:spacing w:before="0" w:after="0"/>
              <w:ind w:firstLine="0"/>
              <w:contextualSpacing/>
              <w:jc w:val="center"/>
              <w:rPr>
                <w:b/>
                <w:bCs/>
                <w:sz w:val="18"/>
                <w:szCs w:val="18"/>
              </w:rPr>
            </w:pPr>
            <w:r w:rsidRPr="00D76DDA">
              <w:rPr>
                <w:sz w:val="18"/>
                <w:szCs w:val="18"/>
              </w:rPr>
              <w:t>-1 306,8</w:t>
            </w:r>
          </w:p>
        </w:tc>
        <w:tc>
          <w:tcPr>
            <w:tcW w:w="860" w:type="dxa"/>
            <w:shd w:val="clear" w:color="auto" w:fill="BDD6EE" w:themeFill="accent1" w:themeFillTint="66"/>
            <w:noWrap/>
            <w:vAlign w:val="center"/>
          </w:tcPr>
          <w:p w14:paraId="2D7DB6FA" w14:textId="5E091FB8" w:rsidR="000E10A1" w:rsidRPr="00D76DDA" w:rsidRDefault="000E10A1" w:rsidP="00D76DDA">
            <w:pPr>
              <w:spacing w:before="0" w:after="0"/>
              <w:ind w:firstLine="0"/>
              <w:contextualSpacing/>
              <w:jc w:val="center"/>
              <w:rPr>
                <w:b/>
                <w:bCs/>
                <w:sz w:val="18"/>
                <w:szCs w:val="18"/>
              </w:rPr>
            </w:pPr>
            <w:r w:rsidRPr="00D76DDA">
              <w:rPr>
                <w:sz w:val="18"/>
                <w:szCs w:val="18"/>
              </w:rPr>
              <w:t>-1 282,0</w:t>
            </w:r>
          </w:p>
        </w:tc>
        <w:tc>
          <w:tcPr>
            <w:tcW w:w="860" w:type="dxa"/>
            <w:shd w:val="clear" w:color="auto" w:fill="BDD6EE" w:themeFill="accent1" w:themeFillTint="66"/>
            <w:noWrap/>
            <w:vAlign w:val="center"/>
          </w:tcPr>
          <w:p w14:paraId="4AE15422" w14:textId="2DF87B12" w:rsidR="000E10A1" w:rsidRPr="00D76DDA" w:rsidRDefault="000E10A1" w:rsidP="00D76DDA">
            <w:pPr>
              <w:spacing w:before="0" w:after="0"/>
              <w:ind w:firstLine="0"/>
              <w:contextualSpacing/>
              <w:jc w:val="center"/>
              <w:rPr>
                <w:b/>
                <w:bCs/>
                <w:sz w:val="18"/>
                <w:szCs w:val="18"/>
              </w:rPr>
            </w:pPr>
            <w:r w:rsidRPr="00D76DDA">
              <w:rPr>
                <w:sz w:val="18"/>
                <w:szCs w:val="18"/>
              </w:rPr>
              <w:t>-957,5</w:t>
            </w:r>
          </w:p>
        </w:tc>
        <w:tc>
          <w:tcPr>
            <w:tcW w:w="878" w:type="dxa"/>
            <w:shd w:val="clear" w:color="auto" w:fill="BDD6EE" w:themeFill="accent1" w:themeFillTint="66"/>
            <w:noWrap/>
            <w:vAlign w:val="center"/>
          </w:tcPr>
          <w:p w14:paraId="416588D9" w14:textId="0D1D992D" w:rsidR="000E10A1" w:rsidRPr="00D76DDA" w:rsidRDefault="000E10A1" w:rsidP="00D76DDA">
            <w:pPr>
              <w:spacing w:before="0" w:after="0"/>
              <w:ind w:firstLine="0"/>
              <w:contextualSpacing/>
              <w:jc w:val="center"/>
              <w:rPr>
                <w:b/>
                <w:bCs/>
                <w:sz w:val="18"/>
                <w:szCs w:val="18"/>
              </w:rPr>
            </w:pPr>
            <w:r w:rsidRPr="00D76DDA">
              <w:rPr>
                <w:sz w:val="18"/>
                <w:szCs w:val="18"/>
              </w:rPr>
              <w:t>-276,2</w:t>
            </w:r>
          </w:p>
        </w:tc>
      </w:tr>
      <w:tr w:rsidR="000E10A1" w:rsidRPr="00D16868" w14:paraId="67FB44BD" w14:textId="77777777" w:rsidTr="00D76DDA">
        <w:trPr>
          <w:trHeight w:val="65"/>
          <w:tblHeader/>
          <w:jc w:val="center"/>
        </w:trPr>
        <w:tc>
          <w:tcPr>
            <w:tcW w:w="3168" w:type="dxa"/>
            <w:noWrap/>
            <w:hideMark/>
          </w:tcPr>
          <w:p w14:paraId="7CCC851E"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Ieņēmumi</w:t>
            </w:r>
          </w:p>
        </w:tc>
        <w:tc>
          <w:tcPr>
            <w:tcW w:w="860" w:type="dxa"/>
            <w:noWrap/>
            <w:vAlign w:val="center"/>
          </w:tcPr>
          <w:p w14:paraId="4D1BD532" w14:textId="1F463492"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9 486,9</w:t>
            </w:r>
          </w:p>
        </w:tc>
        <w:tc>
          <w:tcPr>
            <w:tcW w:w="860" w:type="dxa"/>
            <w:noWrap/>
            <w:vAlign w:val="center"/>
          </w:tcPr>
          <w:p w14:paraId="3FCEBE66" w14:textId="49D752D8"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10 676,9</w:t>
            </w:r>
          </w:p>
        </w:tc>
        <w:tc>
          <w:tcPr>
            <w:tcW w:w="860" w:type="dxa"/>
            <w:noWrap/>
            <w:vAlign w:val="center"/>
          </w:tcPr>
          <w:p w14:paraId="796B23B8" w14:textId="52DC4670" w:rsidR="000E10A1" w:rsidRPr="00D76DDA" w:rsidRDefault="000E10A1" w:rsidP="00D76DDA">
            <w:pPr>
              <w:spacing w:before="0" w:after="0"/>
              <w:ind w:firstLine="0"/>
              <w:contextualSpacing/>
              <w:jc w:val="center"/>
              <w:rPr>
                <w:sz w:val="18"/>
                <w:szCs w:val="18"/>
              </w:rPr>
            </w:pPr>
            <w:r w:rsidRPr="00D76DDA">
              <w:rPr>
                <w:sz w:val="18"/>
                <w:szCs w:val="18"/>
              </w:rPr>
              <w:t>12 110,9</w:t>
            </w:r>
          </w:p>
        </w:tc>
        <w:tc>
          <w:tcPr>
            <w:tcW w:w="886" w:type="dxa"/>
            <w:gridSpan w:val="2"/>
            <w:noWrap/>
            <w:vAlign w:val="center"/>
          </w:tcPr>
          <w:p w14:paraId="1E4653CA" w14:textId="4255AAF1" w:rsidR="000E10A1" w:rsidRPr="00D76DDA" w:rsidRDefault="000E10A1" w:rsidP="00D76DDA">
            <w:pPr>
              <w:spacing w:before="0" w:after="0"/>
              <w:ind w:firstLine="0"/>
              <w:contextualSpacing/>
              <w:jc w:val="center"/>
              <w:rPr>
                <w:sz w:val="18"/>
                <w:szCs w:val="18"/>
              </w:rPr>
            </w:pPr>
            <w:r w:rsidRPr="00D76DDA">
              <w:rPr>
                <w:sz w:val="18"/>
                <w:szCs w:val="18"/>
              </w:rPr>
              <w:t>13 276,3</w:t>
            </w:r>
          </w:p>
        </w:tc>
        <w:tc>
          <w:tcPr>
            <w:tcW w:w="860" w:type="dxa"/>
            <w:noWrap/>
            <w:vAlign w:val="center"/>
          </w:tcPr>
          <w:p w14:paraId="0B092F4C" w14:textId="69348FEE" w:rsidR="000E10A1" w:rsidRPr="00D76DDA" w:rsidRDefault="000E10A1" w:rsidP="00D76DDA">
            <w:pPr>
              <w:spacing w:before="0" w:after="0"/>
              <w:ind w:firstLine="0"/>
              <w:contextualSpacing/>
              <w:jc w:val="center"/>
              <w:rPr>
                <w:sz w:val="18"/>
                <w:szCs w:val="18"/>
              </w:rPr>
            </w:pPr>
            <w:r w:rsidRPr="00D76DDA">
              <w:rPr>
                <w:sz w:val="18"/>
                <w:szCs w:val="18"/>
              </w:rPr>
              <w:t>14 232,7</w:t>
            </w:r>
          </w:p>
        </w:tc>
        <w:tc>
          <w:tcPr>
            <w:tcW w:w="860" w:type="dxa"/>
            <w:noWrap/>
            <w:vAlign w:val="center"/>
          </w:tcPr>
          <w:p w14:paraId="7A6831F3" w14:textId="4C606604" w:rsidR="000E10A1" w:rsidRPr="00D76DDA" w:rsidRDefault="000E10A1" w:rsidP="00D76DDA">
            <w:pPr>
              <w:spacing w:before="0" w:after="0"/>
              <w:ind w:firstLine="0"/>
              <w:contextualSpacing/>
              <w:jc w:val="center"/>
              <w:rPr>
                <w:sz w:val="18"/>
                <w:szCs w:val="18"/>
              </w:rPr>
            </w:pPr>
            <w:r w:rsidRPr="00D76DDA">
              <w:rPr>
                <w:sz w:val="18"/>
                <w:szCs w:val="18"/>
              </w:rPr>
              <w:t>14 877,2</w:t>
            </w:r>
          </w:p>
        </w:tc>
        <w:tc>
          <w:tcPr>
            <w:tcW w:w="878" w:type="dxa"/>
            <w:noWrap/>
            <w:vAlign w:val="center"/>
          </w:tcPr>
          <w:p w14:paraId="0A513217" w14:textId="2E7A8458" w:rsidR="000E10A1" w:rsidRPr="00D76DDA" w:rsidRDefault="000E10A1" w:rsidP="00D76DDA">
            <w:pPr>
              <w:spacing w:before="0" w:after="0"/>
              <w:ind w:firstLine="0"/>
              <w:contextualSpacing/>
              <w:jc w:val="center"/>
              <w:rPr>
                <w:sz w:val="18"/>
                <w:szCs w:val="18"/>
              </w:rPr>
            </w:pPr>
            <w:r w:rsidRPr="00D76DDA">
              <w:rPr>
                <w:sz w:val="18"/>
                <w:szCs w:val="18"/>
              </w:rPr>
              <w:t>15 264,1</w:t>
            </w:r>
          </w:p>
        </w:tc>
      </w:tr>
      <w:tr w:rsidR="000E10A1" w:rsidRPr="00D16868" w14:paraId="2B0F9152" w14:textId="77777777" w:rsidTr="00D76DDA">
        <w:trPr>
          <w:trHeight w:val="65"/>
          <w:tblHeader/>
          <w:jc w:val="center"/>
        </w:trPr>
        <w:tc>
          <w:tcPr>
            <w:tcW w:w="3168" w:type="dxa"/>
            <w:noWrap/>
            <w:hideMark/>
          </w:tcPr>
          <w:p w14:paraId="2D890331"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Izdevumi</w:t>
            </w:r>
          </w:p>
        </w:tc>
        <w:tc>
          <w:tcPr>
            <w:tcW w:w="860" w:type="dxa"/>
            <w:noWrap/>
            <w:vAlign w:val="center"/>
          </w:tcPr>
          <w:p w14:paraId="7C4C444A" w14:textId="3F49381D"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10 572,2</w:t>
            </w:r>
          </w:p>
        </w:tc>
        <w:tc>
          <w:tcPr>
            <w:tcW w:w="860" w:type="dxa"/>
            <w:noWrap/>
            <w:vAlign w:val="center"/>
          </w:tcPr>
          <w:p w14:paraId="14E4D4C1" w14:textId="01FAB4D0"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12 430,8</w:t>
            </w:r>
          </w:p>
        </w:tc>
        <w:tc>
          <w:tcPr>
            <w:tcW w:w="860" w:type="dxa"/>
            <w:noWrap/>
            <w:vAlign w:val="center"/>
          </w:tcPr>
          <w:p w14:paraId="29C2ABFC" w14:textId="6E8BA007" w:rsidR="000E10A1" w:rsidRPr="00D76DDA" w:rsidRDefault="000E10A1" w:rsidP="00D76DDA">
            <w:pPr>
              <w:spacing w:before="0" w:after="0"/>
              <w:ind w:firstLine="0"/>
              <w:contextualSpacing/>
              <w:jc w:val="center"/>
              <w:rPr>
                <w:sz w:val="18"/>
                <w:szCs w:val="18"/>
              </w:rPr>
            </w:pPr>
            <w:r w:rsidRPr="00D76DDA">
              <w:rPr>
                <w:sz w:val="18"/>
                <w:szCs w:val="18"/>
              </w:rPr>
              <w:t>13 624,4</w:t>
            </w:r>
          </w:p>
        </w:tc>
        <w:tc>
          <w:tcPr>
            <w:tcW w:w="886" w:type="dxa"/>
            <w:gridSpan w:val="2"/>
            <w:noWrap/>
            <w:vAlign w:val="center"/>
          </w:tcPr>
          <w:p w14:paraId="2C4C9B0B" w14:textId="44258435" w:rsidR="000E10A1" w:rsidRPr="00D76DDA" w:rsidRDefault="000E10A1" w:rsidP="00D76DDA">
            <w:pPr>
              <w:spacing w:before="0" w:after="0"/>
              <w:ind w:firstLine="0"/>
              <w:contextualSpacing/>
              <w:jc w:val="center"/>
              <w:rPr>
                <w:sz w:val="18"/>
                <w:szCs w:val="18"/>
              </w:rPr>
            </w:pPr>
            <w:r w:rsidRPr="00D76DDA">
              <w:rPr>
                <w:sz w:val="18"/>
                <w:szCs w:val="18"/>
              </w:rPr>
              <w:t>14 583,1</w:t>
            </w:r>
          </w:p>
        </w:tc>
        <w:tc>
          <w:tcPr>
            <w:tcW w:w="860" w:type="dxa"/>
            <w:noWrap/>
            <w:vAlign w:val="center"/>
          </w:tcPr>
          <w:p w14:paraId="11E4CD31" w14:textId="382D0771" w:rsidR="000E10A1" w:rsidRPr="00D76DDA" w:rsidRDefault="000E10A1" w:rsidP="00D76DDA">
            <w:pPr>
              <w:spacing w:before="0" w:after="0"/>
              <w:ind w:firstLine="0"/>
              <w:contextualSpacing/>
              <w:jc w:val="center"/>
              <w:rPr>
                <w:sz w:val="18"/>
                <w:szCs w:val="18"/>
              </w:rPr>
            </w:pPr>
            <w:r w:rsidRPr="00D76DDA">
              <w:rPr>
                <w:sz w:val="18"/>
                <w:szCs w:val="18"/>
              </w:rPr>
              <w:t>15 514,7</w:t>
            </w:r>
          </w:p>
        </w:tc>
        <w:tc>
          <w:tcPr>
            <w:tcW w:w="860" w:type="dxa"/>
            <w:noWrap/>
            <w:vAlign w:val="center"/>
          </w:tcPr>
          <w:p w14:paraId="11A07C43" w14:textId="737B2065" w:rsidR="000E10A1" w:rsidRPr="00D76DDA" w:rsidRDefault="000E10A1" w:rsidP="00D76DDA">
            <w:pPr>
              <w:spacing w:before="0" w:after="0"/>
              <w:ind w:firstLine="0"/>
              <w:contextualSpacing/>
              <w:jc w:val="center"/>
              <w:rPr>
                <w:sz w:val="18"/>
                <w:szCs w:val="18"/>
              </w:rPr>
            </w:pPr>
            <w:r w:rsidRPr="00D76DDA">
              <w:rPr>
                <w:sz w:val="18"/>
                <w:szCs w:val="18"/>
              </w:rPr>
              <w:t>15 834,7</w:t>
            </w:r>
          </w:p>
        </w:tc>
        <w:tc>
          <w:tcPr>
            <w:tcW w:w="878" w:type="dxa"/>
            <w:noWrap/>
            <w:vAlign w:val="center"/>
          </w:tcPr>
          <w:p w14:paraId="54CBD74D" w14:textId="105B83FF" w:rsidR="000E10A1" w:rsidRPr="00D76DDA" w:rsidRDefault="000E10A1" w:rsidP="00D76DDA">
            <w:pPr>
              <w:spacing w:before="0" w:after="0"/>
              <w:ind w:firstLine="0"/>
              <w:contextualSpacing/>
              <w:jc w:val="center"/>
              <w:rPr>
                <w:sz w:val="18"/>
                <w:szCs w:val="18"/>
              </w:rPr>
            </w:pPr>
            <w:r w:rsidRPr="00D76DDA">
              <w:rPr>
                <w:sz w:val="18"/>
                <w:szCs w:val="18"/>
              </w:rPr>
              <w:t>15 540,3</w:t>
            </w:r>
          </w:p>
        </w:tc>
      </w:tr>
      <w:tr w:rsidR="000E10A1" w:rsidRPr="00D16868" w14:paraId="5FFD09AA" w14:textId="77777777" w:rsidTr="00D76DDA">
        <w:trPr>
          <w:trHeight w:val="332"/>
          <w:tblHeader/>
          <w:jc w:val="center"/>
        </w:trPr>
        <w:tc>
          <w:tcPr>
            <w:tcW w:w="3168" w:type="dxa"/>
            <w:shd w:val="clear" w:color="auto" w:fill="BDD6EE" w:themeFill="accent1" w:themeFillTint="66"/>
            <w:noWrap/>
            <w:hideMark/>
          </w:tcPr>
          <w:p w14:paraId="0F46C34B" w14:textId="77777777" w:rsidR="000E10A1" w:rsidRPr="00D16868" w:rsidRDefault="000E10A1" w:rsidP="000E10A1">
            <w:pPr>
              <w:spacing w:before="0" w:after="0"/>
              <w:ind w:firstLine="0"/>
              <w:contextualSpacing/>
              <w:jc w:val="left"/>
              <w:rPr>
                <w:rFonts w:eastAsia="Times New Roman"/>
                <w:b/>
                <w:bCs/>
                <w:sz w:val="18"/>
                <w:szCs w:val="18"/>
              </w:rPr>
            </w:pPr>
            <w:r w:rsidRPr="00D16868">
              <w:rPr>
                <w:rFonts w:eastAsia="Times New Roman"/>
                <w:b/>
                <w:bCs/>
                <w:sz w:val="18"/>
                <w:szCs w:val="18"/>
              </w:rPr>
              <w:t>VALSTS BUDŽETA BILANCE (pamatbudžets un speciālais b.)</w:t>
            </w:r>
          </w:p>
        </w:tc>
        <w:tc>
          <w:tcPr>
            <w:tcW w:w="860" w:type="dxa"/>
            <w:shd w:val="clear" w:color="auto" w:fill="BDD6EE" w:themeFill="accent1" w:themeFillTint="66"/>
            <w:noWrap/>
            <w:vAlign w:val="center"/>
          </w:tcPr>
          <w:p w14:paraId="28BED92F" w14:textId="3360BEBB"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-1 102,7</w:t>
            </w:r>
          </w:p>
        </w:tc>
        <w:tc>
          <w:tcPr>
            <w:tcW w:w="860" w:type="dxa"/>
            <w:shd w:val="clear" w:color="auto" w:fill="BDD6EE" w:themeFill="accent1" w:themeFillTint="66"/>
            <w:noWrap/>
            <w:vAlign w:val="center"/>
          </w:tcPr>
          <w:p w14:paraId="3C9E97BF" w14:textId="0BB278A3"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-1 780,0</w:t>
            </w:r>
          </w:p>
        </w:tc>
        <w:tc>
          <w:tcPr>
            <w:tcW w:w="860" w:type="dxa"/>
            <w:shd w:val="clear" w:color="auto" w:fill="BDD6EE" w:themeFill="accent1" w:themeFillTint="66"/>
            <w:noWrap/>
            <w:vAlign w:val="center"/>
          </w:tcPr>
          <w:p w14:paraId="2B3052A7" w14:textId="73899691" w:rsidR="000E10A1" w:rsidRPr="00D76DDA" w:rsidRDefault="000E10A1" w:rsidP="00D76DDA">
            <w:pPr>
              <w:spacing w:before="0" w:after="0"/>
              <w:ind w:firstLine="0"/>
              <w:contextualSpacing/>
              <w:jc w:val="center"/>
              <w:rPr>
                <w:b/>
                <w:bCs/>
                <w:sz w:val="18"/>
                <w:szCs w:val="18"/>
              </w:rPr>
            </w:pPr>
            <w:r w:rsidRPr="00D76DDA">
              <w:rPr>
                <w:sz w:val="18"/>
                <w:szCs w:val="18"/>
              </w:rPr>
              <w:t>-1 545,7</w:t>
            </w:r>
          </w:p>
        </w:tc>
        <w:tc>
          <w:tcPr>
            <w:tcW w:w="886" w:type="dxa"/>
            <w:gridSpan w:val="2"/>
            <w:shd w:val="clear" w:color="auto" w:fill="BDD6EE" w:themeFill="accent1" w:themeFillTint="66"/>
            <w:noWrap/>
            <w:vAlign w:val="center"/>
          </w:tcPr>
          <w:p w14:paraId="77DFA974" w14:textId="501C24DE" w:rsidR="000E10A1" w:rsidRPr="00D76DDA" w:rsidRDefault="000E10A1" w:rsidP="00D76DDA">
            <w:pPr>
              <w:spacing w:before="0" w:after="0"/>
              <w:ind w:firstLine="0"/>
              <w:contextualSpacing/>
              <w:jc w:val="center"/>
              <w:rPr>
                <w:b/>
                <w:bCs/>
                <w:sz w:val="18"/>
                <w:szCs w:val="18"/>
              </w:rPr>
            </w:pPr>
            <w:r w:rsidRPr="00D76DDA">
              <w:rPr>
                <w:sz w:val="18"/>
                <w:szCs w:val="18"/>
              </w:rPr>
              <w:t>-1 312,8</w:t>
            </w:r>
          </w:p>
        </w:tc>
        <w:tc>
          <w:tcPr>
            <w:tcW w:w="860" w:type="dxa"/>
            <w:shd w:val="clear" w:color="auto" w:fill="BDD6EE" w:themeFill="accent1" w:themeFillTint="66"/>
            <w:noWrap/>
            <w:vAlign w:val="center"/>
          </w:tcPr>
          <w:p w14:paraId="5A74D0B5" w14:textId="5A267ACE" w:rsidR="000E10A1" w:rsidRPr="00D76DDA" w:rsidRDefault="000E10A1" w:rsidP="00D76DDA">
            <w:pPr>
              <w:spacing w:before="0" w:after="0"/>
              <w:ind w:firstLine="0"/>
              <w:contextualSpacing/>
              <w:jc w:val="center"/>
              <w:rPr>
                <w:b/>
                <w:bCs/>
                <w:sz w:val="18"/>
                <w:szCs w:val="18"/>
              </w:rPr>
            </w:pPr>
            <w:r w:rsidRPr="00D76DDA">
              <w:rPr>
                <w:sz w:val="18"/>
                <w:szCs w:val="18"/>
              </w:rPr>
              <w:t>-1 285,9</w:t>
            </w:r>
          </w:p>
        </w:tc>
        <w:tc>
          <w:tcPr>
            <w:tcW w:w="860" w:type="dxa"/>
            <w:shd w:val="clear" w:color="auto" w:fill="BDD6EE" w:themeFill="accent1" w:themeFillTint="66"/>
            <w:noWrap/>
            <w:vAlign w:val="center"/>
          </w:tcPr>
          <w:p w14:paraId="4E779C79" w14:textId="31019998" w:rsidR="000E10A1" w:rsidRPr="00D76DDA" w:rsidRDefault="000E10A1" w:rsidP="00D76DDA">
            <w:pPr>
              <w:spacing w:before="0" w:after="0"/>
              <w:ind w:firstLine="0"/>
              <w:contextualSpacing/>
              <w:jc w:val="center"/>
              <w:rPr>
                <w:b/>
                <w:bCs/>
                <w:sz w:val="18"/>
                <w:szCs w:val="18"/>
              </w:rPr>
            </w:pPr>
            <w:r w:rsidRPr="00D76DDA">
              <w:rPr>
                <w:sz w:val="18"/>
                <w:szCs w:val="18"/>
              </w:rPr>
              <w:t>-954,4</w:t>
            </w:r>
          </w:p>
        </w:tc>
        <w:tc>
          <w:tcPr>
            <w:tcW w:w="878" w:type="dxa"/>
            <w:shd w:val="clear" w:color="auto" w:fill="BDD6EE" w:themeFill="accent1" w:themeFillTint="66"/>
            <w:noWrap/>
            <w:vAlign w:val="center"/>
          </w:tcPr>
          <w:p w14:paraId="5DBABD4D" w14:textId="0E1FE604" w:rsidR="000E10A1" w:rsidRPr="00D76DDA" w:rsidRDefault="000E10A1" w:rsidP="00D76DDA">
            <w:pPr>
              <w:spacing w:before="0" w:after="0"/>
              <w:ind w:firstLine="0"/>
              <w:contextualSpacing/>
              <w:jc w:val="center"/>
              <w:rPr>
                <w:b/>
                <w:bCs/>
                <w:sz w:val="18"/>
                <w:szCs w:val="18"/>
              </w:rPr>
            </w:pPr>
            <w:r w:rsidRPr="00D76DDA">
              <w:rPr>
                <w:sz w:val="18"/>
                <w:szCs w:val="18"/>
              </w:rPr>
              <w:t>-269,8</w:t>
            </w:r>
          </w:p>
        </w:tc>
      </w:tr>
      <w:tr w:rsidR="000E10A1" w:rsidRPr="00D16868" w14:paraId="63298A45" w14:textId="77777777" w:rsidTr="00D76DDA">
        <w:trPr>
          <w:trHeight w:val="65"/>
          <w:tblHeader/>
          <w:jc w:val="center"/>
        </w:trPr>
        <w:tc>
          <w:tcPr>
            <w:tcW w:w="3168" w:type="dxa"/>
            <w:noWrap/>
            <w:hideMark/>
          </w:tcPr>
          <w:p w14:paraId="09689EAB"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Ieņēmumi</w:t>
            </w:r>
          </w:p>
        </w:tc>
        <w:tc>
          <w:tcPr>
            <w:tcW w:w="860" w:type="dxa"/>
            <w:noWrap/>
            <w:vAlign w:val="center"/>
          </w:tcPr>
          <w:p w14:paraId="0D9BCCC8" w14:textId="26298E01"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9 329,4</w:t>
            </w:r>
          </w:p>
        </w:tc>
        <w:tc>
          <w:tcPr>
            <w:tcW w:w="860" w:type="dxa"/>
            <w:noWrap/>
            <w:vAlign w:val="center"/>
          </w:tcPr>
          <w:p w14:paraId="2D0BD326" w14:textId="7297A252"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10 511,0</w:t>
            </w:r>
          </w:p>
        </w:tc>
        <w:tc>
          <w:tcPr>
            <w:tcW w:w="860" w:type="dxa"/>
            <w:noWrap/>
            <w:vAlign w:val="center"/>
          </w:tcPr>
          <w:p w14:paraId="39B01F03" w14:textId="7A9EFE85" w:rsidR="000E10A1" w:rsidRPr="00D76DDA" w:rsidRDefault="000E10A1" w:rsidP="00D76DDA">
            <w:pPr>
              <w:spacing w:before="0" w:after="0"/>
              <w:ind w:firstLine="0"/>
              <w:contextualSpacing/>
              <w:jc w:val="center"/>
              <w:rPr>
                <w:sz w:val="18"/>
                <w:szCs w:val="18"/>
              </w:rPr>
            </w:pPr>
            <w:r w:rsidRPr="00D76DDA">
              <w:rPr>
                <w:sz w:val="18"/>
                <w:szCs w:val="18"/>
              </w:rPr>
              <w:t>11 932,4</w:t>
            </w:r>
          </w:p>
        </w:tc>
        <w:tc>
          <w:tcPr>
            <w:tcW w:w="886" w:type="dxa"/>
            <w:gridSpan w:val="2"/>
            <w:noWrap/>
            <w:vAlign w:val="center"/>
          </w:tcPr>
          <w:p w14:paraId="34A2977F" w14:textId="05A0EEA7" w:rsidR="000E10A1" w:rsidRPr="00D76DDA" w:rsidRDefault="000E10A1" w:rsidP="00D76DDA">
            <w:pPr>
              <w:spacing w:before="0" w:after="0"/>
              <w:ind w:firstLine="0"/>
              <w:contextualSpacing/>
              <w:jc w:val="center"/>
              <w:rPr>
                <w:sz w:val="18"/>
                <w:szCs w:val="18"/>
              </w:rPr>
            </w:pPr>
            <w:r w:rsidRPr="00D76DDA">
              <w:rPr>
                <w:sz w:val="18"/>
                <w:szCs w:val="18"/>
              </w:rPr>
              <w:t>13 080,6</w:t>
            </w:r>
          </w:p>
        </w:tc>
        <w:tc>
          <w:tcPr>
            <w:tcW w:w="860" w:type="dxa"/>
            <w:noWrap/>
            <w:vAlign w:val="center"/>
          </w:tcPr>
          <w:p w14:paraId="5C9AC212" w14:textId="5FF7DBA7" w:rsidR="000E10A1" w:rsidRPr="00D76DDA" w:rsidRDefault="000E10A1" w:rsidP="00D76DDA">
            <w:pPr>
              <w:spacing w:before="0" w:after="0"/>
              <w:ind w:firstLine="0"/>
              <w:contextualSpacing/>
              <w:jc w:val="center"/>
              <w:rPr>
                <w:sz w:val="18"/>
                <w:szCs w:val="18"/>
              </w:rPr>
            </w:pPr>
            <w:r w:rsidRPr="00D76DDA">
              <w:rPr>
                <w:sz w:val="18"/>
                <w:szCs w:val="18"/>
              </w:rPr>
              <w:t>14 039,5</w:t>
            </w:r>
          </w:p>
        </w:tc>
        <w:tc>
          <w:tcPr>
            <w:tcW w:w="860" w:type="dxa"/>
            <w:noWrap/>
            <w:vAlign w:val="center"/>
          </w:tcPr>
          <w:p w14:paraId="38140BB3" w14:textId="55385FB2" w:rsidR="000E10A1" w:rsidRPr="00D76DDA" w:rsidRDefault="000E10A1" w:rsidP="00D76DDA">
            <w:pPr>
              <w:spacing w:before="0" w:after="0"/>
              <w:ind w:firstLine="0"/>
              <w:contextualSpacing/>
              <w:jc w:val="center"/>
              <w:rPr>
                <w:sz w:val="18"/>
                <w:szCs w:val="18"/>
              </w:rPr>
            </w:pPr>
            <w:r w:rsidRPr="00D76DDA">
              <w:rPr>
                <w:sz w:val="18"/>
                <w:szCs w:val="18"/>
              </w:rPr>
              <w:t>14 724,1</w:t>
            </w:r>
          </w:p>
        </w:tc>
        <w:tc>
          <w:tcPr>
            <w:tcW w:w="878" w:type="dxa"/>
            <w:noWrap/>
            <w:vAlign w:val="center"/>
          </w:tcPr>
          <w:p w14:paraId="74119FBA" w14:textId="4026FBA1" w:rsidR="000E10A1" w:rsidRPr="00D76DDA" w:rsidRDefault="000E10A1" w:rsidP="00D76DDA">
            <w:pPr>
              <w:spacing w:before="0" w:after="0"/>
              <w:ind w:firstLine="0"/>
              <w:contextualSpacing/>
              <w:jc w:val="center"/>
              <w:rPr>
                <w:sz w:val="18"/>
                <w:szCs w:val="18"/>
              </w:rPr>
            </w:pPr>
            <w:r w:rsidRPr="00D76DDA">
              <w:rPr>
                <w:sz w:val="18"/>
                <w:szCs w:val="18"/>
              </w:rPr>
              <w:t>15 064,3</w:t>
            </w:r>
          </w:p>
        </w:tc>
      </w:tr>
      <w:tr w:rsidR="000E10A1" w:rsidRPr="00D16868" w14:paraId="2D582FE6" w14:textId="77777777" w:rsidTr="00D76DDA">
        <w:trPr>
          <w:trHeight w:val="65"/>
          <w:tblHeader/>
          <w:jc w:val="center"/>
        </w:trPr>
        <w:tc>
          <w:tcPr>
            <w:tcW w:w="3168" w:type="dxa"/>
            <w:noWrap/>
            <w:hideMark/>
          </w:tcPr>
          <w:p w14:paraId="4BAA61E4"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Izdevumi</w:t>
            </w:r>
          </w:p>
        </w:tc>
        <w:tc>
          <w:tcPr>
            <w:tcW w:w="860" w:type="dxa"/>
            <w:noWrap/>
            <w:vAlign w:val="center"/>
          </w:tcPr>
          <w:p w14:paraId="627A4616" w14:textId="5E469BEE"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10 432,1</w:t>
            </w:r>
          </w:p>
        </w:tc>
        <w:tc>
          <w:tcPr>
            <w:tcW w:w="860" w:type="dxa"/>
            <w:noWrap/>
            <w:vAlign w:val="center"/>
          </w:tcPr>
          <w:p w14:paraId="07DFA72B" w14:textId="7B87F31F"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12 291,0</w:t>
            </w:r>
          </w:p>
        </w:tc>
        <w:tc>
          <w:tcPr>
            <w:tcW w:w="860" w:type="dxa"/>
            <w:noWrap/>
            <w:vAlign w:val="center"/>
          </w:tcPr>
          <w:p w14:paraId="2A1CC2B0" w14:textId="38BA1C83" w:rsidR="000E10A1" w:rsidRPr="00D76DDA" w:rsidRDefault="000E10A1" w:rsidP="00D76DDA">
            <w:pPr>
              <w:spacing w:before="0" w:after="0"/>
              <w:ind w:firstLine="0"/>
              <w:contextualSpacing/>
              <w:jc w:val="center"/>
              <w:rPr>
                <w:sz w:val="18"/>
                <w:szCs w:val="18"/>
              </w:rPr>
            </w:pPr>
            <w:r w:rsidRPr="00D76DDA">
              <w:rPr>
                <w:sz w:val="18"/>
                <w:szCs w:val="18"/>
              </w:rPr>
              <w:t>13 478,1</w:t>
            </w:r>
          </w:p>
        </w:tc>
        <w:tc>
          <w:tcPr>
            <w:tcW w:w="886" w:type="dxa"/>
            <w:gridSpan w:val="2"/>
            <w:noWrap/>
            <w:vAlign w:val="center"/>
          </w:tcPr>
          <w:p w14:paraId="2C6597E8" w14:textId="1BCFE5F5" w:rsidR="000E10A1" w:rsidRPr="00D76DDA" w:rsidRDefault="000E10A1" w:rsidP="00D76DDA">
            <w:pPr>
              <w:spacing w:before="0" w:after="0"/>
              <w:ind w:firstLine="0"/>
              <w:contextualSpacing/>
              <w:jc w:val="center"/>
              <w:rPr>
                <w:sz w:val="18"/>
                <w:szCs w:val="18"/>
              </w:rPr>
            </w:pPr>
            <w:r w:rsidRPr="00D76DDA">
              <w:rPr>
                <w:sz w:val="18"/>
                <w:szCs w:val="18"/>
              </w:rPr>
              <w:t>14 393,4</w:t>
            </w:r>
          </w:p>
        </w:tc>
        <w:tc>
          <w:tcPr>
            <w:tcW w:w="860" w:type="dxa"/>
            <w:noWrap/>
            <w:vAlign w:val="center"/>
          </w:tcPr>
          <w:p w14:paraId="50815B13" w14:textId="7F682BDC" w:rsidR="000E10A1" w:rsidRPr="00D76DDA" w:rsidRDefault="000E10A1" w:rsidP="00D76DDA">
            <w:pPr>
              <w:spacing w:before="0" w:after="0"/>
              <w:ind w:firstLine="0"/>
              <w:contextualSpacing/>
              <w:jc w:val="center"/>
              <w:rPr>
                <w:sz w:val="18"/>
                <w:szCs w:val="18"/>
              </w:rPr>
            </w:pPr>
            <w:r w:rsidRPr="00D76DDA">
              <w:rPr>
                <w:sz w:val="18"/>
                <w:szCs w:val="18"/>
              </w:rPr>
              <w:t>15 325,5</w:t>
            </w:r>
          </w:p>
        </w:tc>
        <w:tc>
          <w:tcPr>
            <w:tcW w:w="860" w:type="dxa"/>
            <w:noWrap/>
            <w:vAlign w:val="center"/>
          </w:tcPr>
          <w:p w14:paraId="0D8FBFCC" w14:textId="539ED27A" w:rsidR="000E10A1" w:rsidRPr="00D76DDA" w:rsidRDefault="000E10A1" w:rsidP="00D76DDA">
            <w:pPr>
              <w:spacing w:before="0" w:after="0"/>
              <w:ind w:firstLine="0"/>
              <w:contextualSpacing/>
              <w:jc w:val="center"/>
              <w:rPr>
                <w:sz w:val="18"/>
                <w:szCs w:val="18"/>
              </w:rPr>
            </w:pPr>
            <w:r w:rsidRPr="00D76DDA">
              <w:rPr>
                <w:sz w:val="18"/>
                <w:szCs w:val="18"/>
              </w:rPr>
              <w:t>15 678,5</w:t>
            </w:r>
          </w:p>
        </w:tc>
        <w:tc>
          <w:tcPr>
            <w:tcW w:w="878" w:type="dxa"/>
            <w:noWrap/>
            <w:vAlign w:val="center"/>
          </w:tcPr>
          <w:p w14:paraId="5EBDAB0E" w14:textId="2C0E485A" w:rsidR="000E10A1" w:rsidRPr="00D76DDA" w:rsidRDefault="000E10A1" w:rsidP="00D76DDA">
            <w:pPr>
              <w:spacing w:before="0" w:after="0"/>
              <w:ind w:firstLine="0"/>
              <w:contextualSpacing/>
              <w:jc w:val="center"/>
              <w:rPr>
                <w:sz w:val="18"/>
                <w:szCs w:val="18"/>
              </w:rPr>
            </w:pPr>
            <w:r w:rsidRPr="00D76DDA">
              <w:rPr>
                <w:sz w:val="18"/>
                <w:szCs w:val="18"/>
              </w:rPr>
              <w:t>15 334,1</w:t>
            </w:r>
          </w:p>
        </w:tc>
      </w:tr>
      <w:tr w:rsidR="000E10A1" w:rsidRPr="00D16868" w14:paraId="21DB87D3" w14:textId="77777777" w:rsidTr="00D76DDA">
        <w:trPr>
          <w:trHeight w:val="65"/>
          <w:tblHeader/>
          <w:jc w:val="center"/>
        </w:trPr>
        <w:tc>
          <w:tcPr>
            <w:tcW w:w="3168" w:type="dxa"/>
            <w:noWrap/>
            <w:hideMark/>
          </w:tcPr>
          <w:p w14:paraId="2B324F0A" w14:textId="77777777" w:rsidR="000E10A1" w:rsidRPr="00D16868" w:rsidRDefault="000E10A1" w:rsidP="000E10A1">
            <w:pPr>
              <w:spacing w:before="0" w:after="0"/>
              <w:ind w:firstLine="0"/>
              <w:contextualSpacing/>
              <w:jc w:val="left"/>
              <w:rPr>
                <w:rFonts w:eastAsia="Times New Roman"/>
                <w:b/>
                <w:bCs/>
                <w:sz w:val="18"/>
                <w:szCs w:val="18"/>
              </w:rPr>
            </w:pPr>
            <w:r w:rsidRPr="00D16868">
              <w:rPr>
                <w:rFonts w:eastAsia="Times New Roman"/>
                <w:b/>
                <w:bCs/>
                <w:sz w:val="18"/>
                <w:szCs w:val="18"/>
              </w:rPr>
              <w:t>VALSTS PAMATBUDŽETA BILANCE</w:t>
            </w:r>
          </w:p>
        </w:tc>
        <w:tc>
          <w:tcPr>
            <w:tcW w:w="860" w:type="dxa"/>
            <w:noWrap/>
            <w:vAlign w:val="center"/>
          </w:tcPr>
          <w:p w14:paraId="440F0D39" w14:textId="33F8206C"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-1 224,4</w:t>
            </w:r>
          </w:p>
        </w:tc>
        <w:tc>
          <w:tcPr>
            <w:tcW w:w="860" w:type="dxa"/>
            <w:noWrap/>
            <w:vAlign w:val="center"/>
          </w:tcPr>
          <w:p w14:paraId="107B0E57" w14:textId="1DD3D893"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-1 980,5</w:t>
            </w:r>
          </w:p>
        </w:tc>
        <w:tc>
          <w:tcPr>
            <w:tcW w:w="860" w:type="dxa"/>
            <w:noWrap/>
            <w:vAlign w:val="center"/>
          </w:tcPr>
          <w:p w14:paraId="5BE1CFC8" w14:textId="187110B2" w:rsidR="000E10A1" w:rsidRPr="00D76DDA" w:rsidRDefault="000E10A1" w:rsidP="00D76DDA">
            <w:pPr>
              <w:spacing w:before="0" w:after="0"/>
              <w:ind w:firstLine="0"/>
              <w:contextualSpacing/>
              <w:jc w:val="center"/>
              <w:rPr>
                <w:b/>
                <w:bCs/>
                <w:sz w:val="18"/>
                <w:szCs w:val="18"/>
              </w:rPr>
            </w:pPr>
            <w:r w:rsidRPr="00D76DDA">
              <w:rPr>
                <w:sz w:val="18"/>
                <w:szCs w:val="18"/>
              </w:rPr>
              <w:t>-1 889,2</w:t>
            </w:r>
          </w:p>
        </w:tc>
        <w:tc>
          <w:tcPr>
            <w:tcW w:w="886" w:type="dxa"/>
            <w:gridSpan w:val="2"/>
            <w:noWrap/>
            <w:vAlign w:val="center"/>
          </w:tcPr>
          <w:p w14:paraId="00ED23FF" w14:textId="6E6B9640" w:rsidR="000E10A1" w:rsidRPr="00D76DDA" w:rsidRDefault="000E10A1" w:rsidP="00D76DDA">
            <w:pPr>
              <w:spacing w:before="0" w:after="0"/>
              <w:ind w:firstLine="0"/>
              <w:contextualSpacing/>
              <w:jc w:val="center"/>
              <w:rPr>
                <w:b/>
                <w:bCs/>
                <w:sz w:val="18"/>
                <w:szCs w:val="18"/>
              </w:rPr>
            </w:pPr>
            <w:r w:rsidRPr="00D76DDA">
              <w:rPr>
                <w:sz w:val="18"/>
                <w:szCs w:val="18"/>
              </w:rPr>
              <w:t>-1 565,5</w:t>
            </w:r>
          </w:p>
        </w:tc>
        <w:tc>
          <w:tcPr>
            <w:tcW w:w="860" w:type="dxa"/>
            <w:noWrap/>
            <w:vAlign w:val="center"/>
          </w:tcPr>
          <w:p w14:paraId="248A962D" w14:textId="5541C857" w:rsidR="000E10A1" w:rsidRPr="00D76DDA" w:rsidRDefault="000E10A1" w:rsidP="00D76DDA">
            <w:pPr>
              <w:spacing w:before="0" w:after="0"/>
              <w:ind w:firstLine="0"/>
              <w:contextualSpacing/>
              <w:jc w:val="center"/>
              <w:rPr>
                <w:b/>
                <w:bCs/>
                <w:sz w:val="18"/>
                <w:szCs w:val="18"/>
              </w:rPr>
            </w:pPr>
            <w:r w:rsidRPr="00D76DDA">
              <w:rPr>
                <w:sz w:val="18"/>
                <w:szCs w:val="18"/>
              </w:rPr>
              <w:t>-1 620,6</w:t>
            </w:r>
          </w:p>
        </w:tc>
        <w:tc>
          <w:tcPr>
            <w:tcW w:w="860" w:type="dxa"/>
            <w:noWrap/>
            <w:vAlign w:val="center"/>
          </w:tcPr>
          <w:p w14:paraId="73AFFA16" w14:textId="05B8F840" w:rsidR="000E10A1" w:rsidRPr="00D76DDA" w:rsidRDefault="000E10A1" w:rsidP="00D76DDA">
            <w:pPr>
              <w:spacing w:before="0" w:after="0"/>
              <w:ind w:firstLine="0"/>
              <w:contextualSpacing/>
              <w:jc w:val="center"/>
              <w:rPr>
                <w:b/>
                <w:bCs/>
                <w:sz w:val="18"/>
                <w:szCs w:val="18"/>
              </w:rPr>
            </w:pPr>
            <w:r w:rsidRPr="00D76DDA">
              <w:rPr>
                <w:sz w:val="18"/>
                <w:szCs w:val="18"/>
              </w:rPr>
              <w:t>-1 316,5</w:t>
            </w:r>
          </w:p>
        </w:tc>
        <w:tc>
          <w:tcPr>
            <w:tcW w:w="878" w:type="dxa"/>
            <w:noWrap/>
            <w:vAlign w:val="center"/>
          </w:tcPr>
          <w:p w14:paraId="411A1D1C" w14:textId="59678A85" w:rsidR="000E10A1" w:rsidRPr="00D76DDA" w:rsidRDefault="000E10A1" w:rsidP="00D76DDA">
            <w:pPr>
              <w:spacing w:before="0" w:after="0"/>
              <w:ind w:firstLine="0"/>
              <w:contextualSpacing/>
              <w:jc w:val="center"/>
              <w:rPr>
                <w:b/>
                <w:bCs/>
                <w:sz w:val="18"/>
                <w:szCs w:val="18"/>
              </w:rPr>
            </w:pPr>
            <w:r w:rsidRPr="00D76DDA">
              <w:rPr>
                <w:sz w:val="18"/>
                <w:szCs w:val="18"/>
              </w:rPr>
              <w:t>-534,6</w:t>
            </w:r>
          </w:p>
        </w:tc>
      </w:tr>
      <w:tr w:rsidR="000E10A1" w:rsidRPr="00D16868" w14:paraId="078F4E88" w14:textId="77777777" w:rsidTr="00D76DDA">
        <w:trPr>
          <w:trHeight w:val="65"/>
          <w:tblHeader/>
          <w:jc w:val="center"/>
        </w:trPr>
        <w:tc>
          <w:tcPr>
            <w:tcW w:w="3168" w:type="dxa"/>
            <w:noWrap/>
            <w:hideMark/>
          </w:tcPr>
          <w:p w14:paraId="7DF67C85"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Ieņēmumi</w:t>
            </w:r>
          </w:p>
        </w:tc>
        <w:tc>
          <w:tcPr>
            <w:tcW w:w="860" w:type="dxa"/>
            <w:noWrap/>
            <w:vAlign w:val="center"/>
          </w:tcPr>
          <w:p w14:paraId="7413F678" w14:textId="7181BC88"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6 442,7</w:t>
            </w:r>
          </w:p>
        </w:tc>
        <w:tc>
          <w:tcPr>
            <w:tcW w:w="860" w:type="dxa"/>
            <w:noWrap/>
            <w:vAlign w:val="center"/>
          </w:tcPr>
          <w:p w14:paraId="3CE3590C" w14:textId="11EEF27A"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7 418,6</w:t>
            </w:r>
          </w:p>
        </w:tc>
        <w:tc>
          <w:tcPr>
            <w:tcW w:w="860" w:type="dxa"/>
            <w:noWrap/>
            <w:vAlign w:val="center"/>
          </w:tcPr>
          <w:p w14:paraId="78DBFA25" w14:textId="1D784C4E" w:rsidR="000E10A1" w:rsidRPr="00D76DDA" w:rsidRDefault="000E10A1" w:rsidP="00D76DDA">
            <w:pPr>
              <w:spacing w:before="0" w:after="0"/>
              <w:ind w:firstLine="0"/>
              <w:contextualSpacing/>
              <w:jc w:val="center"/>
              <w:rPr>
                <w:sz w:val="18"/>
                <w:szCs w:val="18"/>
              </w:rPr>
            </w:pPr>
            <w:r w:rsidRPr="00D76DDA">
              <w:rPr>
                <w:sz w:val="18"/>
                <w:szCs w:val="18"/>
              </w:rPr>
              <w:t>8 291,9</w:t>
            </w:r>
          </w:p>
        </w:tc>
        <w:tc>
          <w:tcPr>
            <w:tcW w:w="886" w:type="dxa"/>
            <w:gridSpan w:val="2"/>
            <w:noWrap/>
            <w:vAlign w:val="center"/>
          </w:tcPr>
          <w:p w14:paraId="2A186703" w14:textId="3B63280D" w:rsidR="000E10A1" w:rsidRPr="00D76DDA" w:rsidRDefault="000E10A1" w:rsidP="00D76DDA">
            <w:pPr>
              <w:spacing w:before="0" w:after="0"/>
              <w:ind w:firstLine="0"/>
              <w:contextualSpacing/>
              <w:jc w:val="center"/>
              <w:rPr>
                <w:sz w:val="18"/>
                <w:szCs w:val="18"/>
              </w:rPr>
            </w:pPr>
            <w:r w:rsidRPr="00D76DDA">
              <w:rPr>
                <w:sz w:val="18"/>
                <w:szCs w:val="18"/>
              </w:rPr>
              <w:t>9 068,9</w:t>
            </w:r>
          </w:p>
        </w:tc>
        <w:tc>
          <w:tcPr>
            <w:tcW w:w="860" w:type="dxa"/>
            <w:noWrap/>
            <w:vAlign w:val="center"/>
          </w:tcPr>
          <w:p w14:paraId="0534A474" w14:textId="4E9A5094" w:rsidR="000E10A1" w:rsidRPr="00D76DDA" w:rsidRDefault="000E10A1" w:rsidP="00D76DDA">
            <w:pPr>
              <w:spacing w:before="0" w:after="0"/>
              <w:ind w:firstLine="0"/>
              <w:contextualSpacing/>
              <w:jc w:val="center"/>
              <w:rPr>
                <w:sz w:val="18"/>
                <w:szCs w:val="18"/>
              </w:rPr>
            </w:pPr>
            <w:r w:rsidRPr="00D76DDA">
              <w:rPr>
                <w:sz w:val="18"/>
                <w:szCs w:val="18"/>
              </w:rPr>
              <w:t>9 616,4</w:t>
            </w:r>
          </w:p>
        </w:tc>
        <w:tc>
          <w:tcPr>
            <w:tcW w:w="860" w:type="dxa"/>
            <w:noWrap/>
            <w:vAlign w:val="center"/>
          </w:tcPr>
          <w:p w14:paraId="4F9598C2" w14:textId="00CF6813" w:rsidR="000E10A1" w:rsidRPr="00D76DDA" w:rsidRDefault="000E10A1" w:rsidP="00D76DDA">
            <w:pPr>
              <w:spacing w:before="0" w:after="0"/>
              <w:ind w:firstLine="0"/>
              <w:contextualSpacing/>
              <w:jc w:val="center"/>
              <w:rPr>
                <w:sz w:val="18"/>
                <w:szCs w:val="18"/>
              </w:rPr>
            </w:pPr>
            <w:r w:rsidRPr="00D76DDA">
              <w:rPr>
                <w:sz w:val="18"/>
                <w:szCs w:val="18"/>
              </w:rPr>
              <w:t>9 976,3</w:t>
            </w:r>
          </w:p>
        </w:tc>
        <w:tc>
          <w:tcPr>
            <w:tcW w:w="878" w:type="dxa"/>
            <w:noWrap/>
            <w:vAlign w:val="center"/>
          </w:tcPr>
          <w:p w14:paraId="3912212B" w14:textId="1AF8AA18" w:rsidR="000E10A1" w:rsidRPr="00D76DDA" w:rsidRDefault="000E10A1" w:rsidP="00D76DDA">
            <w:pPr>
              <w:spacing w:before="0" w:after="0"/>
              <w:ind w:firstLine="0"/>
              <w:contextualSpacing/>
              <w:jc w:val="center"/>
              <w:rPr>
                <w:sz w:val="18"/>
                <w:szCs w:val="18"/>
              </w:rPr>
            </w:pPr>
            <w:r w:rsidRPr="00D76DDA">
              <w:rPr>
                <w:sz w:val="18"/>
                <w:szCs w:val="18"/>
              </w:rPr>
              <w:t>10 072,0</w:t>
            </w:r>
          </w:p>
        </w:tc>
      </w:tr>
      <w:tr w:rsidR="000E10A1" w:rsidRPr="00D16868" w14:paraId="063B58AD" w14:textId="77777777" w:rsidTr="00D76DDA">
        <w:trPr>
          <w:trHeight w:val="65"/>
          <w:tblHeader/>
          <w:jc w:val="center"/>
        </w:trPr>
        <w:tc>
          <w:tcPr>
            <w:tcW w:w="3168" w:type="dxa"/>
            <w:noWrap/>
            <w:hideMark/>
          </w:tcPr>
          <w:p w14:paraId="1FC47E11"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Izdevumi</w:t>
            </w:r>
          </w:p>
        </w:tc>
        <w:tc>
          <w:tcPr>
            <w:tcW w:w="860" w:type="dxa"/>
            <w:noWrap/>
            <w:vAlign w:val="center"/>
          </w:tcPr>
          <w:p w14:paraId="502510AA" w14:textId="73FD5649"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7 667,0</w:t>
            </w:r>
          </w:p>
        </w:tc>
        <w:tc>
          <w:tcPr>
            <w:tcW w:w="860" w:type="dxa"/>
            <w:noWrap/>
            <w:vAlign w:val="center"/>
          </w:tcPr>
          <w:p w14:paraId="38FD3654" w14:textId="441AE9F4"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9 399,2</w:t>
            </w:r>
          </w:p>
        </w:tc>
        <w:tc>
          <w:tcPr>
            <w:tcW w:w="860" w:type="dxa"/>
            <w:noWrap/>
            <w:vAlign w:val="center"/>
          </w:tcPr>
          <w:p w14:paraId="651A15EC" w14:textId="7E98E300" w:rsidR="000E10A1" w:rsidRPr="00D76DDA" w:rsidRDefault="000E10A1" w:rsidP="00D76DDA">
            <w:pPr>
              <w:spacing w:before="0" w:after="0"/>
              <w:ind w:firstLine="0"/>
              <w:contextualSpacing/>
              <w:jc w:val="center"/>
              <w:rPr>
                <w:sz w:val="18"/>
                <w:szCs w:val="18"/>
              </w:rPr>
            </w:pPr>
            <w:r w:rsidRPr="00D76DDA">
              <w:rPr>
                <w:sz w:val="18"/>
                <w:szCs w:val="18"/>
              </w:rPr>
              <w:t>10 181,2</w:t>
            </w:r>
          </w:p>
        </w:tc>
        <w:tc>
          <w:tcPr>
            <w:tcW w:w="886" w:type="dxa"/>
            <w:gridSpan w:val="2"/>
            <w:noWrap/>
            <w:vAlign w:val="center"/>
          </w:tcPr>
          <w:p w14:paraId="34C7DDAB" w14:textId="7F5AB877" w:rsidR="000E10A1" w:rsidRPr="00D76DDA" w:rsidRDefault="000E10A1" w:rsidP="00D76DDA">
            <w:pPr>
              <w:spacing w:before="0" w:after="0"/>
              <w:ind w:firstLine="0"/>
              <w:contextualSpacing/>
              <w:jc w:val="center"/>
              <w:rPr>
                <w:sz w:val="18"/>
                <w:szCs w:val="18"/>
              </w:rPr>
            </w:pPr>
            <w:r w:rsidRPr="00D76DDA">
              <w:rPr>
                <w:sz w:val="18"/>
                <w:szCs w:val="18"/>
              </w:rPr>
              <w:t>10 634,4</w:t>
            </w:r>
          </w:p>
        </w:tc>
        <w:tc>
          <w:tcPr>
            <w:tcW w:w="860" w:type="dxa"/>
            <w:noWrap/>
            <w:vAlign w:val="center"/>
          </w:tcPr>
          <w:p w14:paraId="728FC847" w14:textId="4782FE59" w:rsidR="000E10A1" w:rsidRPr="00D76DDA" w:rsidRDefault="000E10A1" w:rsidP="00D76DDA">
            <w:pPr>
              <w:spacing w:before="0" w:after="0"/>
              <w:ind w:firstLine="0"/>
              <w:contextualSpacing/>
              <w:jc w:val="center"/>
              <w:rPr>
                <w:sz w:val="18"/>
                <w:szCs w:val="18"/>
              </w:rPr>
            </w:pPr>
            <w:r w:rsidRPr="00D76DDA">
              <w:rPr>
                <w:sz w:val="18"/>
                <w:szCs w:val="18"/>
              </w:rPr>
              <w:t>11 236,9</w:t>
            </w:r>
          </w:p>
        </w:tc>
        <w:tc>
          <w:tcPr>
            <w:tcW w:w="860" w:type="dxa"/>
            <w:noWrap/>
            <w:vAlign w:val="center"/>
          </w:tcPr>
          <w:p w14:paraId="11033FDC" w14:textId="32027F95" w:rsidR="000E10A1" w:rsidRPr="00D76DDA" w:rsidRDefault="000E10A1" w:rsidP="00D76DDA">
            <w:pPr>
              <w:spacing w:before="0" w:after="0"/>
              <w:ind w:firstLine="0"/>
              <w:contextualSpacing/>
              <w:jc w:val="center"/>
              <w:rPr>
                <w:sz w:val="18"/>
                <w:szCs w:val="18"/>
              </w:rPr>
            </w:pPr>
            <w:r w:rsidRPr="00D76DDA">
              <w:rPr>
                <w:sz w:val="18"/>
                <w:szCs w:val="18"/>
              </w:rPr>
              <w:t>11 292,8</w:t>
            </w:r>
          </w:p>
        </w:tc>
        <w:tc>
          <w:tcPr>
            <w:tcW w:w="878" w:type="dxa"/>
            <w:noWrap/>
            <w:vAlign w:val="center"/>
          </w:tcPr>
          <w:p w14:paraId="44B59C56" w14:textId="0B93F4F4" w:rsidR="000E10A1" w:rsidRPr="00D76DDA" w:rsidRDefault="000E10A1" w:rsidP="00D76DDA">
            <w:pPr>
              <w:spacing w:before="0" w:after="0"/>
              <w:ind w:firstLine="0"/>
              <w:contextualSpacing/>
              <w:jc w:val="center"/>
              <w:rPr>
                <w:sz w:val="18"/>
                <w:szCs w:val="18"/>
              </w:rPr>
            </w:pPr>
            <w:r w:rsidRPr="00D76DDA">
              <w:rPr>
                <w:sz w:val="18"/>
                <w:szCs w:val="18"/>
              </w:rPr>
              <w:t>10 606,7</w:t>
            </w:r>
          </w:p>
        </w:tc>
      </w:tr>
      <w:tr w:rsidR="000E10A1" w:rsidRPr="00D16868" w14:paraId="53242FD0" w14:textId="77777777" w:rsidTr="00D76DDA">
        <w:trPr>
          <w:trHeight w:val="65"/>
          <w:tblHeader/>
          <w:jc w:val="center"/>
        </w:trPr>
        <w:tc>
          <w:tcPr>
            <w:tcW w:w="3168" w:type="dxa"/>
            <w:noWrap/>
            <w:hideMark/>
          </w:tcPr>
          <w:p w14:paraId="2DC598A0" w14:textId="77777777" w:rsidR="000E10A1" w:rsidRPr="0049617E" w:rsidRDefault="000E10A1" w:rsidP="000E10A1">
            <w:pPr>
              <w:spacing w:before="0" w:after="0"/>
              <w:ind w:firstLineChars="300" w:firstLine="540"/>
              <w:contextualSpacing/>
              <w:jc w:val="left"/>
              <w:rPr>
                <w:rFonts w:eastAsia="Times New Roman"/>
                <w:i/>
                <w:iCs/>
                <w:sz w:val="18"/>
                <w:szCs w:val="18"/>
              </w:rPr>
            </w:pPr>
            <w:r w:rsidRPr="0049617E">
              <w:rPr>
                <w:rFonts w:eastAsia="Times New Roman"/>
                <w:i/>
                <w:iCs/>
                <w:sz w:val="18"/>
                <w:szCs w:val="18"/>
              </w:rPr>
              <w:t>Pamatfunkciju daļa</w:t>
            </w:r>
          </w:p>
        </w:tc>
        <w:tc>
          <w:tcPr>
            <w:tcW w:w="860" w:type="dxa"/>
            <w:noWrap/>
            <w:vAlign w:val="center"/>
          </w:tcPr>
          <w:p w14:paraId="107CF94F" w14:textId="2827520D" w:rsidR="000E10A1" w:rsidRPr="00D76DDA" w:rsidRDefault="000E10A1" w:rsidP="00D76DDA">
            <w:pPr>
              <w:spacing w:before="0" w:after="0"/>
              <w:ind w:firstLine="0"/>
              <w:contextualSpacing/>
              <w:jc w:val="center"/>
              <w:rPr>
                <w:rFonts w:eastAsia="Times New Roman"/>
                <w:i/>
                <w:iCs/>
                <w:sz w:val="18"/>
                <w:szCs w:val="18"/>
                <w:highlight w:val="yellow"/>
              </w:rPr>
            </w:pPr>
            <w:r w:rsidRPr="00D76DDA">
              <w:rPr>
                <w:sz w:val="18"/>
                <w:szCs w:val="18"/>
              </w:rPr>
              <w:t>6 326,9</w:t>
            </w:r>
          </w:p>
        </w:tc>
        <w:tc>
          <w:tcPr>
            <w:tcW w:w="860" w:type="dxa"/>
            <w:noWrap/>
            <w:vAlign w:val="center"/>
          </w:tcPr>
          <w:p w14:paraId="2575149B" w14:textId="59517C3D" w:rsidR="000E10A1" w:rsidRPr="00D76DDA" w:rsidRDefault="000E10A1" w:rsidP="00D76DDA">
            <w:pPr>
              <w:spacing w:before="0" w:after="0"/>
              <w:ind w:firstLine="0"/>
              <w:contextualSpacing/>
              <w:jc w:val="center"/>
              <w:rPr>
                <w:rFonts w:eastAsia="Times New Roman"/>
                <w:i/>
                <w:iCs/>
                <w:sz w:val="18"/>
                <w:szCs w:val="18"/>
                <w:highlight w:val="yellow"/>
              </w:rPr>
            </w:pPr>
            <w:r w:rsidRPr="00D76DDA">
              <w:rPr>
                <w:sz w:val="18"/>
                <w:szCs w:val="18"/>
              </w:rPr>
              <w:t>8 125,9</w:t>
            </w:r>
          </w:p>
        </w:tc>
        <w:tc>
          <w:tcPr>
            <w:tcW w:w="860" w:type="dxa"/>
            <w:noWrap/>
            <w:vAlign w:val="center"/>
          </w:tcPr>
          <w:p w14:paraId="17A44E09" w14:textId="07636437" w:rsidR="000E10A1" w:rsidRPr="00D76DDA" w:rsidRDefault="000E10A1" w:rsidP="00D76DDA">
            <w:pPr>
              <w:spacing w:before="0" w:after="0"/>
              <w:ind w:firstLine="0"/>
              <w:contextualSpacing/>
              <w:jc w:val="center"/>
              <w:rPr>
                <w:i/>
                <w:iCs/>
                <w:sz w:val="18"/>
                <w:szCs w:val="18"/>
              </w:rPr>
            </w:pPr>
            <w:r w:rsidRPr="00D76DDA">
              <w:rPr>
                <w:sz w:val="18"/>
                <w:szCs w:val="18"/>
              </w:rPr>
              <w:t>8 797,2</w:t>
            </w:r>
          </w:p>
        </w:tc>
        <w:tc>
          <w:tcPr>
            <w:tcW w:w="886" w:type="dxa"/>
            <w:gridSpan w:val="2"/>
            <w:noWrap/>
            <w:vAlign w:val="center"/>
          </w:tcPr>
          <w:p w14:paraId="15526CF0" w14:textId="54DC6804" w:rsidR="000E10A1" w:rsidRPr="00D76DDA" w:rsidRDefault="000E10A1" w:rsidP="00D76DDA">
            <w:pPr>
              <w:spacing w:before="0" w:after="0"/>
              <w:ind w:firstLine="0"/>
              <w:contextualSpacing/>
              <w:jc w:val="center"/>
              <w:rPr>
                <w:i/>
                <w:iCs/>
                <w:sz w:val="18"/>
                <w:szCs w:val="18"/>
              </w:rPr>
            </w:pPr>
            <w:r w:rsidRPr="00D76DDA">
              <w:rPr>
                <w:sz w:val="18"/>
                <w:szCs w:val="18"/>
              </w:rPr>
              <w:t>8 663,2</w:t>
            </w:r>
          </w:p>
        </w:tc>
        <w:tc>
          <w:tcPr>
            <w:tcW w:w="860" w:type="dxa"/>
            <w:noWrap/>
            <w:vAlign w:val="center"/>
          </w:tcPr>
          <w:p w14:paraId="1629F979" w14:textId="5F8F21AB" w:rsidR="000E10A1" w:rsidRPr="00D76DDA" w:rsidRDefault="000E10A1" w:rsidP="00D76DDA">
            <w:pPr>
              <w:spacing w:before="0" w:after="0"/>
              <w:ind w:firstLine="0"/>
              <w:contextualSpacing/>
              <w:jc w:val="center"/>
              <w:rPr>
                <w:i/>
                <w:iCs/>
                <w:sz w:val="18"/>
                <w:szCs w:val="18"/>
              </w:rPr>
            </w:pPr>
            <w:r w:rsidRPr="00D76DDA">
              <w:rPr>
                <w:sz w:val="18"/>
                <w:szCs w:val="18"/>
              </w:rPr>
              <w:t>8 615,5</w:t>
            </w:r>
          </w:p>
        </w:tc>
        <w:tc>
          <w:tcPr>
            <w:tcW w:w="860" w:type="dxa"/>
            <w:noWrap/>
            <w:vAlign w:val="center"/>
          </w:tcPr>
          <w:p w14:paraId="635458F8" w14:textId="0077E630" w:rsidR="000E10A1" w:rsidRPr="00D76DDA" w:rsidRDefault="000E10A1" w:rsidP="00D76DDA">
            <w:pPr>
              <w:spacing w:before="0" w:after="0"/>
              <w:ind w:firstLine="0"/>
              <w:contextualSpacing/>
              <w:jc w:val="center"/>
              <w:rPr>
                <w:i/>
                <w:iCs/>
                <w:sz w:val="18"/>
                <w:szCs w:val="18"/>
              </w:rPr>
            </w:pPr>
            <w:r w:rsidRPr="00D76DDA">
              <w:rPr>
                <w:sz w:val="18"/>
                <w:szCs w:val="18"/>
              </w:rPr>
              <w:t>8 634,8</w:t>
            </w:r>
          </w:p>
        </w:tc>
        <w:tc>
          <w:tcPr>
            <w:tcW w:w="878" w:type="dxa"/>
            <w:noWrap/>
            <w:vAlign w:val="center"/>
          </w:tcPr>
          <w:p w14:paraId="35E5FCE8" w14:textId="63E55927" w:rsidR="000E10A1" w:rsidRPr="00D76DDA" w:rsidRDefault="000E10A1" w:rsidP="00D76DDA">
            <w:pPr>
              <w:spacing w:before="0" w:after="0"/>
              <w:ind w:firstLine="0"/>
              <w:contextualSpacing/>
              <w:jc w:val="center"/>
              <w:rPr>
                <w:i/>
                <w:iCs/>
                <w:sz w:val="18"/>
                <w:szCs w:val="18"/>
              </w:rPr>
            </w:pPr>
            <w:r w:rsidRPr="00D76DDA">
              <w:rPr>
                <w:sz w:val="18"/>
                <w:szCs w:val="18"/>
              </w:rPr>
              <w:t>8 354,1</w:t>
            </w:r>
          </w:p>
        </w:tc>
      </w:tr>
      <w:tr w:rsidR="000E10A1" w:rsidRPr="00D16868" w14:paraId="329F01F2" w14:textId="77777777" w:rsidTr="00D76DDA">
        <w:trPr>
          <w:trHeight w:val="65"/>
          <w:tblHeader/>
          <w:jc w:val="center"/>
        </w:trPr>
        <w:tc>
          <w:tcPr>
            <w:tcW w:w="3168" w:type="dxa"/>
            <w:noWrap/>
            <w:hideMark/>
          </w:tcPr>
          <w:p w14:paraId="2E4B2F1B" w14:textId="77777777" w:rsidR="000E10A1" w:rsidRPr="0049617E" w:rsidRDefault="000E10A1" w:rsidP="000E10A1">
            <w:pPr>
              <w:spacing w:before="0" w:after="0"/>
              <w:ind w:firstLineChars="300" w:firstLine="540"/>
              <w:contextualSpacing/>
              <w:jc w:val="left"/>
              <w:rPr>
                <w:rFonts w:eastAsia="Times New Roman"/>
                <w:i/>
                <w:iCs/>
                <w:sz w:val="18"/>
                <w:szCs w:val="18"/>
              </w:rPr>
            </w:pPr>
            <w:r w:rsidRPr="0049617E">
              <w:rPr>
                <w:rFonts w:eastAsia="Times New Roman"/>
                <w:i/>
                <w:iCs/>
                <w:sz w:val="18"/>
                <w:szCs w:val="18"/>
              </w:rPr>
              <w:t>ĀFP daļa</w:t>
            </w:r>
          </w:p>
        </w:tc>
        <w:tc>
          <w:tcPr>
            <w:tcW w:w="860" w:type="dxa"/>
            <w:noWrap/>
            <w:vAlign w:val="center"/>
          </w:tcPr>
          <w:p w14:paraId="155AF1E8" w14:textId="606ED4E6" w:rsidR="000E10A1" w:rsidRPr="00D76DDA" w:rsidRDefault="000E10A1" w:rsidP="00D76DDA">
            <w:pPr>
              <w:spacing w:before="0" w:after="0"/>
              <w:ind w:firstLine="0"/>
              <w:contextualSpacing/>
              <w:jc w:val="center"/>
              <w:rPr>
                <w:rFonts w:eastAsia="Times New Roman"/>
                <w:i/>
                <w:iCs/>
                <w:sz w:val="18"/>
                <w:szCs w:val="18"/>
                <w:highlight w:val="yellow"/>
              </w:rPr>
            </w:pPr>
            <w:r w:rsidRPr="00D76DDA">
              <w:rPr>
                <w:sz w:val="18"/>
                <w:szCs w:val="18"/>
              </w:rPr>
              <w:t>1 340,1</w:t>
            </w:r>
          </w:p>
        </w:tc>
        <w:tc>
          <w:tcPr>
            <w:tcW w:w="860" w:type="dxa"/>
            <w:noWrap/>
            <w:vAlign w:val="center"/>
          </w:tcPr>
          <w:p w14:paraId="5CFF159D" w14:textId="37FA486E" w:rsidR="000E10A1" w:rsidRPr="00D76DDA" w:rsidRDefault="000E10A1" w:rsidP="00D76DDA">
            <w:pPr>
              <w:spacing w:before="0" w:after="0"/>
              <w:ind w:firstLine="0"/>
              <w:contextualSpacing/>
              <w:jc w:val="center"/>
              <w:rPr>
                <w:rFonts w:eastAsia="Times New Roman"/>
                <w:i/>
                <w:iCs/>
                <w:sz w:val="18"/>
                <w:szCs w:val="18"/>
                <w:highlight w:val="yellow"/>
              </w:rPr>
            </w:pPr>
            <w:r w:rsidRPr="00D76DDA">
              <w:rPr>
                <w:sz w:val="18"/>
                <w:szCs w:val="18"/>
              </w:rPr>
              <w:t>1 273,3</w:t>
            </w:r>
          </w:p>
        </w:tc>
        <w:tc>
          <w:tcPr>
            <w:tcW w:w="860" w:type="dxa"/>
            <w:noWrap/>
            <w:vAlign w:val="center"/>
          </w:tcPr>
          <w:p w14:paraId="40ED1B0D" w14:textId="438622D9" w:rsidR="000E10A1" w:rsidRPr="00D76DDA" w:rsidRDefault="000E10A1" w:rsidP="00D76DDA">
            <w:pPr>
              <w:spacing w:before="0" w:after="0"/>
              <w:ind w:firstLine="0"/>
              <w:contextualSpacing/>
              <w:jc w:val="center"/>
              <w:rPr>
                <w:i/>
                <w:iCs/>
                <w:sz w:val="18"/>
                <w:szCs w:val="18"/>
              </w:rPr>
            </w:pPr>
            <w:r w:rsidRPr="00D76DDA">
              <w:rPr>
                <w:sz w:val="18"/>
                <w:szCs w:val="18"/>
              </w:rPr>
              <w:t>1 384,0</w:t>
            </w:r>
          </w:p>
        </w:tc>
        <w:tc>
          <w:tcPr>
            <w:tcW w:w="886" w:type="dxa"/>
            <w:gridSpan w:val="2"/>
            <w:noWrap/>
            <w:vAlign w:val="center"/>
          </w:tcPr>
          <w:p w14:paraId="63339497" w14:textId="229B5228" w:rsidR="000E10A1" w:rsidRPr="00D76DDA" w:rsidRDefault="000E10A1" w:rsidP="00D76DDA">
            <w:pPr>
              <w:spacing w:before="0" w:after="0"/>
              <w:ind w:firstLine="0"/>
              <w:contextualSpacing/>
              <w:jc w:val="center"/>
              <w:rPr>
                <w:i/>
                <w:iCs/>
                <w:sz w:val="18"/>
                <w:szCs w:val="18"/>
              </w:rPr>
            </w:pPr>
            <w:r w:rsidRPr="00D76DDA">
              <w:rPr>
                <w:sz w:val="18"/>
                <w:szCs w:val="18"/>
              </w:rPr>
              <w:t>1 971,3</w:t>
            </w:r>
          </w:p>
        </w:tc>
        <w:tc>
          <w:tcPr>
            <w:tcW w:w="860" w:type="dxa"/>
            <w:noWrap/>
            <w:vAlign w:val="center"/>
          </w:tcPr>
          <w:p w14:paraId="4CD86103" w14:textId="3D22E600" w:rsidR="000E10A1" w:rsidRPr="00D76DDA" w:rsidRDefault="000E10A1" w:rsidP="00D76DDA">
            <w:pPr>
              <w:spacing w:before="0" w:after="0"/>
              <w:ind w:firstLine="0"/>
              <w:contextualSpacing/>
              <w:jc w:val="center"/>
              <w:rPr>
                <w:i/>
                <w:iCs/>
                <w:sz w:val="18"/>
                <w:szCs w:val="18"/>
              </w:rPr>
            </w:pPr>
            <w:r w:rsidRPr="00D76DDA">
              <w:rPr>
                <w:sz w:val="18"/>
                <w:szCs w:val="18"/>
              </w:rPr>
              <w:t>2 621,4</w:t>
            </w:r>
          </w:p>
        </w:tc>
        <w:tc>
          <w:tcPr>
            <w:tcW w:w="860" w:type="dxa"/>
            <w:noWrap/>
            <w:vAlign w:val="center"/>
          </w:tcPr>
          <w:p w14:paraId="240E891B" w14:textId="3730DE89" w:rsidR="000E10A1" w:rsidRPr="00D76DDA" w:rsidRDefault="000E10A1" w:rsidP="00D76DDA">
            <w:pPr>
              <w:spacing w:before="0" w:after="0"/>
              <w:ind w:firstLine="0"/>
              <w:contextualSpacing/>
              <w:jc w:val="center"/>
              <w:rPr>
                <w:i/>
                <w:iCs/>
                <w:sz w:val="18"/>
                <w:szCs w:val="18"/>
              </w:rPr>
            </w:pPr>
            <w:r w:rsidRPr="00D76DDA">
              <w:rPr>
                <w:sz w:val="18"/>
                <w:szCs w:val="18"/>
              </w:rPr>
              <w:t>2 658,0</w:t>
            </w:r>
          </w:p>
        </w:tc>
        <w:tc>
          <w:tcPr>
            <w:tcW w:w="878" w:type="dxa"/>
            <w:noWrap/>
            <w:vAlign w:val="center"/>
          </w:tcPr>
          <w:p w14:paraId="5CAEA28E" w14:textId="7325DD6A" w:rsidR="000E10A1" w:rsidRPr="00D76DDA" w:rsidRDefault="000E10A1" w:rsidP="00D76DDA">
            <w:pPr>
              <w:spacing w:before="0" w:after="0"/>
              <w:ind w:firstLine="0"/>
              <w:contextualSpacing/>
              <w:jc w:val="center"/>
              <w:rPr>
                <w:i/>
                <w:iCs/>
                <w:sz w:val="18"/>
                <w:szCs w:val="18"/>
              </w:rPr>
            </w:pPr>
            <w:r w:rsidRPr="00D76DDA">
              <w:rPr>
                <w:sz w:val="18"/>
                <w:szCs w:val="18"/>
              </w:rPr>
              <w:t>2 252,6</w:t>
            </w:r>
          </w:p>
        </w:tc>
      </w:tr>
      <w:tr w:rsidR="000E10A1" w:rsidRPr="00D16868" w14:paraId="2C6AFD00" w14:textId="77777777" w:rsidTr="00D76DDA">
        <w:trPr>
          <w:trHeight w:val="65"/>
          <w:tblHeader/>
          <w:jc w:val="center"/>
        </w:trPr>
        <w:tc>
          <w:tcPr>
            <w:tcW w:w="3168" w:type="dxa"/>
            <w:noWrap/>
            <w:hideMark/>
          </w:tcPr>
          <w:p w14:paraId="191A6B05" w14:textId="77777777" w:rsidR="000E10A1" w:rsidRPr="00D16868" w:rsidRDefault="000E10A1" w:rsidP="000E10A1">
            <w:pPr>
              <w:spacing w:before="0" w:after="0"/>
              <w:ind w:firstLine="0"/>
              <w:contextualSpacing/>
              <w:jc w:val="left"/>
              <w:rPr>
                <w:rFonts w:eastAsia="Times New Roman"/>
                <w:b/>
                <w:bCs/>
                <w:sz w:val="18"/>
                <w:szCs w:val="18"/>
              </w:rPr>
            </w:pPr>
            <w:r w:rsidRPr="00D16868">
              <w:rPr>
                <w:rFonts w:eastAsia="Times New Roman"/>
                <w:b/>
                <w:bCs/>
                <w:sz w:val="18"/>
                <w:szCs w:val="18"/>
              </w:rPr>
              <w:t>VALSTS SPECIĀLĀ BUDŽETA BILANCE</w:t>
            </w:r>
          </w:p>
        </w:tc>
        <w:tc>
          <w:tcPr>
            <w:tcW w:w="860" w:type="dxa"/>
            <w:noWrap/>
            <w:vAlign w:val="center"/>
          </w:tcPr>
          <w:p w14:paraId="25886AF2" w14:textId="7BF38F6F"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114,9</w:t>
            </w:r>
          </w:p>
        </w:tc>
        <w:tc>
          <w:tcPr>
            <w:tcW w:w="860" w:type="dxa"/>
            <w:noWrap/>
            <w:vAlign w:val="center"/>
          </w:tcPr>
          <w:p w14:paraId="7D7B8E5E" w14:textId="2C552985"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200,5</w:t>
            </w:r>
          </w:p>
        </w:tc>
        <w:tc>
          <w:tcPr>
            <w:tcW w:w="860" w:type="dxa"/>
            <w:noWrap/>
            <w:vAlign w:val="center"/>
          </w:tcPr>
          <w:p w14:paraId="08119ECB" w14:textId="194943A5" w:rsidR="000E10A1" w:rsidRPr="00D76DDA" w:rsidRDefault="000E10A1" w:rsidP="00D76DDA">
            <w:pPr>
              <w:spacing w:before="0" w:after="0"/>
              <w:ind w:firstLine="0"/>
              <w:contextualSpacing/>
              <w:jc w:val="center"/>
              <w:rPr>
                <w:b/>
                <w:bCs/>
                <w:sz w:val="18"/>
                <w:szCs w:val="18"/>
              </w:rPr>
            </w:pPr>
            <w:r w:rsidRPr="00D76DDA">
              <w:rPr>
                <w:sz w:val="18"/>
                <w:szCs w:val="18"/>
              </w:rPr>
              <w:t>343,5</w:t>
            </w:r>
          </w:p>
        </w:tc>
        <w:tc>
          <w:tcPr>
            <w:tcW w:w="886" w:type="dxa"/>
            <w:gridSpan w:val="2"/>
            <w:noWrap/>
            <w:vAlign w:val="center"/>
          </w:tcPr>
          <w:p w14:paraId="270581ED" w14:textId="75FF5619" w:rsidR="000E10A1" w:rsidRPr="00D76DDA" w:rsidRDefault="000E10A1" w:rsidP="00D76DDA">
            <w:pPr>
              <w:spacing w:before="0" w:after="0"/>
              <w:ind w:firstLine="0"/>
              <w:contextualSpacing/>
              <w:jc w:val="center"/>
              <w:rPr>
                <w:b/>
                <w:bCs/>
                <w:sz w:val="18"/>
                <w:szCs w:val="18"/>
              </w:rPr>
            </w:pPr>
            <w:r w:rsidRPr="00D76DDA">
              <w:rPr>
                <w:sz w:val="18"/>
                <w:szCs w:val="18"/>
              </w:rPr>
              <w:t>252,7</w:t>
            </w:r>
          </w:p>
        </w:tc>
        <w:tc>
          <w:tcPr>
            <w:tcW w:w="860" w:type="dxa"/>
            <w:noWrap/>
            <w:vAlign w:val="center"/>
          </w:tcPr>
          <w:p w14:paraId="19563312" w14:textId="3CB0E02A" w:rsidR="000E10A1" w:rsidRPr="00D76DDA" w:rsidRDefault="000E10A1" w:rsidP="00D76DDA">
            <w:pPr>
              <w:spacing w:before="0" w:after="0"/>
              <w:ind w:firstLine="0"/>
              <w:contextualSpacing/>
              <w:jc w:val="center"/>
              <w:rPr>
                <w:b/>
                <w:bCs/>
                <w:sz w:val="18"/>
                <w:szCs w:val="18"/>
              </w:rPr>
            </w:pPr>
            <w:r w:rsidRPr="00D76DDA">
              <w:rPr>
                <w:sz w:val="18"/>
                <w:szCs w:val="18"/>
              </w:rPr>
              <w:t>334,6</w:t>
            </w:r>
          </w:p>
        </w:tc>
        <w:tc>
          <w:tcPr>
            <w:tcW w:w="860" w:type="dxa"/>
            <w:noWrap/>
            <w:vAlign w:val="center"/>
          </w:tcPr>
          <w:p w14:paraId="1AF20871" w14:textId="22BA992A" w:rsidR="000E10A1" w:rsidRPr="00D76DDA" w:rsidRDefault="000E10A1" w:rsidP="00D76DDA">
            <w:pPr>
              <w:spacing w:before="0" w:after="0"/>
              <w:ind w:firstLine="0"/>
              <w:contextualSpacing/>
              <w:jc w:val="center"/>
              <w:rPr>
                <w:b/>
                <w:bCs/>
                <w:sz w:val="18"/>
                <w:szCs w:val="18"/>
              </w:rPr>
            </w:pPr>
            <w:r w:rsidRPr="00D76DDA">
              <w:rPr>
                <w:sz w:val="18"/>
                <w:szCs w:val="18"/>
              </w:rPr>
              <w:t>362,1</w:t>
            </w:r>
          </w:p>
        </w:tc>
        <w:tc>
          <w:tcPr>
            <w:tcW w:w="878" w:type="dxa"/>
            <w:noWrap/>
            <w:vAlign w:val="center"/>
          </w:tcPr>
          <w:p w14:paraId="523A94CA" w14:textId="73B5A863" w:rsidR="000E10A1" w:rsidRPr="00D76DDA" w:rsidRDefault="000E10A1" w:rsidP="00D76DDA">
            <w:pPr>
              <w:spacing w:before="0" w:after="0"/>
              <w:ind w:firstLine="0"/>
              <w:contextualSpacing/>
              <w:jc w:val="center"/>
              <w:rPr>
                <w:b/>
                <w:bCs/>
                <w:sz w:val="18"/>
                <w:szCs w:val="18"/>
              </w:rPr>
            </w:pPr>
            <w:r w:rsidRPr="00D76DDA">
              <w:rPr>
                <w:sz w:val="18"/>
                <w:szCs w:val="18"/>
              </w:rPr>
              <w:t>264,8</w:t>
            </w:r>
          </w:p>
        </w:tc>
      </w:tr>
      <w:tr w:rsidR="000E10A1" w:rsidRPr="00D16868" w14:paraId="63C6E30C" w14:textId="77777777" w:rsidTr="00D76DDA">
        <w:trPr>
          <w:trHeight w:val="65"/>
          <w:tblHeader/>
          <w:jc w:val="center"/>
        </w:trPr>
        <w:tc>
          <w:tcPr>
            <w:tcW w:w="3168" w:type="dxa"/>
            <w:noWrap/>
            <w:hideMark/>
          </w:tcPr>
          <w:p w14:paraId="1F78A6E5"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Ieņēmumi</w:t>
            </w:r>
          </w:p>
        </w:tc>
        <w:tc>
          <w:tcPr>
            <w:tcW w:w="860" w:type="dxa"/>
            <w:noWrap/>
            <w:vAlign w:val="center"/>
          </w:tcPr>
          <w:p w14:paraId="72A75403" w14:textId="604D1B07"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3 107,6</w:t>
            </w:r>
          </w:p>
        </w:tc>
        <w:tc>
          <w:tcPr>
            <w:tcW w:w="860" w:type="dxa"/>
            <w:noWrap/>
            <w:vAlign w:val="center"/>
          </w:tcPr>
          <w:p w14:paraId="184EF978" w14:textId="302F4678"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3 410,1</w:t>
            </w:r>
          </w:p>
        </w:tc>
        <w:tc>
          <w:tcPr>
            <w:tcW w:w="860" w:type="dxa"/>
            <w:noWrap/>
            <w:vAlign w:val="center"/>
          </w:tcPr>
          <w:p w14:paraId="28C5262B" w14:textId="7E1CB21B" w:rsidR="000E10A1" w:rsidRPr="00D76DDA" w:rsidRDefault="000E10A1" w:rsidP="00D76DDA">
            <w:pPr>
              <w:spacing w:before="0" w:after="0"/>
              <w:ind w:firstLine="0"/>
              <w:contextualSpacing/>
              <w:jc w:val="center"/>
              <w:rPr>
                <w:sz w:val="18"/>
                <w:szCs w:val="18"/>
              </w:rPr>
            </w:pPr>
            <w:r w:rsidRPr="00D76DDA">
              <w:rPr>
                <w:sz w:val="18"/>
                <w:szCs w:val="18"/>
              </w:rPr>
              <w:t>3 933,2</w:t>
            </w:r>
          </w:p>
        </w:tc>
        <w:tc>
          <w:tcPr>
            <w:tcW w:w="886" w:type="dxa"/>
            <w:gridSpan w:val="2"/>
            <w:noWrap/>
            <w:vAlign w:val="center"/>
          </w:tcPr>
          <w:p w14:paraId="2E561497" w14:textId="796009C3" w:rsidR="000E10A1" w:rsidRPr="00D76DDA" w:rsidRDefault="000E10A1" w:rsidP="00D76DDA">
            <w:pPr>
              <w:spacing w:before="0" w:after="0"/>
              <w:ind w:firstLine="0"/>
              <w:contextualSpacing/>
              <w:jc w:val="center"/>
              <w:rPr>
                <w:sz w:val="18"/>
                <w:szCs w:val="18"/>
              </w:rPr>
            </w:pPr>
            <w:r w:rsidRPr="00D76DDA">
              <w:rPr>
                <w:sz w:val="18"/>
                <w:szCs w:val="18"/>
              </w:rPr>
              <w:t>4 283,6</w:t>
            </w:r>
          </w:p>
        </w:tc>
        <w:tc>
          <w:tcPr>
            <w:tcW w:w="860" w:type="dxa"/>
            <w:noWrap/>
            <w:vAlign w:val="center"/>
          </w:tcPr>
          <w:p w14:paraId="3760BDF2" w14:textId="28295AD8" w:rsidR="000E10A1" w:rsidRPr="00D76DDA" w:rsidRDefault="000E10A1" w:rsidP="00D76DDA">
            <w:pPr>
              <w:spacing w:before="0" w:after="0"/>
              <w:ind w:firstLine="0"/>
              <w:contextualSpacing/>
              <w:jc w:val="center"/>
              <w:rPr>
                <w:sz w:val="18"/>
                <w:szCs w:val="18"/>
              </w:rPr>
            </w:pPr>
            <w:r w:rsidRPr="00D76DDA">
              <w:rPr>
                <w:sz w:val="18"/>
                <w:szCs w:val="18"/>
              </w:rPr>
              <w:t>4 700,0</w:t>
            </w:r>
          </w:p>
        </w:tc>
        <w:tc>
          <w:tcPr>
            <w:tcW w:w="860" w:type="dxa"/>
            <w:noWrap/>
            <w:vAlign w:val="center"/>
          </w:tcPr>
          <w:p w14:paraId="1563C5A2" w14:textId="66133221" w:rsidR="000E10A1" w:rsidRPr="00D76DDA" w:rsidRDefault="000E10A1" w:rsidP="00D76DDA">
            <w:pPr>
              <w:spacing w:before="0" w:after="0"/>
              <w:ind w:firstLine="0"/>
              <w:contextualSpacing/>
              <w:jc w:val="center"/>
              <w:rPr>
                <w:sz w:val="18"/>
                <w:szCs w:val="18"/>
              </w:rPr>
            </w:pPr>
            <w:r w:rsidRPr="00D76DDA">
              <w:rPr>
                <w:sz w:val="18"/>
                <w:szCs w:val="18"/>
              </w:rPr>
              <w:t>5 050,1</w:t>
            </w:r>
          </w:p>
        </w:tc>
        <w:tc>
          <w:tcPr>
            <w:tcW w:w="878" w:type="dxa"/>
            <w:noWrap/>
            <w:vAlign w:val="center"/>
          </w:tcPr>
          <w:p w14:paraId="2FA18DBA" w14:textId="363FBAFA" w:rsidR="000E10A1" w:rsidRPr="00D76DDA" w:rsidRDefault="000E10A1" w:rsidP="00D76DDA">
            <w:pPr>
              <w:spacing w:before="0" w:after="0"/>
              <w:ind w:firstLine="0"/>
              <w:contextualSpacing/>
              <w:jc w:val="center"/>
              <w:rPr>
                <w:sz w:val="18"/>
                <w:szCs w:val="18"/>
              </w:rPr>
            </w:pPr>
            <w:r w:rsidRPr="00D76DDA">
              <w:rPr>
                <w:sz w:val="18"/>
                <w:szCs w:val="18"/>
              </w:rPr>
              <w:t>5 330,5</w:t>
            </w:r>
          </w:p>
        </w:tc>
      </w:tr>
      <w:tr w:rsidR="000E10A1" w:rsidRPr="00D16868" w14:paraId="69714C7C" w14:textId="77777777" w:rsidTr="00D76DDA">
        <w:trPr>
          <w:trHeight w:val="65"/>
          <w:tblHeader/>
          <w:jc w:val="center"/>
        </w:trPr>
        <w:tc>
          <w:tcPr>
            <w:tcW w:w="3168" w:type="dxa"/>
            <w:noWrap/>
            <w:hideMark/>
          </w:tcPr>
          <w:p w14:paraId="60013254"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Izdevumi</w:t>
            </w:r>
          </w:p>
        </w:tc>
        <w:tc>
          <w:tcPr>
            <w:tcW w:w="860" w:type="dxa"/>
            <w:noWrap/>
            <w:vAlign w:val="center"/>
          </w:tcPr>
          <w:p w14:paraId="28F49ABB" w14:textId="5F7735C1"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2 992,6</w:t>
            </w:r>
          </w:p>
        </w:tc>
        <w:tc>
          <w:tcPr>
            <w:tcW w:w="860" w:type="dxa"/>
            <w:noWrap/>
            <w:vAlign w:val="center"/>
          </w:tcPr>
          <w:p w14:paraId="4AE0C615" w14:textId="2FCB3F80"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3 209,6</w:t>
            </w:r>
          </w:p>
        </w:tc>
        <w:tc>
          <w:tcPr>
            <w:tcW w:w="860" w:type="dxa"/>
            <w:noWrap/>
            <w:vAlign w:val="center"/>
          </w:tcPr>
          <w:p w14:paraId="2C1BFEC7" w14:textId="4C26B8BA" w:rsidR="000E10A1" w:rsidRPr="00D76DDA" w:rsidRDefault="000E10A1" w:rsidP="00D76DDA">
            <w:pPr>
              <w:spacing w:before="0" w:after="0"/>
              <w:ind w:firstLine="0"/>
              <w:contextualSpacing/>
              <w:jc w:val="center"/>
              <w:rPr>
                <w:sz w:val="18"/>
                <w:szCs w:val="18"/>
              </w:rPr>
            </w:pPr>
            <w:r w:rsidRPr="00D76DDA">
              <w:rPr>
                <w:sz w:val="18"/>
                <w:szCs w:val="18"/>
              </w:rPr>
              <w:t>3 589,6</w:t>
            </w:r>
          </w:p>
        </w:tc>
        <w:tc>
          <w:tcPr>
            <w:tcW w:w="886" w:type="dxa"/>
            <w:gridSpan w:val="2"/>
            <w:noWrap/>
            <w:vAlign w:val="center"/>
          </w:tcPr>
          <w:p w14:paraId="4909E864" w14:textId="2AE18EBC" w:rsidR="000E10A1" w:rsidRPr="00D76DDA" w:rsidRDefault="000E10A1" w:rsidP="00D76DDA">
            <w:pPr>
              <w:spacing w:before="0" w:after="0"/>
              <w:ind w:firstLine="0"/>
              <w:contextualSpacing/>
              <w:jc w:val="center"/>
              <w:rPr>
                <w:sz w:val="18"/>
                <w:szCs w:val="18"/>
              </w:rPr>
            </w:pPr>
            <w:r w:rsidRPr="00D76DDA">
              <w:rPr>
                <w:sz w:val="18"/>
                <w:szCs w:val="18"/>
              </w:rPr>
              <w:t>4 030,9</w:t>
            </w:r>
          </w:p>
        </w:tc>
        <w:tc>
          <w:tcPr>
            <w:tcW w:w="860" w:type="dxa"/>
            <w:noWrap/>
            <w:vAlign w:val="center"/>
          </w:tcPr>
          <w:p w14:paraId="1C2524D7" w14:textId="3019DB6D" w:rsidR="000E10A1" w:rsidRPr="00D76DDA" w:rsidRDefault="000E10A1" w:rsidP="00D76DDA">
            <w:pPr>
              <w:spacing w:before="0" w:after="0"/>
              <w:ind w:firstLine="0"/>
              <w:contextualSpacing/>
              <w:jc w:val="center"/>
              <w:rPr>
                <w:sz w:val="18"/>
                <w:szCs w:val="18"/>
              </w:rPr>
            </w:pPr>
            <w:r w:rsidRPr="00D76DDA">
              <w:rPr>
                <w:sz w:val="18"/>
                <w:szCs w:val="18"/>
              </w:rPr>
              <w:t>4 365,4</w:t>
            </w:r>
          </w:p>
        </w:tc>
        <w:tc>
          <w:tcPr>
            <w:tcW w:w="860" w:type="dxa"/>
            <w:noWrap/>
            <w:vAlign w:val="center"/>
          </w:tcPr>
          <w:p w14:paraId="5802FDC8" w14:textId="085A6FA0" w:rsidR="000E10A1" w:rsidRPr="00D76DDA" w:rsidRDefault="000E10A1" w:rsidP="00D76DDA">
            <w:pPr>
              <w:spacing w:before="0" w:after="0"/>
              <w:ind w:firstLine="0"/>
              <w:contextualSpacing/>
              <w:jc w:val="center"/>
              <w:rPr>
                <w:sz w:val="18"/>
                <w:szCs w:val="18"/>
              </w:rPr>
            </w:pPr>
            <w:r w:rsidRPr="00D76DDA">
              <w:rPr>
                <w:sz w:val="18"/>
                <w:szCs w:val="18"/>
              </w:rPr>
              <w:t>4 688,0</w:t>
            </w:r>
          </w:p>
        </w:tc>
        <w:tc>
          <w:tcPr>
            <w:tcW w:w="878" w:type="dxa"/>
            <w:noWrap/>
            <w:vAlign w:val="center"/>
          </w:tcPr>
          <w:p w14:paraId="05CECBE9" w14:textId="0B2A7BDD" w:rsidR="000E10A1" w:rsidRPr="00D76DDA" w:rsidRDefault="000E10A1" w:rsidP="00D76DDA">
            <w:pPr>
              <w:spacing w:before="0" w:after="0"/>
              <w:ind w:firstLine="0"/>
              <w:contextualSpacing/>
              <w:jc w:val="center"/>
              <w:rPr>
                <w:sz w:val="18"/>
                <w:szCs w:val="18"/>
              </w:rPr>
            </w:pPr>
            <w:r w:rsidRPr="00D76DDA">
              <w:rPr>
                <w:sz w:val="18"/>
                <w:szCs w:val="18"/>
              </w:rPr>
              <w:t>5 065,7</w:t>
            </w:r>
          </w:p>
        </w:tc>
      </w:tr>
      <w:tr w:rsidR="000E10A1" w:rsidRPr="00D16868" w14:paraId="1FC2A317" w14:textId="77777777" w:rsidTr="00D76DDA">
        <w:trPr>
          <w:trHeight w:val="65"/>
          <w:tblHeader/>
          <w:jc w:val="center"/>
        </w:trPr>
        <w:tc>
          <w:tcPr>
            <w:tcW w:w="3168" w:type="dxa"/>
            <w:hideMark/>
          </w:tcPr>
          <w:p w14:paraId="3A901CA5" w14:textId="77777777" w:rsidR="000E10A1" w:rsidRPr="00D16868" w:rsidRDefault="000E10A1" w:rsidP="000E10A1">
            <w:pPr>
              <w:spacing w:before="0" w:after="0"/>
              <w:ind w:firstLine="0"/>
              <w:contextualSpacing/>
              <w:jc w:val="left"/>
              <w:rPr>
                <w:rFonts w:eastAsia="Times New Roman"/>
                <w:b/>
                <w:bCs/>
                <w:sz w:val="18"/>
                <w:szCs w:val="18"/>
              </w:rPr>
            </w:pPr>
            <w:r w:rsidRPr="00D16868">
              <w:rPr>
                <w:rFonts w:eastAsia="Times New Roman"/>
                <w:b/>
                <w:bCs/>
                <w:sz w:val="18"/>
                <w:szCs w:val="18"/>
              </w:rPr>
              <w:t>ATVAS. PUBL. PERS. BUDŽETA BILANCE</w:t>
            </w:r>
          </w:p>
        </w:tc>
        <w:tc>
          <w:tcPr>
            <w:tcW w:w="860" w:type="dxa"/>
            <w:noWrap/>
            <w:vAlign w:val="center"/>
          </w:tcPr>
          <w:p w14:paraId="45A7B97D" w14:textId="30AAABBC"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17,5</w:t>
            </w:r>
          </w:p>
        </w:tc>
        <w:tc>
          <w:tcPr>
            <w:tcW w:w="860" w:type="dxa"/>
            <w:noWrap/>
            <w:vAlign w:val="center"/>
          </w:tcPr>
          <w:p w14:paraId="4E83B831" w14:textId="57C9A7AA"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26,1</w:t>
            </w:r>
          </w:p>
        </w:tc>
        <w:tc>
          <w:tcPr>
            <w:tcW w:w="860" w:type="dxa"/>
            <w:noWrap/>
            <w:vAlign w:val="center"/>
          </w:tcPr>
          <w:p w14:paraId="2E3E0A17" w14:textId="13849145" w:rsidR="000E10A1" w:rsidRPr="00D76DDA" w:rsidRDefault="000E10A1" w:rsidP="00D76DDA">
            <w:pPr>
              <w:spacing w:before="0" w:after="0"/>
              <w:ind w:firstLine="0"/>
              <w:contextualSpacing/>
              <w:jc w:val="center"/>
              <w:rPr>
                <w:b/>
                <w:bCs/>
                <w:sz w:val="18"/>
                <w:szCs w:val="18"/>
              </w:rPr>
            </w:pPr>
            <w:r w:rsidRPr="00D76DDA">
              <w:rPr>
                <w:sz w:val="18"/>
                <w:szCs w:val="18"/>
              </w:rPr>
              <w:t>33,8</w:t>
            </w:r>
          </w:p>
        </w:tc>
        <w:tc>
          <w:tcPr>
            <w:tcW w:w="886" w:type="dxa"/>
            <w:gridSpan w:val="2"/>
            <w:noWrap/>
            <w:vAlign w:val="center"/>
          </w:tcPr>
          <w:p w14:paraId="1D15E97A" w14:textId="3DFFAE1A" w:rsidR="000E10A1" w:rsidRPr="00D76DDA" w:rsidRDefault="000E10A1" w:rsidP="00D76DDA">
            <w:pPr>
              <w:spacing w:before="0" w:after="0"/>
              <w:ind w:firstLine="0"/>
              <w:contextualSpacing/>
              <w:jc w:val="center"/>
              <w:rPr>
                <w:b/>
                <w:bCs/>
                <w:sz w:val="18"/>
                <w:szCs w:val="18"/>
              </w:rPr>
            </w:pPr>
            <w:r w:rsidRPr="00D76DDA">
              <w:rPr>
                <w:sz w:val="18"/>
                <w:szCs w:val="18"/>
              </w:rPr>
              <w:t>6,1</w:t>
            </w:r>
          </w:p>
        </w:tc>
        <w:tc>
          <w:tcPr>
            <w:tcW w:w="860" w:type="dxa"/>
            <w:noWrap/>
            <w:vAlign w:val="center"/>
          </w:tcPr>
          <w:p w14:paraId="6CAAADFB" w14:textId="2E30150A" w:rsidR="000E10A1" w:rsidRPr="00D76DDA" w:rsidRDefault="000E10A1" w:rsidP="00D76DDA">
            <w:pPr>
              <w:spacing w:before="0" w:after="0"/>
              <w:ind w:firstLine="0"/>
              <w:contextualSpacing/>
              <w:jc w:val="center"/>
              <w:rPr>
                <w:b/>
                <w:bCs/>
                <w:sz w:val="18"/>
                <w:szCs w:val="18"/>
              </w:rPr>
            </w:pPr>
            <w:r w:rsidRPr="00D76DDA">
              <w:rPr>
                <w:sz w:val="18"/>
                <w:szCs w:val="18"/>
              </w:rPr>
              <w:t>3,9</w:t>
            </w:r>
          </w:p>
        </w:tc>
        <w:tc>
          <w:tcPr>
            <w:tcW w:w="860" w:type="dxa"/>
            <w:noWrap/>
            <w:vAlign w:val="center"/>
          </w:tcPr>
          <w:p w14:paraId="6AE16D05" w14:textId="7DB8D20A" w:rsidR="000E10A1" w:rsidRPr="00D76DDA" w:rsidRDefault="000E10A1" w:rsidP="00D76DDA">
            <w:pPr>
              <w:spacing w:before="0" w:after="0"/>
              <w:ind w:firstLine="0"/>
              <w:contextualSpacing/>
              <w:jc w:val="center"/>
              <w:rPr>
                <w:b/>
                <w:bCs/>
                <w:sz w:val="18"/>
                <w:szCs w:val="18"/>
              </w:rPr>
            </w:pPr>
            <w:r w:rsidRPr="00D76DDA">
              <w:rPr>
                <w:sz w:val="18"/>
                <w:szCs w:val="18"/>
              </w:rPr>
              <w:t>-3,1</w:t>
            </w:r>
          </w:p>
        </w:tc>
        <w:tc>
          <w:tcPr>
            <w:tcW w:w="878" w:type="dxa"/>
            <w:noWrap/>
            <w:vAlign w:val="center"/>
          </w:tcPr>
          <w:p w14:paraId="652035F3" w14:textId="6F2C9492" w:rsidR="000E10A1" w:rsidRPr="00D76DDA" w:rsidRDefault="000E10A1" w:rsidP="00D76DDA">
            <w:pPr>
              <w:spacing w:before="0" w:after="0"/>
              <w:ind w:firstLine="0"/>
              <w:contextualSpacing/>
              <w:jc w:val="center"/>
              <w:rPr>
                <w:b/>
                <w:bCs/>
                <w:sz w:val="18"/>
                <w:szCs w:val="18"/>
              </w:rPr>
            </w:pPr>
            <w:r w:rsidRPr="00D76DDA">
              <w:rPr>
                <w:sz w:val="18"/>
                <w:szCs w:val="18"/>
              </w:rPr>
              <w:t>-6,4</w:t>
            </w:r>
          </w:p>
        </w:tc>
      </w:tr>
      <w:tr w:rsidR="000E10A1" w:rsidRPr="00D16868" w14:paraId="735CA27C" w14:textId="77777777" w:rsidTr="00D76DDA">
        <w:trPr>
          <w:trHeight w:val="65"/>
          <w:tblHeader/>
          <w:jc w:val="center"/>
        </w:trPr>
        <w:tc>
          <w:tcPr>
            <w:tcW w:w="3168" w:type="dxa"/>
            <w:noWrap/>
            <w:hideMark/>
          </w:tcPr>
          <w:p w14:paraId="08F76DD8"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Ieņēmumi</w:t>
            </w:r>
          </w:p>
        </w:tc>
        <w:tc>
          <w:tcPr>
            <w:tcW w:w="860" w:type="dxa"/>
            <w:noWrap/>
            <w:vAlign w:val="center"/>
          </w:tcPr>
          <w:p w14:paraId="173DABB2" w14:textId="414705E6"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460,6</w:t>
            </w:r>
          </w:p>
        </w:tc>
        <w:tc>
          <w:tcPr>
            <w:tcW w:w="860" w:type="dxa"/>
            <w:noWrap/>
            <w:vAlign w:val="center"/>
          </w:tcPr>
          <w:p w14:paraId="33F0964B" w14:textId="68EF0F15"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508,0</w:t>
            </w:r>
          </w:p>
        </w:tc>
        <w:tc>
          <w:tcPr>
            <w:tcW w:w="860" w:type="dxa"/>
            <w:noWrap/>
            <w:vAlign w:val="center"/>
          </w:tcPr>
          <w:p w14:paraId="2FC291CA" w14:textId="63828C45" w:rsidR="000E10A1" w:rsidRPr="00D76DDA" w:rsidRDefault="000E10A1" w:rsidP="00D76DDA">
            <w:pPr>
              <w:spacing w:before="0" w:after="0"/>
              <w:ind w:firstLine="0"/>
              <w:contextualSpacing/>
              <w:jc w:val="center"/>
              <w:rPr>
                <w:sz w:val="18"/>
                <w:szCs w:val="18"/>
              </w:rPr>
            </w:pPr>
            <w:r w:rsidRPr="00D76DDA">
              <w:rPr>
                <w:sz w:val="18"/>
                <w:szCs w:val="18"/>
              </w:rPr>
              <w:t>572,4</w:t>
            </w:r>
          </w:p>
        </w:tc>
        <w:tc>
          <w:tcPr>
            <w:tcW w:w="886" w:type="dxa"/>
            <w:gridSpan w:val="2"/>
            <w:noWrap/>
            <w:vAlign w:val="center"/>
          </w:tcPr>
          <w:p w14:paraId="565FC45A" w14:textId="5F85D92D" w:rsidR="000E10A1" w:rsidRPr="00D76DDA" w:rsidRDefault="000E10A1" w:rsidP="00D76DDA">
            <w:pPr>
              <w:spacing w:before="0" w:after="0"/>
              <w:ind w:firstLine="0"/>
              <w:contextualSpacing/>
              <w:jc w:val="center"/>
              <w:rPr>
                <w:sz w:val="18"/>
                <w:szCs w:val="18"/>
              </w:rPr>
            </w:pPr>
            <w:r w:rsidRPr="00D76DDA">
              <w:rPr>
                <w:sz w:val="18"/>
                <w:szCs w:val="18"/>
              </w:rPr>
              <w:t>598,9</w:t>
            </w:r>
          </w:p>
        </w:tc>
        <w:tc>
          <w:tcPr>
            <w:tcW w:w="860" w:type="dxa"/>
            <w:noWrap/>
            <w:vAlign w:val="center"/>
          </w:tcPr>
          <w:p w14:paraId="32FCA5F6" w14:textId="16D44526" w:rsidR="000E10A1" w:rsidRPr="00D76DDA" w:rsidRDefault="000E10A1" w:rsidP="00D76DDA">
            <w:pPr>
              <w:spacing w:before="0" w:after="0"/>
              <w:ind w:firstLine="0"/>
              <w:contextualSpacing/>
              <w:jc w:val="center"/>
              <w:rPr>
                <w:sz w:val="18"/>
                <w:szCs w:val="18"/>
              </w:rPr>
            </w:pPr>
            <w:r w:rsidRPr="00D76DDA">
              <w:rPr>
                <w:sz w:val="18"/>
                <w:szCs w:val="18"/>
              </w:rPr>
              <w:t>604,4</w:t>
            </w:r>
          </w:p>
        </w:tc>
        <w:tc>
          <w:tcPr>
            <w:tcW w:w="860" w:type="dxa"/>
            <w:noWrap/>
            <w:vAlign w:val="center"/>
          </w:tcPr>
          <w:p w14:paraId="21778C1C" w14:textId="4C4B03B7" w:rsidR="000E10A1" w:rsidRPr="00D76DDA" w:rsidRDefault="000E10A1" w:rsidP="00D76DDA">
            <w:pPr>
              <w:spacing w:before="0" w:after="0"/>
              <w:ind w:firstLine="0"/>
              <w:contextualSpacing/>
              <w:jc w:val="center"/>
              <w:rPr>
                <w:sz w:val="18"/>
                <w:szCs w:val="18"/>
              </w:rPr>
            </w:pPr>
            <w:r w:rsidRPr="00D76DDA">
              <w:rPr>
                <w:sz w:val="18"/>
                <w:szCs w:val="18"/>
              </w:rPr>
              <w:t>605,2</w:t>
            </w:r>
          </w:p>
        </w:tc>
        <w:tc>
          <w:tcPr>
            <w:tcW w:w="878" w:type="dxa"/>
            <w:noWrap/>
            <w:vAlign w:val="center"/>
          </w:tcPr>
          <w:p w14:paraId="0246DB6D" w14:textId="760A5DAD" w:rsidR="000E10A1" w:rsidRPr="00D76DDA" w:rsidRDefault="000E10A1" w:rsidP="00D76DDA">
            <w:pPr>
              <w:spacing w:before="0" w:after="0"/>
              <w:ind w:firstLine="0"/>
              <w:contextualSpacing/>
              <w:jc w:val="center"/>
              <w:rPr>
                <w:sz w:val="18"/>
                <w:szCs w:val="18"/>
              </w:rPr>
            </w:pPr>
            <w:r w:rsidRPr="00D76DDA">
              <w:rPr>
                <w:sz w:val="18"/>
                <w:szCs w:val="18"/>
              </w:rPr>
              <w:t>609,6</w:t>
            </w:r>
          </w:p>
        </w:tc>
      </w:tr>
      <w:tr w:rsidR="000E10A1" w:rsidRPr="00D16868" w14:paraId="6245807B" w14:textId="77777777" w:rsidTr="00D76DDA">
        <w:trPr>
          <w:trHeight w:val="65"/>
          <w:tblHeader/>
          <w:jc w:val="center"/>
        </w:trPr>
        <w:tc>
          <w:tcPr>
            <w:tcW w:w="3168" w:type="dxa"/>
            <w:noWrap/>
            <w:hideMark/>
          </w:tcPr>
          <w:p w14:paraId="43D2709A" w14:textId="77777777" w:rsidR="000E10A1" w:rsidRPr="00D16868" w:rsidRDefault="000E10A1" w:rsidP="000E10A1">
            <w:pPr>
              <w:spacing w:before="0" w:after="0"/>
              <w:ind w:firstLine="0"/>
              <w:contextualSpacing/>
              <w:jc w:val="left"/>
              <w:rPr>
                <w:rFonts w:eastAsia="Times New Roman"/>
                <w:i/>
                <w:iCs/>
                <w:sz w:val="18"/>
                <w:szCs w:val="18"/>
              </w:rPr>
            </w:pPr>
            <w:r w:rsidRPr="00D16868">
              <w:rPr>
                <w:rFonts w:eastAsia="Times New Roman"/>
                <w:i/>
                <w:iCs/>
                <w:sz w:val="18"/>
                <w:szCs w:val="18"/>
              </w:rPr>
              <w:t>Izdevumi</w:t>
            </w:r>
          </w:p>
        </w:tc>
        <w:tc>
          <w:tcPr>
            <w:tcW w:w="860" w:type="dxa"/>
            <w:noWrap/>
            <w:vAlign w:val="center"/>
          </w:tcPr>
          <w:p w14:paraId="7B369098" w14:textId="76D0E69B"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443,1</w:t>
            </w:r>
          </w:p>
        </w:tc>
        <w:tc>
          <w:tcPr>
            <w:tcW w:w="860" w:type="dxa"/>
            <w:noWrap/>
            <w:vAlign w:val="center"/>
          </w:tcPr>
          <w:p w14:paraId="77561073" w14:textId="73765567"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481,9</w:t>
            </w:r>
          </w:p>
        </w:tc>
        <w:tc>
          <w:tcPr>
            <w:tcW w:w="860" w:type="dxa"/>
            <w:noWrap/>
            <w:vAlign w:val="center"/>
          </w:tcPr>
          <w:p w14:paraId="3BC20815" w14:textId="1C495956" w:rsidR="000E10A1" w:rsidRPr="00D76DDA" w:rsidRDefault="000E10A1" w:rsidP="00D76DDA">
            <w:pPr>
              <w:spacing w:before="0" w:after="0"/>
              <w:ind w:firstLine="0"/>
              <w:contextualSpacing/>
              <w:jc w:val="center"/>
              <w:rPr>
                <w:sz w:val="18"/>
                <w:szCs w:val="18"/>
              </w:rPr>
            </w:pPr>
            <w:r w:rsidRPr="00D76DDA">
              <w:rPr>
                <w:sz w:val="18"/>
                <w:szCs w:val="18"/>
              </w:rPr>
              <w:t>538,6</w:t>
            </w:r>
          </w:p>
        </w:tc>
        <w:tc>
          <w:tcPr>
            <w:tcW w:w="886" w:type="dxa"/>
            <w:gridSpan w:val="2"/>
            <w:noWrap/>
            <w:vAlign w:val="center"/>
          </w:tcPr>
          <w:p w14:paraId="1DBCF4A8" w14:textId="05B2C49C" w:rsidR="000E10A1" w:rsidRPr="00D76DDA" w:rsidRDefault="000E10A1" w:rsidP="00D76DDA">
            <w:pPr>
              <w:spacing w:before="0" w:after="0"/>
              <w:ind w:firstLine="0"/>
              <w:contextualSpacing/>
              <w:jc w:val="center"/>
              <w:rPr>
                <w:sz w:val="18"/>
                <w:szCs w:val="18"/>
              </w:rPr>
            </w:pPr>
            <w:r w:rsidRPr="00D76DDA">
              <w:rPr>
                <w:sz w:val="18"/>
                <w:szCs w:val="18"/>
              </w:rPr>
              <w:t>592,8</w:t>
            </w:r>
          </w:p>
        </w:tc>
        <w:tc>
          <w:tcPr>
            <w:tcW w:w="860" w:type="dxa"/>
            <w:noWrap/>
            <w:vAlign w:val="center"/>
          </w:tcPr>
          <w:p w14:paraId="7502A180" w14:textId="040476A9" w:rsidR="000E10A1" w:rsidRPr="00D76DDA" w:rsidRDefault="000E10A1" w:rsidP="00D76DDA">
            <w:pPr>
              <w:spacing w:before="0" w:after="0"/>
              <w:ind w:firstLine="0"/>
              <w:contextualSpacing/>
              <w:jc w:val="center"/>
              <w:rPr>
                <w:sz w:val="18"/>
                <w:szCs w:val="18"/>
              </w:rPr>
            </w:pPr>
            <w:r w:rsidRPr="00D76DDA">
              <w:rPr>
                <w:sz w:val="18"/>
                <w:szCs w:val="18"/>
              </w:rPr>
              <w:t>600,5</w:t>
            </w:r>
          </w:p>
        </w:tc>
        <w:tc>
          <w:tcPr>
            <w:tcW w:w="860" w:type="dxa"/>
            <w:noWrap/>
            <w:vAlign w:val="center"/>
          </w:tcPr>
          <w:p w14:paraId="00FAAEDA" w14:textId="17BDC4FE" w:rsidR="000E10A1" w:rsidRPr="00D76DDA" w:rsidRDefault="000E10A1" w:rsidP="00D76DDA">
            <w:pPr>
              <w:spacing w:before="0" w:after="0"/>
              <w:ind w:firstLine="0"/>
              <w:contextualSpacing/>
              <w:jc w:val="center"/>
              <w:rPr>
                <w:sz w:val="18"/>
                <w:szCs w:val="18"/>
              </w:rPr>
            </w:pPr>
            <w:r w:rsidRPr="00D76DDA">
              <w:rPr>
                <w:sz w:val="18"/>
                <w:szCs w:val="18"/>
              </w:rPr>
              <w:t>608,2</w:t>
            </w:r>
          </w:p>
        </w:tc>
        <w:tc>
          <w:tcPr>
            <w:tcW w:w="878" w:type="dxa"/>
            <w:noWrap/>
            <w:vAlign w:val="center"/>
          </w:tcPr>
          <w:p w14:paraId="2C12A4B5" w14:textId="7E67BC1E" w:rsidR="000E10A1" w:rsidRPr="00D76DDA" w:rsidRDefault="000E10A1" w:rsidP="00D76DDA">
            <w:pPr>
              <w:spacing w:before="0" w:after="0"/>
              <w:ind w:firstLine="0"/>
              <w:contextualSpacing/>
              <w:jc w:val="center"/>
              <w:rPr>
                <w:sz w:val="18"/>
                <w:szCs w:val="18"/>
              </w:rPr>
            </w:pPr>
            <w:r w:rsidRPr="00D76DDA">
              <w:rPr>
                <w:sz w:val="18"/>
                <w:szCs w:val="18"/>
              </w:rPr>
              <w:t>616,0</w:t>
            </w:r>
          </w:p>
        </w:tc>
      </w:tr>
      <w:tr w:rsidR="000E10A1" w:rsidRPr="00D16868" w14:paraId="053C4B39" w14:textId="77777777" w:rsidTr="00D76DDA">
        <w:trPr>
          <w:trHeight w:val="332"/>
          <w:tblHeader/>
          <w:jc w:val="center"/>
        </w:trPr>
        <w:tc>
          <w:tcPr>
            <w:tcW w:w="3168" w:type="dxa"/>
            <w:shd w:val="clear" w:color="auto" w:fill="BDD6EE" w:themeFill="accent1" w:themeFillTint="66"/>
            <w:noWrap/>
            <w:hideMark/>
          </w:tcPr>
          <w:p w14:paraId="1F5ED407" w14:textId="77777777" w:rsidR="000E10A1" w:rsidRPr="00D16868" w:rsidRDefault="000E10A1" w:rsidP="000E10A1">
            <w:pPr>
              <w:spacing w:before="0" w:after="0"/>
              <w:ind w:firstLine="0"/>
              <w:contextualSpacing/>
              <w:jc w:val="left"/>
              <w:rPr>
                <w:rFonts w:eastAsia="Times New Roman"/>
                <w:b/>
                <w:bCs/>
                <w:sz w:val="18"/>
                <w:szCs w:val="18"/>
              </w:rPr>
            </w:pPr>
            <w:r w:rsidRPr="00D16868">
              <w:rPr>
                <w:rFonts w:eastAsia="Times New Roman"/>
                <w:b/>
                <w:bCs/>
                <w:sz w:val="18"/>
                <w:szCs w:val="18"/>
              </w:rPr>
              <w:t>PAŠVALDĪBU BUDŽETA BILANCE</w:t>
            </w:r>
          </w:p>
        </w:tc>
        <w:tc>
          <w:tcPr>
            <w:tcW w:w="860" w:type="dxa"/>
            <w:shd w:val="clear" w:color="auto" w:fill="BDD6EE" w:themeFill="accent1" w:themeFillTint="66"/>
            <w:noWrap/>
            <w:vAlign w:val="center"/>
          </w:tcPr>
          <w:p w14:paraId="13F8CA8A" w14:textId="22C6934B"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-39,6</w:t>
            </w:r>
          </w:p>
        </w:tc>
        <w:tc>
          <w:tcPr>
            <w:tcW w:w="860" w:type="dxa"/>
            <w:shd w:val="clear" w:color="auto" w:fill="BDD6EE" w:themeFill="accent1" w:themeFillTint="66"/>
            <w:noWrap/>
            <w:vAlign w:val="center"/>
          </w:tcPr>
          <w:p w14:paraId="4A7EDA3D" w14:textId="1AFE6B6D" w:rsidR="000E10A1" w:rsidRPr="00D76DDA" w:rsidRDefault="000E10A1" w:rsidP="00D76DDA">
            <w:pPr>
              <w:spacing w:before="0" w:after="0"/>
              <w:ind w:firstLine="0"/>
              <w:contextualSpacing/>
              <w:jc w:val="center"/>
              <w:rPr>
                <w:rFonts w:eastAsia="Times New Roman"/>
                <w:b/>
                <w:bCs/>
                <w:sz w:val="18"/>
                <w:szCs w:val="18"/>
                <w:highlight w:val="yellow"/>
              </w:rPr>
            </w:pPr>
            <w:r w:rsidRPr="00D76DDA">
              <w:rPr>
                <w:sz w:val="18"/>
                <w:szCs w:val="18"/>
              </w:rPr>
              <w:t>-90,9</w:t>
            </w:r>
          </w:p>
        </w:tc>
        <w:tc>
          <w:tcPr>
            <w:tcW w:w="860" w:type="dxa"/>
            <w:shd w:val="clear" w:color="auto" w:fill="BDD6EE" w:themeFill="accent1" w:themeFillTint="66"/>
            <w:noWrap/>
            <w:vAlign w:val="center"/>
          </w:tcPr>
          <w:p w14:paraId="7F872249" w14:textId="223115DE" w:rsidR="000E10A1" w:rsidRPr="00D76DDA" w:rsidRDefault="000E10A1" w:rsidP="00D76DDA">
            <w:pPr>
              <w:spacing w:before="0" w:after="0"/>
              <w:ind w:firstLine="0"/>
              <w:contextualSpacing/>
              <w:jc w:val="center"/>
              <w:rPr>
                <w:b/>
                <w:bCs/>
                <w:sz w:val="18"/>
                <w:szCs w:val="18"/>
              </w:rPr>
            </w:pPr>
            <w:r w:rsidRPr="00D76DDA">
              <w:rPr>
                <w:sz w:val="18"/>
                <w:szCs w:val="18"/>
              </w:rPr>
              <w:t>62,9</w:t>
            </w:r>
          </w:p>
        </w:tc>
        <w:tc>
          <w:tcPr>
            <w:tcW w:w="886" w:type="dxa"/>
            <w:gridSpan w:val="2"/>
            <w:shd w:val="clear" w:color="auto" w:fill="BDD6EE" w:themeFill="accent1" w:themeFillTint="66"/>
            <w:noWrap/>
            <w:vAlign w:val="center"/>
          </w:tcPr>
          <w:p w14:paraId="7E3B3956" w14:textId="0E6E28FD" w:rsidR="000E10A1" w:rsidRPr="00D76DDA" w:rsidRDefault="000E10A1" w:rsidP="00D76DDA">
            <w:pPr>
              <w:spacing w:before="0" w:after="0"/>
              <w:ind w:firstLine="0"/>
              <w:contextualSpacing/>
              <w:jc w:val="center"/>
              <w:rPr>
                <w:b/>
                <w:bCs/>
                <w:sz w:val="18"/>
                <w:szCs w:val="18"/>
              </w:rPr>
            </w:pPr>
            <w:r w:rsidRPr="00D76DDA">
              <w:rPr>
                <w:sz w:val="18"/>
                <w:szCs w:val="18"/>
              </w:rPr>
              <w:t>-28,0</w:t>
            </w:r>
          </w:p>
        </w:tc>
        <w:tc>
          <w:tcPr>
            <w:tcW w:w="860" w:type="dxa"/>
            <w:shd w:val="clear" w:color="auto" w:fill="BDD6EE" w:themeFill="accent1" w:themeFillTint="66"/>
            <w:noWrap/>
            <w:vAlign w:val="center"/>
          </w:tcPr>
          <w:p w14:paraId="41138AF5" w14:textId="0147C7D4" w:rsidR="000E10A1" w:rsidRPr="00D76DDA" w:rsidRDefault="000E10A1" w:rsidP="00D76DDA">
            <w:pPr>
              <w:spacing w:before="0" w:after="0"/>
              <w:ind w:firstLine="0"/>
              <w:contextualSpacing/>
              <w:jc w:val="center"/>
              <w:rPr>
                <w:b/>
                <w:bCs/>
                <w:sz w:val="18"/>
                <w:szCs w:val="18"/>
              </w:rPr>
            </w:pPr>
            <w:r w:rsidRPr="00D76DDA">
              <w:rPr>
                <w:sz w:val="18"/>
                <w:szCs w:val="18"/>
              </w:rPr>
              <w:t>-67,8</w:t>
            </w:r>
          </w:p>
        </w:tc>
        <w:tc>
          <w:tcPr>
            <w:tcW w:w="860" w:type="dxa"/>
            <w:shd w:val="clear" w:color="auto" w:fill="BDD6EE" w:themeFill="accent1" w:themeFillTint="66"/>
            <w:noWrap/>
            <w:vAlign w:val="center"/>
          </w:tcPr>
          <w:p w14:paraId="25C6B671" w14:textId="0C8008E6" w:rsidR="000E10A1" w:rsidRPr="00D76DDA" w:rsidRDefault="000E10A1" w:rsidP="00D76DDA">
            <w:pPr>
              <w:spacing w:before="0" w:after="0"/>
              <w:ind w:firstLine="0"/>
              <w:contextualSpacing/>
              <w:jc w:val="center"/>
              <w:rPr>
                <w:b/>
                <w:bCs/>
                <w:sz w:val="18"/>
                <w:szCs w:val="18"/>
              </w:rPr>
            </w:pPr>
            <w:r w:rsidRPr="00D76DDA">
              <w:rPr>
                <w:sz w:val="18"/>
                <w:szCs w:val="18"/>
              </w:rPr>
              <w:t>33,3</w:t>
            </w:r>
          </w:p>
        </w:tc>
        <w:tc>
          <w:tcPr>
            <w:tcW w:w="878" w:type="dxa"/>
            <w:shd w:val="clear" w:color="auto" w:fill="BDD6EE" w:themeFill="accent1" w:themeFillTint="66"/>
            <w:noWrap/>
            <w:vAlign w:val="center"/>
          </w:tcPr>
          <w:p w14:paraId="5351D3EF" w14:textId="49FE0BB5" w:rsidR="000E10A1" w:rsidRPr="00D76DDA" w:rsidRDefault="000E10A1" w:rsidP="00D76DDA">
            <w:pPr>
              <w:spacing w:before="0" w:after="0"/>
              <w:ind w:firstLine="0"/>
              <w:contextualSpacing/>
              <w:jc w:val="center"/>
              <w:rPr>
                <w:b/>
                <w:bCs/>
                <w:sz w:val="18"/>
                <w:szCs w:val="18"/>
              </w:rPr>
            </w:pPr>
            <w:r w:rsidRPr="00D76DDA">
              <w:rPr>
                <w:sz w:val="18"/>
                <w:szCs w:val="18"/>
              </w:rPr>
              <w:t>38,8</w:t>
            </w:r>
          </w:p>
        </w:tc>
      </w:tr>
      <w:tr w:rsidR="000E10A1" w:rsidRPr="00D16868" w14:paraId="1B678428" w14:textId="77777777" w:rsidTr="00D76DDA">
        <w:trPr>
          <w:trHeight w:val="65"/>
          <w:tblHeader/>
          <w:jc w:val="center"/>
        </w:trPr>
        <w:tc>
          <w:tcPr>
            <w:tcW w:w="3168" w:type="dxa"/>
            <w:noWrap/>
            <w:hideMark/>
          </w:tcPr>
          <w:p w14:paraId="751E838C"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Ieņēmumi</w:t>
            </w:r>
          </w:p>
        </w:tc>
        <w:tc>
          <w:tcPr>
            <w:tcW w:w="860" w:type="dxa"/>
            <w:noWrap/>
            <w:vAlign w:val="center"/>
          </w:tcPr>
          <w:p w14:paraId="2EA99AC1" w14:textId="43C18A8E"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2 816,5</w:t>
            </w:r>
          </w:p>
        </w:tc>
        <w:tc>
          <w:tcPr>
            <w:tcW w:w="860" w:type="dxa"/>
            <w:noWrap/>
            <w:vAlign w:val="center"/>
          </w:tcPr>
          <w:p w14:paraId="3BA2B28F" w14:textId="11AB3082"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2 875,7</w:t>
            </w:r>
          </w:p>
        </w:tc>
        <w:tc>
          <w:tcPr>
            <w:tcW w:w="860" w:type="dxa"/>
            <w:noWrap/>
            <w:vAlign w:val="center"/>
          </w:tcPr>
          <w:p w14:paraId="6BA8E69F" w14:textId="4F4E6802" w:rsidR="000E10A1" w:rsidRPr="00D76DDA" w:rsidRDefault="000E10A1" w:rsidP="00D76DDA">
            <w:pPr>
              <w:spacing w:before="0" w:after="0"/>
              <w:ind w:firstLine="0"/>
              <w:contextualSpacing/>
              <w:jc w:val="center"/>
              <w:rPr>
                <w:sz w:val="18"/>
                <w:szCs w:val="18"/>
              </w:rPr>
            </w:pPr>
            <w:r w:rsidRPr="00D76DDA">
              <w:rPr>
                <w:sz w:val="18"/>
                <w:szCs w:val="18"/>
              </w:rPr>
              <w:t>3 252,3</w:t>
            </w:r>
          </w:p>
        </w:tc>
        <w:tc>
          <w:tcPr>
            <w:tcW w:w="886" w:type="dxa"/>
            <w:gridSpan w:val="2"/>
            <w:noWrap/>
            <w:vAlign w:val="center"/>
          </w:tcPr>
          <w:p w14:paraId="49A45753" w14:textId="2496E350" w:rsidR="000E10A1" w:rsidRPr="00D76DDA" w:rsidRDefault="000E10A1" w:rsidP="00D76DDA">
            <w:pPr>
              <w:spacing w:before="0" w:after="0"/>
              <w:ind w:firstLine="0"/>
              <w:contextualSpacing/>
              <w:jc w:val="center"/>
              <w:rPr>
                <w:sz w:val="18"/>
                <w:szCs w:val="18"/>
              </w:rPr>
            </w:pPr>
            <w:r w:rsidRPr="00D76DDA">
              <w:rPr>
                <w:sz w:val="18"/>
                <w:szCs w:val="18"/>
              </w:rPr>
              <w:t>3 403,0</w:t>
            </w:r>
          </w:p>
        </w:tc>
        <w:tc>
          <w:tcPr>
            <w:tcW w:w="860" w:type="dxa"/>
            <w:noWrap/>
            <w:vAlign w:val="center"/>
          </w:tcPr>
          <w:p w14:paraId="40B6E4D7" w14:textId="1B795D19" w:rsidR="000E10A1" w:rsidRPr="00D76DDA" w:rsidRDefault="000E10A1" w:rsidP="00D76DDA">
            <w:pPr>
              <w:spacing w:before="0" w:after="0"/>
              <w:ind w:firstLine="0"/>
              <w:contextualSpacing/>
              <w:jc w:val="center"/>
              <w:rPr>
                <w:sz w:val="18"/>
                <w:szCs w:val="18"/>
              </w:rPr>
            </w:pPr>
            <w:r w:rsidRPr="00D76DDA">
              <w:rPr>
                <w:sz w:val="18"/>
                <w:szCs w:val="18"/>
              </w:rPr>
              <w:t>3 469,9</w:t>
            </w:r>
          </w:p>
        </w:tc>
        <w:tc>
          <w:tcPr>
            <w:tcW w:w="860" w:type="dxa"/>
            <w:noWrap/>
            <w:vAlign w:val="center"/>
          </w:tcPr>
          <w:p w14:paraId="4375F634" w14:textId="737006C9" w:rsidR="000E10A1" w:rsidRPr="00D76DDA" w:rsidRDefault="000E10A1" w:rsidP="00D76DDA">
            <w:pPr>
              <w:spacing w:before="0" w:after="0"/>
              <w:ind w:firstLine="0"/>
              <w:contextualSpacing/>
              <w:jc w:val="center"/>
              <w:rPr>
                <w:sz w:val="18"/>
                <w:szCs w:val="18"/>
              </w:rPr>
            </w:pPr>
            <w:r w:rsidRPr="00D76DDA">
              <w:rPr>
                <w:sz w:val="18"/>
                <w:szCs w:val="18"/>
              </w:rPr>
              <w:t>3 725,3</w:t>
            </w:r>
          </w:p>
        </w:tc>
        <w:tc>
          <w:tcPr>
            <w:tcW w:w="878" w:type="dxa"/>
            <w:noWrap/>
            <w:vAlign w:val="center"/>
          </w:tcPr>
          <w:p w14:paraId="1F730A86" w14:textId="312C9BEC" w:rsidR="000E10A1" w:rsidRPr="00D76DDA" w:rsidRDefault="000E10A1" w:rsidP="00D76DDA">
            <w:pPr>
              <w:spacing w:before="0" w:after="0"/>
              <w:ind w:firstLine="0"/>
              <w:contextualSpacing/>
              <w:jc w:val="center"/>
              <w:rPr>
                <w:sz w:val="18"/>
                <w:szCs w:val="18"/>
              </w:rPr>
            </w:pPr>
            <w:r w:rsidRPr="00D76DDA">
              <w:rPr>
                <w:sz w:val="18"/>
                <w:szCs w:val="18"/>
              </w:rPr>
              <w:t>3 959,2</w:t>
            </w:r>
          </w:p>
        </w:tc>
      </w:tr>
      <w:tr w:rsidR="000E10A1" w:rsidRPr="00D16868" w14:paraId="618E9A3C" w14:textId="77777777" w:rsidTr="00D76DDA">
        <w:trPr>
          <w:trHeight w:val="65"/>
          <w:tblHeader/>
          <w:jc w:val="center"/>
        </w:trPr>
        <w:tc>
          <w:tcPr>
            <w:tcW w:w="3168" w:type="dxa"/>
            <w:noWrap/>
            <w:hideMark/>
          </w:tcPr>
          <w:p w14:paraId="6D45C553" w14:textId="77777777" w:rsidR="000E10A1" w:rsidRPr="00D16868" w:rsidRDefault="000E10A1" w:rsidP="000E10A1">
            <w:pPr>
              <w:spacing w:before="0" w:after="0"/>
              <w:ind w:firstLine="0"/>
              <w:contextualSpacing/>
              <w:jc w:val="left"/>
              <w:rPr>
                <w:rFonts w:eastAsia="Times New Roman"/>
                <w:sz w:val="18"/>
                <w:szCs w:val="18"/>
              </w:rPr>
            </w:pPr>
            <w:r w:rsidRPr="00D16868">
              <w:rPr>
                <w:rFonts w:eastAsia="Times New Roman"/>
                <w:sz w:val="18"/>
                <w:szCs w:val="18"/>
              </w:rPr>
              <w:t>Izdevumi</w:t>
            </w:r>
          </w:p>
        </w:tc>
        <w:tc>
          <w:tcPr>
            <w:tcW w:w="860" w:type="dxa"/>
            <w:noWrap/>
            <w:vAlign w:val="center"/>
          </w:tcPr>
          <w:p w14:paraId="28AFF658" w14:textId="50A20577"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2 856,1</w:t>
            </w:r>
          </w:p>
        </w:tc>
        <w:tc>
          <w:tcPr>
            <w:tcW w:w="860" w:type="dxa"/>
            <w:noWrap/>
            <w:vAlign w:val="center"/>
          </w:tcPr>
          <w:p w14:paraId="018A44BF" w14:textId="2C6C14D3" w:rsidR="000E10A1" w:rsidRPr="00D76DDA" w:rsidRDefault="000E10A1" w:rsidP="00D76DDA">
            <w:pPr>
              <w:spacing w:before="0" w:after="0"/>
              <w:ind w:firstLine="0"/>
              <w:contextualSpacing/>
              <w:jc w:val="center"/>
              <w:rPr>
                <w:rFonts w:eastAsia="Times New Roman"/>
                <w:sz w:val="18"/>
                <w:szCs w:val="18"/>
                <w:highlight w:val="yellow"/>
              </w:rPr>
            </w:pPr>
            <w:r w:rsidRPr="00D76DDA">
              <w:rPr>
                <w:sz w:val="18"/>
                <w:szCs w:val="18"/>
              </w:rPr>
              <w:t>2 966,6</w:t>
            </w:r>
          </w:p>
        </w:tc>
        <w:tc>
          <w:tcPr>
            <w:tcW w:w="860" w:type="dxa"/>
            <w:noWrap/>
            <w:vAlign w:val="center"/>
          </w:tcPr>
          <w:p w14:paraId="307BFE66" w14:textId="2727F3F4" w:rsidR="000E10A1" w:rsidRPr="00D76DDA" w:rsidRDefault="000E10A1" w:rsidP="00D76DDA">
            <w:pPr>
              <w:spacing w:before="0" w:after="0"/>
              <w:ind w:firstLine="0"/>
              <w:contextualSpacing/>
              <w:jc w:val="center"/>
              <w:rPr>
                <w:sz w:val="18"/>
                <w:szCs w:val="18"/>
              </w:rPr>
            </w:pPr>
            <w:r w:rsidRPr="00D76DDA">
              <w:rPr>
                <w:sz w:val="18"/>
                <w:szCs w:val="18"/>
              </w:rPr>
              <w:t>3 189,4</w:t>
            </w:r>
          </w:p>
        </w:tc>
        <w:tc>
          <w:tcPr>
            <w:tcW w:w="886" w:type="dxa"/>
            <w:gridSpan w:val="2"/>
            <w:noWrap/>
            <w:vAlign w:val="center"/>
          </w:tcPr>
          <w:p w14:paraId="1FDB4C93" w14:textId="594927BD" w:rsidR="000E10A1" w:rsidRPr="00D76DDA" w:rsidRDefault="000E10A1" w:rsidP="00D76DDA">
            <w:pPr>
              <w:spacing w:before="0" w:after="0"/>
              <w:ind w:firstLine="0"/>
              <w:contextualSpacing/>
              <w:jc w:val="center"/>
              <w:rPr>
                <w:sz w:val="18"/>
                <w:szCs w:val="18"/>
              </w:rPr>
            </w:pPr>
            <w:r w:rsidRPr="00D76DDA">
              <w:rPr>
                <w:sz w:val="18"/>
                <w:szCs w:val="18"/>
              </w:rPr>
              <w:t>3 431,1</w:t>
            </w:r>
          </w:p>
        </w:tc>
        <w:tc>
          <w:tcPr>
            <w:tcW w:w="860" w:type="dxa"/>
            <w:noWrap/>
            <w:vAlign w:val="center"/>
          </w:tcPr>
          <w:p w14:paraId="3B156740" w14:textId="4A47E1A3" w:rsidR="000E10A1" w:rsidRPr="00D76DDA" w:rsidRDefault="000E10A1" w:rsidP="00D76DDA">
            <w:pPr>
              <w:spacing w:before="0" w:after="0"/>
              <w:ind w:firstLine="0"/>
              <w:contextualSpacing/>
              <w:jc w:val="center"/>
              <w:rPr>
                <w:sz w:val="18"/>
                <w:szCs w:val="18"/>
              </w:rPr>
            </w:pPr>
            <w:r w:rsidRPr="00D76DDA">
              <w:rPr>
                <w:sz w:val="18"/>
                <w:szCs w:val="18"/>
              </w:rPr>
              <w:t>3 537,7</w:t>
            </w:r>
          </w:p>
        </w:tc>
        <w:tc>
          <w:tcPr>
            <w:tcW w:w="860" w:type="dxa"/>
            <w:noWrap/>
            <w:vAlign w:val="center"/>
          </w:tcPr>
          <w:p w14:paraId="3F26DB27" w14:textId="44C146F6" w:rsidR="000E10A1" w:rsidRPr="00D76DDA" w:rsidRDefault="000E10A1" w:rsidP="00D76DDA">
            <w:pPr>
              <w:spacing w:before="0" w:after="0"/>
              <w:ind w:firstLine="0"/>
              <w:contextualSpacing/>
              <w:jc w:val="center"/>
              <w:rPr>
                <w:sz w:val="18"/>
                <w:szCs w:val="18"/>
              </w:rPr>
            </w:pPr>
            <w:r w:rsidRPr="00D76DDA">
              <w:rPr>
                <w:sz w:val="18"/>
                <w:szCs w:val="18"/>
              </w:rPr>
              <w:t>3 692,0</w:t>
            </w:r>
          </w:p>
        </w:tc>
        <w:tc>
          <w:tcPr>
            <w:tcW w:w="878" w:type="dxa"/>
            <w:noWrap/>
            <w:vAlign w:val="center"/>
          </w:tcPr>
          <w:p w14:paraId="50B241AE" w14:textId="4503E52F" w:rsidR="000E10A1" w:rsidRPr="00D76DDA" w:rsidRDefault="000E10A1" w:rsidP="00D76DDA">
            <w:pPr>
              <w:spacing w:before="0" w:after="0"/>
              <w:ind w:firstLine="0"/>
              <w:contextualSpacing/>
              <w:jc w:val="center"/>
              <w:rPr>
                <w:sz w:val="18"/>
                <w:szCs w:val="18"/>
              </w:rPr>
            </w:pPr>
            <w:r w:rsidRPr="00D76DDA">
              <w:rPr>
                <w:sz w:val="18"/>
                <w:szCs w:val="18"/>
              </w:rPr>
              <w:t>3 920,4</w:t>
            </w:r>
          </w:p>
        </w:tc>
      </w:tr>
      <w:tr w:rsidR="000E10A1" w:rsidRPr="0049617E" w14:paraId="1172FBB7" w14:textId="77777777" w:rsidTr="00D76DDA">
        <w:trPr>
          <w:trHeight w:val="65"/>
          <w:tblHeader/>
          <w:jc w:val="center"/>
        </w:trPr>
        <w:tc>
          <w:tcPr>
            <w:tcW w:w="3168" w:type="dxa"/>
            <w:noWrap/>
            <w:hideMark/>
          </w:tcPr>
          <w:p w14:paraId="36BFCA76" w14:textId="77777777" w:rsidR="000E10A1" w:rsidRPr="0049617E" w:rsidRDefault="000E10A1" w:rsidP="000E10A1">
            <w:pPr>
              <w:spacing w:before="0" w:after="0"/>
              <w:ind w:firstLineChars="300" w:firstLine="540"/>
              <w:contextualSpacing/>
              <w:jc w:val="left"/>
              <w:rPr>
                <w:rFonts w:eastAsia="Times New Roman"/>
                <w:i/>
                <w:iCs/>
                <w:sz w:val="18"/>
                <w:szCs w:val="18"/>
              </w:rPr>
            </w:pPr>
            <w:r w:rsidRPr="0049617E">
              <w:rPr>
                <w:rFonts w:eastAsia="Times New Roman"/>
                <w:i/>
                <w:iCs/>
                <w:sz w:val="18"/>
                <w:szCs w:val="18"/>
              </w:rPr>
              <w:t>Pamatfunkciju daļa</w:t>
            </w:r>
          </w:p>
        </w:tc>
        <w:tc>
          <w:tcPr>
            <w:tcW w:w="860" w:type="dxa"/>
            <w:tcBorders>
              <w:bottom w:val="single" w:sz="4" w:space="0" w:color="auto"/>
            </w:tcBorders>
            <w:noWrap/>
            <w:vAlign w:val="center"/>
          </w:tcPr>
          <w:p w14:paraId="76C6E276" w14:textId="4EE614C0" w:rsidR="000E10A1" w:rsidRPr="00D76DDA" w:rsidRDefault="000E10A1" w:rsidP="00D76DDA">
            <w:pPr>
              <w:spacing w:before="0" w:after="0"/>
              <w:ind w:firstLine="0"/>
              <w:contextualSpacing/>
              <w:jc w:val="center"/>
              <w:rPr>
                <w:rFonts w:eastAsia="Times New Roman"/>
                <w:i/>
                <w:iCs/>
                <w:sz w:val="18"/>
                <w:szCs w:val="18"/>
                <w:highlight w:val="yellow"/>
              </w:rPr>
            </w:pPr>
            <w:r w:rsidRPr="00D76DDA">
              <w:rPr>
                <w:sz w:val="18"/>
                <w:szCs w:val="18"/>
              </w:rPr>
              <w:t>2 520,8</w:t>
            </w:r>
          </w:p>
        </w:tc>
        <w:tc>
          <w:tcPr>
            <w:tcW w:w="860" w:type="dxa"/>
            <w:tcBorders>
              <w:bottom w:val="single" w:sz="4" w:space="0" w:color="auto"/>
            </w:tcBorders>
            <w:noWrap/>
            <w:vAlign w:val="center"/>
          </w:tcPr>
          <w:p w14:paraId="46EAC1A7" w14:textId="633D1E67" w:rsidR="000E10A1" w:rsidRPr="00D76DDA" w:rsidRDefault="000E10A1" w:rsidP="00D76DDA">
            <w:pPr>
              <w:spacing w:before="0" w:after="0"/>
              <w:ind w:firstLine="0"/>
              <w:contextualSpacing/>
              <w:jc w:val="center"/>
              <w:rPr>
                <w:rFonts w:eastAsia="Times New Roman"/>
                <w:i/>
                <w:iCs/>
                <w:sz w:val="18"/>
                <w:szCs w:val="18"/>
                <w:highlight w:val="yellow"/>
              </w:rPr>
            </w:pPr>
            <w:r w:rsidRPr="00D76DDA">
              <w:rPr>
                <w:sz w:val="18"/>
                <w:szCs w:val="18"/>
              </w:rPr>
              <w:t>2 644,5</w:t>
            </w:r>
          </w:p>
        </w:tc>
        <w:tc>
          <w:tcPr>
            <w:tcW w:w="860" w:type="dxa"/>
            <w:noWrap/>
            <w:vAlign w:val="center"/>
          </w:tcPr>
          <w:p w14:paraId="3713F604" w14:textId="17A596FD" w:rsidR="000E10A1" w:rsidRPr="00D76DDA" w:rsidRDefault="000E10A1" w:rsidP="00D76DDA">
            <w:pPr>
              <w:spacing w:before="0" w:after="0"/>
              <w:ind w:firstLine="0"/>
              <w:contextualSpacing/>
              <w:jc w:val="center"/>
              <w:rPr>
                <w:i/>
                <w:iCs/>
                <w:sz w:val="18"/>
                <w:szCs w:val="18"/>
              </w:rPr>
            </w:pPr>
            <w:r w:rsidRPr="00D76DDA">
              <w:rPr>
                <w:sz w:val="18"/>
                <w:szCs w:val="18"/>
              </w:rPr>
              <w:t>2 938,4</w:t>
            </w:r>
          </w:p>
        </w:tc>
        <w:tc>
          <w:tcPr>
            <w:tcW w:w="886" w:type="dxa"/>
            <w:gridSpan w:val="2"/>
            <w:noWrap/>
            <w:vAlign w:val="center"/>
          </w:tcPr>
          <w:p w14:paraId="13D1C2D6" w14:textId="3ECC05C0" w:rsidR="000E10A1" w:rsidRPr="00D76DDA" w:rsidRDefault="000E10A1" w:rsidP="00D76DDA">
            <w:pPr>
              <w:spacing w:before="0" w:after="0"/>
              <w:ind w:firstLine="0"/>
              <w:contextualSpacing/>
              <w:jc w:val="center"/>
              <w:rPr>
                <w:i/>
                <w:iCs/>
                <w:sz w:val="18"/>
                <w:szCs w:val="18"/>
              </w:rPr>
            </w:pPr>
            <w:r w:rsidRPr="00D76DDA">
              <w:rPr>
                <w:sz w:val="18"/>
                <w:szCs w:val="18"/>
              </w:rPr>
              <w:t>3 163,4</w:t>
            </w:r>
          </w:p>
        </w:tc>
        <w:tc>
          <w:tcPr>
            <w:tcW w:w="860" w:type="dxa"/>
            <w:noWrap/>
            <w:vAlign w:val="center"/>
          </w:tcPr>
          <w:p w14:paraId="712C34E0" w14:textId="51F0892E" w:rsidR="000E10A1" w:rsidRPr="00D76DDA" w:rsidRDefault="000E10A1" w:rsidP="00D76DDA">
            <w:pPr>
              <w:spacing w:before="0" w:after="0"/>
              <w:ind w:firstLine="0"/>
              <w:contextualSpacing/>
              <w:jc w:val="center"/>
              <w:rPr>
                <w:i/>
                <w:iCs/>
                <w:sz w:val="18"/>
                <w:szCs w:val="18"/>
              </w:rPr>
            </w:pPr>
            <w:r w:rsidRPr="00D76DDA">
              <w:rPr>
                <w:sz w:val="18"/>
                <w:szCs w:val="18"/>
              </w:rPr>
              <w:t>3 291,1</w:t>
            </w:r>
          </w:p>
        </w:tc>
        <w:tc>
          <w:tcPr>
            <w:tcW w:w="860" w:type="dxa"/>
            <w:noWrap/>
            <w:vAlign w:val="center"/>
          </w:tcPr>
          <w:p w14:paraId="47F56ADD" w14:textId="0120CE4C" w:rsidR="000E10A1" w:rsidRPr="00D76DDA" w:rsidRDefault="000E10A1" w:rsidP="00D76DDA">
            <w:pPr>
              <w:spacing w:before="0" w:after="0"/>
              <w:ind w:firstLine="0"/>
              <w:contextualSpacing/>
              <w:jc w:val="center"/>
              <w:rPr>
                <w:i/>
                <w:iCs/>
                <w:sz w:val="18"/>
                <w:szCs w:val="18"/>
              </w:rPr>
            </w:pPr>
            <w:r w:rsidRPr="00D76DDA">
              <w:rPr>
                <w:sz w:val="18"/>
                <w:szCs w:val="18"/>
              </w:rPr>
              <w:t>3 407,9</w:t>
            </w:r>
          </w:p>
        </w:tc>
        <w:tc>
          <w:tcPr>
            <w:tcW w:w="878" w:type="dxa"/>
            <w:noWrap/>
            <w:vAlign w:val="center"/>
          </w:tcPr>
          <w:p w14:paraId="2D1172EF" w14:textId="51014E76" w:rsidR="000E10A1" w:rsidRPr="00D76DDA" w:rsidRDefault="000E10A1" w:rsidP="00D76DDA">
            <w:pPr>
              <w:spacing w:before="0" w:after="0"/>
              <w:ind w:firstLine="0"/>
              <w:contextualSpacing/>
              <w:jc w:val="center"/>
              <w:rPr>
                <w:i/>
                <w:iCs/>
                <w:sz w:val="18"/>
                <w:szCs w:val="18"/>
              </w:rPr>
            </w:pPr>
            <w:r w:rsidRPr="00D76DDA">
              <w:rPr>
                <w:sz w:val="18"/>
                <w:szCs w:val="18"/>
              </w:rPr>
              <w:t>3 454,9</w:t>
            </w:r>
          </w:p>
        </w:tc>
      </w:tr>
      <w:tr w:rsidR="000E10A1" w:rsidRPr="0049617E" w14:paraId="721B9DA6" w14:textId="77777777" w:rsidTr="00D76DDA">
        <w:trPr>
          <w:trHeight w:val="65"/>
          <w:tblHeader/>
          <w:jc w:val="center"/>
        </w:trPr>
        <w:tc>
          <w:tcPr>
            <w:tcW w:w="3168" w:type="dxa"/>
            <w:noWrap/>
            <w:hideMark/>
          </w:tcPr>
          <w:p w14:paraId="032F5A80" w14:textId="77777777" w:rsidR="000E10A1" w:rsidRPr="0049617E" w:rsidRDefault="000E10A1" w:rsidP="000E10A1">
            <w:pPr>
              <w:spacing w:before="0" w:after="0"/>
              <w:ind w:firstLineChars="300" w:firstLine="540"/>
              <w:contextualSpacing/>
              <w:jc w:val="left"/>
              <w:rPr>
                <w:rFonts w:eastAsia="Times New Roman"/>
                <w:i/>
                <w:iCs/>
                <w:sz w:val="18"/>
                <w:szCs w:val="18"/>
              </w:rPr>
            </w:pPr>
            <w:r w:rsidRPr="0049617E">
              <w:rPr>
                <w:rFonts w:eastAsia="Times New Roman"/>
                <w:i/>
                <w:iCs/>
                <w:sz w:val="18"/>
                <w:szCs w:val="18"/>
              </w:rPr>
              <w:t>ĀFP daļa</w:t>
            </w:r>
          </w:p>
        </w:tc>
        <w:tc>
          <w:tcPr>
            <w:tcW w:w="860" w:type="dxa"/>
            <w:tcBorders>
              <w:bottom w:val="single" w:sz="4" w:space="0" w:color="auto"/>
            </w:tcBorders>
            <w:noWrap/>
            <w:vAlign w:val="center"/>
          </w:tcPr>
          <w:p w14:paraId="4AAF8AC2" w14:textId="405933EF" w:rsidR="000E10A1" w:rsidRPr="00D76DDA" w:rsidRDefault="000E10A1" w:rsidP="00D76DDA">
            <w:pPr>
              <w:spacing w:before="0" w:after="0"/>
              <w:ind w:firstLine="0"/>
              <w:contextualSpacing/>
              <w:jc w:val="center"/>
              <w:rPr>
                <w:i/>
                <w:iCs/>
                <w:sz w:val="18"/>
                <w:szCs w:val="18"/>
              </w:rPr>
            </w:pPr>
            <w:r w:rsidRPr="00D76DDA">
              <w:rPr>
                <w:sz w:val="18"/>
                <w:szCs w:val="18"/>
              </w:rPr>
              <w:t>335,3</w:t>
            </w:r>
          </w:p>
        </w:tc>
        <w:tc>
          <w:tcPr>
            <w:tcW w:w="860" w:type="dxa"/>
            <w:tcBorders>
              <w:bottom w:val="single" w:sz="4" w:space="0" w:color="auto"/>
            </w:tcBorders>
            <w:noWrap/>
            <w:vAlign w:val="center"/>
          </w:tcPr>
          <w:p w14:paraId="4B6B1F67" w14:textId="2341729D" w:rsidR="000E10A1" w:rsidRPr="00D76DDA" w:rsidRDefault="000E10A1" w:rsidP="00D76DDA">
            <w:pPr>
              <w:spacing w:before="0" w:after="0"/>
              <w:ind w:firstLine="0"/>
              <w:contextualSpacing/>
              <w:jc w:val="center"/>
              <w:rPr>
                <w:rFonts w:eastAsia="Times New Roman"/>
                <w:i/>
                <w:iCs/>
                <w:sz w:val="18"/>
                <w:szCs w:val="18"/>
                <w:highlight w:val="yellow"/>
              </w:rPr>
            </w:pPr>
            <w:r w:rsidRPr="00D76DDA">
              <w:rPr>
                <w:sz w:val="18"/>
                <w:szCs w:val="18"/>
              </w:rPr>
              <w:t>322,1</w:t>
            </w:r>
          </w:p>
        </w:tc>
        <w:tc>
          <w:tcPr>
            <w:tcW w:w="860" w:type="dxa"/>
            <w:noWrap/>
            <w:vAlign w:val="center"/>
          </w:tcPr>
          <w:p w14:paraId="67A0849D" w14:textId="66551D0B" w:rsidR="000E10A1" w:rsidRPr="00D76DDA" w:rsidRDefault="000E10A1" w:rsidP="00D76DDA">
            <w:pPr>
              <w:spacing w:before="0" w:after="0"/>
              <w:ind w:firstLine="0"/>
              <w:contextualSpacing/>
              <w:jc w:val="center"/>
              <w:rPr>
                <w:i/>
                <w:iCs/>
                <w:sz w:val="18"/>
                <w:szCs w:val="18"/>
              </w:rPr>
            </w:pPr>
            <w:r w:rsidRPr="00D76DDA">
              <w:rPr>
                <w:sz w:val="18"/>
                <w:szCs w:val="18"/>
              </w:rPr>
              <w:t>251,0</w:t>
            </w:r>
          </w:p>
        </w:tc>
        <w:tc>
          <w:tcPr>
            <w:tcW w:w="886" w:type="dxa"/>
            <w:gridSpan w:val="2"/>
            <w:noWrap/>
            <w:vAlign w:val="center"/>
          </w:tcPr>
          <w:p w14:paraId="140C5ED8" w14:textId="6B6A8A2D" w:rsidR="000E10A1" w:rsidRPr="00D76DDA" w:rsidRDefault="000E10A1" w:rsidP="00D76DDA">
            <w:pPr>
              <w:spacing w:before="0" w:after="0"/>
              <w:ind w:firstLine="0"/>
              <w:contextualSpacing/>
              <w:jc w:val="center"/>
              <w:rPr>
                <w:i/>
                <w:iCs/>
                <w:sz w:val="18"/>
                <w:szCs w:val="18"/>
              </w:rPr>
            </w:pPr>
            <w:r w:rsidRPr="00D76DDA">
              <w:rPr>
                <w:sz w:val="18"/>
                <w:szCs w:val="18"/>
              </w:rPr>
              <w:t>267,7</w:t>
            </w:r>
          </w:p>
        </w:tc>
        <w:tc>
          <w:tcPr>
            <w:tcW w:w="860" w:type="dxa"/>
            <w:noWrap/>
            <w:vAlign w:val="center"/>
          </w:tcPr>
          <w:p w14:paraId="399F35D9" w14:textId="507B1C0A" w:rsidR="000E10A1" w:rsidRPr="00D76DDA" w:rsidRDefault="000E10A1" w:rsidP="00D76DDA">
            <w:pPr>
              <w:spacing w:before="0" w:after="0"/>
              <w:ind w:firstLine="0"/>
              <w:contextualSpacing/>
              <w:jc w:val="center"/>
              <w:rPr>
                <w:i/>
                <w:iCs/>
                <w:sz w:val="18"/>
                <w:szCs w:val="18"/>
              </w:rPr>
            </w:pPr>
            <w:r w:rsidRPr="00D76DDA">
              <w:rPr>
                <w:sz w:val="18"/>
                <w:szCs w:val="18"/>
              </w:rPr>
              <w:t>246,6</w:t>
            </w:r>
          </w:p>
        </w:tc>
        <w:tc>
          <w:tcPr>
            <w:tcW w:w="860" w:type="dxa"/>
            <w:noWrap/>
            <w:vAlign w:val="center"/>
          </w:tcPr>
          <w:p w14:paraId="2BE19435" w14:textId="0B3629BC" w:rsidR="000E10A1" w:rsidRPr="00D76DDA" w:rsidRDefault="000E10A1" w:rsidP="00D76DDA">
            <w:pPr>
              <w:spacing w:before="0" w:after="0"/>
              <w:ind w:firstLine="0"/>
              <w:contextualSpacing/>
              <w:jc w:val="center"/>
              <w:rPr>
                <w:i/>
                <w:iCs/>
                <w:sz w:val="18"/>
                <w:szCs w:val="18"/>
              </w:rPr>
            </w:pPr>
            <w:r w:rsidRPr="00D76DDA">
              <w:rPr>
                <w:sz w:val="18"/>
                <w:szCs w:val="18"/>
              </w:rPr>
              <w:t>284,0</w:t>
            </w:r>
          </w:p>
        </w:tc>
        <w:tc>
          <w:tcPr>
            <w:tcW w:w="878" w:type="dxa"/>
            <w:noWrap/>
            <w:vAlign w:val="center"/>
          </w:tcPr>
          <w:p w14:paraId="07FF8EF2" w14:textId="68DD8923" w:rsidR="000E10A1" w:rsidRPr="00D76DDA" w:rsidRDefault="000E10A1" w:rsidP="00D76DDA">
            <w:pPr>
              <w:spacing w:before="0" w:after="0"/>
              <w:ind w:firstLine="0"/>
              <w:contextualSpacing/>
              <w:jc w:val="center"/>
              <w:rPr>
                <w:i/>
                <w:iCs/>
                <w:sz w:val="18"/>
                <w:szCs w:val="18"/>
              </w:rPr>
            </w:pPr>
            <w:r w:rsidRPr="00D76DDA">
              <w:rPr>
                <w:sz w:val="18"/>
                <w:szCs w:val="18"/>
              </w:rPr>
              <w:t>465,5</w:t>
            </w:r>
          </w:p>
        </w:tc>
      </w:tr>
    </w:tbl>
    <w:p w14:paraId="277059F7" w14:textId="1CB85027" w:rsidR="007D2774" w:rsidRDefault="007D2774" w:rsidP="007D2774">
      <w:pPr>
        <w:rPr>
          <w:color w:val="000000" w:themeColor="text1"/>
        </w:rPr>
      </w:pPr>
      <w:bookmarkStart w:id="7" w:name="_Toc48048101"/>
      <w:r w:rsidRPr="00B22397">
        <w:rPr>
          <w:color w:val="000000" w:themeColor="text1"/>
        </w:rPr>
        <w:t>Sagatavojot vispārējās valdības budžeta bilances vidējam termiņam</w:t>
      </w:r>
      <w:r>
        <w:rPr>
          <w:color w:val="000000" w:themeColor="text1"/>
        </w:rPr>
        <w:t xml:space="preserve"> pie nemainīgas politikas</w:t>
      </w:r>
      <w:r w:rsidRPr="00B22397">
        <w:rPr>
          <w:color w:val="000000" w:themeColor="text1"/>
        </w:rPr>
        <w:t>, ir ņemt</w:t>
      </w:r>
      <w:r w:rsidR="0056659D">
        <w:rPr>
          <w:color w:val="000000" w:themeColor="text1"/>
        </w:rPr>
        <w:t>i vērā šādi pieņēmumi.</w:t>
      </w:r>
    </w:p>
    <w:p w14:paraId="66B80704" w14:textId="47E32E0D" w:rsidR="007D2774" w:rsidRDefault="0056659D" w:rsidP="0063523F">
      <w:pPr>
        <w:pStyle w:val="ListParagraph"/>
        <w:numPr>
          <w:ilvl w:val="0"/>
          <w:numId w:val="29"/>
        </w:numPr>
        <w:spacing w:before="0" w:after="60"/>
        <w:ind w:left="1434" w:hanging="357"/>
        <w:contextualSpacing w:val="0"/>
        <w:rPr>
          <w:color w:val="000000" w:themeColor="text1"/>
        </w:rPr>
      </w:pPr>
      <w:r>
        <w:rPr>
          <w:color w:val="000000" w:themeColor="text1"/>
        </w:rPr>
        <w:t>V</w:t>
      </w:r>
      <w:r w:rsidR="007D2774" w:rsidRPr="007D2774">
        <w:rPr>
          <w:color w:val="000000" w:themeColor="text1"/>
        </w:rPr>
        <w:t>aldības lēmums pakāpeniski kāpināt valsts budžeta izdevumus aizsardzībai līdz 2,5% no IKP 2025. gadā</w:t>
      </w:r>
      <w:r w:rsidR="00C75EFD">
        <w:rPr>
          <w:color w:val="000000" w:themeColor="text1"/>
        </w:rPr>
        <w:t>.</w:t>
      </w:r>
    </w:p>
    <w:p w14:paraId="26D98DD8" w14:textId="38F66811" w:rsidR="007D2774" w:rsidRPr="0056659D" w:rsidRDefault="0056659D" w:rsidP="0063523F">
      <w:pPr>
        <w:pStyle w:val="ListParagraph"/>
        <w:numPr>
          <w:ilvl w:val="0"/>
          <w:numId w:val="29"/>
        </w:numPr>
        <w:spacing w:before="0" w:after="60"/>
        <w:ind w:left="1434" w:hanging="357"/>
        <w:contextualSpacing w:val="0"/>
        <w:rPr>
          <w:color w:val="000000" w:themeColor="text1"/>
        </w:rPr>
      </w:pPr>
      <w:r>
        <w:rPr>
          <w:color w:val="000000" w:themeColor="text1"/>
        </w:rPr>
        <w:t xml:space="preserve">2024. gada 1. janvārī tiek paaugstināta minimālā alga valstī </w:t>
      </w:r>
      <w:r w:rsidRPr="007D2774">
        <w:rPr>
          <w:noProof/>
          <w:color w:val="000000" w:themeColor="text1"/>
        </w:rPr>
        <w:t xml:space="preserve">līdz 700 </w:t>
      </w:r>
      <w:r w:rsidRPr="007D2774">
        <w:rPr>
          <w:i/>
          <w:iCs/>
          <w:noProof/>
          <w:color w:val="000000" w:themeColor="text1"/>
        </w:rPr>
        <w:t>euro</w:t>
      </w:r>
      <w:r>
        <w:rPr>
          <w:noProof/>
          <w:color w:val="000000" w:themeColor="text1"/>
        </w:rPr>
        <w:t>, a</w:t>
      </w:r>
      <w:r w:rsidRPr="0056659D">
        <w:rPr>
          <w:color w:val="000000" w:themeColor="text1"/>
        </w:rPr>
        <w:t>r šā gada septembri turpinās</w:t>
      </w:r>
      <w:r w:rsidR="007D2774" w:rsidRPr="0056659D">
        <w:rPr>
          <w:color w:val="000000" w:themeColor="text1"/>
        </w:rPr>
        <w:t xml:space="preserve"> pedagogu zemākās mēneša darba samaksas likmes pieaugums</w:t>
      </w:r>
      <w:r>
        <w:rPr>
          <w:color w:val="000000" w:themeColor="text1"/>
        </w:rPr>
        <w:t>.</w:t>
      </w:r>
    </w:p>
    <w:p w14:paraId="4DAFAC91" w14:textId="77777777" w:rsidR="00C75EFD" w:rsidRDefault="007D2774" w:rsidP="0063523F">
      <w:pPr>
        <w:pStyle w:val="ListParagraph"/>
        <w:numPr>
          <w:ilvl w:val="0"/>
          <w:numId w:val="29"/>
        </w:numPr>
        <w:spacing w:before="0" w:after="60"/>
        <w:ind w:left="1434" w:hanging="357"/>
        <w:contextualSpacing w:val="0"/>
        <w:rPr>
          <w:color w:val="000000" w:themeColor="text1"/>
        </w:rPr>
      </w:pPr>
      <w:r w:rsidRPr="007D2774">
        <w:rPr>
          <w:color w:val="000000" w:themeColor="text1"/>
        </w:rPr>
        <w:t>Latvijā sagaidāma 32 jaunu elektrovilcienu piegāde</w:t>
      </w:r>
      <w:r w:rsidR="00131DB4">
        <w:rPr>
          <w:color w:val="000000" w:themeColor="text1"/>
        </w:rPr>
        <w:t xml:space="preserve"> (2023. gadā 23 un 2024. gadā 9 elektrovilcieni)</w:t>
      </w:r>
      <w:r w:rsidRPr="007D2774">
        <w:rPr>
          <w:color w:val="000000" w:themeColor="text1"/>
        </w:rPr>
        <w:t xml:space="preserve">, negatīvi ietekmējot komersantu bilances </w:t>
      </w:r>
      <w:r w:rsidRPr="007D2774">
        <w:rPr>
          <w:color w:val="000000" w:themeColor="text1"/>
        </w:rPr>
        <w:lastRenderedPageBreak/>
        <w:t>vispārējās valdības budžetā</w:t>
      </w:r>
      <w:r w:rsidR="00131DB4">
        <w:rPr>
          <w:color w:val="000000" w:themeColor="text1"/>
        </w:rPr>
        <w:t xml:space="preserve">. </w:t>
      </w:r>
      <w:r w:rsidRPr="007D2774">
        <w:rPr>
          <w:color w:val="000000" w:themeColor="text1"/>
        </w:rPr>
        <w:t>Lai gan liela daļa no vilcienu iegādes darījuma tiek finansēta no Eiropas Savienības Kohēzijas fonda līdzekļiem, tiek nodrošināts arī valsts budžeta līdzfinansējums vilcienu iegādei, un atbilstoši Eiropas kontu sistēmas metodoloģijai izdevumi tiek uzskaitīti atbilstoši faktiskajai piegādei.</w:t>
      </w:r>
    </w:p>
    <w:p w14:paraId="4F371747" w14:textId="77777777" w:rsidR="00C75EFD" w:rsidRDefault="007D2774" w:rsidP="0063523F">
      <w:pPr>
        <w:pStyle w:val="ListParagraph"/>
        <w:numPr>
          <w:ilvl w:val="0"/>
          <w:numId w:val="29"/>
        </w:numPr>
        <w:spacing w:before="0" w:after="60"/>
        <w:ind w:left="1434" w:hanging="357"/>
        <w:contextualSpacing w:val="0"/>
        <w:rPr>
          <w:color w:val="000000" w:themeColor="text1"/>
        </w:rPr>
      </w:pPr>
      <w:r w:rsidRPr="00C75EFD">
        <w:rPr>
          <w:color w:val="000000" w:themeColor="text1"/>
        </w:rPr>
        <w:t>2023.</w:t>
      </w:r>
      <w:r w:rsidR="00C75EFD">
        <w:rPr>
          <w:color w:val="000000" w:themeColor="text1"/>
        </w:rPr>
        <w:t> </w:t>
      </w:r>
      <w:r w:rsidRPr="00C75EFD">
        <w:rPr>
          <w:color w:val="000000" w:themeColor="text1"/>
        </w:rPr>
        <w:t>gadā valsts pamatbudžetā tiek prognozēti ievērojami lielāki izdevumi ārvalstu finanšu palīdzības līdzfinansēto projektu īstenošanai salīdzinājumā ar iepriekšējiem gadiem, ņemot vērā 2014.-2020.</w:t>
      </w:r>
      <w:r w:rsidR="00C75EFD">
        <w:rPr>
          <w:color w:val="000000" w:themeColor="text1"/>
        </w:rPr>
        <w:t> </w:t>
      </w:r>
      <w:r w:rsidRPr="00C75EFD">
        <w:rPr>
          <w:color w:val="000000" w:themeColor="text1"/>
        </w:rPr>
        <w:t>gada plānošanas perioda ES fond</w:t>
      </w:r>
      <w:r w:rsidR="00C75EFD" w:rsidRPr="00C75EFD">
        <w:rPr>
          <w:color w:val="000000" w:themeColor="text1"/>
        </w:rPr>
        <w:t>u</w:t>
      </w:r>
      <w:r w:rsidRPr="00C75EFD">
        <w:rPr>
          <w:color w:val="000000" w:themeColor="text1"/>
        </w:rPr>
        <w:t xml:space="preserve"> projektu īstenošanai noslēgumu un Atveseļošanas fonda aktīvu uzsākšanu. Tālāks izdevumu pieaugums sagaidāms 2024. un 2025.</w:t>
      </w:r>
      <w:r w:rsidR="00C75EFD" w:rsidRPr="00C75EFD">
        <w:rPr>
          <w:color w:val="000000" w:themeColor="text1"/>
        </w:rPr>
        <w:t> </w:t>
      </w:r>
      <w:r w:rsidRPr="00C75EFD">
        <w:rPr>
          <w:color w:val="000000" w:themeColor="text1"/>
        </w:rPr>
        <w:t xml:space="preserve">gados, kad nozīmīgā apmērā ieplūdīs arī finansējums 2021.-2027. gada plānošanas perioda ES fondu projektu īstenošanai, kā arī turpināsies Atveseļošanas fonda projektu īstenošana un </w:t>
      </w:r>
      <w:r w:rsidRPr="00C75EFD">
        <w:rPr>
          <w:i/>
          <w:iCs/>
          <w:noProof/>
          <w:color w:val="000000" w:themeColor="text1"/>
        </w:rPr>
        <w:t>Rail Baltica</w:t>
      </w:r>
      <w:r w:rsidRPr="00C75EFD">
        <w:rPr>
          <w:noProof/>
          <w:color w:val="000000" w:themeColor="text1"/>
        </w:rPr>
        <w:t xml:space="preserve"> projekta</w:t>
      </w:r>
      <w:r w:rsidRPr="00C75EFD">
        <w:rPr>
          <w:color w:val="000000" w:themeColor="text1"/>
        </w:rPr>
        <w:t xml:space="preserve"> īstenošana. </w:t>
      </w:r>
    </w:p>
    <w:p w14:paraId="57081CEB" w14:textId="767CFBA6" w:rsidR="00B56C99" w:rsidRDefault="0056659D" w:rsidP="0063523F">
      <w:pPr>
        <w:pStyle w:val="ListParagraph"/>
        <w:numPr>
          <w:ilvl w:val="0"/>
          <w:numId w:val="29"/>
        </w:numPr>
        <w:spacing w:before="0" w:after="60"/>
        <w:ind w:left="1434" w:hanging="357"/>
        <w:contextualSpacing w:val="0"/>
        <w:rPr>
          <w:color w:val="000000" w:themeColor="text1"/>
        </w:rPr>
      </w:pPr>
      <w:r>
        <w:rPr>
          <w:color w:val="000000" w:themeColor="text1"/>
        </w:rPr>
        <w:t>V</w:t>
      </w:r>
      <w:r w:rsidR="006A7261" w:rsidRPr="00C75EFD">
        <w:rPr>
          <w:color w:val="000000" w:themeColor="text1"/>
        </w:rPr>
        <w:t xml:space="preserve">alsts speciālajā budžetā, ņemot vērā </w:t>
      </w:r>
      <w:r w:rsidR="00DD7AC9" w:rsidRPr="00C75EFD">
        <w:rPr>
          <w:color w:val="000000" w:themeColor="text1"/>
        </w:rPr>
        <w:t>sagaidāmās patēriņa cenu indeksa un darba samaksas izmaiņas</w:t>
      </w:r>
      <w:r w:rsidR="006A7261" w:rsidRPr="00C75EFD">
        <w:rPr>
          <w:color w:val="000000" w:themeColor="text1"/>
        </w:rPr>
        <w:t xml:space="preserve">, vidējā termiņā sagaidāms </w:t>
      </w:r>
      <w:r w:rsidR="00DD7AC9" w:rsidRPr="00C75EFD">
        <w:rPr>
          <w:color w:val="000000" w:themeColor="text1"/>
        </w:rPr>
        <w:t>mērenāks</w:t>
      </w:r>
      <w:r w:rsidR="006A7261" w:rsidRPr="00C75EFD">
        <w:rPr>
          <w:color w:val="000000" w:themeColor="text1"/>
        </w:rPr>
        <w:t xml:space="preserve"> izdevumu pieaugums, tādējādi valsts speciāl</w:t>
      </w:r>
      <w:r w:rsidR="00C75EFD">
        <w:rPr>
          <w:color w:val="000000" w:themeColor="text1"/>
        </w:rPr>
        <w:t>ajā</w:t>
      </w:r>
      <w:r w:rsidR="006A7261" w:rsidRPr="00C75EFD">
        <w:rPr>
          <w:color w:val="000000" w:themeColor="text1"/>
        </w:rPr>
        <w:t xml:space="preserve"> budžet</w:t>
      </w:r>
      <w:r w:rsidR="00C75EFD">
        <w:rPr>
          <w:color w:val="000000" w:themeColor="text1"/>
        </w:rPr>
        <w:t xml:space="preserve">ā veidosies pārpalikums. Samazinoties </w:t>
      </w:r>
      <w:r w:rsidR="00DD7AC9" w:rsidRPr="00C75EFD">
        <w:rPr>
          <w:color w:val="000000" w:themeColor="text1"/>
        </w:rPr>
        <w:t>Covid-19 izplatīb</w:t>
      </w:r>
      <w:r w:rsidR="00C75EFD">
        <w:rPr>
          <w:color w:val="000000" w:themeColor="text1"/>
        </w:rPr>
        <w:t>ai, vidējā termiņā tiek prognozēts</w:t>
      </w:r>
      <w:r w:rsidR="00DD7AC9" w:rsidRPr="00C75EFD">
        <w:rPr>
          <w:color w:val="000000" w:themeColor="text1"/>
        </w:rPr>
        <w:t xml:space="preserve"> strauj</w:t>
      </w:r>
      <w:r w:rsidR="00C75EFD">
        <w:rPr>
          <w:color w:val="000000" w:themeColor="text1"/>
        </w:rPr>
        <w:t>š</w:t>
      </w:r>
      <w:r w:rsidR="00DD7AC9" w:rsidRPr="00C75EFD">
        <w:rPr>
          <w:color w:val="000000" w:themeColor="text1"/>
        </w:rPr>
        <w:t xml:space="preserve"> slimības pabalstu saņēmēju skait</w:t>
      </w:r>
      <w:r w:rsidR="00C75EFD">
        <w:rPr>
          <w:color w:val="000000" w:themeColor="text1"/>
        </w:rPr>
        <w:t>a samazinājums</w:t>
      </w:r>
      <w:r w:rsidR="00DD7AC9" w:rsidRPr="00C75EFD">
        <w:rPr>
          <w:color w:val="000000" w:themeColor="text1"/>
        </w:rPr>
        <w:t xml:space="preserve">, arī bezdarbnieku pabalstu saņēmēju skaits </w:t>
      </w:r>
      <w:r w:rsidR="00C75EFD">
        <w:rPr>
          <w:color w:val="000000" w:themeColor="text1"/>
        </w:rPr>
        <w:t xml:space="preserve">pēc 2024. gada tiek </w:t>
      </w:r>
      <w:r w:rsidR="00DD7AC9" w:rsidRPr="00C75EFD">
        <w:rPr>
          <w:color w:val="000000" w:themeColor="text1"/>
        </w:rPr>
        <w:t xml:space="preserve">prognozēts ar nelielu sarukumu. Tomēr pabalstu izdevumu pieaugumu turpinās ietekmēt salīdzinoši straujais vidējās </w:t>
      </w:r>
      <w:r w:rsidR="0096612F">
        <w:rPr>
          <w:color w:val="000000" w:themeColor="text1"/>
        </w:rPr>
        <w:t xml:space="preserve">sociālās </w:t>
      </w:r>
      <w:r w:rsidR="00DD7AC9" w:rsidRPr="00C75EFD">
        <w:rPr>
          <w:color w:val="000000" w:themeColor="text1"/>
        </w:rPr>
        <w:t xml:space="preserve">apdrošināšanas iemaksu algas pieaugums, ceļot arī vidējos pabalsta apmērus. </w:t>
      </w:r>
      <w:r w:rsidR="006A7261" w:rsidRPr="00021FDA">
        <w:t xml:space="preserve">Pensiju saņēmēju skaits pensionēšanās vecuma paaugstināšanas dēļ </w:t>
      </w:r>
      <w:r w:rsidR="00DD7AC9" w:rsidRPr="00021FDA">
        <w:t>ilgstoši</w:t>
      </w:r>
      <w:r w:rsidR="006A7261" w:rsidRPr="00021FDA">
        <w:t xml:space="preserve"> saru</w:t>
      </w:r>
      <w:r w:rsidR="00DD7AC9" w:rsidRPr="00021FDA">
        <w:t>cis</w:t>
      </w:r>
      <w:r w:rsidR="006A7261" w:rsidRPr="00021FDA">
        <w:t>, tomēr 2025. gadā pensiju reforma noslēgsies</w:t>
      </w:r>
      <w:r w:rsidRPr="00021FDA">
        <w:t>,</w:t>
      </w:r>
      <w:r w:rsidR="006A7261" w:rsidRPr="00021FDA">
        <w:t xml:space="preserve"> un pēc tās atbilstoši </w:t>
      </w:r>
      <w:r w:rsidR="006A7261" w:rsidRPr="00021FDA">
        <w:rPr>
          <w:i/>
          <w:iCs/>
          <w:noProof/>
        </w:rPr>
        <w:t xml:space="preserve">Eurostat </w:t>
      </w:r>
      <w:r w:rsidR="006A7261" w:rsidRPr="00021FDA">
        <w:t xml:space="preserve">demogrāfiskajām prognozēm ir sagaidāms </w:t>
      </w:r>
      <w:r w:rsidR="00B56C99" w:rsidRPr="00021FDA">
        <w:t xml:space="preserve">65+ </w:t>
      </w:r>
      <w:r w:rsidR="006A7261" w:rsidRPr="00021FDA">
        <w:t xml:space="preserve">iedzīvotāju </w:t>
      </w:r>
      <w:r w:rsidR="00B56C99" w:rsidRPr="00021FDA">
        <w:t xml:space="preserve">skaita </w:t>
      </w:r>
      <w:r w:rsidR="006A7261" w:rsidRPr="00021FDA">
        <w:t>pieaugums.</w:t>
      </w:r>
      <w:r w:rsidR="00DD7AC9" w:rsidRPr="00021FDA">
        <w:t xml:space="preserve"> Tas redzams arī atjaunotajās prognozēs par pensiju saņēmēju skaitu, kas 2026.</w:t>
      </w:r>
      <w:r w:rsidRPr="00021FDA">
        <w:t> </w:t>
      </w:r>
      <w:r w:rsidR="00DD7AC9" w:rsidRPr="00021FDA">
        <w:t>gadā jau būs augstāks kā 2025. gadā.</w:t>
      </w:r>
    </w:p>
    <w:p w14:paraId="1429CD0C" w14:textId="231112C6" w:rsidR="00B83965" w:rsidRDefault="0056659D" w:rsidP="0063523F">
      <w:pPr>
        <w:pStyle w:val="ListParagraph"/>
        <w:numPr>
          <w:ilvl w:val="0"/>
          <w:numId w:val="29"/>
        </w:numPr>
        <w:spacing w:after="60"/>
      </w:pPr>
      <w:r>
        <w:t xml:space="preserve">Balstoties uz faktiskās izpildes datiem šā gada 6 mēnešos, </w:t>
      </w:r>
      <w:r w:rsidR="00DE794A">
        <w:t xml:space="preserve">salīdzinot ar Stabilitātes programmu 2023.-2026. gadam, </w:t>
      </w:r>
      <w:r>
        <w:t xml:space="preserve">ir palielināti pašvaldību budžeta izdevumi. </w:t>
      </w:r>
      <w:r w:rsidR="00DE794A">
        <w:t xml:space="preserve">Tiek prognozēts, ka </w:t>
      </w:r>
      <w:r w:rsidR="008D34B7">
        <w:t xml:space="preserve">vidējā termiņā </w:t>
      </w:r>
      <w:r w:rsidR="00DE794A">
        <w:t>pieaugs pašvaldību budžeta izdevumi</w:t>
      </w:r>
      <w:r w:rsidR="008D34B7">
        <w:t xml:space="preserve"> atlīdzībai, ņemot vērā straujo minimālās algas celšanu valstī un pedagogu darba samaksas kāpumu. Tāpat tiek prognozēts izdevumu pieaugums precēm un pakalpojumiem, </w:t>
      </w:r>
      <w:r w:rsidR="00DE794A">
        <w:t>it īpaši 2023. gadā</w:t>
      </w:r>
      <w:r w:rsidR="00DD0F64">
        <w:t xml:space="preserve"> salīdzinājumā ar 2022. gadu</w:t>
      </w:r>
      <w:r w:rsidR="00DE794A">
        <w:t xml:space="preserve">, </w:t>
      </w:r>
      <w:r w:rsidR="00DD0F64">
        <w:t xml:space="preserve">cenu kāpumam turpinot ietekmēt </w:t>
      </w:r>
      <w:r w:rsidR="008D34B7">
        <w:t>izdevum</w:t>
      </w:r>
      <w:r w:rsidR="00DD0F64">
        <w:t>us</w:t>
      </w:r>
      <w:r w:rsidR="008D34B7">
        <w:t xml:space="preserve"> komunālajiem pakalpojumiem, tostarp siltumenerģijai, elektroenerģijai, kurināmajam, kā arī autoceļu uzturēšanai un ēdināšanai. Arī sociāla rakstura maksājumi </w:t>
      </w:r>
      <w:r w:rsidR="00DD0F64">
        <w:t xml:space="preserve">2023. gadā </w:t>
      </w:r>
      <w:r w:rsidR="008D34B7">
        <w:t>prognozēti augstāk</w:t>
      </w:r>
      <w:r w:rsidR="00DD0F64">
        <w:t>i salīdzinājumā ar 2022. gadu</w:t>
      </w:r>
      <w:r w:rsidR="008D34B7">
        <w:t>, izdevumiem pieaugot mājokļa pabalstiem un garantētā minimālā ienākuma pabalstu izmaksām</w:t>
      </w:r>
      <w:r w:rsidR="00DD0F64">
        <w:t xml:space="preserve">. </w:t>
      </w:r>
      <w:r w:rsidR="00B83965">
        <w:t>Augstais s</w:t>
      </w:r>
      <w:r w:rsidR="00DD0F64">
        <w:t xml:space="preserve">ociālā atbalsta izdevumu līmenis </w:t>
      </w:r>
      <w:r w:rsidR="00B83965">
        <w:t>2022.-2023. gadā ir saistīts</w:t>
      </w:r>
      <w:r w:rsidR="008D34B7">
        <w:t xml:space="preserve"> ar palīdzības sniegšanu Ukrainas civiliedzīvotājiem </w:t>
      </w:r>
      <w:r w:rsidR="0063523F">
        <w:t>–</w:t>
      </w:r>
      <w:r w:rsidR="008D34B7">
        <w:t xml:space="preserve"> izmitināšanas un ēdināšanas pakalpojumiem, nepilngadīgo izglītības nodrošināšanai, sociālā atbalsta pasākumiem.</w:t>
      </w:r>
      <w:r w:rsidR="00B83965">
        <w:t xml:space="preserve"> Šobrīd vidēja termiņa prognozēs nav iekļauts atbalsts Ukrainas civiliedzīvotājiem, tāpēc turpmākajos gados tiek prognozēta šo izdevumu pakāpeniska samazināšanās. Neliels s</w:t>
      </w:r>
      <w:r w:rsidR="008D34B7">
        <w:t>amazinājums 2023.</w:t>
      </w:r>
      <w:r w:rsidR="00B83965">
        <w:t> </w:t>
      </w:r>
      <w:r w:rsidR="008D34B7">
        <w:t xml:space="preserve">gadā </w:t>
      </w:r>
      <w:r w:rsidR="00B83965">
        <w:t xml:space="preserve">salīdzinājumā ar 2022. gadu tiek </w:t>
      </w:r>
      <w:r w:rsidR="008D34B7">
        <w:t xml:space="preserve">prognozēts kapitālajos izdevumos, kas </w:t>
      </w:r>
      <w:r w:rsidR="0063523F">
        <w:t xml:space="preserve">saistāms ar investīciju samazināšanos pēc Covid laikā papildus piešķirtā finansējuma augstas gatavības projektiem, savukārt </w:t>
      </w:r>
      <w:r w:rsidR="00931115">
        <w:t>vidējā termiņā</w:t>
      </w:r>
      <w:r w:rsidR="0063523F">
        <w:t xml:space="preserve"> tiek prognozēts kapitālo izdevumu pieaugums, it īpaši ES fondu projektiem jaunā perioda ietvaros 2025.-2026.gadā pēc samazinājuma 2024. gadā, iepriekšējam plānošanas periodam noslēdzoties.</w:t>
      </w:r>
    </w:p>
    <w:p w14:paraId="3050B4FD" w14:textId="610A03EE" w:rsidR="003B1933" w:rsidRPr="00BD1200" w:rsidRDefault="006A7261" w:rsidP="00931115">
      <w:pPr>
        <w:pStyle w:val="Heading1"/>
        <w:ind w:left="360"/>
        <w:rPr>
          <w:sz w:val="28"/>
          <w:szCs w:val="28"/>
        </w:rPr>
      </w:pPr>
      <w:r>
        <w:rPr>
          <w:sz w:val="28"/>
          <w:szCs w:val="28"/>
        </w:rPr>
        <w:br w:type="page"/>
      </w:r>
      <w:bookmarkStart w:id="8" w:name="_Toc142344005"/>
      <w:bookmarkStart w:id="9" w:name="_Toc142344004"/>
      <w:r w:rsidR="003B1933" w:rsidRPr="00E867D9">
        <w:rPr>
          <w:sz w:val="28"/>
          <w:szCs w:val="28"/>
        </w:rPr>
        <w:lastRenderedPageBreak/>
        <w:t>Vispārējās valdības parāda prognoze</w:t>
      </w:r>
      <w:r w:rsidR="003B1933">
        <w:rPr>
          <w:sz w:val="28"/>
          <w:szCs w:val="28"/>
        </w:rPr>
        <w:t xml:space="preserve"> </w:t>
      </w:r>
      <w:r w:rsidR="003B1933" w:rsidRPr="00E867D9">
        <w:rPr>
          <w:sz w:val="28"/>
          <w:szCs w:val="28"/>
        </w:rPr>
        <w:t>202</w:t>
      </w:r>
      <w:r w:rsidR="003B1933">
        <w:rPr>
          <w:sz w:val="28"/>
          <w:szCs w:val="28"/>
        </w:rPr>
        <w:t>4</w:t>
      </w:r>
      <w:r w:rsidR="003B1933" w:rsidRPr="00E867D9">
        <w:rPr>
          <w:sz w:val="28"/>
          <w:szCs w:val="28"/>
        </w:rPr>
        <w:t>.-202</w:t>
      </w:r>
      <w:r w:rsidR="003B1933">
        <w:rPr>
          <w:sz w:val="28"/>
          <w:szCs w:val="28"/>
        </w:rPr>
        <w:t>6</w:t>
      </w:r>
      <w:r w:rsidR="003B1933" w:rsidRPr="00E867D9">
        <w:rPr>
          <w:sz w:val="28"/>
          <w:szCs w:val="28"/>
        </w:rPr>
        <w:t>. gad</w:t>
      </w:r>
      <w:r w:rsidR="003B1933">
        <w:rPr>
          <w:sz w:val="28"/>
          <w:szCs w:val="28"/>
        </w:rPr>
        <w:t>am</w:t>
      </w:r>
      <w:bookmarkEnd w:id="8"/>
    </w:p>
    <w:p w14:paraId="233C25CE" w14:textId="77777777" w:rsidR="003B1933" w:rsidRPr="004773A0" w:rsidRDefault="003B1933" w:rsidP="003B1933">
      <w:pPr>
        <w:rPr>
          <w:rFonts w:eastAsia="Calibri" w:cs="Times New Roman"/>
          <w:color w:val="000000"/>
          <w:szCs w:val="24"/>
        </w:rPr>
      </w:pPr>
      <w:r w:rsidRPr="004773A0">
        <w:rPr>
          <w:rFonts w:eastAsia="Calibri" w:cs="Times New Roman"/>
          <w:color w:val="000000"/>
          <w:szCs w:val="24"/>
        </w:rPr>
        <w:t xml:space="preserve">Vispārējās valdības parāda prognoze sagatavota, ņemot vērā Finanšu ministrijas aktualizētās valsts budžeta finansiālās bilances prognozes pie nemainīgas valdības politikas, kā arī aktualizētas iekšzemes kopprodukta (IKP) faktiskajās cenās prognozes. </w:t>
      </w:r>
    </w:p>
    <w:p w14:paraId="558305C9" w14:textId="77777777" w:rsidR="003B1933" w:rsidRPr="004773A0" w:rsidRDefault="003B1933" w:rsidP="003B1933">
      <w:pPr>
        <w:rPr>
          <w:rFonts w:eastAsia="Calibri" w:cs="Times New Roman"/>
          <w:color w:val="000000"/>
          <w:szCs w:val="24"/>
        </w:rPr>
      </w:pPr>
      <w:r w:rsidRPr="004773A0">
        <w:rPr>
          <w:rFonts w:eastAsia="Calibri" w:cs="Times New Roman"/>
          <w:color w:val="000000"/>
          <w:szCs w:val="24"/>
        </w:rPr>
        <w:t>Vispārējās valdības parāda prognoze 2023.</w:t>
      </w:r>
      <w:r>
        <w:rPr>
          <w:rFonts w:eastAsia="Calibri" w:cs="Times New Roman"/>
          <w:color w:val="000000"/>
          <w:szCs w:val="24"/>
        </w:rPr>
        <w:t> </w:t>
      </w:r>
      <w:r w:rsidRPr="004773A0">
        <w:rPr>
          <w:rFonts w:eastAsia="Calibri" w:cs="Times New Roman"/>
          <w:color w:val="000000"/>
          <w:szCs w:val="24"/>
        </w:rPr>
        <w:t>gadam ir bez būtiskām izmaiņām, savukārt, 2024.-2026.gadam ir ar nelielu pieaugumu, salīdzinot ar 2023.-2026.gada Stabilitātes programmas progno</w:t>
      </w:r>
      <w:r w:rsidRPr="00393292">
        <w:rPr>
          <w:rFonts w:eastAsia="Calibri" w:cs="Times New Roman"/>
          <w:color w:val="000000"/>
          <w:szCs w:val="24"/>
        </w:rPr>
        <w:t>zi (skat. 5. tabulu).</w:t>
      </w:r>
      <w:r w:rsidRPr="004773A0">
        <w:rPr>
          <w:rFonts w:eastAsia="Calibri" w:cs="Times New Roman"/>
          <w:color w:val="000000"/>
          <w:szCs w:val="24"/>
        </w:rPr>
        <w:t xml:space="preserve"> </w:t>
      </w:r>
    </w:p>
    <w:p w14:paraId="1E81C178" w14:textId="6ED45F08" w:rsidR="003B1933" w:rsidRPr="004773A0" w:rsidRDefault="003B1933" w:rsidP="003B1933">
      <w:pPr>
        <w:ind w:left="720" w:hanging="720"/>
        <w:jc w:val="center"/>
        <w:rPr>
          <w:rFonts w:eastAsia="Calibri" w:cs="Times New Roman"/>
          <w:b/>
          <w:bCs/>
          <w:szCs w:val="24"/>
        </w:rPr>
      </w:pPr>
      <w:r>
        <w:rPr>
          <w:rFonts w:eastAsia="Calibri" w:cs="Times New Roman"/>
          <w:b/>
          <w:bCs/>
          <w:szCs w:val="24"/>
        </w:rPr>
        <w:t>5</w:t>
      </w:r>
      <w:r w:rsidRPr="00393292">
        <w:rPr>
          <w:rFonts w:eastAsia="Calibri" w:cs="Times New Roman"/>
          <w:b/>
          <w:bCs/>
          <w:szCs w:val="24"/>
        </w:rPr>
        <w:t>. tabula. Vispārējās</w:t>
      </w:r>
      <w:r w:rsidRPr="004773A0">
        <w:rPr>
          <w:rFonts w:eastAsia="Calibri" w:cs="Times New Roman"/>
          <w:b/>
          <w:bCs/>
          <w:szCs w:val="24"/>
        </w:rPr>
        <w:t xml:space="preserve"> valdības parāda prognožu salīdzinājums</w:t>
      </w:r>
      <w:r>
        <w:rPr>
          <w:rFonts w:eastAsia="Calibri" w:cs="Times New Roman"/>
          <w:b/>
          <w:bCs/>
          <w:szCs w:val="24"/>
        </w:rPr>
        <w:t xml:space="preserve">, % no IKP </w:t>
      </w:r>
    </w:p>
    <w:tbl>
      <w:tblPr>
        <w:tblW w:w="9067" w:type="dxa"/>
        <w:tblLook w:val="04A0" w:firstRow="1" w:lastRow="0" w:firstColumn="1" w:lastColumn="0" w:noHBand="0" w:noVBand="1"/>
      </w:tblPr>
      <w:tblGrid>
        <w:gridCol w:w="3749"/>
        <w:gridCol w:w="924"/>
        <w:gridCol w:w="1001"/>
        <w:gridCol w:w="1125"/>
        <w:gridCol w:w="1134"/>
        <w:gridCol w:w="1134"/>
      </w:tblGrid>
      <w:tr w:rsidR="003B1933" w:rsidRPr="004773A0" w14:paraId="41A5D06F" w14:textId="77777777" w:rsidTr="00EA6E0B">
        <w:trPr>
          <w:trHeight w:val="300"/>
        </w:trPr>
        <w:tc>
          <w:tcPr>
            <w:tcW w:w="3749" w:type="dxa"/>
            <w:vMerge w:val="restart"/>
            <w:tcBorders>
              <w:top w:val="single" w:sz="4" w:space="0" w:color="auto"/>
              <w:left w:val="single" w:sz="4" w:space="0" w:color="auto"/>
              <w:bottom w:val="single" w:sz="4" w:space="0" w:color="000000"/>
              <w:right w:val="single" w:sz="4" w:space="0" w:color="auto"/>
            </w:tcBorders>
            <w:noWrap/>
            <w:vAlign w:val="center"/>
            <w:hideMark/>
          </w:tcPr>
          <w:p w14:paraId="72E7DD13" w14:textId="77777777" w:rsidR="003B1933" w:rsidRPr="009157CD" w:rsidRDefault="003B1933" w:rsidP="00EA6E0B">
            <w:pPr>
              <w:spacing w:before="0" w:after="0"/>
              <w:ind w:firstLine="0"/>
              <w:jc w:val="center"/>
              <w:rPr>
                <w:rFonts w:eastAsia="Times New Roman" w:cs="Times New Roman"/>
                <w:sz w:val="22"/>
                <w:lang w:eastAsia="lv-LV"/>
              </w:rPr>
            </w:pPr>
          </w:p>
        </w:tc>
        <w:tc>
          <w:tcPr>
            <w:tcW w:w="924" w:type="dxa"/>
            <w:tcBorders>
              <w:top w:val="single" w:sz="4" w:space="0" w:color="auto"/>
              <w:left w:val="nil"/>
              <w:bottom w:val="single" w:sz="4" w:space="0" w:color="auto"/>
              <w:right w:val="single" w:sz="4" w:space="0" w:color="auto"/>
            </w:tcBorders>
            <w:noWrap/>
            <w:vAlign w:val="center"/>
            <w:hideMark/>
          </w:tcPr>
          <w:p w14:paraId="441922DB"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b/>
                <w:bCs/>
                <w:sz w:val="22"/>
                <w:lang w:eastAsia="lv-LV"/>
              </w:rPr>
              <w:t>2022</w:t>
            </w:r>
          </w:p>
        </w:tc>
        <w:tc>
          <w:tcPr>
            <w:tcW w:w="1001"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135AF644"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b/>
                <w:bCs/>
                <w:sz w:val="22"/>
                <w:lang w:eastAsia="lv-LV"/>
              </w:rPr>
              <w:t>2023</w:t>
            </w:r>
          </w:p>
        </w:tc>
        <w:tc>
          <w:tcPr>
            <w:tcW w:w="112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23A645DA"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b/>
                <w:bCs/>
                <w:sz w:val="22"/>
                <w:lang w:eastAsia="lv-LV"/>
              </w:rPr>
              <w:t>2024</w:t>
            </w:r>
          </w:p>
        </w:tc>
        <w:tc>
          <w:tcPr>
            <w:tcW w:w="1134"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3CD28A0C"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b/>
                <w:bCs/>
                <w:sz w:val="22"/>
                <w:lang w:eastAsia="lv-LV"/>
              </w:rPr>
              <w:t>2025</w:t>
            </w:r>
          </w:p>
        </w:tc>
        <w:tc>
          <w:tcPr>
            <w:tcW w:w="1134"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7406BDA1"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b/>
                <w:bCs/>
                <w:sz w:val="22"/>
                <w:lang w:eastAsia="lv-LV"/>
              </w:rPr>
              <w:t>2026</w:t>
            </w:r>
          </w:p>
        </w:tc>
      </w:tr>
      <w:tr w:rsidR="003B1933" w:rsidRPr="004773A0" w14:paraId="6B4C36B0" w14:textId="77777777" w:rsidTr="00EA6E0B">
        <w:trPr>
          <w:trHeight w:val="300"/>
        </w:trPr>
        <w:tc>
          <w:tcPr>
            <w:tcW w:w="3749" w:type="dxa"/>
            <w:vMerge/>
            <w:tcBorders>
              <w:top w:val="single" w:sz="4" w:space="0" w:color="auto"/>
              <w:left w:val="single" w:sz="4" w:space="0" w:color="auto"/>
              <w:bottom w:val="single" w:sz="4" w:space="0" w:color="000000"/>
              <w:right w:val="single" w:sz="4" w:space="0" w:color="auto"/>
            </w:tcBorders>
            <w:vAlign w:val="center"/>
            <w:hideMark/>
          </w:tcPr>
          <w:p w14:paraId="113A1169" w14:textId="77777777" w:rsidR="003B1933" w:rsidRPr="009157CD" w:rsidRDefault="003B1933" w:rsidP="00EA6E0B">
            <w:pPr>
              <w:spacing w:before="0" w:after="0"/>
              <w:ind w:firstLine="0"/>
              <w:jc w:val="left"/>
              <w:rPr>
                <w:rFonts w:eastAsia="Times New Roman" w:cs="Times New Roman"/>
                <w:sz w:val="22"/>
                <w:lang w:eastAsia="lv-LV"/>
              </w:rPr>
            </w:pPr>
          </w:p>
        </w:tc>
        <w:tc>
          <w:tcPr>
            <w:tcW w:w="924" w:type="dxa"/>
            <w:tcBorders>
              <w:top w:val="nil"/>
              <w:left w:val="nil"/>
              <w:bottom w:val="single" w:sz="4" w:space="0" w:color="auto"/>
              <w:right w:val="single" w:sz="4" w:space="0" w:color="auto"/>
            </w:tcBorders>
            <w:noWrap/>
            <w:vAlign w:val="center"/>
            <w:hideMark/>
          </w:tcPr>
          <w:p w14:paraId="7BBAAFE0" w14:textId="77777777" w:rsidR="003B1933" w:rsidRPr="009157CD" w:rsidRDefault="003B1933" w:rsidP="00EA6E0B">
            <w:pPr>
              <w:spacing w:before="0" w:after="0"/>
              <w:ind w:firstLine="0"/>
              <w:jc w:val="center"/>
              <w:rPr>
                <w:rFonts w:eastAsia="Times New Roman" w:cs="Times New Roman"/>
                <w:b/>
                <w:bCs/>
                <w:sz w:val="22"/>
                <w:lang w:eastAsia="lv-LV"/>
              </w:rPr>
            </w:pPr>
            <w:r w:rsidRPr="009157CD">
              <w:rPr>
                <w:rFonts w:eastAsia="Times New Roman" w:cs="Times New Roman"/>
                <w:b/>
                <w:bCs/>
                <w:sz w:val="22"/>
                <w:lang w:eastAsia="lv-LV"/>
              </w:rPr>
              <w:t>fakts</w:t>
            </w:r>
          </w:p>
        </w:tc>
        <w:tc>
          <w:tcPr>
            <w:tcW w:w="4394" w:type="dxa"/>
            <w:gridSpan w:val="4"/>
            <w:tcBorders>
              <w:top w:val="nil"/>
              <w:left w:val="nil"/>
              <w:bottom w:val="single" w:sz="4" w:space="0" w:color="auto"/>
              <w:right w:val="single" w:sz="4" w:space="0" w:color="auto"/>
            </w:tcBorders>
            <w:shd w:val="clear" w:color="auto" w:fill="BDD6EE" w:themeFill="accent1" w:themeFillTint="66"/>
            <w:noWrap/>
            <w:vAlign w:val="center"/>
            <w:hideMark/>
          </w:tcPr>
          <w:p w14:paraId="43FA1032" w14:textId="77777777" w:rsidR="003B1933" w:rsidRPr="009157CD" w:rsidRDefault="003B1933" w:rsidP="00EA6E0B">
            <w:pPr>
              <w:spacing w:before="0" w:after="0"/>
              <w:ind w:firstLine="0"/>
              <w:jc w:val="center"/>
              <w:rPr>
                <w:rFonts w:eastAsia="Times New Roman" w:cs="Times New Roman"/>
                <w:b/>
                <w:bCs/>
                <w:sz w:val="22"/>
                <w:lang w:eastAsia="lv-LV"/>
              </w:rPr>
            </w:pPr>
            <w:r w:rsidRPr="009157CD">
              <w:rPr>
                <w:rFonts w:eastAsia="Times New Roman" w:cs="Times New Roman"/>
                <w:b/>
                <w:bCs/>
                <w:sz w:val="22"/>
                <w:lang w:eastAsia="lv-LV"/>
              </w:rPr>
              <w:t>prognoze</w:t>
            </w:r>
          </w:p>
        </w:tc>
      </w:tr>
      <w:tr w:rsidR="003B1933" w:rsidRPr="004773A0" w14:paraId="481B191F" w14:textId="77777777" w:rsidTr="00EA6E0B">
        <w:trPr>
          <w:trHeight w:val="600"/>
        </w:trPr>
        <w:tc>
          <w:tcPr>
            <w:tcW w:w="3749" w:type="dxa"/>
            <w:tcBorders>
              <w:top w:val="nil"/>
              <w:left w:val="single" w:sz="4" w:space="0" w:color="auto"/>
              <w:bottom w:val="single" w:sz="4" w:space="0" w:color="auto"/>
              <w:right w:val="single" w:sz="4" w:space="0" w:color="auto"/>
            </w:tcBorders>
            <w:hideMark/>
          </w:tcPr>
          <w:p w14:paraId="65DAE6AF" w14:textId="77777777" w:rsidR="003B1933" w:rsidRPr="009157CD" w:rsidRDefault="003B1933" w:rsidP="00EA6E0B">
            <w:pPr>
              <w:spacing w:before="0" w:after="0"/>
              <w:ind w:firstLine="0"/>
              <w:jc w:val="left"/>
              <w:rPr>
                <w:rFonts w:eastAsia="Times New Roman" w:cs="Times New Roman"/>
                <w:sz w:val="22"/>
                <w:lang w:eastAsia="lv-LV"/>
              </w:rPr>
            </w:pPr>
            <w:r w:rsidRPr="009157CD">
              <w:rPr>
                <w:rFonts w:eastAsia="Times New Roman" w:cs="Times New Roman"/>
                <w:sz w:val="22"/>
                <w:lang w:eastAsia="lv-LV"/>
              </w:rPr>
              <w:t xml:space="preserve">Stabilitātes programma (2023-2026) </w:t>
            </w:r>
          </w:p>
        </w:tc>
        <w:tc>
          <w:tcPr>
            <w:tcW w:w="924" w:type="dxa"/>
            <w:tcBorders>
              <w:top w:val="nil"/>
              <w:left w:val="nil"/>
              <w:bottom w:val="single" w:sz="4" w:space="0" w:color="auto"/>
              <w:right w:val="single" w:sz="4" w:space="0" w:color="auto"/>
            </w:tcBorders>
            <w:noWrap/>
            <w:hideMark/>
          </w:tcPr>
          <w:p w14:paraId="19D0C562"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sz w:val="22"/>
                <w:lang w:eastAsia="lv-LV"/>
              </w:rPr>
              <w:t>40,8%</w:t>
            </w:r>
          </w:p>
        </w:tc>
        <w:tc>
          <w:tcPr>
            <w:tcW w:w="1001" w:type="dxa"/>
            <w:tcBorders>
              <w:top w:val="nil"/>
              <w:left w:val="nil"/>
              <w:bottom w:val="single" w:sz="4" w:space="0" w:color="auto"/>
              <w:right w:val="single" w:sz="4" w:space="0" w:color="auto"/>
            </w:tcBorders>
            <w:shd w:val="clear" w:color="auto" w:fill="BDD6EE" w:themeFill="accent1" w:themeFillTint="66"/>
            <w:noWrap/>
            <w:hideMark/>
          </w:tcPr>
          <w:p w14:paraId="7930F31A"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sz w:val="22"/>
                <w:lang w:eastAsia="lv-LV"/>
              </w:rPr>
              <w:t>39,6%</w:t>
            </w:r>
          </w:p>
        </w:tc>
        <w:tc>
          <w:tcPr>
            <w:tcW w:w="1125" w:type="dxa"/>
            <w:tcBorders>
              <w:top w:val="nil"/>
              <w:left w:val="nil"/>
              <w:bottom w:val="single" w:sz="4" w:space="0" w:color="auto"/>
              <w:right w:val="single" w:sz="4" w:space="0" w:color="auto"/>
            </w:tcBorders>
            <w:shd w:val="clear" w:color="auto" w:fill="BDD6EE" w:themeFill="accent1" w:themeFillTint="66"/>
            <w:noWrap/>
            <w:hideMark/>
          </w:tcPr>
          <w:p w14:paraId="65EB169E"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sz w:val="22"/>
                <w:lang w:eastAsia="lv-LV"/>
              </w:rPr>
              <w:t>39,7%</w:t>
            </w:r>
          </w:p>
        </w:tc>
        <w:tc>
          <w:tcPr>
            <w:tcW w:w="1134" w:type="dxa"/>
            <w:tcBorders>
              <w:top w:val="nil"/>
              <w:left w:val="nil"/>
              <w:bottom w:val="single" w:sz="4" w:space="0" w:color="auto"/>
              <w:right w:val="single" w:sz="4" w:space="0" w:color="auto"/>
            </w:tcBorders>
            <w:shd w:val="clear" w:color="auto" w:fill="BDD6EE" w:themeFill="accent1" w:themeFillTint="66"/>
            <w:noWrap/>
            <w:hideMark/>
          </w:tcPr>
          <w:p w14:paraId="06CF9414"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sz w:val="22"/>
                <w:lang w:eastAsia="lv-LV"/>
              </w:rPr>
              <w:t>39,8%</w:t>
            </w:r>
          </w:p>
        </w:tc>
        <w:tc>
          <w:tcPr>
            <w:tcW w:w="1134" w:type="dxa"/>
            <w:tcBorders>
              <w:top w:val="nil"/>
              <w:left w:val="nil"/>
              <w:bottom w:val="single" w:sz="4" w:space="0" w:color="auto"/>
              <w:right w:val="single" w:sz="4" w:space="0" w:color="auto"/>
            </w:tcBorders>
            <w:shd w:val="clear" w:color="auto" w:fill="BDD6EE" w:themeFill="accent1" w:themeFillTint="66"/>
            <w:noWrap/>
            <w:hideMark/>
          </w:tcPr>
          <w:p w14:paraId="64706D39"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sz w:val="22"/>
                <w:lang w:eastAsia="lv-LV"/>
              </w:rPr>
              <w:t>38,9%</w:t>
            </w:r>
          </w:p>
        </w:tc>
      </w:tr>
      <w:tr w:rsidR="003B1933" w:rsidRPr="004773A0" w14:paraId="30F38156" w14:textId="77777777" w:rsidTr="00EA6E0B">
        <w:trPr>
          <w:trHeight w:val="300"/>
        </w:trPr>
        <w:tc>
          <w:tcPr>
            <w:tcW w:w="3749" w:type="dxa"/>
            <w:tcBorders>
              <w:top w:val="nil"/>
              <w:left w:val="single" w:sz="4" w:space="0" w:color="auto"/>
              <w:bottom w:val="nil"/>
              <w:right w:val="single" w:sz="4" w:space="0" w:color="auto"/>
            </w:tcBorders>
            <w:noWrap/>
            <w:hideMark/>
          </w:tcPr>
          <w:p w14:paraId="529F85F0" w14:textId="77777777" w:rsidR="003B1933" w:rsidRPr="009157CD" w:rsidRDefault="003B1933" w:rsidP="00EA6E0B">
            <w:pPr>
              <w:spacing w:before="0" w:after="0"/>
              <w:ind w:firstLine="0"/>
              <w:jc w:val="left"/>
              <w:rPr>
                <w:rFonts w:eastAsia="Times New Roman" w:cs="Times New Roman"/>
                <w:sz w:val="22"/>
                <w:lang w:eastAsia="lv-LV"/>
              </w:rPr>
            </w:pPr>
            <w:r w:rsidRPr="009157CD">
              <w:rPr>
                <w:rFonts w:eastAsia="Times New Roman" w:cs="Times New Roman"/>
                <w:sz w:val="22"/>
                <w:lang w:eastAsia="lv-LV"/>
              </w:rPr>
              <w:t>Aktuālais bāzes scenārijs</w:t>
            </w:r>
          </w:p>
        </w:tc>
        <w:tc>
          <w:tcPr>
            <w:tcW w:w="924" w:type="dxa"/>
            <w:tcBorders>
              <w:top w:val="nil"/>
              <w:left w:val="nil"/>
              <w:bottom w:val="nil"/>
              <w:right w:val="single" w:sz="4" w:space="0" w:color="auto"/>
            </w:tcBorders>
            <w:noWrap/>
            <w:hideMark/>
          </w:tcPr>
          <w:p w14:paraId="4CE2338F"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sz w:val="22"/>
                <w:lang w:eastAsia="lv-LV"/>
              </w:rPr>
              <w:t>40,8%</w:t>
            </w:r>
          </w:p>
        </w:tc>
        <w:tc>
          <w:tcPr>
            <w:tcW w:w="1001" w:type="dxa"/>
            <w:tcBorders>
              <w:top w:val="nil"/>
              <w:left w:val="nil"/>
              <w:bottom w:val="nil"/>
              <w:right w:val="single" w:sz="4" w:space="0" w:color="auto"/>
            </w:tcBorders>
            <w:shd w:val="clear" w:color="auto" w:fill="BDD6EE" w:themeFill="accent1" w:themeFillTint="66"/>
            <w:noWrap/>
            <w:hideMark/>
          </w:tcPr>
          <w:p w14:paraId="1CE0D9F4"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sz w:val="22"/>
                <w:lang w:eastAsia="lv-LV"/>
              </w:rPr>
              <w:t>39,7%</w:t>
            </w:r>
          </w:p>
        </w:tc>
        <w:tc>
          <w:tcPr>
            <w:tcW w:w="1125" w:type="dxa"/>
            <w:tcBorders>
              <w:top w:val="nil"/>
              <w:left w:val="nil"/>
              <w:bottom w:val="nil"/>
              <w:right w:val="single" w:sz="4" w:space="0" w:color="auto"/>
            </w:tcBorders>
            <w:shd w:val="clear" w:color="auto" w:fill="BDD6EE" w:themeFill="accent1" w:themeFillTint="66"/>
            <w:noWrap/>
            <w:hideMark/>
          </w:tcPr>
          <w:p w14:paraId="791639C8"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sz w:val="22"/>
                <w:lang w:eastAsia="lv-LV"/>
              </w:rPr>
              <w:t>40,5%</w:t>
            </w:r>
          </w:p>
        </w:tc>
        <w:tc>
          <w:tcPr>
            <w:tcW w:w="1134" w:type="dxa"/>
            <w:tcBorders>
              <w:top w:val="nil"/>
              <w:left w:val="nil"/>
              <w:bottom w:val="nil"/>
              <w:right w:val="single" w:sz="4" w:space="0" w:color="auto"/>
            </w:tcBorders>
            <w:shd w:val="clear" w:color="auto" w:fill="BDD6EE" w:themeFill="accent1" w:themeFillTint="66"/>
            <w:noWrap/>
            <w:hideMark/>
          </w:tcPr>
          <w:p w14:paraId="64B3AD2F"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sz w:val="22"/>
                <w:lang w:eastAsia="lv-LV"/>
              </w:rPr>
              <w:t>40,2%</w:t>
            </w:r>
          </w:p>
        </w:tc>
        <w:tc>
          <w:tcPr>
            <w:tcW w:w="1134" w:type="dxa"/>
            <w:tcBorders>
              <w:top w:val="nil"/>
              <w:left w:val="nil"/>
              <w:bottom w:val="nil"/>
              <w:right w:val="single" w:sz="4" w:space="0" w:color="auto"/>
            </w:tcBorders>
            <w:shd w:val="clear" w:color="auto" w:fill="BDD6EE" w:themeFill="accent1" w:themeFillTint="66"/>
            <w:noWrap/>
            <w:hideMark/>
          </w:tcPr>
          <w:p w14:paraId="5C07C3E8" w14:textId="77777777" w:rsidR="003B1933" w:rsidRPr="009157CD" w:rsidRDefault="003B1933" w:rsidP="00EA6E0B">
            <w:pPr>
              <w:spacing w:before="0" w:after="0"/>
              <w:ind w:firstLine="0"/>
              <w:jc w:val="center"/>
              <w:rPr>
                <w:rFonts w:eastAsia="Times New Roman" w:cs="Times New Roman"/>
                <w:sz w:val="22"/>
                <w:lang w:eastAsia="lv-LV"/>
              </w:rPr>
            </w:pPr>
            <w:r w:rsidRPr="009157CD">
              <w:rPr>
                <w:rFonts w:eastAsia="Times New Roman" w:cs="Times New Roman"/>
                <w:sz w:val="22"/>
                <w:lang w:eastAsia="lv-LV"/>
              </w:rPr>
              <w:t>39,1%</w:t>
            </w:r>
          </w:p>
        </w:tc>
      </w:tr>
      <w:tr w:rsidR="003B1933" w:rsidRPr="004773A0" w14:paraId="5088746A" w14:textId="77777777" w:rsidTr="00EA6E0B">
        <w:trPr>
          <w:trHeight w:val="297"/>
        </w:trPr>
        <w:tc>
          <w:tcPr>
            <w:tcW w:w="3749" w:type="dxa"/>
            <w:tcBorders>
              <w:top w:val="nil"/>
              <w:left w:val="single" w:sz="4" w:space="0" w:color="auto"/>
              <w:bottom w:val="single" w:sz="4" w:space="0" w:color="auto"/>
              <w:right w:val="single" w:sz="4" w:space="0" w:color="auto"/>
            </w:tcBorders>
            <w:noWrap/>
            <w:hideMark/>
          </w:tcPr>
          <w:p w14:paraId="08B582DB" w14:textId="77777777" w:rsidR="003B1933" w:rsidRPr="009157CD" w:rsidRDefault="003B1933" w:rsidP="00EA6E0B">
            <w:pPr>
              <w:spacing w:before="0" w:after="0"/>
              <w:ind w:firstLine="0"/>
              <w:jc w:val="right"/>
              <w:rPr>
                <w:rFonts w:eastAsia="Times New Roman" w:cs="Times New Roman"/>
                <w:i/>
                <w:iCs/>
                <w:sz w:val="22"/>
                <w:lang w:eastAsia="lv-LV"/>
              </w:rPr>
            </w:pPr>
            <w:r w:rsidRPr="009157CD">
              <w:rPr>
                <w:rFonts w:eastAsia="Times New Roman" w:cs="Times New Roman"/>
                <w:i/>
                <w:iCs/>
                <w:sz w:val="22"/>
                <w:lang w:eastAsia="lv-LV"/>
              </w:rPr>
              <w:t>samazinājums (-)/pieaugums (+)*</w:t>
            </w:r>
          </w:p>
        </w:tc>
        <w:tc>
          <w:tcPr>
            <w:tcW w:w="924" w:type="dxa"/>
            <w:tcBorders>
              <w:top w:val="nil"/>
              <w:left w:val="nil"/>
              <w:bottom w:val="single" w:sz="4" w:space="0" w:color="auto"/>
              <w:right w:val="single" w:sz="4" w:space="0" w:color="auto"/>
            </w:tcBorders>
            <w:noWrap/>
            <w:hideMark/>
          </w:tcPr>
          <w:p w14:paraId="3669D165" w14:textId="77777777" w:rsidR="003B1933" w:rsidRPr="009157CD" w:rsidRDefault="003B1933" w:rsidP="00EA6E0B">
            <w:pPr>
              <w:spacing w:before="0" w:after="0"/>
              <w:ind w:firstLine="0"/>
              <w:jc w:val="center"/>
              <w:rPr>
                <w:rFonts w:eastAsia="Times New Roman" w:cs="Times New Roman"/>
                <w:i/>
                <w:iCs/>
                <w:sz w:val="22"/>
                <w:lang w:eastAsia="lv-LV"/>
              </w:rPr>
            </w:pPr>
          </w:p>
        </w:tc>
        <w:tc>
          <w:tcPr>
            <w:tcW w:w="1001" w:type="dxa"/>
            <w:tcBorders>
              <w:top w:val="nil"/>
              <w:left w:val="nil"/>
              <w:bottom w:val="single" w:sz="4" w:space="0" w:color="auto"/>
              <w:right w:val="single" w:sz="4" w:space="0" w:color="auto"/>
            </w:tcBorders>
            <w:shd w:val="clear" w:color="auto" w:fill="BDD6EE" w:themeFill="accent1" w:themeFillTint="66"/>
            <w:noWrap/>
            <w:hideMark/>
          </w:tcPr>
          <w:p w14:paraId="1492CE42" w14:textId="77777777" w:rsidR="003B1933" w:rsidRPr="009157CD" w:rsidRDefault="003B1933" w:rsidP="00EA6E0B">
            <w:pPr>
              <w:spacing w:before="0" w:after="0"/>
              <w:ind w:firstLine="0"/>
              <w:jc w:val="center"/>
              <w:rPr>
                <w:rFonts w:eastAsia="Times New Roman" w:cs="Times New Roman"/>
                <w:i/>
                <w:iCs/>
                <w:sz w:val="22"/>
                <w:lang w:eastAsia="lv-LV"/>
              </w:rPr>
            </w:pPr>
            <w:r w:rsidRPr="009157CD">
              <w:rPr>
                <w:rFonts w:eastAsia="Times New Roman" w:cs="Times New Roman"/>
                <w:i/>
                <w:iCs/>
                <w:sz w:val="22"/>
                <w:lang w:eastAsia="lv-LV"/>
              </w:rPr>
              <w:t>0,1%</w:t>
            </w:r>
          </w:p>
        </w:tc>
        <w:tc>
          <w:tcPr>
            <w:tcW w:w="1125" w:type="dxa"/>
            <w:tcBorders>
              <w:top w:val="nil"/>
              <w:left w:val="nil"/>
              <w:bottom w:val="single" w:sz="4" w:space="0" w:color="auto"/>
              <w:right w:val="single" w:sz="4" w:space="0" w:color="auto"/>
            </w:tcBorders>
            <w:shd w:val="clear" w:color="auto" w:fill="BDD6EE" w:themeFill="accent1" w:themeFillTint="66"/>
            <w:noWrap/>
            <w:hideMark/>
          </w:tcPr>
          <w:p w14:paraId="5EFF8727" w14:textId="77777777" w:rsidR="003B1933" w:rsidRPr="009157CD" w:rsidRDefault="003B1933" w:rsidP="00EA6E0B">
            <w:pPr>
              <w:spacing w:before="0" w:after="0"/>
              <w:ind w:firstLine="0"/>
              <w:jc w:val="center"/>
              <w:rPr>
                <w:rFonts w:eastAsia="Times New Roman" w:cs="Times New Roman"/>
                <w:i/>
                <w:iCs/>
                <w:sz w:val="22"/>
                <w:lang w:eastAsia="lv-LV"/>
              </w:rPr>
            </w:pPr>
            <w:r w:rsidRPr="009157CD">
              <w:rPr>
                <w:rFonts w:eastAsia="Times New Roman" w:cs="Times New Roman"/>
                <w:i/>
                <w:iCs/>
                <w:sz w:val="22"/>
                <w:lang w:eastAsia="lv-LV"/>
              </w:rPr>
              <w:t>0,7%</w:t>
            </w:r>
          </w:p>
        </w:tc>
        <w:tc>
          <w:tcPr>
            <w:tcW w:w="1134" w:type="dxa"/>
            <w:tcBorders>
              <w:top w:val="nil"/>
              <w:left w:val="nil"/>
              <w:bottom w:val="single" w:sz="4" w:space="0" w:color="auto"/>
              <w:right w:val="single" w:sz="4" w:space="0" w:color="auto"/>
            </w:tcBorders>
            <w:shd w:val="clear" w:color="auto" w:fill="BDD6EE" w:themeFill="accent1" w:themeFillTint="66"/>
            <w:noWrap/>
            <w:hideMark/>
          </w:tcPr>
          <w:p w14:paraId="0BF0C075" w14:textId="77777777" w:rsidR="003B1933" w:rsidRPr="009157CD" w:rsidRDefault="003B1933" w:rsidP="00EA6E0B">
            <w:pPr>
              <w:spacing w:before="0" w:after="0"/>
              <w:ind w:firstLine="0"/>
              <w:jc w:val="center"/>
              <w:rPr>
                <w:rFonts w:eastAsia="Times New Roman" w:cs="Times New Roman"/>
                <w:i/>
                <w:iCs/>
                <w:sz w:val="22"/>
                <w:lang w:eastAsia="lv-LV"/>
              </w:rPr>
            </w:pPr>
            <w:r w:rsidRPr="009157CD">
              <w:rPr>
                <w:rFonts w:eastAsia="Times New Roman" w:cs="Times New Roman"/>
                <w:i/>
                <w:iCs/>
                <w:sz w:val="22"/>
                <w:lang w:eastAsia="lv-LV"/>
              </w:rPr>
              <w:t>0,4%</w:t>
            </w:r>
          </w:p>
        </w:tc>
        <w:tc>
          <w:tcPr>
            <w:tcW w:w="1134" w:type="dxa"/>
            <w:tcBorders>
              <w:top w:val="nil"/>
              <w:left w:val="nil"/>
              <w:bottom w:val="single" w:sz="4" w:space="0" w:color="auto"/>
              <w:right w:val="single" w:sz="4" w:space="0" w:color="auto"/>
            </w:tcBorders>
            <w:shd w:val="clear" w:color="auto" w:fill="BDD6EE" w:themeFill="accent1" w:themeFillTint="66"/>
            <w:noWrap/>
            <w:hideMark/>
          </w:tcPr>
          <w:p w14:paraId="2E140173" w14:textId="77777777" w:rsidR="003B1933" w:rsidRPr="009157CD" w:rsidRDefault="003B1933" w:rsidP="00EA6E0B">
            <w:pPr>
              <w:spacing w:before="0" w:after="0"/>
              <w:ind w:firstLine="0"/>
              <w:jc w:val="center"/>
              <w:rPr>
                <w:rFonts w:eastAsia="Times New Roman" w:cs="Times New Roman"/>
                <w:i/>
                <w:iCs/>
                <w:sz w:val="22"/>
                <w:lang w:eastAsia="lv-LV"/>
              </w:rPr>
            </w:pPr>
            <w:r w:rsidRPr="009157CD">
              <w:rPr>
                <w:rFonts w:eastAsia="Times New Roman" w:cs="Times New Roman"/>
                <w:i/>
                <w:iCs/>
                <w:sz w:val="22"/>
                <w:lang w:eastAsia="lv-LV"/>
              </w:rPr>
              <w:t>0,2%</w:t>
            </w:r>
          </w:p>
        </w:tc>
      </w:tr>
    </w:tbl>
    <w:p w14:paraId="1DE6E5F8" w14:textId="77777777" w:rsidR="003B1933" w:rsidRPr="005345AD" w:rsidRDefault="003B1933" w:rsidP="003B1933">
      <w:pPr>
        <w:spacing w:before="0"/>
        <w:ind w:firstLine="0"/>
        <w:rPr>
          <w:rFonts w:eastAsia="Calibri" w:cs="Times New Roman"/>
          <w:iCs/>
          <w:sz w:val="16"/>
          <w:szCs w:val="16"/>
        </w:rPr>
      </w:pPr>
      <w:r w:rsidRPr="005345AD">
        <w:rPr>
          <w:rFonts w:eastAsia="Calibri" w:cs="Times New Roman"/>
          <w:iCs/>
          <w:sz w:val="16"/>
          <w:szCs w:val="16"/>
        </w:rPr>
        <w:t xml:space="preserve">* salīdzinot ar Stabilitātes programmas 2023.-2026.gadam prognozi </w:t>
      </w:r>
    </w:p>
    <w:p w14:paraId="3E111E4E" w14:textId="77777777" w:rsidR="003B1933" w:rsidRPr="004773A0" w:rsidRDefault="003B1933" w:rsidP="003B1933">
      <w:pPr>
        <w:rPr>
          <w:rFonts w:eastAsia="Calibri" w:cs="Times New Roman"/>
          <w:color w:val="000000"/>
          <w:szCs w:val="24"/>
        </w:rPr>
      </w:pPr>
      <w:r w:rsidRPr="004773A0">
        <w:rPr>
          <w:rFonts w:eastAsia="Calibri" w:cs="Times New Roman"/>
          <w:color w:val="000000"/>
          <w:szCs w:val="24"/>
        </w:rPr>
        <w:t>Izmaiņas noteica galvenokārt lielāks prognozētais valsts budžeta deficīts 2024.</w:t>
      </w:r>
      <w:r>
        <w:rPr>
          <w:rFonts w:eastAsia="Calibri" w:cs="Times New Roman"/>
          <w:color w:val="000000"/>
          <w:szCs w:val="24"/>
        </w:rPr>
        <w:t> </w:t>
      </w:r>
      <w:r w:rsidRPr="004773A0">
        <w:rPr>
          <w:rFonts w:eastAsia="Calibri" w:cs="Times New Roman"/>
          <w:color w:val="000000"/>
          <w:szCs w:val="24"/>
        </w:rPr>
        <w:t>gadā, sagaidot apjomīgus izdevumus ES fondu ietvaros nākamajā gadā, kā rezultātā tika pārskatīti aizņemšanās apjomi 2024.</w:t>
      </w:r>
      <w:r>
        <w:rPr>
          <w:rFonts w:eastAsia="Calibri" w:cs="Times New Roman"/>
          <w:color w:val="000000"/>
          <w:szCs w:val="24"/>
        </w:rPr>
        <w:t> </w:t>
      </w:r>
      <w:r w:rsidRPr="004773A0">
        <w:rPr>
          <w:rFonts w:eastAsia="Calibri" w:cs="Times New Roman"/>
          <w:color w:val="000000"/>
          <w:szCs w:val="24"/>
        </w:rPr>
        <w:t xml:space="preserve">gadam. Izmaiņas ietekmēja arī aktualizētās IKP prognozes, atbilstoši kurām </w:t>
      </w:r>
      <w:r>
        <w:rPr>
          <w:rFonts w:eastAsia="Calibri" w:cs="Times New Roman"/>
          <w:color w:val="000000"/>
          <w:szCs w:val="24"/>
        </w:rPr>
        <w:t xml:space="preserve">nominālais </w:t>
      </w:r>
      <w:r w:rsidRPr="004773A0">
        <w:rPr>
          <w:rFonts w:eastAsia="Calibri" w:cs="Times New Roman"/>
          <w:color w:val="000000"/>
          <w:szCs w:val="24"/>
        </w:rPr>
        <w:t xml:space="preserve">IKP </w:t>
      </w:r>
      <w:r>
        <w:rPr>
          <w:rFonts w:eastAsia="Calibri" w:cs="Times New Roman"/>
          <w:color w:val="000000"/>
          <w:szCs w:val="24"/>
        </w:rPr>
        <w:t xml:space="preserve">apjoms </w:t>
      </w:r>
      <w:r w:rsidRPr="004773A0">
        <w:rPr>
          <w:rFonts w:eastAsia="Calibri" w:cs="Times New Roman"/>
          <w:color w:val="000000"/>
          <w:szCs w:val="24"/>
        </w:rPr>
        <w:t>2023.-2025.</w:t>
      </w:r>
      <w:r>
        <w:rPr>
          <w:rFonts w:eastAsia="Calibri" w:cs="Times New Roman"/>
          <w:color w:val="000000"/>
          <w:szCs w:val="24"/>
        </w:rPr>
        <w:t> </w:t>
      </w:r>
      <w:r w:rsidRPr="004773A0">
        <w:rPr>
          <w:rFonts w:eastAsia="Calibri" w:cs="Times New Roman"/>
          <w:color w:val="000000"/>
          <w:szCs w:val="24"/>
        </w:rPr>
        <w:t>gadā ir mazāk</w:t>
      </w:r>
      <w:r>
        <w:rPr>
          <w:rFonts w:eastAsia="Calibri" w:cs="Times New Roman"/>
          <w:color w:val="000000"/>
          <w:szCs w:val="24"/>
        </w:rPr>
        <w:t>s</w:t>
      </w:r>
      <w:r w:rsidRPr="004773A0">
        <w:rPr>
          <w:rFonts w:eastAsia="Calibri" w:cs="Times New Roman"/>
          <w:color w:val="000000"/>
          <w:szCs w:val="24"/>
        </w:rPr>
        <w:t>, salīdzinot ar Stabilitātes programmas prognozi 2023.-2026.</w:t>
      </w:r>
      <w:r>
        <w:rPr>
          <w:rFonts w:eastAsia="Calibri" w:cs="Times New Roman"/>
          <w:color w:val="000000"/>
          <w:szCs w:val="24"/>
        </w:rPr>
        <w:t> </w:t>
      </w:r>
      <w:r w:rsidRPr="004773A0">
        <w:rPr>
          <w:rFonts w:eastAsia="Calibri" w:cs="Times New Roman"/>
          <w:color w:val="000000"/>
          <w:szCs w:val="24"/>
        </w:rPr>
        <w:t>gadam, kas tādējādi ietekmēja vispārējās valdības parāda līmeņu nelielu palielināšanos attiecībā pret IKP vidējā termiņā.</w:t>
      </w:r>
    </w:p>
    <w:p w14:paraId="31C46D8E" w14:textId="77777777" w:rsidR="003B1933" w:rsidRPr="004773A0" w:rsidRDefault="003B1933" w:rsidP="003B1933">
      <w:pPr>
        <w:rPr>
          <w:rFonts w:eastAsia="Calibri" w:cs="Times New Roman"/>
          <w:color w:val="000000"/>
          <w:szCs w:val="24"/>
        </w:rPr>
      </w:pPr>
      <w:r w:rsidRPr="004773A0">
        <w:rPr>
          <w:rFonts w:eastAsia="Calibri" w:cs="Times New Roman"/>
          <w:color w:val="000000"/>
          <w:szCs w:val="24"/>
        </w:rPr>
        <w:t>Atbilstoši aktuālajam novērtējumam sagaidāms, ka vispārējās valdības parāda līmenis stabilizēsies ap 40% no IKP ar nelielu samazināšanās tendenci, sākot ar 2025.</w:t>
      </w:r>
      <w:r>
        <w:rPr>
          <w:rFonts w:eastAsia="Calibri" w:cs="Times New Roman"/>
          <w:color w:val="000000"/>
          <w:szCs w:val="24"/>
        </w:rPr>
        <w:t> </w:t>
      </w:r>
      <w:r w:rsidRPr="004773A0">
        <w:rPr>
          <w:rFonts w:eastAsia="Calibri" w:cs="Times New Roman"/>
          <w:color w:val="000000"/>
          <w:szCs w:val="24"/>
        </w:rPr>
        <w:t>gadu, un</w:t>
      </w:r>
      <w:r w:rsidRPr="004773A0">
        <w:rPr>
          <w:rFonts w:eastAsia="Calibri" w:cs="Times New Roman"/>
          <w:szCs w:val="24"/>
        </w:rPr>
        <w:t xml:space="preserve"> </w:t>
      </w:r>
      <w:r w:rsidRPr="004773A0">
        <w:rPr>
          <w:rFonts w:eastAsia="Calibri" w:cs="Times New Roman"/>
          <w:color w:val="000000"/>
          <w:szCs w:val="24"/>
        </w:rPr>
        <w:t xml:space="preserve">Fiskālās disciplīnas likumā noteiktais parāda nosacījums (60% no IKP) </w:t>
      </w:r>
      <w:r w:rsidRPr="004773A0">
        <w:rPr>
          <w:rFonts w:eastAsia="Calibri" w:cs="Times New Roman"/>
          <w:szCs w:val="24"/>
        </w:rPr>
        <w:t>vidējā termiņā</w:t>
      </w:r>
      <w:r w:rsidRPr="004773A0">
        <w:rPr>
          <w:rFonts w:eastAsia="Calibri" w:cs="Times New Roman"/>
          <w:color w:val="000000"/>
          <w:szCs w:val="24"/>
        </w:rPr>
        <w:t xml:space="preserve"> tiks ievērots.</w:t>
      </w:r>
    </w:p>
    <w:p w14:paraId="36F88C99" w14:textId="77777777" w:rsidR="003B1933" w:rsidRDefault="003B1933">
      <w:pPr>
        <w:spacing w:before="0" w:after="0"/>
        <w:ind w:firstLine="0"/>
        <w:jc w:val="left"/>
        <w:rPr>
          <w:rFonts w:eastAsiaTheme="majorEastAsia" w:cstheme="majorBidi"/>
          <w:b/>
          <w:sz w:val="28"/>
          <w:szCs w:val="28"/>
        </w:rPr>
      </w:pPr>
      <w:r>
        <w:rPr>
          <w:sz w:val="28"/>
          <w:szCs w:val="28"/>
        </w:rPr>
        <w:br w:type="page"/>
      </w:r>
    </w:p>
    <w:p w14:paraId="1C4C19C3" w14:textId="644E9D61" w:rsidR="00F06325" w:rsidRDefault="00F06325" w:rsidP="00F06325">
      <w:pPr>
        <w:pStyle w:val="Heading1"/>
        <w:ind w:left="360"/>
        <w:rPr>
          <w:sz w:val="28"/>
          <w:szCs w:val="28"/>
        </w:rPr>
      </w:pPr>
      <w:r>
        <w:rPr>
          <w:sz w:val="28"/>
          <w:szCs w:val="28"/>
        </w:rPr>
        <w:lastRenderedPageBreak/>
        <w:t>Makroekonomiskās un fiskālās attīstības pesimistiskais</w:t>
      </w:r>
      <w:r>
        <w:rPr>
          <w:sz w:val="28"/>
          <w:szCs w:val="28"/>
        </w:rPr>
        <w:br/>
        <w:t>un optimistiskais scenārijs</w:t>
      </w:r>
      <w:bookmarkEnd w:id="9"/>
    </w:p>
    <w:p w14:paraId="2E851B18" w14:textId="77777777" w:rsidR="00F06325" w:rsidRPr="00E139B3" w:rsidRDefault="00F06325" w:rsidP="00F06325">
      <w:pPr>
        <w:pStyle w:val="H4"/>
        <w:ind w:left="0" w:firstLine="720"/>
        <w:jc w:val="both"/>
        <w:outlineLvl w:val="9"/>
        <w:rPr>
          <w:rFonts w:ascii="Times New Roman" w:hAnsi="Times New Roman"/>
          <w:iCs/>
          <w:sz w:val="24"/>
          <w:szCs w:val="24"/>
        </w:rPr>
      </w:pPr>
      <w:r>
        <w:rPr>
          <w:rFonts w:ascii="Times New Roman" w:hAnsi="Times New Roman"/>
          <w:iCs/>
          <w:sz w:val="24"/>
          <w:szCs w:val="24"/>
        </w:rPr>
        <w:t xml:space="preserve">Pesimistiskais </w:t>
      </w:r>
      <w:r w:rsidRPr="008021D7">
        <w:rPr>
          <w:rFonts w:ascii="Times New Roman" w:hAnsi="Times New Roman"/>
          <w:iCs/>
          <w:sz w:val="24"/>
          <w:szCs w:val="24"/>
        </w:rPr>
        <w:t>scenārijs</w:t>
      </w:r>
    </w:p>
    <w:p w14:paraId="436D259C" w14:textId="77777777" w:rsidR="00F06325" w:rsidRDefault="00F06325" w:rsidP="00F06325">
      <w:pPr>
        <w:rPr>
          <w:rFonts w:eastAsia="Calibri" w:cs="Times New Roman"/>
        </w:rPr>
      </w:pPr>
      <w:bookmarkStart w:id="10" w:name="_Hlk127201895"/>
      <w:r w:rsidRPr="00FF6D87">
        <w:rPr>
          <w:rFonts w:eastAsia="Calibri" w:cs="Times New Roman"/>
        </w:rPr>
        <w:t xml:space="preserve">Ņemot vērā iespējamos negatīvos riskus ekonomikas izaugsmei, Finanšu ministrija ir izstrādājusi </w:t>
      </w:r>
      <w:r>
        <w:rPr>
          <w:rFonts w:eastAsia="Calibri" w:cs="Times New Roman"/>
        </w:rPr>
        <w:t>alternatīvu</w:t>
      </w:r>
      <w:r w:rsidRPr="00FF6D87">
        <w:rPr>
          <w:rFonts w:eastAsia="Calibri" w:cs="Times New Roman"/>
        </w:rPr>
        <w:t xml:space="preserve"> ekonomikas attīstības scenāriju laika posmam no 202</w:t>
      </w:r>
      <w:r>
        <w:rPr>
          <w:rFonts w:eastAsia="Calibri" w:cs="Times New Roman"/>
        </w:rPr>
        <w:t>3</w:t>
      </w:r>
      <w:r w:rsidRPr="00FF6D87">
        <w:rPr>
          <w:rFonts w:eastAsia="Calibri" w:cs="Times New Roman"/>
        </w:rPr>
        <w:t>. līdz</w:t>
      </w:r>
      <w:r>
        <w:rPr>
          <w:rFonts w:eastAsia="Calibri" w:cs="Times New Roman"/>
        </w:rPr>
        <w:t xml:space="preserve"> </w:t>
      </w:r>
      <w:r w:rsidRPr="00FF6D87">
        <w:rPr>
          <w:rFonts w:eastAsia="Calibri" w:cs="Times New Roman"/>
        </w:rPr>
        <w:t>202</w:t>
      </w:r>
      <w:r>
        <w:rPr>
          <w:rFonts w:eastAsia="Calibri" w:cs="Times New Roman"/>
        </w:rPr>
        <w:t>6. gad</w:t>
      </w:r>
      <w:r w:rsidRPr="00FF6D87">
        <w:rPr>
          <w:rFonts w:eastAsia="Calibri" w:cs="Times New Roman"/>
        </w:rPr>
        <w:t xml:space="preserve">am, </w:t>
      </w:r>
      <w:r>
        <w:rPr>
          <w:rFonts w:eastAsia="Calibri" w:cs="Times New Roman"/>
        </w:rPr>
        <w:t>ja</w:t>
      </w:r>
      <w:r w:rsidRPr="00FF6D87">
        <w:rPr>
          <w:rFonts w:eastAsia="Calibri" w:cs="Times New Roman"/>
        </w:rPr>
        <w:t xml:space="preserve"> realizētos viens vai vairāki no </w:t>
      </w:r>
      <w:r>
        <w:rPr>
          <w:rFonts w:eastAsia="Calibri" w:cs="Times New Roman"/>
        </w:rPr>
        <w:t>negatīvajiem</w:t>
      </w:r>
      <w:r w:rsidRPr="00FF6D87">
        <w:rPr>
          <w:rFonts w:eastAsia="Calibri" w:cs="Times New Roman"/>
        </w:rPr>
        <w:t xml:space="preserve"> riskiem. Šaj</w:t>
      </w:r>
      <w:r>
        <w:rPr>
          <w:rFonts w:eastAsia="Calibri" w:cs="Times New Roman"/>
        </w:rPr>
        <w:t>ā</w:t>
      </w:r>
      <w:r w:rsidRPr="00FF6D87">
        <w:rPr>
          <w:rFonts w:eastAsia="Calibri" w:cs="Times New Roman"/>
        </w:rPr>
        <w:t xml:space="preserve"> scenārij</w:t>
      </w:r>
      <w:r>
        <w:rPr>
          <w:rFonts w:eastAsia="Calibri" w:cs="Times New Roman"/>
        </w:rPr>
        <w:t>ā</w:t>
      </w:r>
      <w:r w:rsidRPr="00FF6D87">
        <w:rPr>
          <w:rFonts w:eastAsia="Calibri" w:cs="Times New Roman"/>
        </w:rPr>
        <w:t xml:space="preserve"> ir modelēta šo risku realizēšanās ietekme uz dažādiem makroekonomiskajiem rādītājiem un budžeta ieņēmumiem.</w:t>
      </w:r>
    </w:p>
    <w:p w14:paraId="4D48ACDC" w14:textId="5778FA3D" w:rsidR="00F06325" w:rsidRPr="00EC4A57" w:rsidRDefault="00F06325" w:rsidP="00F06325">
      <w:pPr>
        <w:rPr>
          <w:rFonts w:eastAsia="Calibri" w:cs="Times New Roman"/>
          <w:noProof/>
        </w:rPr>
      </w:pPr>
      <w:r w:rsidRPr="00EC4A57">
        <w:rPr>
          <w:rFonts w:eastAsia="Calibri" w:cs="Times New Roman"/>
        </w:rPr>
        <w:t xml:space="preserve">Pesimistiskā scenārija </w:t>
      </w:r>
      <w:r w:rsidR="009F0FD7">
        <w:rPr>
          <w:rFonts w:eastAsia="Calibri" w:cs="Times New Roman"/>
        </w:rPr>
        <w:t>(skat. 6. tabulu)</w:t>
      </w:r>
      <w:r w:rsidR="009F0FD7" w:rsidRPr="00EC4A57">
        <w:rPr>
          <w:rFonts w:eastAsia="Calibri" w:cs="Times New Roman"/>
        </w:rPr>
        <w:t xml:space="preserve"> </w:t>
      </w:r>
      <w:r w:rsidRPr="00EC4A57">
        <w:rPr>
          <w:rFonts w:eastAsia="Calibri" w:cs="Times New Roman"/>
        </w:rPr>
        <w:t xml:space="preserve">pamatā ir risks, ka ECB turpinās celt bāzes likmi tālāk, jo </w:t>
      </w:r>
      <w:r w:rsidRPr="00EC4A57">
        <w:rPr>
          <w:rFonts w:eastAsia="Calibri" w:cs="Times New Roman"/>
          <w:noProof/>
        </w:rPr>
        <w:t xml:space="preserve">eirozonas pamatinflācija saglabātos virs mērķa līmeņa. Inflācijas noturību papildus veicinātu 2023. gada 4. ceturksnī no jauna pieaugošās energoresursu cenas, </w:t>
      </w:r>
      <w:r>
        <w:rPr>
          <w:rFonts w:eastAsia="Calibri" w:cs="Times New Roman"/>
          <w:noProof/>
        </w:rPr>
        <w:t xml:space="preserve">paaugstinoties līdz līmenim, </w:t>
      </w:r>
      <w:r w:rsidRPr="00EC4A57">
        <w:rPr>
          <w:rFonts w:eastAsia="Calibri" w:cs="Times New Roman"/>
          <w:noProof/>
        </w:rPr>
        <w:t>kāds piedzīvots iepriekšējās ziemas laikā. Tas palielinātu enerģijas cenas gada beigās un nākamā gada sākumā, līdz ar to inflācija no jauna varētu palielināties. Tomēr neparedzam, ka cenu līmenis pārsniegtu pērn sasniegtos augstumus. Palielinātās ECB bāzes likmes turpinātu ierobežot kreditēšanu un pieprasījumu eirozonā, kas Latvijai  nozīmētu arī vājāku eksporta izaugsmi, proti, vēl vairāk pastiprinot tā samazinājumu. Papildus ģeopolitiskā nenoteiktība, kas būtu viens no</w:t>
      </w:r>
      <w:r>
        <w:rPr>
          <w:rFonts w:eastAsia="Calibri" w:cs="Times New Roman"/>
          <w:noProof/>
        </w:rPr>
        <w:t xml:space="preserve"> iemesliem</w:t>
      </w:r>
      <w:r w:rsidRPr="00EC4A57">
        <w:rPr>
          <w:rFonts w:eastAsia="Calibri" w:cs="Times New Roman"/>
          <w:noProof/>
        </w:rPr>
        <w:t xml:space="preserve"> energoresursu cenu  pieaugumam, samazinātu investoru un patērētāju noskaņojumu, vēl vairāk bremzējot izaugsmi. Līdz ar to ekonomikas bremzēšanās būtu jūtama 2024. un 2025.gadā.</w:t>
      </w:r>
    </w:p>
    <w:p w14:paraId="781C4FEE" w14:textId="77777777" w:rsidR="00F06325" w:rsidRDefault="00F06325" w:rsidP="00F06325">
      <w:pPr>
        <w:autoSpaceDE w:val="0"/>
        <w:autoSpaceDN w:val="0"/>
        <w:adjustRightInd w:val="0"/>
        <w:rPr>
          <w:rFonts w:eastAsia="Times New Roman" w:cs="Times New Roman"/>
          <w:lang w:eastAsia="lv-LV"/>
        </w:rPr>
      </w:pPr>
      <w:r w:rsidRPr="00A120D9">
        <w:rPr>
          <w:rFonts w:eastAsia="Times New Roman" w:cs="Times New Roman"/>
          <w:lang w:eastAsia="lv-LV"/>
        </w:rPr>
        <w:t>Atbilstoši pesimistiskajam scenārijam 202</w:t>
      </w:r>
      <w:r>
        <w:rPr>
          <w:rFonts w:eastAsia="Times New Roman" w:cs="Times New Roman"/>
          <w:lang w:eastAsia="lv-LV"/>
        </w:rPr>
        <w:t>3. gad</w:t>
      </w:r>
      <w:r w:rsidRPr="00A120D9">
        <w:rPr>
          <w:rFonts w:eastAsia="Times New Roman" w:cs="Times New Roman"/>
          <w:lang w:eastAsia="lv-LV"/>
        </w:rPr>
        <w:t xml:space="preserve">ā iekšzemes kopprodukts salīdzināmās cenās varētu </w:t>
      </w:r>
      <w:r>
        <w:rPr>
          <w:rFonts w:eastAsia="Times New Roman" w:cs="Times New Roman"/>
          <w:lang w:eastAsia="lv-LV"/>
        </w:rPr>
        <w:t xml:space="preserve">samazināties par 0,4% </w:t>
      </w:r>
      <w:r w:rsidRPr="00A120D9">
        <w:rPr>
          <w:rFonts w:eastAsia="Times New Roman" w:cs="Times New Roman"/>
          <w:lang w:eastAsia="lv-LV"/>
        </w:rPr>
        <w:t>un 202</w:t>
      </w:r>
      <w:r>
        <w:rPr>
          <w:rFonts w:eastAsia="Times New Roman" w:cs="Times New Roman"/>
          <w:lang w:eastAsia="lv-LV"/>
        </w:rPr>
        <w:t>4. gad</w:t>
      </w:r>
      <w:r w:rsidRPr="00A120D9">
        <w:rPr>
          <w:rFonts w:eastAsia="Times New Roman" w:cs="Times New Roman"/>
          <w:lang w:eastAsia="lv-LV"/>
        </w:rPr>
        <w:t xml:space="preserve">ā </w:t>
      </w:r>
      <w:r>
        <w:rPr>
          <w:rFonts w:eastAsia="Times New Roman" w:cs="Times New Roman"/>
          <w:lang w:eastAsia="lv-LV"/>
        </w:rPr>
        <w:t xml:space="preserve">tikai nenozīmīgi </w:t>
      </w:r>
      <w:r w:rsidRPr="00A120D9">
        <w:rPr>
          <w:rFonts w:eastAsia="Times New Roman" w:cs="Times New Roman"/>
          <w:lang w:eastAsia="lv-LV"/>
        </w:rPr>
        <w:t xml:space="preserve">palielināties </w:t>
      </w:r>
      <w:r>
        <w:rPr>
          <w:rFonts w:eastAsia="Times New Roman" w:cs="Times New Roman"/>
          <w:lang w:eastAsia="lv-LV"/>
        </w:rPr>
        <w:t xml:space="preserve">par </w:t>
      </w:r>
      <w:r w:rsidRPr="00A120D9">
        <w:rPr>
          <w:rFonts w:eastAsia="Times New Roman" w:cs="Times New Roman"/>
          <w:lang w:eastAsia="lv-LV"/>
        </w:rPr>
        <w:t>0,</w:t>
      </w:r>
      <w:r>
        <w:rPr>
          <w:rFonts w:eastAsia="Times New Roman" w:cs="Times New Roman"/>
          <w:lang w:eastAsia="lv-LV"/>
        </w:rPr>
        <w:t>3</w:t>
      </w:r>
      <w:r w:rsidRPr="00A120D9">
        <w:rPr>
          <w:rFonts w:eastAsia="Times New Roman" w:cs="Times New Roman"/>
          <w:lang w:eastAsia="lv-LV"/>
        </w:rPr>
        <w:t>%</w:t>
      </w:r>
      <w:r>
        <w:rPr>
          <w:rFonts w:eastAsia="Times New Roman" w:cs="Times New Roman"/>
          <w:lang w:eastAsia="lv-LV"/>
        </w:rPr>
        <w:t xml:space="preserve">, kas attiecīgi </w:t>
      </w:r>
      <w:r w:rsidRPr="00A120D9">
        <w:rPr>
          <w:rFonts w:eastAsia="Times New Roman" w:cs="Times New Roman"/>
          <w:lang w:eastAsia="lv-LV"/>
        </w:rPr>
        <w:t xml:space="preserve">būtu </w:t>
      </w:r>
      <w:r>
        <w:rPr>
          <w:rFonts w:eastAsia="Times New Roman" w:cs="Times New Roman"/>
          <w:lang w:eastAsia="lv-LV"/>
        </w:rPr>
        <w:t>par 1,4 un 2,2</w:t>
      </w:r>
      <w:r w:rsidRPr="00A120D9">
        <w:rPr>
          <w:rFonts w:eastAsia="Times New Roman" w:cs="Times New Roman"/>
          <w:lang w:eastAsia="lv-LV"/>
        </w:rPr>
        <w:t xml:space="preserve"> procentpunktiem </w:t>
      </w:r>
      <w:r>
        <w:rPr>
          <w:rFonts w:eastAsia="Times New Roman" w:cs="Times New Roman"/>
          <w:lang w:eastAsia="lv-LV"/>
        </w:rPr>
        <w:t>mazāk</w:t>
      </w:r>
      <w:r w:rsidRPr="00A120D9">
        <w:rPr>
          <w:rFonts w:eastAsia="Times New Roman" w:cs="Times New Roman"/>
          <w:lang w:eastAsia="lv-LV"/>
        </w:rPr>
        <w:t xml:space="preserve"> nekā </w:t>
      </w:r>
      <w:r>
        <w:rPr>
          <w:rFonts w:eastAsia="Times New Roman" w:cs="Times New Roman"/>
          <w:lang w:eastAsia="lv-LV"/>
        </w:rPr>
        <w:t xml:space="preserve">bāzes </w:t>
      </w:r>
      <w:r w:rsidRPr="00A120D9">
        <w:rPr>
          <w:rFonts w:eastAsia="Times New Roman" w:cs="Times New Roman"/>
          <w:lang w:eastAsia="lv-LV"/>
        </w:rPr>
        <w:t>scenārijā.</w:t>
      </w:r>
      <w:r>
        <w:rPr>
          <w:rFonts w:eastAsia="Times New Roman" w:cs="Times New Roman"/>
          <w:lang w:eastAsia="lv-LV"/>
        </w:rPr>
        <w:t xml:space="preserve"> Savukārt noturīgāka izaugsme atsāktos tikai 2026. gadā.</w:t>
      </w:r>
    </w:p>
    <w:p w14:paraId="71335FC2" w14:textId="77777777" w:rsidR="00F06325" w:rsidRPr="0013567F" w:rsidRDefault="00F06325" w:rsidP="00F06325">
      <w:pPr>
        <w:autoSpaceDE w:val="0"/>
        <w:autoSpaceDN w:val="0"/>
        <w:adjustRightInd w:val="0"/>
        <w:rPr>
          <w:rFonts w:eastAsia="Times New Roman" w:cs="Times New Roman"/>
          <w:lang w:eastAsia="lv-LV"/>
        </w:rPr>
      </w:pPr>
      <w:r w:rsidRPr="00A120D9">
        <w:rPr>
          <w:rFonts w:eastAsia="Times New Roman" w:cs="Times New Roman"/>
          <w:lang w:eastAsia="lv-LV"/>
        </w:rPr>
        <w:t xml:space="preserve">Energoresursu </w:t>
      </w:r>
      <w:r>
        <w:rPr>
          <w:rFonts w:eastAsia="Times New Roman" w:cs="Times New Roman"/>
          <w:lang w:eastAsia="lv-LV"/>
        </w:rPr>
        <w:t>cenu pieaugums palielinātu inflāciju līdz 12% un 5% attiecīgi 2023.</w:t>
      </w:r>
      <w:r w:rsidRPr="009C5479">
        <w:rPr>
          <w:rFonts w:eastAsia="Times New Roman" w:cs="Times New Roman"/>
          <w:lang w:eastAsia="lv-LV"/>
        </w:rPr>
        <w:t> </w:t>
      </w:r>
      <w:r>
        <w:rPr>
          <w:rFonts w:eastAsia="Times New Roman" w:cs="Times New Roman"/>
          <w:lang w:eastAsia="lv-LV"/>
        </w:rPr>
        <w:t>un 2024. gadā. Tomēr nākamajos gados inflācija nesamazinātos līdz bāzes scenārija līmenim.</w:t>
      </w:r>
    </w:p>
    <w:p w14:paraId="5AED90E2" w14:textId="77777777" w:rsidR="00F06325" w:rsidRPr="00E658DD" w:rsidRDefault="00F06325" w:rsidP="00F06325">
      <w:pPr>
        <w:autoSpaceDE w:val="0"/>
        <w:autoSpaceDN w:val="0"/>
        <w:adjustRightInd w:val="0"/>
        <w:rPr>
          <w:rFonts w:eastAsia="Times New Roman" w:cs="Times New Roman"/>
          <w:lang w:eastAsia="lv-LV"/>
        </w:rPr>
      </w:pPr>
      <w:r w:rsidRPr="00E16B24">
        <w:rPr>
          <w:rFonts w:eastAsia="Times New Roman" w:cs="Times New Roman"/>
          <w:lang w:eastAsia="lv-LV"/>
        </w:rPr>
        <w:t>Augstā inflācija bremzē</w:t>
      </w:r>
      <w:r>
        <w:rPr>
          <w:rFonts w:eastAsia="Times New Roman" w:cs="Times New Roman"/>
          <w:lang w:eastAsia="lv-LV"/>
        </w:rPr>
        <w:t>tu</w:t>
      </w:r>
      <w:r w:rsidRPr="00E16B24">
        <w:rPr>
          <w:rFonts w:eastAsia="Times New Roman" w:cs="Times New Roman"/>
          <w:lang w:eastAsia="lv-LV"/>
        </w:rPr>
        <w:t xml:space="preserve"> privāto patēriņu, </w:t>
      </w:r>
      <w:r>
        <w:rPr>
          <w:rFonts w:eastAsia="Times New Roman" w:cs="Times New Roman"/>
          <w:lang w:eastAsia="lv-LV"/>
        </w:rPr>
        <w:t>kura pieaugums</w:t>
      </w:r>
      <w:r w:rsidRPr="00E16B24">
        <w:rPr>
          <w:rFonts w:eastAsia="Times New Roman" w:cs="Times New Roman"/>
          <w:lang w:eastAsia="lv-LV"/>
        </w:rPr>
        <w:t xml:space="preserve"> 2023.</w:t>
      </w:r>
      <w:r>
        <w:rPr>
          <w:rFonts w:eastAsia="Times New Roman" w:cs="Times New Roman"/>
          <w:lang w:eastAsia="lv-LV"/>
        </w:rPr>
        <w:t xml:space="preserve"> un </w:t>
      </w:r>
      <w:r w:rsidRPr="00E16B24">
        <w:rPr>
          <w:rFonts w:eastAsia="Times New Roman" w:cs="Times New Roman"/>
          <w:lang w:eastAsia="lv-LV"/>
        </w:rPr>
        <w:t>2024</w:t>
      </w:r>
      <w:r>
        <w:rPr>
          <w:rFonts w:eastAsia="Times New Roman" w:cs="Times New Roman"/>
          <w:lang w:eastAsia="lv-LV"/>
        </w:rPr>
        <w:t>. gad</w:t>
      </w:r>
      <w:r w:rsidRPr="00E16B24">
        <w:rPr>
          <w:rFonts w:eastAsia="Times New Roman" w:cs="Times New Roman"/>
          <w:lang w:eastAsia="lv-LV"/>
        </w:rPr>
        <w:t xml:space="preserve">ā </w:t>
      </w:r>
      <w:r>
        <w:rPr>
          <w:rFonts w:eastAsia="Times New Roman" w:cs="Times New Roman"/>
          <w:lang w:eastAsia="lv-LV"/>
        </w:rPr>
        <w:t>būtu par 0,8 un 2,6 procentpunktiem mazāks nekā bāzes scenārijā, jo augstās inflācijas dēļ samazinātos reālās algas pirktspēja.</w:t>
      </w:r>
      <w:bookmarkEnd w:id="10"/>
      <w:r>
        <w:rPr>
          <w:rFonts w:eastAsia="Times New Roman" w:cs="Times New Roman"/>
          <w:lang w:eastAsia="lv-LV"/>
        </w:rPr>
        <w:t xml:space="preserve"> Tomēr, ņemot vērā relatīvi saspringto darbaspēka tirgu, riska scenārijs neparedz būtiskas izmaiņās darba tirgū.</w:t>
      </w:r>
    </w:p>
    <w:p w14:paraId="66DC0E3C" w14:textId="60F7B120" w:rsidR="00F06325" w:rsidRPr="00D57E58" w:rsidRDefault="003B1933" w:rsidP="00F06325">
      <w:pPr>
        <w:ind w:firstLine="0"/>
        <w:jc w:val="center"/>
        <w:rPr>
          <w:b/>
          <w:bCs/>
        </w:rPr>
      </w:pPr>
      <w:r>
        <w:rPr>
          <w:b/>
          <w:bCs/>
        </w:rPr>
        <w:t>6</w:t>
      </w:r>
      <w:r w:rsidR="00F06325" w:rsidRPr="00F06325">
        <w:rPr>
          <w:b/>
          <w:bCs/>
        </w:rPr>
        <w:t>. tabula. Makroekonomiskie</w:t>
      </w:r>
      <w:r w:rsidR="00F06325" w:rsidRPr="00D57E58">
        <w:rPr>
          <w:b/>
          <w:bCs/>
        </w:rPr>
        <w:t xml:space="preserve"> rādītāji 2023. – 2026</w:t>
      </w:r>
      <w:r w:rsidR="00F06325">
        <w:rPr>
          <w:b/>
          <w:bCs/>
        </w:rPr>
        <w:t>. gad</w:t>
      </w:r>
      <w:r w:rsidR="00F06325" w:rsidRPr="00D57E58">
        <w:rPr>
          <w:b/>
          <w:bCs/>
        </w:rPr>
        <w:t>ā</w:t>
      </w:r>
      <w:r w:rsidR="00F06325">
        <w:rPr>
          <w:b/>
          <w:bCs/>
        </w:rPr>
        <w:br/>
        <w:t>(pesimistiskais scenārijs)</w:t>
      </w:r>
    </w:p>
    <w:tbl>
      <w:tblPr>
        <w:tblW w:w="8500" w:type="dxa"/>
        <w:jc w:val="center"/>
        <w:tblLayout w:type="fixed"/>
        <w:tblLook w:val="04A0" w:firstRow="1" w:lastRow="0" w:firstColumn="1" w:lastColumn="0" w:noHBand="0" w:noVBand="1"/>
      </w:tblPr>
      <w:tblGrid>
        <w:gridCol w:w="3823"/>
        <w:gridCol w:w="850"/>
        <w:gridCol w:w="1020"/>
        <w:gridCol w:w="936"/>
        <w:gridCol w:w="935"/>
        <w:gridCol w:w="936"/>
      </w:tblGrid>
      <w:tr w:rsidR="00F06325" w:rsidRPr="00500AAB" w14:paraId="6314F0B7" w14:textId="77777777" w:rsidTr="00EA6E0B">
        <w:trPr>
          <w:trHeight w:val="300"/>
          <w:tblHeader/>
          <w:jc w:val="center"/>
        </w:trPr>
        <w:tc>
          <w:tcPr>
            <w:tcW w:w="3823" w:type="dxa"/>
            <w:tcBorders>
              <w:top w:val="single" w:sz="4" w:space="0" w:color="auto"/>
              <w:left w:val="single" w:sz="4" w:space="0" w:color="auto"/>
              <w:right w:val="single" w:sz="4" w:space="0" w:color="auto"/>
            </w:tcBorders>
            <w:shd w:val="clear" w:color="auto" w:fill="auto"/>
            <w:noWrap/>
            <w:vAlign w:val="center"/>
            <w:hideMark/>
          </w:tcPr>
          <w:p w14:paraId="231AEF5D" w14:textId="77777777" w:rsidR="00F06325" w:rsidRPr="00EE5E38" w:rsidRDefault="00F06325" w:rsidP="00EA6E0B">
            <w:pPr>
              <w:spacing w:before="0" w:after="0"/>
              <w:ind w:firstLine="0"/>
              <w:rPr>
                <w:rFonts w:eastAsia="Calibri" w:cs="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B5D74E9" w14:textId="77777777" w:rsidR="00F06325" w:rsidRPr="00EE5E38" w:rsidRDefault="00F06325" w:rsidP="00EA6E0B">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2022</w:t>
            </w:r>
          </w:p>
        </w:tc>
        <w:tc>
          <w:tcPr>
            <w:tcW w:w="1020"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2B5AFC57" w14:textId="77777777" w:rsidR="00F06325" w:rsidRPr="00EE5E38" w:rsidRDefault="00F06325" w:rsidP="00EA6E0B">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2023</w:t>
            </w:r>
          </w:p>
        </w:tc>
        <w:tc>
          <w:tcPr>
            <w:tcW w:w="936"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5C8F6C72" w14:textId="77777777" w:rsidR="00F06325" w:rsidRPr="00EE5E38" w:rsidRDefault="00F06325" w:rsidP="00EA6E0B">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2024</w:t>
            </w:r>
          </w:p>
        </w:tc>
        <w:tc>
          <w:tcPr>
            <w:tcW w:w="935"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05403F43" w14:textId="77777777" w:rsidR="00F06325" w:rsidRPr="00EE5E38" w:rsidRDefault="00F06325" w:rsidP="00EA6E0B">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2025</w:t>
            </w:r>
          </w:p>
        </w:tc>
        <w:tc>
          <w:tcPr>
            <w:tcW w:w="936"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0CC7ABC2" w14:textId="77777777" w:rsidR="00F06325" w:rsidRPr="00EE5E38" w:rsidRDefault="00F06325" w:rsidP="00EA6E0B">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2026</w:t>
            </w:r>
          </w:p>
        </w:tc>
      </w:tr>
      <w:tr w:rsidR="00F06325" w:rsidRPr="00500AAB" w14:paraId="75A57AD5" w14:textId="77777777" w:rsidTr="00EA6E0B">
        <w:trPr>
          <w:trHeight w:val="300"/>
          <w:tblHeader/>
          <w:jc w:val="center"/>
        </w:trPr>
        <w:tc>
          <w:tcPr>
            <w:tcW w:w="3823" w:type="dxa"/>
            <w:tcBorders>
              <w:left w:val="single" w:sz="4" w:space="0" w:color="auto"/>
              <w:bottom w:val="single" w:sz="4" w:space="0" w:color="auto"/>
              <w:right w:val="single" w:sz="4" w:space="0" w:color="auto"/>
            </w:tcBorders>
            <w:shd w:val="clear" w:color="auto" w:fill="auto"/>
            <w:noWrap/>
            <w:vAlign w:val="center"/>
          </w:tcPr>
          <w:p w14:paraId="35638202" w14:textId="77777777" w:rsidR="00F06325" w:rsidRPr="00EE5E38" w:rsidRDefault="00F06325" w:rsidP="00EA6E0B">
            <w:pPr>
              <w:spacing w:before="0" w:after="0"/>
              <w:ind w:firstLine="0"/>
              <w:rPr>
                <w:rFonts w:eastAsia="Calibri" w:cs="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57F6549" w14:textId="77777777" w:rsidR="00F06325" w:rsidRPr="00EE5E38" w:rsidRDefault="00F06325" w:rsidP="00EA6E0B">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fakts</w:t>
            </w:r>
          </w:p>
        </w:tc>
        <w:tc>
          <w:tcPr>
            <w:tcW w:w="3827" w:type="dxa"/>
            <w:gridSpan w:val="4"/>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435D8433" w14:textId="77777777" w:rsidR="00F06325" w:rsidRPr="00EE5E38" w:rsidRDefault="00F06325" w:rsidP="00EA6E0B">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prognoze</w:t>
            </w:r>
          </w:p>
        </w:tc>
      </w:tr>
      <w:tr w:rsidR="00F06325" w:rsidRPr="00500AAB" w14:paraId="361F2856"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8662334" w14:textId="77777777" w:rsidR="00F06325" w:rsidRPr="00EE5E38" w:rsidRDefault="00F06325" w:rsidP="00EA6E0B">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Iekšzemes kopprodukts (IKP</w:t>
            </w:r>
            <w:r w:rsidRPr="00EE5E38">
              <w:rPr>
                <w:rFonts w:eastAsia="Calibri" w:cs="Times New Roman"/>
                <w:noProof/>
                <w:sz w:val="20"/>
                <w:szCs w:val="20"/>
                <w:lang w:eastAsia="lv-LV"/>
              </w:rPr>
              <w:t>), milj</w:t>
            </w:r>
            <w:r w:rsidRPr="00BC7260">
              <w:rPr>
                <w:rFonts w:eastAsia="Calibri" w:cs="Times New Roman"/>
                <w:i/>
                <w:iCs/>
                <w:noProof/>
                <w:sz w:val="20"/>
                <w:szCs w:val="20"/>
                <w:lang w:eastAsia="lv-LV"/>
              </w:rPr>
              <w:t>. euro</w:t>
            </w:r>
          </w:p>
        </w:tc>
        <w:tc>
          <w:tcPr>
            <w:tcW w:w="850"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31617C66"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39 063</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3EE2E39"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43 134</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36FFA06"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45 835</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9D7B6A8"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48 295</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3873C3F"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51 067</w:t>
            </w:r>
          </w:p>
        </w:tc>
      </w:tr>
      <w:tr w:rsidR="00F06325" w:rsidRPr="00851539" w14:paraId="70E42D97" w14:textId="77777777" w:rsidTr="00EA6E0B">
        <w:trPr>
          <w:trHeight w:val="235"/>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45B30D9" w14:textId="77777777" w:rsidR="00F06325" w:rsidRPr="00EE5E38" w:rsidRDefault="00F06325" w:rsidP="00EA6E0B">
            <w:pPr>
              <w:spacing w:before="0" w:after="0"/>
              <w:rPr>
                <w:rFonts w:eastAsia="Calibri" w:cs="Times New Roman"/>
                <w:noProof/>
                <w:sz w:val="20"/>
                <w:szCs w:val="20"/>
                <w:lang w:eastAsia="lv-LV"/>
              </w:rPr>
            </w:pPr>
            <w:r w:rsidRPr="00EE5E38">
              <w:rPr>
                <w:rFonts w:eastAsia="Calibri" w:cs="Times New Roman"/>
                <w:noProof/>
                <w:sz w:val="20"/>
                <w:szCs w:val="20"/>
                <w:lang w:eastAsia="lv-LV"/>
              </w:rPr>
              <w:t>pieaugums faktiskajās cenās,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196DEB39"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16,2</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28E59CE3"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10,4</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BC06644"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6,3</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F200236"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5,4</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A01C4B5"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5,7</w:t>
            </w:r>
          </w:p>
        </w:tc>
      </w:tr>
      <w:tr w:rsidR="00F06325" w:rsidRPr="00500AAB" w14:paraId="48E5F88E"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CB5F1E3" w14:textId="77777777" w:rsidR="00F06325" w:rsidRPr="00EE5E38" w:rsidRDefault="00F06325" w:rsidP="00EA6E0B">
            <w:pPr>
              <w:spacing w:before="0" w:after="0"/>
              <w:rPr>
                <w:rFonts w:eastAsia="Calibri" w:cs="Times New Roman"/>
                <w:noProof/>
                <w:sz w:val="20"/>
                <w:szCs w:val="20"/>
                <w:lang w:eastAsia="lv-LV"/>
              </w:rPr>
            </w:pPr>
            <w:r w:rsidRPr="00EE5E38">
              <w:rPr>
                <w:rFonts w:eastAsia="Calibri" w:cs="Times New Roman"/>
                <w:noProof/>
                <w:sz w:val="20"/>
                <w:szCs w:val="20"/>
                <w:lang w:eastAsia="lv-LV"/>
              </w:rPr>
              <w:t>pieaugums salīdzināmās cenās,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6B0D915D"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2,8</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28E9F64"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-0,4</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4856385"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0,3</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7C47B4E4"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1,8</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5F37BEC"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2,9</w:t>
            </w:r>
          </w:p>
        </w:tc>
      </w:tr>
      <w:tr w:rsidR="00F06325" w:rsidRPr="00500AAB" w14:paraId="7A259202"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97D4809" w14:textId="77777777" w:rsidR="00F06325" w:rsidRPr="00EE5E38" w:rsidRDefault="00F06325" w:rsidP="00EA6E0B">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IKP deflators</w:t>
            </w:r>
            <w:r w:rsidRPr="00EE5E38">
              <w:rPr>
                <w:rFonts w:eastAsia="Calibri" w:cs="Times New Roman"/>
                <w:noProof/>
                <w:sz w:val="20"/>
                <w:szCs w:val="20"/>
                <w:lang w:eastAsia="lv-LV"/>
              </w:rPr>
              <w:t xml:space="preserve"> (gads pret gadu),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1641630E"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13,1</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581C522"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10,9</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E749A45"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5,9</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A4F18A5"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3,5</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77121AB"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2,8</w:t>
            </w:r>
          </w:p>
        </w:tc>
      </w:tr>
      <w:tr w:rsidR="00F06325" w:rsidRPr="00500AAB" w14:paraId="77D29622"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E5F3E5B" w14:textId="77777777" w:rsidR="00F06325" w:rsidRPr="00EE5E38" w:rsidRDefault="00F06325" w:rsidP="00EA6E0B">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PCI</w:t>
            </w:r>
            <w:r w:rsidRPr="00EE5E38">
              <w:rPr>
                <w:rFonts w:eastAsia="Calibri" w:cs="Times New Roman"/>
                <w:noProof/>
                <w:sz w:val="20"/>
                <w:szCs w:val="20"/>
                <w:lang w:eastAsia="lv-LV"/>
              </w:rPr>
              <w:t xml:space="preserve"> (gads pret gadu),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76E7E4A0"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17,3</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93AB77A"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12,0</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C9D85C9"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5,0</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22227EA"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2,5</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362292D"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2,3</w:t>
            </w:r>
          </w:p>
        </w:tc>
      </w:tr>
      <w:tr w:rsidR="00F06325" w:rsidRPr="00500AAB" w14:paraId="56A074A4" w14:textId="77777777" w:rsidTr="00EA6E0B">
        <w:trPr>
          <w:trHeight w:val="6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4D6A10B" w14:textId="77777777" w:rsidR="00F06325" w:rsidRPr="00EE5E38" w:rsidRDefault="00F06325" w:rsidP="00EA6E0B">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Tautsaimniecībā nodarbināto mēn. vid. bruto darba samaksa</w:t>
            </w:r>
            <w:r w:rsidRPr="00EE5E38">
              <w:rPr>
                <w:rFonts w:eastAsia="Calibri" w:cs="Times New Roman"/>
                <w:noProof/>
                <w:sz w:val="20"/>
                <w:szCs w:val="20"/>
                <w:lang w:eastAsia="lv-LV"/>
              </w:rPr>
              <w:t xml:space="preserve">, </w:t>
            </w:r>
            <w:r w:rsidRPr="00875C23">
              <w:rPr>
                <w:rFonts w:eastAsia="Calibri" w:cs="Times New Roman"/>
                <w:i/>
                <w:iCs/>
                <w:noProof/>
                <w:sz w:val="20"/>
                <w:szCs w:val="20"/>
                <w:lang w:eastAsia="lv-LV"/>
              </w:rPr>
              <w:t>euro</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18ED053B"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1373</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7EE60EE"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1510</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F0962A6"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1601</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61A727D"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1681</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FA70CBC"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1765</w:t>
            </w:r>
          </w:p>
        </w:tc>
      </w:tr>
      <w:tr w:rsidR="00F06325" w:rsidRPr="00500AAB" w14:paraId="0C00DF49"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4A7AA71" w14:textId="77777777" w:rsidR="00F06325" w:rsidRPr="00EE5E38" w:rsidRDefault="00F06325" w:rsidP="00EA6E0B">
            <w:pPr>
              <w:spacing w:before="0" w:after="0"/>
              <w:rPr>
                <w:rFonts w:eastAsia="Calibri" w:cs="Times New Roman"/>
                <w:noProof/>
                <w:sz w:val="20"/>
                <w:szCs w:val="20"/>
                <w:lang w:eastAsia="lv-LV"/>
              </w:rPr>
            </w:pPr>
            <w:r w:rsidRPr="00EE5E38">
              <w:rPr>
                <w:rFonts w:eastAsia="Calibri" w:cs="Times New Roman"/>
                <w:noProof/>
                <w:sz w:val="20"/>
                <w:szCs w:val="20"/>
                <w:lang w:eastAsia="lv-LV"/>
              </w:rPr>
              <w:t>pieaugums faktiskajās cenās,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0F429C5A"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7,5</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974E05F"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10,0</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3D04E69"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6,0</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95D114C"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5,0</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26D73D1"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5,0</w:t>
            </w:r>
          </w:p>
        </w:tc>
      </w:tr>
      <w:tr w:rsidR="00F06325" w:rsidRPr="00500AAB" w14:paraId="2B02F37B"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882BC81" w14:textId="77777777" w:rsidR="00F06325" w:rsidRPr="00EE5E38" w:rsidRDefault="00F06325" w:rsidP="00EA6E0B">
            <w:pPr>
              <w:spacing w:before="0" w:after="0"/>
              <w:rPr>
                <w:rFonts w:eastAsia="Calibri" w:cs="Times New Roman"/>
                <w:noProof/>
                <w:sz w:val="20"/>
                <w:szCs w:val="20"/>
                <w:lang w:eastAsia="lv-LV"/>
              </w:rPr>
            </w:pPr>
            <w:r w:rsidRPr="00EE5E38">
              <w:rPr>
                <w:rFonts w:eastAsia="Calibri" w:cs="Times New Roman"/>
                <w:noProof/>
                <w:sz w:val="20"/>
                <w:szCs w:val="20"/>
                <w:lang w:eastAsia="lv-LV"/>
              </w:rPr>
              <w:t>pieaugums salīdzināmās cenās,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6A865131"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-8,4</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DE5A4B6"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-1,8</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2DECA0C7"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1,0</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9E0B0C8"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2,4</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BEAD53A"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2,6</w:t>
            </w:r>
          </w:p>
        </w:tc>
      </w:tr>
      <w:tr w:rsidR="00F06325" w:rsidRPr="00500AAB" w14:paraId="2AA9A7C1" w14:textId="77777777" w:rsidTr="00EA6E0B">
        <w:trPr>
          <w:trHeight w:val="6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B436E42" w14:textId="77777777" w:rsidR="00F06325" w:rsidRPr="00EE5E38" w:rsidRDefault="00F06325" w:rsidP="00EA6E0B">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Nodarbinātība</w:t>
            </w:r>
            <w:r w:rsidRPr="00EE5E38">
              <w:rPr>
                <w:rFonts w:eastAsia="Calibri" w:cs="Times New Roman"/>
                <w:noProof/>
                <w:sz w:val="20"/>
                <w:szCs w:val="20"/>
                <w:lang w:eastAsia="lv-LV"/>
              </w:rPr>
              <w:t>, tūkst. iedzīvotāju (atbilstoši darbaspēka apsekojumiem)</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54E992C5"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886</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FB083A2"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886</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1B69F30"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886</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605DD43"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885</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A06319A"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882</w:t>
            </w:r>
          </w:p>
        </w:tc>
      </w:tr>
      <w:tr w:rsidR="00F06325" w:rsidRPr="00500AAB" w14:paraId="14E3F0DD"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995638A" w14:textId="77777777" w:rsidR="00F06325" w:rsidRPr="00EE5E38" w:rsidRDefault="00F06325" w:rsidP="00EA6E0B">
            <w:pPr>
              <w:spacing w:before="0" w:after="0"/>
              <w:rPr>
                <w:rFonts w:eastAsia="Calibri" w:cs="Times New Roman"/>
                <w:noProof/>
                <w:sz w:val="20"/>
                <w:szCs w:val="20"/>
                <w:lang w:eastAsia="lv-LV"/>
              </w:rPr>
            </w:pPr>
            <w:r w:rsidRPr="00EE5E38">
              <w:rPr>
                <w:rFonts w:eastAsia="Calibri" w:cs="Times New Roman"/>
                <w:noProof/>
                <w:sz w:val="20"/>
                <w:szCs w:val="20"/>
                <w:lang w:eastAsia="lv-LV"/>
              </w:rPr>
              <w:t>pieaugums,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03188977"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2,6</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F5E5606"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0,0</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116FC13"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0,0</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29D131DB"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-0,1</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97266F0"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-0,4</w:t>
            </w:r>
          </w:p>
        </w:tc>
      </w:tr>
      <w:tr w:rsidR="00F06325" w:rsidRPr="00500AAB" w14:paraId="3BCDCF92" w14:textId="77777777" w:rsidTr="00EA6E0B">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C0270" w14:textId="77777777" w:rsidR="00F06325" w:rsidRPr="00EE5E38" w:rsidRDefault="00F06325" w:rsidP="00EA6E0B">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lastRenderedPageBreak/>
              <w:t>Bezdarba līmenis</w:t>
            </w:r>
            <w:r w:rsidRPr="00EE5E38">
              <w:rPr>
                <w:rFonts w:eastAsia="Calibri" w:cs="Times New Roman"/>
                <w:noProof/>
                <w:sz w:val="20"/>
                <w:szCs w:val="20"/>
                <w:lang w:eastAsia="lv-LV"/>
              </w:rPr>
              <w:t xml:space="preserve"> (gada vidējais),</w:t>
            </w:r>
            <w:r w:rsidRPr="00EE5E38">
              <w:rPr>
                <w:rFonts w:eastAsia="Calibri" w:cs="Times New Roman"/>
                <w:noProof/>
                <w:sz w:val="20"/>
                <w:szCs w:val="20"/>
                <w:lang w:eastAsia="lv-LV"/>
              </w:rPr>
              <w:br/>
              <w:t>% no ekon. aktīviem iedzīv</w:t>
            </w:r>
            <w:r>
              <w:rPr>
                <w:rFonts w:eastAsia="Calibri" w:cs="Times New Roman"/>
                <w:noProof/>
                <w:sz w:val="20"/>
                <w:szCs w:val="20"/>
                <w:lang w:eastAsia="lv-LV"/>
              </w:rPr>
              <w:t>otājiem</w:t>
            </w:r>
          </w:p>
        </w:tc>
        <w:tc>
          <w:tcPr>
            <w:tcW w:w="850"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0716465A"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6,9</w:t>
            </w:r>
          </w:p>
        </w:tc>
        <w:tc>
          <w:tcPr>
            <w:tcW w:w="1020" w:type="dxa"/>
            <w:tcBorders>
              <w:top w:val="single" w:sz="4" w:space="0" w:color="auto"/>
              <w:left w:val="nil"/>
              <w:bottom w:val="single" w:sz="4" w:space="0" w:color="auto"/>
              <w:right w:val="single" w:sz="4" w:space="0" w:color="auto"/>
            </w:tcBorders>
            <w:shd w:val="clear" w:color="auto" w:fill="BDD6EE" w:themeFill="accent1" w:themeFillTint="66"/>
            <w:noWrap/>
            <w:tcMar>
              <w:right w:w="170" w:type="dxa"/>
            </w:tcMar>
            <w:vAlign w:val="center"/>
          </w:tcPr>
          <w:p w14:paraId="7C959EFE"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6,6</w:t>
            </w:r>
          </w:p>
        </w:tc>
        <w:tc>
          <w:tcPr>
            <w:tcW w:w="936" w:type="dxa"/>
            <w:tcBorders>
              <w:top w:val="single" w:sz="4" w:space="0" w:color="auto"/>
              <w:left w:val="nil"/>
              <w:bottom w:val="single" w:sz="4" w:space="0" w:color="auto"/>
              <w:right w:val="single" w:sz="4" w:space="0" w:color="auto"/>
            </w:tcBorders>
            <w:shd w:val="clear" w:color="auto" w:fill="BDD6EE" w:themeFill="accent1" w:themeFillTint="66"/>
            <w:noWrap/>
            <w:tcMar>
              <w:right w:w="170" w:type="dxa"/>
            </w:tcMar>
            <w:vAlign w:val="center"/>
          </w:tcPr>
          <w:p w14:paraId="13016E3D"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6,9</w:t>
            </w:r>
          </w:p>
        </w:tc>
        <w:tc>
          <w:tcPr>
            <w:tcW w:w="935" w:type="dxa"/>
            <w:tcBorders>
              <w:top w:val="single" w:sz="4" w:space="0" w:color="auto"/>
              <w:left w:val="nil"/>
              <w:bottom w:val="single" w:sz="4" w:space="0" w:color="auto"/>
              <w:right w:val="single" w:sz="4" w:space="0" w:color="auto"/>
            </w:tcBorders>
            <w:shd w:val="clear" w:color="auto" w:fill="BDD6EE" w:themeFill="accent1" w:themeFillTint="66"/>
            <w:noWrap/>
            <w:tcMar>
              <w:right w:w="170" w:type="dxa"/>
            </w:tcMar>
            <w:vAlign w:val="center"/>
          </w:tcPr>
          <w:p w14:paraId="38EEC64B"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6,5</w:t>
            </w:r>
          </w:p>
        </w:tc>
        <w:tc>
          <w:tcPr>
            <w:tcW w:w="936" w:type="dxa"/>
            <w:tcBorders>
              <w:top w:val="single" w:sz="4" w:space="0" w:color="auto"/>
              <w:left w:val="nil"/>
              <w:bottom w:val="single" w:sz="4" w:space="0" w:color="auto"/>
              <w:right w:val="single" w:sz="4" w:space="0" w:color="auto"/>
            </w:tcBorders>
            <w:shd w:val="clear" w:color="auto" w:fill="BDD6EE" w:themeFill="accent1" w:themeFillTint="66"/>
            <w:noWrap/>
            <w:tcMar>
              <w:right w:w="170" w:type="dxa"/>
            </w:tcMar>
            <w:vAlign w:val="center"/>
          </w:tcPr>
          <w:p w14:paraId="3B3A0490"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6,4</w:t>
            </w:r>
          </w:p>
        </w:tc>
      </w:tr>
    </w:tbl>
    <w:p w14:paraId="61A0E3E9" w14:textId="24C3E970" w:rsidR="00F06325" w:rsidRPr="00F06325" w:rsidRDefault="00F06325" w:rsidP="00F06325">
      <w:pPr>
        <w:rPr>
          <w:noProof/>
          <w:szCs w:val="20"/>
        </w:rPr>
      </w:pPr>
      <w:r w:rsidRPr="00B96600">
        <w:rPr>
          <w:color w:val="000000" w:themeColor="text1"/>
        </w:rPr>
        <w:t xml:space="preserve">Ņemot vērā makroekonomiskās attīstības pesimistisko scenāriju, Finanšu ministrija ir novērtējusi šī scenārija ietekmi uz vispārējās valdības budžeta bilanci, novērtējot izmaiņas nodokļu un </w:t>
      </w:r>
      <w:r w:rsidRPr="00B96600">
        <w:rPr>
          <w:noProof/>
          <w:color w:val="000000" w:themeColor="text1"/>
        </w:rPr>
        <w:t xml:space="preserve">nenodokļu ieņēmumos, kā arī valsts speciālā budžeta izdevumos un valsts parāda apkalpošanas (procentu) izdevumos salīdzinājumā ar bāzes </w:t>
      </w:r>
      <w:r w:rsidRPr="00F06325">
        <w:rPr>
          <w:noProof/>
          <w:color w:val="000000" w:themeColor="text1"/>
        </w:rPr>
        <w:t xml:space="preserve">scenāriju (skat. </w:t>
      </w:r>
      <w:r w:rsidR="003B1933">
        <w:rPr>
          <w:noProof/>
          <w:color w:val="000000" w:themeColor="text1"/>
        </w:rPr>
        <w:t>7</w:t>
      </w:r>
      <w:r w:rsidRPr="00F06325">
        <w:rPr>
          <w:noProof/>
          <w:color w:val="000000" w:themeColor="text1"/>
        </w:rPr>
        <w:t xml:space="preserve">. tabulu). </w:t>
      </w:r>
      <w:r w:rsidRPr="00F06325">
        <w:rPr>
          <w:noProof/>
          <w:szCs w:val="24"/>
          <w:lang w:eastAsia="lv-LV"/>
        </w:rPr>
        <w:t>Rezultātā kopbudžeta nodokļu ieņēmumi, salīdzinot ar bāzes scenāriju 2023.-2026. gadam, pēc naudas plūsmas tiek prognozēti ar samazinājumu 90,9 milj. </w:t>
      </w:r>
      <w:r w:rsidRPr="00F06325">
        <w:rPr>
          <w:i/>
          <w:iCs/>
          <w:noProof/>
          <w:szCs w:val="24"/>
          <w:lang w:eastAsia="lv-LV"/>
        </w:rPr>
        <w:t>euro</w:t>
      </w:r>
      <w:r w:rsidRPr="00F06325">
        <w:rPr>
          <w:noProof/>
          <w:szCs w:val="24"/>
          <w:lang w:eastAsia="lv-LV"/>
        </w:rPr>
        <w:t xml:space="preserve"> 2023. gadā, 167,8 milj. </w:t>
      </w:r>
      <w:r w:rsidRPr="00F06325">
        <w:rPr>
          <w:i/>
          <w:iCs/>
          <w:noProof/>
          <w:szCs w:val="24"/>
          <w:lang w:eastAsia="lv-LV"/>
        </w:rPr>
        <w:t>euro</w:t>
      </w:r>
      <w:r w:rsidRPr="00F06325">
        <w:rPr>
          <w:noProof/>
          <w:szCs w:val="24"/>
          <w:lang w:eastAsia="lv-LV"/>
        </w:rPr>
        <w:t xml:space="preserve"> 2024. gadā, 267,5 milj. </w:t>
      </w:r>
      <w:r w:rsidRPr="00F06325">
        <w:rPr>
          <w:i/>
          <w:iCs/>
          <w:noProof/>
          <w:szCs w:val="24"/>
          <w:lang w:eastAsia="lv-LV"/>
        </w:rPr>
        <w:t>euro</w:t>
      </w:r>
      <w:r w:rsidRPr="00F06325">
        <w:rPr>
          <w:noProof/>
          <w:szCs w:val="24"/>
          <w:lang w:eastAsia="lv-LV"/>
        </w:rPr>
        <w:t xml:space="preserve"> 2025. gadā un 233,1 milj. </w:t>
      </w:r>
      <w:r w:rsidRPr="00F06325">
        <w:rPr>
          <w:i/>
          <w:iCs/>
          <w:noProof/>
          <w:szCs w:val="24"/>
          <w:lang w:eastAsia="lv-LV"/>
        </w:rPr>
        <w:t>euro</w:t>
      </w:r>
      <w:r w:rsidRPr="00F06325">
        <w:rPr>
          <w:noProof/>
          <w:szCs w:val="24"/>
          <w:lang w:eastAsia="lv-LV"/>
        </w:rPr>
        <w:t xml:space="preserve"> 2026. gadā, vadoties pēc pesimistiskā scenārijā iezīmētājām tautsaimniecības attīstības tendencēm. </w:t>
      </w:r>
    </w:p>
    <w:p w14:paraId="7454539C" w14:textId="1DD0950B" w:rsidR="00F06325" w:rsidRPr="00FD4171" w:rsidRDefault="003B1933" w:rsidP="00F06325">
      <w:pPr>
        <w:jc w:val="center"/>
        <w:rPr>
          <w:rFonts w:eastAsia="Calibri" w:cs="Times New Roman"/>
          <w:b/>
          <w:szCs w:val="24"/>
        </w:rPr>
      </w:pPr>
      <w:r>
        <w:rPr>
          <w:rFonts w:eastAsia="Calibri" w:cs="Times New Roman"/>
          <w:b/>
          <w:szCs w:val="24"/>
        </w:rPr>
        <w:t>7</w:t>
      </w:r>
      <w:r w:rsidR="00F06325" w:rsidRPr="00F06325">
        <w:rPr>
          <w:rFonts w:eastAsia="Calibri" w:cs="Times New Roman"/>
          <w:b/>
          <w:szCs w:val="24"/>
        </w:rPr>
        <w:t>. tabula. Vispārējās valdības budžeta bilance un</w:t>
      </w:r>
      <w:r w:rsidR="00F06325" w:rsidRPr="00FD4171">
        <w:rPr>
          <w:rFonts w:eastAsia="Calibri" w:cs="Times New Roman"/>
          <w:b/>
          <w:szCs w:val="24"/>
        </w:rPr>
        <w:t xml:space="preserve"> parāds</w:t>
      </w:r>
      <w:r w:rsidR="00F06325">
        <w:rPr>
          <w:rFonts w:eastAsia="Calibri" w:cs="Times New Roman"/>
          <w:b/>
          <w:szCs w:val="24"/>
        </w:rPr>
        <w:br/>
      </w:r>
      <w:r w:rsidR="00F06325" w:rsidRPr="00FD4171">
        <w:rPr>
          <w:rFonts w:eastAsia="Calibri" w:cs="Times New Roman"/>
          <w:b/>
          <w:szCs w:val="24"/>
        </w:rPr>
        <w:t>(pesimistiskais scenārijs)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3"/>
        <w:gridCol w:w="993"/>
        <w:gridCol w:w="992"/>
        <w:gridCol w:w="975"/>
        <w:gridCol w:w="1019"/>
      </w:tblGrid>
      <w:tr w:rsidR="00F06325" w:rsidRPr="00CE1CA8" w14:paraId="7FE74916" w14:textId="77777777" w:rsidTr="00EA6E0B">
        <w:trPr>
          <w:trHeight w:val="124"/>
        </w:trPr>
        <w:tc>
          <w:tcPr>
            <w:tcW w:w="5093" w:type="dxa"/>
            <w:shd w:val="clear" w:color="auto" w:fill="auto"/>
            <w:vAlign w:val="center"/>
            <w:hideMark/>
          </w:tcPr>
          <w:p w14:paraId="62186C13" w14:textId="77777777" w:rsidR="00F06325" w:rsidRPr="001414A9" w:rsidRDefault="00F06325" w:rsidP="00EA6E0B">
            <w:pPr>
              <w:spacing w:before="0" w:after="0"/>
              <w:ind w:firstLine="0"/>
              <w:jc w:val="left"/>
              <w:rPr>
                <w:rFonts w:ascii="Calibri" w:eastAsia="Times New Roman" w:hAnsi="Calibri" w:cs="Calibri"/>
                <w:color w:val="000000"/>
                <w:sz w:val="22"/>
                <w:lang w:eastAsia="lv-LV"/>
              </w:rPr>
            </w:pPr>
            <w:r w:rsidRPr="001414A9">
              <w:rPr>
                <w:rFonts w:ascii="Calibri" w:eastAsia="Times New Roman" w:hAnsi="Calibri" w:cs="Calibri"/>
                <w:color w:val="000000"/>
                <w:sz w:val="22"/>
                <w:lang w:eastAsia="lv-LV"/>
              </w:rPr>
              <w:t> </w:t>
            </w:r>
          </w:p>
        </w:tc>
        <w:tc>
          <w:tcPr>
            <w:tcW w:w="993" w:type="dxa"/>
            <w:shd w:val="clear" w:color="auto" w:fill="BDD6EE" w:themeFill="accent1" w:themeFillTint="66"/>
            <w:vAlign w:val="center"/>
            <w:hideMark/>
          </w:tcPr>
          <w:p w14:paraId="5DF6FE06" w14:textId="77777777" w:rsidR="00F06325" w:rsidRPr="001414A9" w:rsidRDefault="00F06325" w:rsidP="00EA6E0B">
            <w:pPr>
              <w:spacing w:before="0" w:after="0"/>
              <w:ind w:firstLine="0"/>
              <w:jc w:val="center"/>
              <w:rPr>
                <w:rFonts w:eastAsia="Times New Roman" w:cs="Times New Roman"/>
                <w:b/>
                <w:bCs/>
                <w:color w:val="000000"/>
                <w:sz w:val="20"/>
                <w:szCs w:val="20"/>
                <w:lang w:eastAsia="lv-LV"/>
              </w:rPr>
            </w:pPr>
            <w:r w:rsidRPr="001414A9">
              <w:rPr>
                <w:rFonts w:eastAsia="Times New Roman" w:cs="Times New Roman"/>
                <w:b/>
                <w:bCs/>
                <w:color w:val="000000"/>
                <w:sz w:val="20"/>
                <w:szCs w:val="20"/>
                <w:lang w:eastAsia="lv-LV"/>
              </w:rPr>
              <w:t>2023</w:t>
            </w:r>
          </w:p>
        </w:tc>
        <w:tc>
          <w:tcPr>
            <w:tcW w:w="992" w:type="dxa"/>
            <w:shd w:val="clear" w:color="auto" w:fill="BDD6EE" w:themeFill="accent1" w:themeFillTint="66"/>
            <w:vAlign w:val="center"/>
            <w:hideMark/>
          </w:tcPr>
          <w:p w14:paraId="677C2650" w14:textId="77777777" w:rsidR="00F06325" w:rsidRPr="001414A9" w:rsidRDefault="00F06325" w:rsidP="00EA6E0B">
            <w:pPr>
              <w:spacing w:before="0" w:after="0"/>
              <w:ind w:firstLine="0"/>
              <w:jc w:val="center"/>
              <w:rPr>
                <w:rFonts w:eastAsia="Times New Roman" w:cs="Times New Roman"/>
                <w:b/>
                <w:bCs/>
                <w:color w:val="000000"/>
                <w:sz w:val="20"/>
                <w:szCs w:val="20"/>
                <w:lang w:eastAsia="lv-LV"/>
              </w:rPr>
            </w:pPr>
            <w:r w:rsidRPr="001414A9">
              <w:rPr>
                <w:rFonts w:eastAsia="Times New Roman" w:cs="Times New Roman"/>
                <w:b/>
                <w:bCs/>
                <w:color w:val="000000"/>
                <w:sz w:val="20"/>
                <w:szCs w:val="20"/>
                <w:lang w:eastAsia="lv-LV"/>
              </w:rPr>
              <w:t>2024</w:t>
            </w:r>
          </w:p>
        </w:tc>
        <w:tc>
          <w:tcPr>
            <w:tcW w:w="975" w:type="dxa"/>
            <w:shd w:val="clear" w:color="auto" w:fill="BDD6EE" w:themeFill="accent1" w:themeFillTint="66"/>
            <w:vAlign w:val="center"/>
            <w:hideMark/>
          </w:tcPr>
          <w:p w14:paraId="20D6A7C0" w14:textId="77777777" w:rsidR="00F06325" w:rsidRPr="001414A9" w:rsidRDefault="00F06325" w:rsidP="00EA6E0B">
            <w:pPr>
              <w:spacing w:before="0" w:after="0"/>
              <w:ind w:firstLine="0"/>
              <w:jc w:val="center"/>
              <w:rPr>
                <w:rFonts w:eastAsia="Times New Roman" w:cs="Times New Roman"/>
                <w:b/>
                <w:bCs/>
                <w:color w:val="000000"/>
                <w:sz w:val="20"/>
                <w:szCs w:val="20"/>
                <w:lang w:eastAsia="lv-LV"/>
              </w:rPr>
            </w:pPr>
            <w:r w:rsidRPr="001414A9">
              <w:rPr>
                <w:rFonts w:eastAsia="Times New Roman" w:cs="Times New Roman"/>
                <w:b/>
                <w:bCs/>
                <w:color w:val="000000"/>
                <w:sz w:val="20"/>
                <w:szCs w:val="20"/>
                <w:lang w:eastAsia="lv-LV"/>
              </w:rPr>
              <w:t>2025</w:t>
            </w:r>
          </w:p>
        </w:tc>
        <w:tc>
          <w:tcPr>
            <w:tcW w:w="1019" w:type="dxa"/>
            <w:shd w:val="clear" w:color="auto" w:fill="BDD6EE" w:themeFill="accent1" w:themeFillTint="66"/>
            <w:vAlign w:val="center"/>
            <w:hideMark/>
          </w:tcPr>
          <w:p w14:paraId="65EE3EAC" w14:textId="77777777" w:rsidR="00F06325" w:rsidRPr="001414A9" w:rsidRDefault="00F06325" w:rsidP="00EA6E0B">
            <w:pPr>
              <w:spacing w:before="0" w:after="0"/>
              <w:ind w:firstLine="0"/>
              <w:jc w:val="center"/>
              <w:rPr>
                <w:rFonts w:eastAsia="Times New Roman" w:cs="Times New Roman"/>
                <w:b/>
                <w:bCs/>
                <w:color w:val="000000"/>
                <w:sz w:val="20"/>
                <w:szCs w:val="20"/>
                <w:lang w:eastAsia="lv-LV"/>
              </w:rPr>
            </w:pPr>
            <w:r w:rsidRPr="001414A9">
              <w:rPr>
                <w:rFonts w:eastAsia="Times New Roman" w:cs="Times New Roman"/>
                <w:b/>
                <w:bCs/>
                <w:color w:val="000000"/>
                <w:sz w:val="20"/>
                <w:szCs w:val="20"/>
                <w:lang w:eastAsia="lv-LV"/>
              </w:rPr>
              <w:t>2026</w:t>
            </w:r>
          </w:p>
        </w:tc>
      </w:tr>
      <w:tr w:rsidR="00B63ACE" w:rsidRPr="00CE1CA8" w14:paraId="21B59EBD" w14:textId="77777777" w:rsidTr="0057346A">
        <w:trPr>
          <w:trHeight w:val="213"/>
        </w:trPr>
        <w:tc>
          <w:tcPr>
            <w:tcW w:w="5093" w:type="dxa"/>
            <w:shd w:val="clear" w:color="auto" w:fill="auto"/>
            <w:vAlign w:val="center"/>
          </w:tcPr>
          <w:p w14:paraId="40BC1A64" w14:textId="77777777" w:rsidR="00B63ACE" w:rsidRPr="001414A9" w:rsidRDefault="00B63ACE" w:rsidP="00EA6E0B">
            <w:pPr>
              <w:spacing w:before="0" w:after="0"/>
              <w:ind w:firstLine="0"/>
              <w:jc w:val="left"/>
              <w:rPr>
                <w:rFonts w:eastAsia="Times New Roman" w:cs="Times New Roman"/>
                <w:b/>
                <w:bCs/>
                <w:color w:val="000000"/>
                <w:sz w:val="20"/>
                <w:szCs w:val="20"/>
                <w:lang w:eastAsia="lv-LV"/>
              </w:rPr>
            </w:pPr>
          </w:p>
        </w:tc>
        <w:tc>
          <w:tcPr>
            <w:tcW w:w="3979" w:type="dxa"/>
            <w:gridSpan w:val="4"/>
            <w:shd w:val="clear" w:color="auto" w:fill="BDD6EE" w:themeFill="accent1" w:themeFillTint="66"/>
            <w:vAlign w:val="center"/>
          </w:tcPr>
          <w:p w14:paraId="76868552" w14:textId="66D684B6" w:rsidR="00B63ACE" w:rsidRPr="001414A9" w:rsidRDefault="00B63ACE" w:rsidP="00EA6E0B">
            <w:pPr>
              <w:spacing w:before="0" w:after="0"/>
              <w:ind w:firstLine="0"/>
              <w:jc w:val="center"/>
              <w:rPr>
                <w:b/>
                <w:bCs/>
                <w:color w:val="000000"/>
                <w:sz w:val="20"/>
                <w:szCs w:val="20"/>
              </w:rPr>
            </w:pPr>
            <w:r>
              <w:rPr>
                <w:b/>
                <w:bCs/>
                <w:color w:val="000000"/>
                <w:sz w:val="20"/>
                <w:szCs w:val="20"/>
              </w:rPr>
              <w:t>prognoze</w:t>
            </w:r>
          </w:p>
        </w:tc>
      </w:tr>
      <w:tr w:rsidR="00F06325" w:rsidRPr="00CE1CA8" w14:paraId="2AAE13EE" w14:textId="77777777" w:rsidTr="00EA6E0B">
        <w:trPr>
          <w:trHeight w:val="213"/>
        </w:trPr>
        <w:tc>
          <w:tcPr>
            <w:tcW w:w="5093" w:type="dxa"/>
            <w:shd w:val="clear" w:color="auto" w:fill="auto"/>
            <w:vAlign w:val="center"/>
          </w:tcPr>
          <w:p w14:paraId="66EBD3D1" w14:textId="77777777" w:rsidR="00F06325" w:rsidRPr="001414A9" w:rsidRDefault="00F06325" w:rsidP="00EA6E0B">
            <w:pPr>
              <w:spacing w:before="0" w:after="0"/>
              <w:ind w:firstLine="0"/>
              <w:jc w:val="left"/>
              <w:rPr>
                <w:rFonts w:ascii="Calibri" w:eastAsia="Times New Roman" w:hAnsi="Calibri" w:cs="Calibri"/>
                <w:color w:val="000000"/>
                <w:sz w:val="22"/>
                <w:lang w:eastAsia="lv-LV"/>
              </w:rPr>
            </w:pPr>
            <w:r w:rsidRPr="001414A9">
              <w:rPr>
                <w:rFonts w:eastAsia="Times New Roman" w:cs="Times New Roman"/>
                <w:b/>
                <w:bCs/>
                <w:color w:val="000000"/>
                <w:sz w:val="20"/>
                <w:szCs w:val="20"/>
                <w:lang w:eastAsia="lv-LV"/>
              </w:rPr>
              <w:t>Vispārējās valdības budžeta bilance, % no IKP</w:t>
            </w:r>
          </w:p>
        </w:tc>
        <w:tc>
          <w:tcPr>
            <w:tcW w:w="993" w:type="dxa"/>
            <w:shd w:val="clear" w:color="auto" w:fill="BDD6EE" w:themeFill="accent1" w:themeFillTint="66"/>
            <w:vAlign w:val="center"/>
          </w:tcPr>
          <w:p w14:paraId="0029D877" w14:textId="77777777" w:rsidR="00F06325" w:rsidRPr="001414A9" w:rsidRDefault="00F06325" w:rsidP="00EA6E0B">
            <w:pPr>
              <w:spacing w:before="0" w:after="0"/>
              <w:ind w:firstLine="0"/>
              <w:jc w:val="center"/>
              <w:rPr>
                <w:rFonts w:eastAsia="Times New Roman" w:cs="Times New Roman"/>
                <w:b/>
                <w:bCs/>
                <w:color w:val="000000"/>
                <w:sz w:val="20"/>
                <w:szCs w:val="20"/>
                <w:lang w:eastAsia="lv-LV"/>
              </w:rPr>
            </w:pPr>
            <w:r w:rsidRPr="001414A9">
              <w:rPr>
                <w:b/>
                <w:bCs/>
                <w:color w:val="000000"/>
                <w:sz w:val="20"/>
                <w:szCs w:val="20"/>
              </w:rPr>
              <w:t>-3,0</w:t>
            </w:r>
          </w:p>
        </w:tc>
        <w:tc>
          <w:tcPr>
            <w:tcW w:w="992" w:type="dxa"/>
            <w:shd w:val="clear" w:color="auto" w:fill="BDD6EE" w:themeFill="accent1" w:themeFillTint="66"/>
            <w:vAlign w:val="center"/>
          </w:tcPr>
          <w:p w14:paraId="6061F10B" w14:textId="77777777" w:rsidR="00F06325" w:rsidRPr="001414A9" w:rsidRDefault="00F06325" w:rsidP="00EA6E0B">
            <w:pPr>
              <w:spacing w:before="0" w:after="0"/>
              <w:ind w:firstLine="0"/>
              <w:jc w:val="center"/>
              <w:rPr>
                <w:rFonts w:eastAsia="Times New Roman" w:cs="Times New Roman"/>
                <w:b/>
                <w:bCs/>
                <w:color w:val="000000"/>
                <w:sz w:val="20"/>
                <w:szCs w:val="20"/>
                <w:lang w:eastAsia="lv-LV"/>
              </w:rPr>
            </w:pPr>
            <w:r w:rsidRPr="001414A9">
              <w:rPr>
                <w:b/>
                <w:bCs/>
                <w:color w:val="000000"/>
                <w:sz w:val="20"/>
                <w:szCs w:val="20"/>
              </w:rPr>
              <w:t>-2,8</w:t>
            </w:r>
          </w:p>
        </w:tc>
        <w:tc>
          <w:tcPr>
            <w:tcW w:w="975" w:type="dxa"/>
            <w:shd w:val="clear" w:color="auto" w:fill="BDD6EE" w:themeFill="accent1" w:themeFillTint="66"/>
            <w:vAlign w:val="center"/>
          </w:tcPr>
          <w:p w14:paraId="28692C75" w14:textId="77777777" w:rsidR="00F06325" w:rsidRPr="001414A9" w:rsidRDefault="00F06325" w:rsidP="00EA6E0B">
            <w:pPr>
              <w:spacing w:before="0" w:after="0"/>
              <w:ind w:firstLine="0"/>
              <w:jc w:val="center"/>
              <w:rPr>
                <w:rFonts w:eastAsia="Times New Roman" w:cs="Times New Roman"/>
                <w:b/>
                <w:bCs/>
                <w:color w:val="000000"/>
                <w:sz w:val="20"/>
                <w:szCs w:val="20"/>
                <w:lang w:eastAsia="lv-LV"/>
              </w:rPr>
            </w:pPr>
            <w:r w:rsidRPr="001414A9">
              <w:rPr>
                <w:b/>
                <w:bCs/>
                <w:color w:val="000000"/>
                <w:sz w:val="20"/>
                <w:szCs w:val="20"/>
              </w:rPr>
              <w:t>-1,9</w:t>
            </w:r>
          </w:p>
        </w:tc>
        <w:tc>
          <w:tcPr>
            <w:tcW w:w="1019" w:type="dxa"/>
            <w:shd w:val="clear" w:color="auto" w:fill="BDD6EE" w:themeFill="accent1" w:themeFillTint="66"/>
            <w:vAlign w:val="center"/>
          </w:tcPr>
          <w:p w14:paraId="65DB5739" w14:textId="77777777" w:rsidR="00F06325" w:rsidRPr="001414A9" w:rsidRDefault="00F06325" w:rsidP="00EA6E0B">
            <w:pPr>
              <w:spacing w:before="0" w:after="0"/>
              <w:ind w:firstLine="0"/>
              <w:jc w:val="center"/>
              <w:rPr>
                <w:rFonts w:eastAsia="Times New Roman" w:cs="Times New Roman"/>
                <w:b/>
                <w:bCs/>
                <w:color w:val="000000"/>
                <w:sz w:val="20"/>
                <w:szCs w:val="20"/>
                <w:lang w:eastAsia="lv-LV"/>
              </w:rPr>
            </w:pPr>
            <w:r w:rsidRPr="001414A9">
              <w:rPr>
                <w:b/>
                <w:bCs/>
                <w:color w:val="000000"/>
                <w:sz w:val="20"/>
                <w:szCs w:val="20"/>
              </w:rPr>
              <w:t>-0,4</w:t>
            </w:r>
          </w:p>
        </w:tc>
      </w:tr>
      <w:tr w:rsidR="00F06325" w:rsidRPr="00CE1CA8" w14:paraId="53873722" w14:textId="77777777" w:rsidTr="00EA6E0B">
        <w:trPr>
          <w:trHeight w:val="213"/>
        </w:trPr>
        <w:tc>
          <w:tcPr>
            <w:tcW w:w="5093" w:type="dxa"/>
            <w:shd w:val="clear" w:color="auto" w:fill="auto"/>
            <w:vAlign w:val="center"/>
          </w:tcPr>
          <w:p w14:paraId="733F4C5A" w14:textId="77777777" w:rsidR="00F06325" w:rsidRPr="001414A9" w:rsidRDefault="00F06325" w:rsidP="00EA6E0B">
            <w:pPr>
              <w:spacing w:before="0" w:after="0"/>
              <w:ind w:firstLine="0"/>
              <w:jc w:val="left"/>
              <w:rPr>
                <w:rFonts w:ascii="Calibri" w:eastAsia="Times New Roman" w:hAnsi="Calibri" w:cs="Calibri"/>
                <w:noProof/>
                <w:color w:val="000000"/>
                <w:sz w:val="22"/>
                <w:lang w:eastAsia="lv-LV"/>
              </w:rPr>
            </w:pPr>
            <w:r w:rsidRPr="001414A9">
              <w:rPr>
                <w:rFonts w:eastAsia="Times New Roman" w:cs="Times New Roman"/>
                <w:noProof/>
                <w:color w:val="000000"/>
                <w:sz w:val="20"/>
                <w:szCs w:val="20"/>
                <w:lang w:eastAsia="lv-LV"/>
              </w:rPr>
              <w:t xml:space="preserve">Vispārējās valdības budžeta bilance, milj. </w:t>
            </w:r>
            <w:r w:rsidRPr="001414A9">
              <w:rPr>
                <w:rFonts w:eastAsia="Times New Roman" w:cs="Times New Roman"/>
                <w:i/>
                <w:noProof/>
                <w:color w:val="000000"/>
                <w:sz w:val="20"/>
                <w:szCs w:val="20"/>
                <w:lang w:eastAsia="lv-LV"/>
              </w:rPr>
              <w:t>euro</w:t>
            </w:r>
          </w:p>
        </w:tc>
        <w:tc>
          <w:tcPr>
            <w:tcW w:w="993" w:type="dxa"/>
            <w:shd w:val="clear" w:color="auto" w:fill="BDD6EE" w:themeFill="accent1" w:themeFillTint="66"/>
            <w:vAlign w:val="center"/>
          </w:tcPr>
          <w:p w14:paraId="5E61100E" w14:textId="77777777" w:rsidR="00F06325" w:rsidRPr="001414A9" w:rsidRDefault="00F06325" w:rsidP="00EA6E0B">
            <w:pPr>
              <w:spacing w:before="0" w:after="0"/>
              <w:ind w:firstLine="0"/>
              <w:jc w:val="center"/>
              <w:rPr>
                <w:rFonts w:eastAsia="Times New Roman" w:cs="Times New Roman"/>
                <w:b/>
                <w:bCs/>
                <w:color w:val="000000"/>
                <w:sz w:val="20"/>
                <w:szCs w:val="20"/>
                <w:lang w:eastAsia="lv-LV"/>
              </w:rPr>
            </w:pPr>
            <w:r w:rsidRPr="001414A9">
              <w:rPr>
                <w:color w:val="000000"/>
                <w:sz w:val="20"/>
                <w:szCs w:val="20"/>
              </w:rPr>
              <w:t>-1 305,9</w:t>
            </w:r>
          </w:p>
        </w:tc>
        <w:tc>
          <w:tcPr>
            <w:tcW w:w="992" w:type="dxa"/>
            <w:shd w:val="clear" w:color="auto" w:fill="BDD6EE" w:themeFill="accent1" w:themeFillTint="66"/>
            <w:vAlign w:val="center"/>
          </w:tcPr>
          <w:p w14:paraId="4CB1D090" w14:textId="77777777" w:rsidR="00F06325" w:rsidRPr="001414A9" w:rsidRDefault="00F06325" w:rsidP="00EA6E0B">
            <w:pPr>
              <w:spacing w:before="0" w:after="0"/>
              <w:ind w:firstLine="0"/>
              <w:jc w:val="center"/>
              <w:rPr>
                <w:rFonts w:eastAsia="Times New Roman" w:cs="Times New Roman"/>
                <w:b/>
                <w:bCs/>
                <w:color w:val="000000"/>
                <w:sz w:val="20"/>
                <w:szCs w:val="20"/>
                <w:lang w:eastAsia="lv-LV"/>
              </w:rPr>
            </w:pPr>
            <w:r w:rsidRPr="001414A9">
              <w:rPr>
                <w:color w:val="000000"/>
                <w:sz w:val="20"/>
                <w:szCs w:val="20"/>
              </w:rPr>
              <w:t>-1 261,8</w:t>
            </w:r>
          </w:p>
        </w:tc>
        <w:tc>
          <w:tcPr>
            <w:tcW w:w="975" w:type="dxa"/>
            <w:shd w:val="clear" w:color="auto" w:fill="BDD6EE" w:themeFill="accent1" w:themeFillTint="66"/>
            <w:vAlign w:val="center"/>
          </w:tcPr>
          <w:p w14:paraId="5C9AF83B" w14:textId="77777777" w:rsidR="00F06325" w:rsidRPr="001414A9" w:rsidRDefault="00F06325" w:rsidP="00EA6E0B">
            <w:pPr>
              <w:spacing w:before="0" w:after="0"/>
              <w:ind w:firstLine="0"/>
              <w:jc w:val="center"/>
              <w:rPr>
                <w:rFonts w:eastAsia="Times New Roman" w:cs="Times New Roman"/>
                <w:b/>
                <w:bCs/>
                <w:color w:val="000000"/>
                <w:sz w:val="20"/>
                <w:szCs w:val="20"/>
                <w:lang w:eastAsia="lv-LV"/>
              </w:rPr>
            </w:pPr>
            <w:r w:rsidRPr="001414A9">
              <w:rPr>
                <w:color w:val="000000"/>
                <w:sz w:val="20"/>
                <w:szCs w:val="20"/>
              </w:rPr>
              <w:t>-923,2</w:t>
            </w:r>
          </w:p>
        </w:tc>
        <w:tc>
          <w:tcPr>
            <w:tcW w:w="1019" w:type="dxa"/>
            <w:shd w:val="clear" w:color="auto" w:fill="BDD6EE" w:themeFill="accent1" w:themeFillTint="66"/>
            <w:vAlign w:val="center"/>
          </w:tcPr>
          <w:p w14:paraId="4031DA0F" w14:textId="77777777" w:rsidR="00F06325" w:rsidRPr="001414A9" w:rsidRDefault="00F06325" w:rsidP="00EA6E0B">
            <w:pPr>
              <w:spacing w:before="0" w:after="0"/>
              <w:ind w:firstLine="0"/>
              <w:jc w:val="center"/>
              <w:rPr>
                <w:rFonts w:eastAsia="Times New Roman" w:cs="Times New Roman"/>
                <w:b/>
                <w:bCs/>
                <w:color w:val="000000"/>
                <w:sz w:val="20"/>
                <w:szCs w:val="20"/>
                <w:lang w:eastAsia="lv-LV"/>
              </w:rPr>
            </w:pPr>
            <w:r w:rsidRPr="001414A9">
              <w:rPr>
                <w:color w:val="000000"/>
                <w:sz w:val="20"/>
                <w:szCs w:val="20"/>
              </w:rPr>
              <w:t>-189,9</w:t>
            </w:r>
          </w:p>
        </w:tc>
      </w:tr>
      <w:tr w:rsidR="00F06325" w:rsidRPr="00CE1CA8" w14:paraId="01D998ED" w14:textId="77777777" w:rsidTr="00EA6E0B">
        <w:trPr>
          <w:trHeight w:val="355"/>
        </w:trPr>
        <w:tc>
          <w:tcPr>
            <w:tcW w:w="5093" w:type="dxa"/>
            <w:shd w:val="clear" w:color="auto" w:fill="auto"/>
            <w:vAlign w:val="center"/>
            <w:hideMark/>
          </w:tcPr>
          <w:p w14:paraId="055AEA59" w14:textId="77777777" w:rsidR="00F06325" w:rsidRPr="00EB0A50" w:rsidRDefault="00F06325" w:rsidP="00EA6E0B">
            <w:pPr>
              <w:spacing w:before="0" w:after="0"/>
              <w:ind w:firstLine="0"/>
              <w:rPr>
                <w:rFonts w:eastAsia="Times New Roman" w:cs="Times New Roman"/>
                <w:b/>
                <w:bCs/>
                <w:noProof/>
                <w:color w:val="000000"/>
                <w:sz w:val="20"/>
                <w:szCs w:val="20"/>
                <w:lang w:eastAsia="lv-LV"/>
              </w:rPr>
            </w:pPr>
            <w:r w:rsidRPr="00EB0A50">
              <w:rPr>
                <w:rFonts w:eastAsia="Times New Roman" w:cs="Times New Roman"/>
                <w:b/>
                <w:bCs/>
                <w:noProof/>
                <w:color w:val="000000"/>
                <w:sz w:val="20"/>
                <w:szCs w:val="20"/>
                <w:lang w:eastAsia="lv-LV"/>
              </w:rPr>
              <w:t>Vispārējās valdības budžeta bilances novirze no bāzes scenārija, % no IKP</w:t>
            </w:r>
          </w:p>
        </w:tc>
        <w:tc>
          <w:tcPr>
            <w:tcW w:w="993" w:type="dxa"/>
            <w:shd w:val="clear" w:color="auto" w:fill="BDD6EE" w:themeFill="accent1" w:themeFillTint="66"/>
            <w:vAlign w:val="center"/>
            <w:hideMark/>
          </w:tcPr>
          <w:p w14:paraId="0BDD0764"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-0,3</w:t>
            </w:r>
          </w:p>
        </w:tc>
        <w:tc>
          <w:tcPr>
            <w:tcW w:w="992" w:type="dxa"/>
            <w:shd w:val="clear" w:color="auto" w:fill="BDD6EE" w:themeFill="accent1" w:themeFillTint="66"/>
            <w:vAlign w:val="center"/>
            <w:hideMark/>
          </w:tcPr>
          <w:p w14:paraId="39713D81"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-0,5</w:t>
            </w:r>
          </w:p>
        </w:tc>
        <w:tc>
          <w:tcPr>
            <w:tcW w:w="975" w:type="dxa"/>
            <w:shd w:val="clear" w:color="auto" w:fill="BDD6EE" w:themeFill="accent1" w:themeFillTint="66"/>
            <w:vAlign w:val="center"/>
            <w:hideMark/>
          </w:tcPr>
          <w:p w14:paraId="48513DDA"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-0,6</w:t>
            </w:r>
          </w:p>
        </w:tc>
        <w:tc>
          <w:tcPr>
            <w:tcW w:w="1019" w:type="dxa"/>
            <w:shd w:val="clear" w:color="auto" w:fill="BDD6EE" w:themeFill="accent1" w:themeFillTint="66"/>
            <w:vAlign w:val="center"/>
            <w:hideMark/>
          </w:tcPr>
          <w:p w14:paraId="6FBEB2AD"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-0,5</w:t>
            </w:r>
          </w:p>
        </w:tc>
      </w:tr>
      <w:tr w:rsidR="00F06325" w:rsidRPr="00CE1CA8" w14:paraId="74194AC6" w14:textId="77777777" w:rsidTr="00EA6E0B">
        <w:trPr>
          <w:trHeight w:val="213"/>
        </w:trPr>
        <w:tc>
          <w:tcPr>
            <w:tcW w:w="5093" w:type="dxa"/>
            <w:shd w:val="clear" w:color="auto" w:fill="auto"/>
            <w:vAlign w:val="center"/>
            <w:hideMark/>
          </w:tcPr>
          <w:p w14:paraId="13CC7C2A" w14:textId="77777777" w:rsidR="00F06325" w:rsidRPr="00EB0A50" w:rsidRDefault="00F06325" w:rsidP="00EA6E0B">
            <w:pPr>
              <w:spacing w:before="0" w:after="0"/>
              <w:ind w:firstLine="0"/>
              <w:rPr>
                <w:rFonts w:eastAsia="Times New Roman" w:cs="Times New Roman"/>
                <w:b/>
                <w:bCs/>
                <w:noProof/>
                <w:color w:val="000000"/>
                <w:sz w:val="20"/>
                <w:szCs w:val="20"/>
                <w:lang w:eastAsia="lv-LV"/>
              </w:rPr>
            </w:pPr>
            <w:r w:rsidRPr="00EB0A50">
              <w:rPr>
                <w:rFonts w:eastAsia="Times New Roman" w:cs="Times New Roman"/>
                <w:b/>
                <w:bCs/>
                <w:noProof/>
                <w:color w:val="000000"/>
                <w:sz w:val="20"/>
                <w:szCs w:val="20"/>
                <w:lang w:eastAsia="lv-LV"/>
              </w:rPr>
              <w:t xml:space="preserve">Vispārējās valdības budžeta bilances novirze no bāzes scenārija, milj. </w:t>
            </w:r>
            <w:r w:rsidRPr="00EB0A50">
              <w:rPr>
                <w:rFonts w:eastAsia="Times New Roman" w:cs="Times New Roman"/>
                <w:b/>
                <w:bCs/>
                <w:i/>
                <w:noProof/>
                <w:color w:val="000000"/>
                <w:sz w:val="20"/>
                <w:szCs w:val="20"/>
                <w:lang w:eastAsia="lv-LV"/>
              </w:rPr>
              <w:t>euro</w:t>
            </w:r>
          </w:p>
        </w:tc>
        <w:tc>
          <w:tcPr>
            <w:tcW w:w="993" w:type="dxa"/>
            <w:shd w:val="clear" w:color="auto" w:fill="BDD6EE" w:themeFill="accent1" w:themeFillTint="66"/>
            <w:vAlign w:val="center"/>
            <w:hideMark/>
          </w:tcPr>
          <w:p w14:paraId="26C4165A"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-115,0</w:t>
            </w:r>
          </w:p>
        </w:tc>
        <w:tc>
          <w:tcPr>
            <w:tcW w:w="992" w:type="dxa"/>
            <w:shd w:val="clear" w:color="auto" w:fill="BDD6EE" w:themeFill="accent1" w:themeFillTint="66"/>
            <w:vAlign w:val="center"/>
            <w:hideMark/>
          </w:tcPr>
          <w:p w14:paraId="4B9A42ED"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-245,6</w:t>
            </w:r>
          </w:p>
        </w:tc>
        <w:tc>
          <w:tcPr>
            <w:tcW w:w="975" w:type="dxa"/>
            <w:shd w:val="clear" w:color="auto" w:fill="BDD6EE" w:themeFill="accent1" w:themeFillTint="66"/>
            <w:vAlign w:val="center"/>
            <w:hideMark/>
          </w:tcPr>
          <w:p w14:paraId="78065BD4"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-283,1</w:t>
            </w:r>
          </w:p>
        </w:tc>
        <w:tc>
          <w:tcPr>
            <w:tcW w:w="1019" w:type="dxa"/>
            <w:shd w:val="clear" w:color="auto" w:fill="BDD6EE" w:themeFill="accent1" w:themeFillTint="66"/>
            <w:vAlign w:val="center"/>
            <w:hideMark/>
          </w:tcPr>
          <w:p w14:paraId="26FDDD23"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-261,1</w:t>
            </w:r>
          </w:p>
        </w:tc>
      </w:tr>
      <w:tr w:rsidR="00F06325" w:rsidRPr="00CE1CA8" w14:paraId="5CF46EE5" w14:textId="77777777" w:rsidTr="00EA6E0B">
        <w:trPr>
          <w:trHeight w:val="213"/>
        </w:trPr>
        <w:tc>
          <w:tcPr>
            <w:tcW w:w="5093" w:type="dxa"/>
            <w:shd w:val="clear" w:color="auto" w:fill="auto"/>
            <w:vAlign w:val="center"/>
            <w:hideMark/>
          </w:tcPr>
          <w:p w14:paraId="09567D94" w14:textId="77777777" w:rsidR="00F06325" w:rsidRPr="001414A9" w:rsidRDefault="00F06325" w:rsidP="00EA6E0B">
            <w:pPr>
              <w:spacing w:before="0" w:after="0"/>
              <w:ind w:firstLineChars="100" w:firstLine="200"/>
              <w:jc w:val="left"/>
              <w:rPr>
                <w:rFonts w:eastAsia="Times New Roman" w:cs="Times New Roman"/>
                <w:noProof/>
                <w:color w:val="000000"/>
                <w:sz w:val="20"/>
                <w:szCs w:val="20"/>
                <w:lang w:eastAsia="lv-LV"/>
              </w:rPr>
            </w:pPr>
            <w:r w:rsidRPr="001414A9">
              <w:rPr>
                <w:rFonts w:eastAsia="Times New Roman" w:cs="Times New Roman"/>
                <w:noProof/>
                <w:color w:val="000000"/>
                <w:sz w:val="20"/>
                <w:szCs w:val="20"/>
                <w:lang w:eastAsia="lv-LV"/>
              </w:rPr>
              <w:t>Nodokļu ieņēmumi</w:t>
            </w:r>
          </w:p>
        </w:tc>
        <w:tc>
          <w:tcPr>
            <w:tcW w:w="993" w:type="dxa"/>
            <w:shd w:val="clear" w:color="auto" w:fill="BDD6EE" w:themeFill="accent1" w:themeFillTint="66"/>
            <w:vAlign w:val="center"/>
            <w:hideMark/>
          </w:tcPr>
          <w:p w14:paraId="561C3CC1" w14:textId="77777777" w:rsidR="00F06325" w:rsidRPr="001414A9" w:rsidRDefault="00F06325" w:rsidP="00EA6E0B">
            <w:pPr>
              <w:spacing w:before="0" w:after="0"/>
              <w:ind w:firstLine="0"/>
              <w:jc w:val="center"/>
              <w:rPr>
                <w:rFonts w:eastAsia="Times New Roman" w:cs="Times New Roman"/>
                <w:color w:val="000000"/>
                <w:sz w:val="20"/>
                <w:szCs w:val="20"/>
                <w:lang w:eastAsia="lv-LV"/>
              </w:rPr>
            </w:pPr>
            <w:r w:rsidRPr="001414A9">
              <w:rPr>
                <w:color w:val="000000"/>
                <w:sz w:val="20"/>
                <w:szCs w:val="20"/>
              </w:rPr>
              <w:t>-90,9</w:t>
            </w:r>
          </w:p>
        </w:tc>
        <w:tc>
          <w:tcPr>
            <w:tcW w:w="992" w:type="dxa"/>
            <w:shd w:val="clear" w:color="auto" w:fill="BDD6EE" w:themeFill="accent1" w:themeFillTint="66"/>
            <w:vAlign w:val="center"/>
            <w:hideMark/>
          </w:tcPr>
          <w:p w14:paraId="1453957A" w14:textId="77777777" w:rsidR="00F06325" w:rsidRPr="001414A9" w:rsidRDefault="00F06325" w:rsidP="00EA6E0B">
            <w:pPr>
              <w:spacing w:before="0" w:after="0"/>
              <w:ind w:firstLine="0"/>
              <w:jc w:val="center"/>
              <w:rPr>
                <w:rFonts w:eastAsia="Times New Roman" w:cs="Times New Roman"/>
                <w:color w:val="000000"/>
                <w:sz w:val="20"/>
                <w:szCs w:val="20"/>
                <w:lang w:eastAsia="lv-LV"/>
              </w:rPr>
            </w:pPr>
            <w:r w:rsidRPr="001414A9">
              <w:rPr>
                <w:color w:val="000000"/>
                <w:sz w:val="20"/>
                <w:szCs w:val="20"/>
              </w:rPr>
              <w:t>-167,8</w:t>
            </w:r>
          </w:p>
        </w:tc>
        <w:tc>
          <w:tcPr>
            <w:tcW w:w="975" w:type="dxa"/>
            <w:shd w:val="clear" w:color="auto" w:fill="BDD6EE" w:themeFill="accent1" w:themeFillTint="66"/>
            <w:vAlign w:val="center"/>
            <w:hideMark/>
          </w:tcPr>
          <w:p w14:paraId="659A293B" w14:textId="77777777" w:rsidR="00F06325" w:rsidRPr="001414A9" w:rsidRDefault="00F06325" w:rsidP="00EA6E0B">
            <w:pPr>
              <w:spacing w:before="0" w:after="0"/>
              <w:ind w:firstLine="0"/>
              <w:jc w:val="center"/>
              <w:rPr>
                <w:rFonts w:eastAsia="Times New Roman" w:cs="Times New Roman"/>
                <w:color w:val="000000"/>
                <w:sz w:val="20"/>
                <w:szCs w:val="20"/>
                <w:lang w:eastAsia="lv-LV"/>
              </w:rPr>
            </w:pPr>
            <w:r w:rsidRPr="001414A9">
              <w:rPr>
                <w:color w:val="000000"/>
                <w:sz w:val="20"/>
                <w:szCs w:val="20"/>
              </w:rPr>
              <w:t>-220,2</w:t>
            </w:r>
          </w:p>
        </w:tc>
        <w:tc>
          <w:tcPr>
            <w:tcW w:w="1019" w:type="dxa"/>
            <w:shd w:val="clear" w:color="auto" w:fill="BDD6EE" w:themeFill="accent1" w:themeFillTint="66"/>
            <w:vAlign w:val="center"/>
            <w:hideMark/>
          </w:tcPr>
          <w:p w14:paraId="662CBA50" w14:textId="77777777" w:rsidR="00F06325" w:rsidRPr="001414A9" w:rsidRDefault="00F06325" w:rsidP="00EA6E0B">
            <w:pPr>
              <w:spacing w:before="0" w:after="0"/>
              <w:ind w:firstLine="0"/>
              <w:jc w:val="center"/>
              <w:rPr>
                <w:rFonts w:eastAsia="Times New Roman" w:cs="Times New Roman"/>
                <w:color w:val="000000"/>
                <w:sz w:val="20"/>
                <w:szCs w:val="20"/>
                <w:lang w:eastAsia="lv-LV"/>
              </w:rPr>
            </w:pPr>
            <w:r w:rsidRPr="001414A9">
              <w:rPr>
                <w:color w:val="000000"/>
                <w:sz w:val="20"/>
                <w:szCs w:val="20"/>
              </w:rPr>
              <w:t>-227,9</w:t>
            </w:r>
          </w:p>
        </w:tc>
      </w:tr>
      <w:tr w:rsidR="00F06325" w:rsidRPr="00CE1CA8" w14:paraId="61298F1D" w14:textId="77777777" w:rsidTr="00EA6E0B">
        <w:trPr>
          <w:trHeight w:val="213"/>
        </w:trPr>
        <w:tc>
          <w:tcPr>
            <w:tcW w:w="5093" w:type="dxa"/>
            <w:shd w:val="clear" w:color="auto" w:fill="auto"/>
            <w:vAlign w:val="center"/>
            <w:hideMark/>
          </w:tcPr>
          <w:p w14:paraId="284F2D3F" w14:textId="77777777" w:rsidR="00F06325" w:rsidRPr="001414A9" w:rsidRDefault="00F06325" w:rsidP="00EA6E0B">
            <w:pPr>
              <w:spacing w:before="0" w:after="0"/>
              <w:ind w:firstLine="0"/>
              <w:jc w:val="right"/>
              <w:rPr>
                <w:rFonts w:eastAsia="Times New Roman" w:cs="Times New Roman"/>
                <w:i/>
                <w:iCs/>
                <w:noProof/>
                <w:color w:val="000000"/>
                <w:sz w:val="18"/>
                <w:szCs w:val="18"/>
                <w:lang w:eastAsia="lv-LV"/>
              </w:rPr>
            </w:pPr>
            <w:r w:rsidRPr="001414A9">
              <w:rPr>
                <w:rFonts w:eastAsia="Times New Roman" w:cs="Times New Roman"/>
                <w:i/>
                <w:iCs/>
                <w:noProof/>
                <w:color w:val="000000"/>
                <w:sz w:val="18"/>
                <w:szCs w:val="18"/>
                <w:lang w:eastAsia="lv-LV"/>
              </w:rPr>
              <w:t>Iedzīvotāju ienākuma nodoklis</w:t>
            </w:r>
          </w:p>
        </w:tc>
        <w:tc>
          <w:tcPr>
            <w:tcW w:w="993" w:type="dxa"/>
            <w:shd w:val="clear" w:color="auto" w:fill="BDD6EE" w:themeFill="accent1" w:themeFillTint="66"/>
            <w:hideMark/>
          </w:tcPr>
          <w:p w14:paraId="00878C81"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rFonts w:ascii="Times New Roman Baltic" w:hAnsi="Times New Roman Baltic" w:cs="Times New Roman Baltic"/>
                <w:i/>
                <w:iCs/>
                <w:sz w:val="20"/>
                <w:szCs w:val="20"/>
              </w:rPr>
              <w:t>-24,2</w:t>
            </w:r>
          </w:p>
        </w:tc>
        <w:tc>
          <w:tcPr>
            <w:tcW w:w="992" w:type="dxa"/>
            <w:shd w:val="clear" w:color="auto" w:fill="BDD6EE" w:themeFill="accent1" w:themeFillTint="66"/>
            <w:hideMark/>
          </w:tcPr>
          <w:p w14:paraId="6B25D055"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rFonts w:ascii="Times New Roman Baltic" w:hAnsi="Times New Roman Baltic" w:cs="Times New Roman Baltic"/>
                <w:i/>
                <w:iCs/>
                <w:sz w:val="20"/>
                <w:szCs w:val="20"/>
              </w:rPr>
              <w:t>-62,1</w:t>
            </w:r>
          </w:p>
        </w:tc>
        <w:tc>
          <w:tcPr>
            <w:tcW w:w="975" w:type="dxa"/>
            <w:shd w:val="clear" w:color="auto" w:fill="BDD6EE" w:themeFill="accent1" w:themeFillTint="66"/>
            <w:hideMark/>
          </w:tcPr>
          <w:p w14:paraId="24B631CF"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rFonts w:ascii="Times New Roman Baltic" w:hAnsi="Times New Roman Baltic" w:cs="Times New Roman Baltic"/>
                <w:i/>
                <w:iCs/>
                <w:sz w:val="20"/>
                <w:szCs w:val="20"/>
              </w:rPr>
              <w:t>-60,7</w:t>
            </w:r>
          </w:p>
        </w:tc>
        <w:tc>
          <w:tcPr>
            <w:tcW w:w="1019" w:type="dxa"/>
            <w:shd w:val="clear" w:color="auto" w:fill="BDD6EE" w:themeFill="accent1" w:themeFillTint="66"/>
            <w:hideMark/>
          </w:tcPr>
          <w:p w14:paraId="7CA1AAFC"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rFonts w:ascii="Times New Roman Baltic" w:hAnsi="Times New Roman Baltic" w:cs="Times New Roman Baltic"/>
                <w:i/>
                <w:iCs/>
                <w:sz w:val="20"/>
                <w:szCs w:val="20"/>
              </w:rPr>
              <w:t>-59,6</w:t>
            </w:r>
          </w:p>
        </w:tc>
      </w:tr>
      <w:tr w:rsidR="00F06325" w:rsidRPr="00CE1CA8" w14:paraId="7B6EEB60" w14:textId="77777777" w:rsidTr="00EA6E0B">
        <w:trPr>
          <w:trHeight w:val="213"/>
        </w:trPr>
        <w:tc>
          <w:tcPr>
            <w:tcW w:w="5093" w:type="dxa"/>
            <w:shd w:val="clear" w:color="auto" w:fill="auto"/>
            <w:vAlign w:val="center"/>
            <w:hideMark/>
          </w:tcPr>
          <w:p w14:paraId="12643842" w14:textId="77777777" w:rsidR="00F06325" w:rsidRPr="001414A9" w:rsidRDefault="00F06325" w:rsidP="00EA6E0B">
            <w:pPr>
              <w:spacing w:before="0" w:after="0"/>
              <w:ind w:firstLine="0"/>
              <w:jc w:val="right"/>
              <w:rPr>
                <w:rFonts w:eastAsia="Times New Roman" w:cs="Times New Roman"/>
                <w:i/>
                <w:iCs/>
                <w:noProof/>
                <w:color w:val="000000"/>
                <w:sz w:val="18"/>
                <w:szCs w:val="18"/>
                <w:lang w:eastAsia="lv-LV"/>
              </w:rPr>
            </w:pPr>
            <w:r w:rsidRPr="001414A9">
              <w:rPr>
                <w:rFonts w:eastAsia="Times New Roman" w:cs="Times New Roman"/>
                <w:i/>
                <w:iCs/>
                <w:noProof/>
                <w:color w:val="000000"/>
                <w:sz w:val="18"/>
                <w:szCs w:val="18"/>
                <w:lang w:eastAsia="lv-LV"/>
              </w:rPr>
              <w:t>Uzņēmuma ienākuma nodoklis</w:t>
            </w:r>
          </w:p>
        </w:tc>
        <w:tc>
          <w:tcPr>
            <w:tcW w:w="993" w:type="dxa"/>
            <w:shd w:val="clear" w:color="auto" w:fill="BDD6EE" w:themeFill="accent1" w:themeFillTint="66"/>
            <w:vAlign w:val="center"/>
            <w:hideMark/>
          </w:tcPr>
          <w:p w14:paraId="29CF04F5"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-2,7</w:t>
            </w:r>
          </w:p>
        </w:tc>
        <w:tc>
          <w:tcPr>
            <w:tcW w:w="992" w:type="dxa"/>
            <w:shd w:val="clear" w:color="auto" w:fill="BDD6EE" w:themeFill="accent1" w:themeFillTint="66"/>
            <w:vAlign w:val="center"/>
            <w:hideMark/>
          </w:tcPr>
          <w:p w14:paraId="05FE01B3"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1,0</w:t>
            </w:r>
          </w:p>
        </w:tc>
        <w:tc>
          <w:tcPr>
            <w:tcW w:w="975" w:type="dxa"/>
            <w:shd w:val="clear" w:color="auto" w:fill="BDD6EE" w:themeFill="accent1" w:themeFillTint="66"/>
            <w:vAlign w:val="center"/>
            <w:hideMark/>
          </w:tcPr>
          <w:p w14:paraId="7C93E992"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-3,4</w:t>
            </w:r>
          </w:p>
        </w:tc>
        <w:tc>
          <w:tcPr>
            <w:tcW w:w="1019" w:type="dxa"/>
            <w:shd w:val="clear" w:color="auto" w:fill="BDD6EE" w:themeFill="accent1" w:themeFillTint="66"/>
            <w:vAlign w:val="center"/>
            <w:hideMark/>
          </w:tcPr>
          <w:p w14:paraId="5174730F"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-3,8</w:t>
            </w:r>
          </w:p>
        </w:tc>
      </w:tr>
      <w:tr w:rsidR="00F06325" w:rsidRPr="00CE1CA8" w14:paraId="0395D513" w14:textId="77777777" w:rsidTr="00EA6E0B">
        <w:trPr>
          <w:trHeight w:val="213"/>
        </w:trPr>
        <w:tc>
          <w:tcPr>
            <w:tcW w:w="5093" w:type="dxa"/>
            <w:shd w:val="clear" w:color="auto" w:fill="auto"/>
            <w:vAlign w:val="center"/>
            <w:hideMark/>
          </w:tcPr>
          <w:p w14:paraId="6948B56A" w14:textId="77777777" w:rsidR="00F06325" w:rsidRPr="001414A9" w:rsidRDefault="00F06325" w:rsidP="00EA6E0B">
            <w:pPr>
              <w:spacing w:before="0" w:after="0"/>
              <w:ind w:firstLine="0"/>
              <w:jc w:val="right"/>
              <w:rPr>
                <w:rFonts w:eastAsia="Times New Roman" w:cs="Times New Roman"/>
                <w:i/>
                <w:iCs/>
                <w:noProof/>
                <w:color w:val="000000"/>
                <w:sz w:val="18"/>
                <w:szCs w:val="18"/>
                <w:lang w:eastAsia="lv-LV"/>
              </w:rPr>
            </w:pPr>
            <w:r w:rsidRPr="001414A9">
              <w:rPr>
                <w:rFonts w:eastAsia="Times New Roman" w:cs="Times New Roman"/>
                <w:i/>
                <w:iCs/>
                <w:noProof/>
                <w:color w:val="000000"/>
                <w:sz w:val="18"/>
                <w:szCs w:val="18"/>
                <w:lang w:eastAsia="lv-LV"/>
              </w:rPr>
              <w:t>Pievienotās vērtības nodoklis</w:t>
            </w:r>
          </w:p>
        </w:tc>
        <w:tc>
          <w:tcPr>
            <w:tcW w:w="993" w:type="dxa"/>
            <w:shd w:val="clear" w:color="auto" w:fill="BDD6EE" w:themeFill="accent1" w:themeFillTint="66"/>
            <w:vAlign w:val="center"/>
            <w:hideMark/>
          </w:tcPr>
          <w:p w14:paraId="256480F2"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-21,3</w:t>
            </w:r>
          </w:p>
        </w:tc>
        <w:tc>
          <w:tcPr>
            <w:tcW w:w="992" w:type="dxa"/>
            <w:shd w:val="clear" w:color="auto" w:fill="BDD6EE" w:themeFill="accent1" w:themeFillTint="66"/>
            <w:vAlign w:val="center"/>
            <w:hideMark/>
          </w:tcPr>
          <w:p w14:paraId="1BB38ACC"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7,6</w:t>
            </w:r>
          </w:p>
        </w:tc>
        <w:tc>
          <w:tcPr>
            <w:tcW w:w="975" w:type="dxa"/>
            <w:shd w:val="clear" w:color="auto" w:fill="BDD6EE" w:themeFill="accent1" w:themeFillTint="66"/>
            <w:vAlign w:val="center"/>
            <w:hideMark/>
          </w:tcPr>
          <w:p w14:paraId="51E08781"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-25,3</w:t>
            </w:r>
          </w:p>
        </w:tc>
        <w:tc>
          <w:tcPr>
            <w:tcW w:w="1019" w:type="dxa"/>
            <w:shd w:val="clear" w:color="auto" w:fill="BDD6EE" w:themeFill="accent1" w:themeFillTint="66"/>
            <w:vAlign w:val="center"/>
            <w:hideMark/>
          </w:tcPr>
          <w:p w14:paraId="2DBB4013"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-27,6</w:t>
            </w:r>
          </w:p>
        </w:tc>
      </w:tr>
      <w:tr w:rsidR="00F06325" w:rsidRPr="00CE1CA8" w14:paraId="7B51BF81" w14:textId="77777777" w:rsidTr="00EA6E0B">
        <w:trPr>
          <w:trHeight w:val="84"/>
        </w:trPr>
        <w:tc>
          <w:tcPr>
            <w:tcW w:w="5093" w:type="dxa"/>
            <w:shd w:val="clear" w:color="auto" w:fill="auto"/>
            <w:vAlign w:val="bottom"/>
            <w:hideMark/>
          </w:tcPr>
          <w:p w14:paraId="261BE7E9" w14:textId="77777777" w:rsidR="00F06325" w:rsidRPr="001414A9" w:rsidRDefault="00F06325" w:rsidP="00EA6E0B">
            <w:pPr>
              <w:spacing w:before="0" w:after="0"/>
              <w:ind w:firstLine="0"/>
              <w:jc w:val="right"/>
              <w:rPr>
                <w:rFonts w:eastAsia="Times New Roman" w:cs="Times New Roman"/>
                <w:i/>
                <w:iCs/>
                <w:noProof/>
                <w:color w:val="000000"/>
                <w:sz w:val="18"/>
                <w:szCs w:val="18"/>
                <w:lang w:eastAsia="lv-LV"/>
              </w:rPr>
            </w:pPr>
            <w:bookmarkStart w:id="11" w:name="RANGE!A13"/>
            <w:r w:rsidRPr="001414A9">
              <w:rPr>
                <w:rFonts w:eastAsia="Times New Roman" w:cs="Times New Roman"/>
                <w:i/>
                <w:iCs/>
                <w:noProof/>
                <w:color w:val="000000"/>
                <w:sz w:val="18"/>
                <w:szCs w:val="18"/>
                <w:lang w:eastAsia="lv-LV"/>
              </w:rPr>
              <w:t>Valsts sociālās apdrošināšanas obligātās  iemaksas</w:t>
            </w:r>
            <w:bookmarkEnd w:id="11"/>
          </w:p>
        </w:tc>
        <w:tc>
          <w:tcPr>
            <w:tcW w:w="993" w:type="dxa"/>
            <w:shd w:val="clear" w:color="auto" w:fill="BDD6EE" w:themeFill="accent1" w:themeFillTint="66"/>
            <w:vAlign w:val="center"/>
            <w:hideMark/>
          </w:tcPr>
          <w:p w14:paraId="179C9D5B"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-32,2</w:t>
            </w:r>
          </w:p>
        </w:tc>
        <w:tc>
          <w:tcPr>
            <w:tcW w:w="992" w:type="dxa"/>
            <w:shd w:val="clear" w:color="auto" w:fill="BDD6EE" w:themeFill="accent1" w:themeFillTint="66"/>
            <w:vAlign w:val="center"/>
            <w:hideMark/>
          </w:tcPr>
          <w:p w14:paraId="6E4D5903"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-100,8</w:t>
            </w:r>
          </w:p>
        </w:tc>
        <w:tc>
          <w:tcPr>
            <w:tcW w:w="975" w:type="dxa"/>
            <w:shd w:val="clear" w:color="auto" w:fill="BDD6EE" w:themeFill="accent1" w:themeFillTint="66"/>
            <w:vAlign w:val="center"/>
            <w:hideMark/>
          </w:tcPr>
          <w:p w14:paraId="285CC7B2"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-111,0</w:t>
            </w:r>
          </w:p>
        </w:tc>
        <w:tc>
          <w:tcPr>
            <w:tcW w:w="1019" w:type="dxa"/>
            <w:shd w:val="clear" w:color="auto" w:fill="BDD6EE" w:themeFill="accent1" w:themeFillTint="66"/>
            <w:vAlign w:val="center"/>
            <w:hideMark/>
          </w:tcPr>
          <w:p w14:paraId="0A65B808"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-117,5</w:t>
            </w:r>
          </w:p>
        </w:tc>
      </w:tr>
      <w:tr w:rsidR="00F06325" w:rsidRPr="00CE1CA8" w14:paraId="5F405980" w14:textId="77777777" w:rsidTr="00EA6E0B">
        <w:trPr>
          <w:trHeight w:val="213"/>
        </w:trPr>
        <w:tc>
          <w:tcPr>
            <w:tcW w:w="5093" w:type="dxa"/>
            <w:shd w:val="clear" w:color="auto" w:fill="auto"/>
            <w:vAlign w:val="center"/>
            <w:hideMark/>
          </w:tcPr>
          <w:p w14:paraId="0A2CA556" w14:textId="77777777" w:rsidR="00F06325" w:rsidRPr="001414A9" w:rsidRDefault="00F06325" w:rsidP="00EA6E0B">
            <w:pPr>
              <w:spacing w:before="0" w:after="0"/>
              <w:ind w:firstLine="0"/>
              <w:jc w:val="right"/>
              <w:rPr>
                <w:rFonts w:eastAsia="Times New Roman" w:cs="Times New Roman"/>
                <w:noProof/>
                <w:color w:val="000000"/>
                <w:sz w:val="18"/>
                <w:szCs w:val="18"/>
                <w:lang w:eastAsia="lv-LV"/>
              </w:rPr>
            </w:pPr>
            <w:r w:rsidRPr="001414A9">
              <w:rPr>
                <w:rFonts w:eastAsia="Times New Roman" w:cs="Times New Roman"/>
                <w:noProof/>
                <w:color w:val="000000"/>
                <w:sz w:val="18"/>
                <w:szCs w:val="18"/>
                <w:lang w:eastAsia="lv-LV"/>
              </w:rPr>
              <w:t xml:space="preserve">          </w:t>
            </w:r>
            <w:r w:rsidRPr="001414A9">
              <w:rPr>
                <w:rFonts w:eastAsia="Times New Roman" w:cs="Times New Roman"/>
                <w:i/>
                <w:iCs/>
                <w:noProof/>
                <w:color w:val="000000"/>
                <w:sz w:val="18"/>
                <w:szCs w:val="18"/>
                <w:lang w:eastAsia="lv-LV"/>
              </w:rPr>
              <w:t>Akcīzes nodoklis</w:t>
            </w:r>
          </w:p>
        </w:tc>
        <w:tc>
          <w:tcPr>
            <w:tcW w:w="993" w:type="dxa"/>
            <w:shd w:val="clear" w:color="auto" w:fill="BDD6EE" w:themeFill="accent1" w:themeFillTint="66"/>
            <w:vAlign w:val="center"/>
            <w:hideMark/>
          </w:tcPr>
          <w:p w14:paraId="6DCF9640"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-9,1</w:t>
            </w:r>
          </w:p>
        </w:tc>
        <w:tc>
          <w:tcPr>
            <w:tcW w:w="992" w:type="dxa"/>
            <w:shd w:val="clear" w:color="auto" w:fill="BDD6EE" w:themeFill="accent1" w:themeFillTint="66"/>
            <w:vAlign w:val="center"/>
            <w:hideMark/>
          </w:tcPr>
          <w:p w14:paraId="4FC4166D"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-12,9</w:t>
            </w:r>
          </w:p>
        </w:tc>
        <w:tc>
          <w:tcPr>
            <w:tcW w:w="975" w:type="dxa"/>
            <w:shd w:val="clear" w:color="auto" w:fill="BDD6EE" w:themeFill="accent1" w:themeFillTint="66"/>
            <w:vAlign w:val="center"/>
            <w:hideMark/>
          </w:tcPr>
          <w:p w14:paraId="309D3322"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-17,1</w:t>
            </w:r>
          </w:p>
        </w:tc>
        <w:tc>
          <w:tcPr>
            <w:tcW w:w="1019" w:type="dxa"/>
            <w:shd w:val="clear" w:color="auto" w:fill="BDD6EE" w:themeFill="accent1" w:themeFillTint="66"/>
            <w:vAlign w:val="center"/>
            <w:hideMark/>
          </w:tcPr>
          <w:p w14:paraId="19BF6989" w14:textId="77777777" w:rsidR="00F06325" w:rsidRPr="001414A9" w:rsidRDefault="00F06325" w:rsidP="00EA6E0B">
            <w:pPr>
              <w:spacing w:before="0" w:after="0"/>
              <w:ind w:firstLine="0"/>
              <w:jc w:val="center"/>
              <w:rPr>
                <w:rFonts w:eastAsia="Times New Roman" w:cs="Times New Roman"/>
                <w:color w:val="000000"/>
                <w:sz w:val="18"/>
                <w:szCs w:val="18"/>
                <w:lang w:eastAsia="lv-LV"/>
              </w:rPr>
            </w:pPr>
            <w:r w:rsidRPr="001414A9">
              <w:rPr>
                <w:i/>
                <w:iCs/>
                <w:color w:val="000000"/>
                <w:sz w:val="20"/>
                <w:szCs w:val="20"/>
              </w:rPr>
              <w:t>-16,6</w:t>
            </w:r>
          </w:p>
        </w:tc>
      </w:tr>
      <w:tr w:rsidR="00F06325" w:rsidRPr="00CE1CA8" w14:paraId="134BE448" w14:textId="77777777" w:rsidTr="00EA6E0B">
        <w:trPr>
          <w:trHeight w:val="213"/>
        </w:trPr>
        <w:tc>
          <w:tcPr>
            <w:tcW w:w="5093" w:type="dxa"/>
            <w:shd w:val="clear" w:color="auto" w:fill="auto"/>
            <w:vAlign w:val="center"/>
            <w:hideMark/>
          </w:tcPr>
          <w:p w14:paraId="42B66E33" w14:textId="77777777" w:rsidR="00F06325" w:rsidRPr="001414A9" w:rsidRDefault="00F06325" w:rsidP="00EA6E0B">
            <w:pPr>
              <w:spacing w:before="0" w:after="0"/>
              <w:ind w:firstLineChars="100" w:firstLine="200"/>
              <w:jc w:val="left"/>
              <w:rPr>
                <w:rFonts w:eastAsia="Times New Roman" w:cs="Times New Roman"/>
                <w:noProof/>
                <w:color w:val="000000"/>
                <w:sz w:val="20"/>
                <w:szCs w:val="20"/>
                <w:lang w:eastAsia="lv-LV"/>
              </w:rPr>
            </w:pPr>
            <w:r w:rsidRPr="001414A9">
              <w:rPr>
                <w:rFonts w:eastAsia="Times New Roman" w:cs="Times New Roman"/>
                <w:noProof/>
                <w:color w:val="000000"/>
                <w:sz w:val="20"/>
                <w:szCs w:val="20"/>
                <w:lang w:eastAsia="lv-LV"/>
              </w:rPr>
              <w:t>Nenodokļu ieņēmumi</w:t>
            </w:r>
          </w:p>
        </w:tc>
        <w:tc>
          <w:tcPr>
            <w:tcW w:w="993" w:type="dxa"/>
            <w:shd w:val="clear" w:color="auto" w:fill="BDD6EE" w:themeFill="accent1" w:themeFillTint="66"/>
            <w:vAlign w:val="center"/>
            <w:hideMark/>
          </w:tcPr>
          <w:p w14:paraId="6BAE672D" w14:textId="77777777" w:rsidR="00F06325" w:rsidRPr="001414A9" w:rsidRDefault="00F06325" w:rsidP="00EA6E0B">
            <w:pPr>
              <w:spacing w:before="0" w:after="0"/>
              <w:ind w:firstLine="0"/>
              <w:jc w:val="center"/>
              <w:rPr>
                <w:rFonts w:eastAsia="Times New Roman" w:cs="Times New Roman"/>
                <w:color w:val="000000"/>
                <w:sz w:val="20"/>
                <w:szCs w:val="20"/>
                <w:lang w:eastAsia="lv-LV"/>
              </w:rPr>
            </w:pPr>
            <w:r w:rsidRPr="001414A9">
              <w:rPr>
                <w:color w:val="000000"/>
                <w:sz w:val="20"/>
                <w:szCs w:val="20"/>
              </w:rPr>
              <w:t>-4,6</w:t>
            </w:r>
          </w:p>
        </w:tc>
        <w:tc>
          <w:tcPr>
            <w:tcW w:w="992" w:type="dxa"/>
            <w:shd w:val="clear" w:color="auto" w:fill="BDD6EE" w:themeFill="accent1" w:themeFillTint="66"/>
            <w:vAlign w:val="center"/>
            <w:hideMark/>
          </w:tcPr>
          <w:p w14:paraId="1CB92296" w14:textId="77777777" w:rsidR="00F06325" w:rsidRPr="001414A9" w:rsidRDefault="00F06325" w:rsidP="00EA6E0B">
            <w:pPr>
              <w:spacing w:before="0" w:after="0"/>
              <w:ind w:firstLine="0"/>
              <w:jc w:val="center"/>
              <w:rPr>
                <w:rFonts w:eastAsia="Times New Roman" w:cs="Times New Roman"/>
                <w:color w:val="000000"/>
                <w:sz w:val="20"/>
                <w:szCs w:val="20"/>
                <w:lang w:eastAsia="lv-LV"/>
              </w:rPr>
            </w:pPr>
            <w:r w:rsidRPr="001414A9">
              <w:rPr>
                <w:color w:val="000000"/>
                <w:sz w:val="20"/>
                <w:szCs w:val="20"/>
              </w:rPr>
              <w:t>1,2</w:t>
            </w:r>
          </w:p>
        </w:tc>
        <w:tc>
          <w:tcPr>
            <w:tcW w:w="975" w:type="dxa"/>
            <w:shd w:val="clear" w:color="auto" w:fill="BDD6EE" w:themeFill="accent1" w:themeFillTint="66"/>
            <w:vAlign w:val="center"/>
            <w:hideMark/>
          </w:tcPr>
          <w:p w14:paraId="05708413" w14:textId="77777777" w:rsidR="00F06325" w:rsidRPr="001414A9" w:rsidRDefault="00F06325" w:rsidP="00EA6E0B">
            <w:pPr>
              <w:spacing w:before="0" w:after="0"/>
              <w:ind w:firstLine="0"/>
              <w:jc w:val="center"/>
              <w:rPr>
                <w:rFonts w:eastAsia="Times New Roman" w:cs="Times New Roman"/>
                <w:color w:val="000000"/>
                <w:sz w:val="20"/>
                <w:szCs w:val="20"/>
                <w:lang w:eastAsia="lv-LV"/>
              </w:rPr>
            </w:pPr>
            <w:r w:rsidRPr="001414A9">
              <w:rPr>
                <w:color w:val="000000"/>
                <w:sz w:val="20"/>
                <w:szCs w:val="20"/>
              </w:rPr>
              <w:t>-3,8</w:t>
            </w:r>
          </w:p>
        </w:tc>
        <w:tc>
          <w:tcPr>
            <w:tcW w:w="1019" w:type="dxa"/>
            <w:shd w:val="clear" w:color="auto" w:fill="BDD6EE" w:themeFill="accent1" w:themeFillTint="66"/>
            <w:vAlign w:val="center"/>
            <w:hideMark/>
          </w:tcPr>
          <w:p w14:paraId="48878D7E" w14:textId="77777777" w:rsidR="00F06325" w:rsidRPr="001414A9" w:rsidRDefault="00F06325" w:rsidP="00EA6E0B">
            <w:pPr>
              <w:spacing w:before="0" w:after="0"/>
              <w:ind w:firstLine="0"/>
              <w:jc w:val="center"/>
              <w:rPr>
                <w:rFonts w:eastAsia="Times New Roman" w:cs="Times New Roman"/>
                <w:color w:val="000000"/>
                <w:sz w:val="20"/>
                <w:szCs w:val="20"/>
                <w:lang w:eastAsia="lv-LV"/>
              </w:rPr>
            </w:pPr>
            <w:r w:rsidRPr="001414A9">
              <w:rPr>
                <w:color w:val="000000"/>
                <w:sz w:val="20"/>
                <w:szCs w:val="20"/>
              </w:rPr>
              <w:t>-3,2</w:t>
            </w:r>
          </w:p>
        </w:tc>
      </w:tr>
      <w:tr w:rsidR="00F06325" w:rsidRPr="00CE1CA8" w14:paraId="26E2D9E8" w14:textId="77777777" w:rsidTr="00EA6E0B">
        <w:trPr>
          <w:trHeight w:val="213"/>
        </w:trPr>
        <w:tc>
          <w:tcPr>
            <w:tcW w:w="5093" w:type="dxa"/>
            <w:shd w:val="clear" w:color="auto" w:fill="auto"/>
            <w:vAlign w:val="center"/>
          </w:tcPr>
          <w:p w14:paraId="618158E6" w14:textId="77777777" w:rsidR="00F06325" w:rsidRPr="001414A9" w:rsidRDefault="00F06325" w:rsidP="00EA6E0B">
            <w:pPr>
              <w:spacing w:before="0" w:after="0"/>
              <w:ind w:firstLineChars="100" w:firstLine="200"/>
              <w:jc w:val="left"/>
              <w:rPr>
                <w:rFonts w:eastAsia="Times New Roman" w:cs="Times New Roman"/>
                <w:noProof/>
                <w:color w:val="000000"/>
                <w:sz w:val="20"/>
                <w:szCs w:val="20"/>
                <w:lang w:eastAsia="lv-LV"/>
              </w:rPr>
            </w:pPr>
            <w:r>
              <w:rPr>
                <w:rFonts w:eastAsia="Times New Roman" w:cs="Times New Roman"/>
                <w:noProof/>
                <w:color w:val="000000"/>
                <w:sz w:val="20"/>
                <w:szCs w:val="20"/>
                <w:lang w:eastAsia="lv-LV"/>
              </w:rPr>
              <w:t>Soc.p</w:t>
            </w:r>
            <w:r w:rsidRPr="001414A9">
              <w:rPr>
                <w:rFonts w:eastAsia="Times New Roman" w:cs="Times New Roman"/>
                <w:noProof/>
                <w:color w:val="000000"/>
                <w:sz w:val="20"/>
                <w:szCs w:val="20"/>
                <w:lang w:eastAsia="lv-LV"/>
              </w:rPr>
              <w:t>abalstu izdevumi</w:t>
            </w:r>
          </w:p>
        </w:tc>
        <w:tc>
          <w:tcPr>
            <w:tcW w:w="993" w:type="dxa"/>
            <w:shd w:val="clear" w:color="auto" w:fill="BDD6EE" w:themeFill="accent1" w:themeFillTint="66"/>
            <w:vAlign w:val="center"/>
          </w:tcPr>
          <w:p w14:paraId="3A3C58FB" w14:textId="77777777" w:rsidR="00F06325" w:rsidRPr="001414A9" w:rsidRDefault="00F06325" w:rsidP="00EA6E0B">
            <w:pPr>
              <w:spacing w:before="0" w:after="0"/>
              <w:ind w:firstLine="0"/>
              <w:jc w:val="center"/>
              <w:rPr>
                <w:color w:val="000000"/>
                <w:sz w:val="20"/>
                <w:szCs w:val="20"/>
              </w:rPr>
            </w:pPr>
            <w:r w:rsidRPr="001414A9">
              <w:rPr>
                <w:color w:val="000000"/>
                <w:sz w:val="20"/>
                <w:szCs w:val="20"/>
              </w:rPr>
              <w:t>19,5</w:t>
            </w:r>
          </w:p>
        </w:tc>
        <w:tc>
          <w:tcPr>
            <w:tcW w:w="992" w:type="dxa"/>
            <w:shd w:val="clear" w:color="auto" w:fill="BDD6EE" w:themeFill="accent1" w:themeFillTint="66"/>
            <w:vAlign w:val="center"/>
          </w:tcPr>
          <w:p w14:paraId="382E5E77" w14:textId="77777777" w:rsidR="00F06325" w:rsidRPr="001414A9" w:rsidRDefault="00F06325" w:rsidP="00EA6E0B">
            <w:pPr>
              <w:spacing w:before="0" w:after="0"/>
              <w:ind w:firstLine="0"/>
              <w:jc w:val="center"/>
              <w:rPr>
                <w:color w:val="000000"/>
                <w:sz w:val="20"/>
                <w:szCs w:val="20"/>
              </w:rPr>
            </w:pPr>
            <w:r w:rsidRPr="001414A9">
              <w:rPr>
                <w:color w:val="000000"/>
                <w:sz w:val="20"/>
                <w:szCs w:val="20"/>
              </w:rPr>
              <w:t>73,8</w:t>
            </w:r>
          </w:p>
        </w:tc>
        <w:tc>
          <w:tcPr>
            <w:tcW w:w="975" w:type="dxa"/>
            <w:shd w:val="clear" w:color="auto" w:fill="BDD6EE" w:themeFill="accent1" w:themeFillTint="66"/>
            <w:vAlign w:val="center"/>
          </w:tcPr>
          <w:p w14:paraId="65EAC76E" w14:textId="77777777" w:rsidR="00F06325" w:rsidRPr="001414A9" w:rsidRDefault="00F06325" w:rsidP="00EA6E0B">
            <w:pPr>
              <w:spacing w:before="0" w:after="0"/>
              <w:ind w:firstLine="0"/>
              <w:jc w:val="center"/>
              <w:rPr>
                <w:color w:val="000000"/>
                <w:sz w:val="20"/>
                <w:szCs w:val="20"/>
              </w:rPr>
            </w:pPr>
            <w:r w:rsidRPr="001414A9">
              <w:rPr>
                <w:color w:val="000000"/>
                <w:sz w:val="20"/>
                <w:szCs w:val="20"/>
              </w:rPr>
              <w:t>43,5</w:t>
            </w:r>
          </w:p>
        </w:tc>
        <w:tc>
          <w:tcPr>
            <w:tcW w:w="1019" w:type="dxa"/>
            <w:shd w:val="clear" w:color="auto" w:fill="BDD6EE" w:themeFill="accent1" w:themeFillTint="66"/>
            <w:vAlign w:val="center"/>
          </w:tcPr>
          <w:p w14:paraId="7AF1BCBF" w14:textId="77777777" w:rsidR="00F06325" w:rsidRPr="001414A9" w:rsidRDefault="00F06325" w:rsidP="00EA6E0B">
            <w:pPr>
              <w:spacing w:before="0" w:after="0"/>
              <w:ind w:firstLine="0"/>
              <w:jc w:val="center"/>
              <w:rPr>
                <w:color w:val="000000"/>
                <w:sz w:val="20"/>
                <w:szCs w:val="20"/>
              </w:rPr>
            </w:pPr>
            <w:r w:rsidRPr="001414A9">
              <w:rPr>
                <w:color w:val="000000"/>
                <w:sz w:val="20"/>
                <w:szCs w:val="20"/>
              </w:rPr>
              <w:t>2,0</w:t>
            </w:r>
          </w:p>
        </w:tc>
      </w:tr>
      <w:tr w:rsidR="00F06325" w:rsidRPr="00CE1CA8" w14:paraId="50654256" w14:textId="77777777" w:rsidTr="006D2716">
        <w:trPr>
          <w:trHeight w:val="213"/>
        </w:trPr>
        <w:tc>
          <w:tcPr>
            <w:tcW w:w="5093" w:type="dxa"/>
            <w:tcBorders>
              <w:bottom w:val="single" w:sz="4" w:space="0" w:color="auto"/>
            </w:tcBorders>
            <w:shd w:val="clear" w:color="auto" w:fill="auto"/>
            <w:vAlign w:val="center"/>
            <w:hideMark/>
          </w:tcPr>
          <w:p w14:paraId="67CE701F" w14:textId="77777777" w:rsidR="00F06325" w:rsidRPr="001414A9" w:rsidRDefault="00F06325" w:rsidP="00EA6E0B">
            <w:pPr>
              <w:spacing w:before="0" w:after="0"/>
              <w:ind w:firstLineChars="100" w:firstLine="200"/>
              <w:jc w:val="left"/>
              <w:rPr>
                <w:rFonts w:eastAsia="Times New Roman" w:cs="Times New Roman"/>
                <w:color w:val="000000"/>
                <w:sz w:val="20"/>
                <w:szCs w:val="20"/>
                <w:lang w:eastAsia="lv-LV"/>
              </w:rPr>
            </w:pPr>
            <w:r w:rsidRPr="001414A9">
              <w:rPr>
                <w:rFonts w:eastAsia="Times New Roman" w:cs="Times New Roman"/>
                <w:color w:val="000000"/>
                <w:sz w:val="20"/>
                <w:szCs w:val="20"/>
                <w:lang w:eastAsia="lv-LV"/>
              </w:rPr>
              <w:t>Procentu izdevumi</w:t>
            </w:r>
          </w:p>
        </w:tc>
        <w:tc>
          <w:tcPr>
            <w:tcW w:w="993" w:type="dxa"/>
            <w:tcBorders>
              <w:bottom w:val="single" w:sz="4" w:space="0" w:color="auto"/>
            </w:tcBorders>
            <w:shd w:val="clear" w:color="auto" w:fill="BDD6EE" w:themeFill="accent1" w:themeFillTint="66"/>
            <w:vAlign w:val="center"/>
            <w:hideMark/>
          </w:tcPr>
          <w:p w14:paraId="75B0431B" w14:textId="77777777" w:rsidR="00F06325" w:rsidRPr="001414A9" w:rsidRDefault="00F06325" w:rsidP="00EA6E0B">
            <w:pPr>
              <w:spacing w:before="0" w:after="0"/>
              <w:ind w:firstLine="0"/>
              <w:jc w:val="center"/>
              <w:rPr>
                <w:rFonts w:eastAsia="Times New Roman" w:cs="Times New Roman"/>
                <w:color w:val="000000"/>
                <w:sz w:val="20"/>
                <w:szCs w:val="20"/>
                <w:lang w:eastAsia="lv-LV"/>
              </w:rPr>
            </w:pPr>
            <w:r w:rsidRPr="001414A9">
              <w:rPr>
                <w:color w:val="000000"/>
                <w:sz w:val="20"/>
                <w:szCs w:val="20"/>
              </w:rPr>
              <w:t>0,0</w:t>
            </w:r>
          </w:p>
        </w:tc>
        <w:tc>
          <w:tcPr>
            <w:tcW w:w="992" w:type="dxa"/>
            <w:tcBorders>
              <w:bottom w:val="single" w:sz="4" w:space="0" w:color="auto"/>
            </w:tcBorders>
            <w:shd w:val="clear" w:color="auto" w:fill="BDD6EE" w:themeFill="accent1" w:themeFillTint="66"/>
            <w:vAlign w:val="center"/>
            <w:hideMark/>
          </w:tcPr>
          <w:p w14:paraId="060B4797" w14:textId="77777777" w:rsidR="00F06325" w:rsidRPr="001414A9" w:rsidRDefault="00F06325" w:rsidP="00EA6E0B">
            <w:pPr>
              <w:spacing w:before="0" w:after="0"/>
              <w:ind w:firstLine="0"/>
              <w:jc w:val="center"/>
              <w:rPr>
                <w:rFonts w:eastAsia="Times New Roman" w:cs="Times New Roman"/>
                <w:color w:val="000000"/>
                <w:sz w:val="20"/>
                <w:szCs w:val="20"/>
                <w:lang w:eastAsia="lv-LV"/>
              </w:rPr>
            </w:pPr>
            <w:r w:rsidRPr="001414A9">
              <w:rPr>
                <w:color w:val="000000"/>
                <w:sz w:val="20"/>
                <w:szCs w:val="20"/>
              </w:rPr>
              <w:t>5,2</w:t>
            </w:r>
          </w:p>
        </w:tc>
        <w:tc>
          <w:tcPr>
            <w:tcW w:w="975" w:type="dxa"/>
            <w:tcBorders>
              <w:bottom w:val="single" w:sz="4" w:space="0" w:color="auto"/>
            </w:tcBorders>
            <w:shd w:val="clear" w:color="auto" w:fill="BDD6EE" w:themeFill="accent1" w:themeFillTint="66"/>
            <w:vAlign w:val="center"/>
            <w:hideMark/>
          </w:tcPr>
          <w:p w14:paraId="79C62B2B" w14:textId="77777777" w:rsidR="00F06325" w:rsidRPr="001414A9" w:rsidRDefault="00F06325" w:rsidP="00EA6E0B">
            <w:pPr>
              <w:spacing w:before="0" w:after="0"/>
              <w:ind w:firstLine="0"/>
              <w:jc w:val="center"/>
              <w:rPr>
                <w:rFonts w:eastAsia="Times New Roman" w:cs="Times New Roman"/>
                <w:color w:val="000000"/>
                <w:sz w:val="20"/>
                <w:szCs w:val="20"/>
                <w:lang w:eastAsia="lv-LV"/>
              </w:rPr>
            </w:pPr>
            <w:r w:rsidRPr="001414A9">
              <w:rPr>
                <w:color w:val="000000"/>
                <w:sz w:val="20"/>
                <w:szCs w:val="20"/>
              </w:rPr>
              <w:t>15,6</w:t>
            </w:r>
          </w:p>
        </w:tc>
        <w:tc>
          <w:tcPr>
            <w:tcW w:w="1019" w:type="dxa"/>
            <w:tcBorders>
              <w:bottom w:val="single" w:sz="4" w:space="0" w:color="auto"/>
            </w:tcBorders>
            <w:shd w:val="clear" w:color="auto" w:fill="BDD6EE" w:themeFill="accent1" w:themeFillTint="66"/>
            <w:vAlign w:val="center"/>
            <w:hideMark/>
          </w:tcPr>
          <w:p w14:paraId="4272FD1E" w14:textId="77777777" w:rsidR="00F06325" w:rsidRPr="001414A9" w:rsidRDefault="00F06325" w:rsidP="00EA6E0B">
            <w:pPr>
              <w:spacing w:before="0" w:after="0"/>
              <w:ind w:firstLine="0"/>
              <w:jc w:val="center"/>
              <w:rPr>
                <w:rFonts w:eastAsia="Times New Roman" w:cs="Times New Roman"/>
                <w:color w:val="000000"/>
                <w:sz w:val="20"/>
                <w:szCs w:val="20"/>
                <w:lang w:eastAsia="lv-LV"/>
              </w:rPr>
            </w:pPr>
            <w:r w:rsidRPr="001414A9">
              <w:rPr>
                <w:color w:val="000000"/>
                <w:sz w:val="20"/>
                <w:szCs w:val="20"/>
              </w:rPr>
              <w:t>28,1</w:t>
            </w:r>
          </w:p>
        </w:tc>
      </w:tr>
      <w:tr w:rsidR="00F06325" w:rsidRPr="00CE1CA8" w14:paraId="66F704F0" w14:textId="77777777" w:rsidTr="00EA6E0B">
        <w:trPr>
          <w:trHeight w:val="213"/>
        </w:trPr>
        <w:tc>
          <w:tcPr>
            <w:tcW w:w="5093" w:type="dxa"/>
            <w:shd w:val="clear" w:color="auto" w:fill="auto"/>
            <w:vAlign w:val="center"/>
          </w:tcPr>
          <w:p w14:paraId="57AEC04C" w14:textId="77777777" w:rsidR="00F06325" w:rsidRPr="001414A9" w:rsidRDefault="00F06325" w:rsidP="00EA6E0B">
            <w:pPr>
              <w:spacing w:before="0" w:after="0"/>
              <w:ind w:firstLine="0"/>
              <w:jc w:val="left"/>
              <w:rPr>
                <w:rFonts w:eastAsia="Times New Roman" w:cs="Times New Roman"/>
                <w:color w:val="000000"/>
                <w:sz w:val="20"/>
                <w:szCs w:val="20"/>
                <w:lang w:eastAsia="lv-LV"/>
              </w:rPr>
            </w:pPr>
            <w:r w:rsidRPr="001414A9">
              <w:rPr>
                <w:rFonts w:eastAsia="Times New Roman" w:cs="Times New Roman"/>
                <w:b/>
                <w:bCs/>
                <w:color w:val="000000"/>
                <w:sz w:val="20"/>
                <w:szCs w:val="20"/>
                <w:lang w:eastAsia="lv-LV"/>
              </w:rPr>
              <w:t>Vispārējās valdības parāds, % no IKP</w:t>
            </w:r>
          </w:p>
        </w:tc>
        <w:tc>
          <w:tcPr>
            <w:tcW w:w="993" w:type="dxa"/>
            <w:shd w:val="clear" w:color="auto" w:fill="BDD6EE" w:themeFill="accent1" w:themeFillTint="66"/>
            <w:vAlign w:val="center"/>
          </w:tcPr>
          <w:p w14:paraId="66140264" w14:textId="77777777" w:rsidR="00F06325" w:rsidRPr="001414A9" w:rsidRDefault="00F06325" w:rsidP="00EA6E0B">
            <w:pPr>
              <w:spacing w:before="0" w:after="0"/>
              <w:ind w:firstLine="0"/>
              <w:jc w:val="center"/>
              <w:rPr>
                <w:color w:val="000000"/>
                <w:sz w:val="20"/>
                <w:szCs w:val="20"/>
              </w:rPr>
            </w:pPr>
            <w:r w:rsidRPr="001414A9">
              <w:rPr>
                <w:b/>
                <w:bCs/>
                <w:color w:val="000000"/>
                <w:sz w:val="20"/>
                <w:szCs w:val="20"/>
              </w:rPr>
              <w:t>40,1%</w:t>
            </w:r>
          </w:p>
        </w:tc>
        <w:tc>
          <w:tcPr>
            <w:tcW w:w="992" w:type="dxa"/>
            <w:shd w:val="clear" w:color="auto" w:fill="BDD6EE" w:themeFill="accent1" w:themeFillTint="66"/>
            <w:vAlign w:val="center"/>
          </w:tcPr>
          <w:p w14:paraId="28ACADEA" w14:textId="77777777" w:rsidR="00F06325" w:rsidRPr="001414A9" w:rsidRDefault="00F06325" w:rsidP="00EA6E0B">
            <w:pPr>
              <w:spacing w:before="0" w:after="0"/>
              <w:ind w:firstLine="0"/>
              <w:jc w:val="center"/>
              <w:rPr>
                <w:color w:val="000000"/>
                <w:sz w:val="20"/>
                <w:szCs w:val="20"/>
              </w:rPr>
            </w:pPr>
            <w:r w:rsidRPr="001414A9">
              <w:rPr>
                <w:b/>
                <w:bCs/>
                <w:color w:val="000000"/>
                <w:sz w:val="20"/>
                <w:szCs w:val="20"/>
              </w:rPr>
              <w:t>41,1%</w:t>
            </w:r>
          </w:p>
        </w:tc>
        <w:tc>
          <w:tcPr>
            <w:tcW w:w="975" w:type="dxa"/>
            <w:shd w:val="clear" w:color="auto" w:fill="BDD6EE" w:themeFill="accent1" w:themeFillTint="66"/>
            <w:vAlign w:val="center"/>
          </w:tcPr>
          <w:p w14:paraId="0398BFF4" w14:textId="77777777" w:rsidR="00F06325" w:rsidRPr="001414A9" w:rsidRDefault="00F06325" w:rsidP="00EA6E0B">
            <w:pPr>
              <w:spacing w:before="0" w:after="0"/>
              <w:ind w:firstLine="0"/>
              <w:jc w:val="center"/>
              <w:rPr>
                <w:color w:val="000000"/>
                <w:sz w:val="20"/>
                <w:szCs w:val="20"/>
              </w:rPr>
            </w:pPr>
            <w:r w:rsidRPr="001414A9">
              <w:rPr>
                <w:b/>
                <w:bCs/>
                <w:color w:val="000000"/>
                <w:sz w:val="20"/>
                <w:szCs w:val="20"/>
              </w:rPr>
              <w:t>41,6%</w:t>
            </w:r>
          </w:p>
        </w:tc>
        <w:tc>
          <w:tcPr>
            <w:tcW w:w="1019" w:type="dxa"/>
            <w:shd w:val="clear" w:color="auto" w:fill="BDD6EE" w:themeFill="accent1" w:themeFillTint="66"/>
            <w:vAlign w:val="center"/>
          </w:tcPr>
          <w:p w14:paraId="1608B43B" w14:textId="77777777" w:rsidR="00F06325" w:rsidRPr="001414A9" w:rsidRDefault="00F06325" w:rsidP="00EA6E0B">
            <w:pPr>
              <w:spacing w:before="0" w:after="0"/>
              <w:ind w:firstLine="0"/>
              <w:jc w:val="center"/>
              <w:rPr>
                <w:color w:val="000000"/>
                <w:sz w:val="20"/>
                <w:szCs w:val="20"/>
              </w:rPr>
            </w:pPr>
            <w:r w:rsidRPr="001414A9">
              <w:rPr>
                <w:b/>
                <w:bCs/>
                <w:color w:val="000000"/>
                <w:sz w:val="20"/>
                <w:szCs w:val="20"/>
              </w:rPr>
              <w:t>40,8%</w:t>
            </w:r>
          </w:p>
        </w:tc>
      </w:tr>
    </w:tbl>
    <w:p w14:paraId="2D854C4C" w14:textId="77777777" w:rsidR="00F06325" w:rsidRPr="00CE1CA8" w:rsidRDefault="00F06325" w:rsidP="00F06325">
      <w:pPr>
        <w:spacing w:before="60" w:after="60"/>
        <w:rPr>
          <w:noProof/>
          <w:color w:val="000000" w:themeColor="text1"/>
          <w:szCs w:val="24"/>
          <w:highlight w:val="yellow"/>
        </w:rPr>
      </w:pPr>
    </w:p>
    <w:p w14:paraId="6DCCC2AB" w14:textId="77777777" w:rsidR="00F06325" w:rsidRPr="001414A9" w:rsidRDefault="00F06325" w:rsidP="00B14F2A">
      <w:pPr>
        <w:rPr>
          <w:color w:val="000000" w:themeColor="text1"/>
          <w:szCs w:val="24"/>
        </w:rPr>
      </w:pPr>
      <w:r w:rsidRPr="00EA4E0E">
        <w:rPr>
          <w:noProof/>
          <w:color w:val="000000" w:themeColor="text1"/>
          <w:szCs w:val="24"/>
        </w:rPr>
        <w:t>2023. -2026. gadā vispārējās valdības budžeta</w:t>
      </w:r>
      <w:r w:rsidRPr="00EA4E0E">
        <w:rPr>
          <w:color w:val="000000" w:themeColor="text1"/>
          <w:szCs w:val="24"/>
        </w:rPr>
        <w:t xml:space="preserve"> deficīts, pesimistiskajam scenārijam iestājoties un saglabājoties nemainīgai valdības politikai, tiek prognozēts attiecīgi 3,0% no IKP 2023. gadā, 2,</w:t>
      </w:r>
      <w:r>
        <w:rPr>
          <w:color w:val="000000" w:themeColor="text1"/>
          <w:szCs w:val="24"/>
        </w:rPr>
        <w:t>8</w:t>
      </w:r>
      <w:r w:rsidRPr="00EA4E0E">
        <w:rPr>
          <w:color w:val="000000" w:themeColor="text1"/>
          <w:szCs w:val="24"/>
        </w:rPr>
        <w:t>% no IKP 2024. gadā, 1,9% no IKP 2025. gadā un 0,</w:t>
      </w:r>
      <w:r>
        <w:rPr>
          <w:color w:val="000000" w:themeColor="text1"/>
          <w:szCs w:val="24"/>
        </w:rPr>
        <w:t>4</w:t>
      </w:r>
      <w:r w:rsidRPr="00EA4E0E">
        <w:rPr>
          <w:color w:val="000000" w:themeColor="text1"/>
          <w:szCs w:val="24"/>
        </w:rPr>
        <w:t>% no IKP 2026. gadā. Pie šī scenārija bilances pasliktināšanos galvenokārt nosaka zemāki kopbudžeta nodokļu ieņēmumi</w:t>
      </w:r>
      <w:r>
        <w:rPr>
          <w:color w:val="000000" w:themeColor="text1"/>
          <w:szCs w:val="24"/>
        </w:rPr>
        <w:t xml:space="preserve"> un </w:t>
      </w:r>
      <w:r w:rsidRPr="001414A9">
        <w:rPr>
          <w:color w:val="000000" w:themeColor="text1"/>
          <w:szCs w:val="24"/>
        </w:rPr>
        <w:t>augstāki izdevumi pensijām un pabalstiem speciālajā budžetā.</w:t>
      </w:r>
    </w:p>
    <w:p w14:paraId="635509C3" w14:textId="77777777" w:rsidR="00F06325" w:rsidRPr="00812977" w:rsidRDefault="00F06325" w:rsidP="00B14F2A">
      <w:pPr>
        <w:rPr>
          <w:color w:val="000000" w:themeColor="text1"/>
          <w:szCs w:val="24"/>
        </w:rPr>
      </w:pPr>
      <w:r w:rsidRPr="001414A9">
        <w:rPr>
          <w:color w:val="000000" w:themeColor="text1"/>
          <w:szCs w:val="24"/>
        </w:rPr>
        <w:t>Iestājoties šādam scenārijam, vispārējās valdības budžeta bilance pasliktinātos  - par 0,3 procentpunktiem 2023.gadā, salīdzinot ar bāzes scenāriju, 2024. gadā par 0,5</w:t>
      </w:r>
      <w:r>
        <w:rPr>
          <w:color w:val="000000" w:themeColor="text1"/>
          <w:szCs w:val="24"/>
        </w:rPr>
        <w:t> </w:t>
      </w:r>
      <w:r w:rsidRPr="001414A9">
        <w:rPr>
          <w:color w:val="000000" w:themeColor="text1"/>
          <w:szCs w:val="24"/>
        </w:rPr>
        <w:t>procentpunktiem no IKP, 2025. gadā par 0,6 procentpunktiem no IKP un 2026. gadā par 0,5 procentpunktiem no IKP. Savukārt vispārējās valdības parāda līmenis pieaugs – 2023. gadā par 0,4 procentpunktu, 2024. gadā par 0,6 procentpunktiem, 2025. gadā par 1,4</w:t>
      </w:r>
      <w:r>
        <w:rPr>
          <w:color w:val="000000" w:themeColor="text1"/>
          <w:szCs w:val="24"/>
        </w:rPr>
        <w:t> </w:t>
      </w:r>
      <w:r w:rsidRPr="001414A9">
        <w:rPr>
          <w:color w:val="000000" w:themeColor="text1"/>
          <w:szCs w:val="24"/>
        </w:rPr>
        <w:t>procentpunktiem un 2026. gadā par 1,7 procentpunktiem. Tomēr sagaidāms, ka parāda līmenim 2025. gadā sasniedzot 41,6% no IKP, tas 2026. gadā samazinātos līdz 40,8% IKP.</w:t>
      </w:r>
    </w:p>
    <w:p w14:paraId="5064708E" w14:textId="77777777" w:rsidR="00F06325" w:rsidRDefault="00F06325" w:rsidP="00F06325">
      <w:pPr>
        <w:spacing w:before="0" w:after="0"/>
        <w:ind w:firstLine="0"/>
        <w:jc w:val="left"/>
        <w:rPr>
          <w:rFonts w:eastAsia="Times New Roman" w:cs="Times New Roman"/>
          <w:b/>
          <w:iCs/>
          <w:szCs w:val="24"/>
        </w:rPr>
      </w:pPr>
      <w:r>
        <w:rPr>
          <w:iCs/>
          <w:szCs w:val="24"/>
        </w:rPr>
        <w:br w:type="page"/>
      </w:r>
    </w:p>
    <w:p w14:paraId="383ED4F3" w14:textId="77777777" w:rsidR="00F06325" w:rsidRDefault="00F06325" w:rsidP="00F06325">
      <w:pPr>
        <w:pStyle w:val="H4"/>
        <w:ind w:left="0" w:firstLine="720"/>
        <w:jc w:val="both"/>
        <w:outlineLvl w:val="9"/>
        <w:rPr>
          <w:rFonts w:ascii="Times New Roman" w:hAnsi="Times New Roman"/>
          <w:iCs/>
          <w:sz w:val="24"/>
          <w:szCs w:val="24"/>
        </w:rPr>
      </w:pPr>
      <w:r>
        <w:rPr>
          <w:rFonts w:ascii="Times New Roman" w:hAnsi="Times New Roman"/>
          <w:iCs/>
          <w:sz w:val="24"/>
          <w:szCs w:val="24"/>
        </w:rPr>
        <w:lastRenderedPageBreak/>
        <w:t xml:space="preserve">Optimistiskais </w:t>
      </w:r>
      <w:r w:rsidRPr="008021D7">
        <w:rPr>
          <w:rFonts w:ascii="Times New Roman" w:hAnsi="Times New Roman"/>
          <w:iCs/>
          <w:sz w:val="24"/>
          <w:szCs w:val="24"/>
        </w:rPr>
        <w:t>scenārijs</w:t>
      </w:r>
    </w:p>
    <w:p w14:paraId="5D7C2E31" w14:textId="77777777" w:rsidR="00F06325" w:rsidRPr="00EC4A57" w:rsidRDefault="00F06325" w:rsidP="00F06325">
      <w:pPr>
        <w:rPr>
          <w:rFonts w:eastAsia="Calibri" w:cs="Times New Roman"/>
          <w:noProof/>
        </w:rPr>
      </w:pPr>
      <w:r>
        <w:rPr>
          <w:rFonts w:eastAsia="Calibri" w:cs="Times New Roman"/>
        </w:rPr>
        <w:t xml:space="preserve">Turpretī optimistiskais scenārijs paredz </w:t>
      </w:r>
      <w:r>
        <w:rPr>
          <w:rFonts w:eastAsia="Calibri" w:cs="Times New Roman"/>
          <w:noProof/>
        </w:rPr>
        <w:t>straujāku eirozonas ekonomikas atkopšanos, jo eirozonas pamatinflācija varētu mazināties straujāk un ECB izlemt par bāzes procentu likmes samazinājumu. Papildus tam, energoresursu tirgus situācija saglabātos labvēlīga, ES būtu vairāk neatkarīga no energoresursu importa no politiski nedrošiem reģioniem, kā arī ziema nebūtu vēsāka kā iepriekšējā.</w:t>
      </w:r>
    </w:p>
    <w:p w14:paraId="0004E552" w14:textId="5661E764" w:rsidR="00F06325" w:rsidRPr="003154E7" w:rsidRDefault="00F06325" w:rsidP="00F06325">
      <w:pPr>
        <w:autoSpaceDE w:val="0"/>
        <w:autoSpaceDN w:val="0"/>
        <w:adjustRightInd w:val="0"/>
        <w:rPr>
          <w:rFonts w:eastAsia="Times New Roman" w:cs="Times New Roman"/>
          <w:lang w:eastAsia="lv-LV"/>
        </w:rPr>
      </w:pPr>
      <w:r w:rsidRPr="00A120D9">
        <w:rPr>
          <w:rFonts w:eastAsia="Times New Roman" w:cs="Times New Roman"/>
          <w:lang w:eastAsia="lv-LV"/>
        </w:rPr>
        <w:t xml:space="preserve">Atbilstoši </w:t>
      </w:r>
      <w:r>
        <w:rPr>
          <w:rFonts w:eastAsia="Times New Roman" w:cs="Times New Roman"/>
          <w:lang w:eastAsia="lv-LV"/>
        </w:rPr>
        <w:t>optimi</w:t>
      </w:r>
      <w:r w:rsidRPr="00A120D9">
        <w:rPr>
          <w:rFonts w:eastAsia="Times New Roman" w:cs="Times New Roman"/>
          <w:lang w:eastAsia="lv-LV"/>
        </w:rPr>
        <w:t xml:space="preserve">stiskajam scenārijam </w:t>
      </w:r>
      <w:r w:rsidR="009F0FD7">
        <w:rPr>
          <w:rFonts w:eastAsia="Times New Roman" w:cs="Times New Roman"/>
          <w:lang w:eastAsia="lv-LV"/>
        </w:rPr>
        <w:t>(skat. 8. tabulu)</w:t>
      </w:r>
      <w:r w:rsidR="009F0FD7" w:rsidRPr="00A120D9">
        <w:rPr>
          <w:rFonts w:eastAsia="Times New Roman" w:cs="Times New Roman"/>
          <w:lang w:eastAsia="lv-LV"/>
        </w:rPr>
        <w:t xml:space="preserve"> </w:t>
      </w:r>
      <w:r w:rsidRPr="00A120D9">
        <w:rPr>
          <w:rFonts w:eastAsia="Times New Roman" w:cs="Times New Roman"/>
          <w:lang w:eastAsia="lv-LV"/>
        </w:rPr>
        <w:t>202</w:t>
      </w:r>
      <w:r>
        <w:rPr>
          <w:rFonts w:eastAsia="Times New Roman" w:cs="Times New Roman"/>
          <w:lang w:eastAsia="lv-LV"/>
        </w:rPr>
        <w:t>3. gad</w:t>
      </w:r>
      <w:r w:rsidRPr="00A120D9">
        <w:rPr>
          <w:rFonts w:eastAsia="Times New Roman" w:cs="Times New Roman"/>
          <w:lang w:eastAsia="lv-LV"/>
        </w:rPr>
        <w:t xml:space="preserve">ā iekšzemes kopprodukts salīdzināmās cenās varētu </w:t>
      </w:r>
      <w:r>
        <w:rPr>
          <w:rFonts w:eastAsia="Times New Roman" w:cs="Times New Roman"/>
          <w:lang w:eastAsia="lv-LV"/>
        </w:rPr>
        <w:t xml:space="preserve">pieaugt par 1,4% </w:t>
      </w:r>
      <w:r w:rsidRPr="00A120D9">
        <w:rPr>
          <w:rFonts w:eastAsia="Times New Roman" w:cs="Times New Roman"/>
          <w:lang w:eastAsia="lv-LV"/>
        </w:rPr>
        <w:t>un 202</w:t>
      </w:r>
      <w:r>
        <w:rPr>
          <w:rFonts w:eastAsia="Times New Roman" w:cs="Times New Roman"/>
          <w:lang w:eastAsia="lv-LV"/>
        </w:rPr>
        <w:t>4. gad</w:t>
      </w:r>
      <w:r w:rsidRPr="00A120D9">
        <w:rPr>
          <w:rFonts w:eastAsia="Times New Roman" w:cs="Times New Roman"/>
          <w:lang w:eastAsia="lv-LV"/>
        </w:rPr>
        <w:t xml:space="preserve">ā </w:t>
      </w:r>
      <w:r>
        <w:rPr>
          <w:rFonts w:eastAsia="Times New Roman" w:cs="Times New Roman"/>
          <w:lang w:eastAsia="lv-LV"/>
        </w:rPr>
        <w:t>un par 3,</w:t>
      </w:r>
      <w:r w:rsidR="00F856A0">
        <w:rPr>
          <w:rFonts w:eastAsia="Times New Roman" w:cs="Times New Roman"/>
          <w:lang w:eastAsia="lv-LV"/>
        </w:rPr>
        <w:t>2</w:t>
      </w:r>
      <w:r w:rsidRPr="00A120D9">
        <w:rPr>
          <w:rFonts w:eastAsia="Times New Roman" w:cs="Times New Roman"/>
          <w:lang w:eastAsia="lv-LV"/>
        </w:rPr>
        <w:t>%</w:t>
      </w:r>
      <w:r>
        <w:rPr>
          <w:rFonts w:eastAsia="Times New Roman" w:cs="Times New Roman"/>
          <w:lang w:eastAsia="lv-LV"/>
        </w:rPr>
        <w:t xml:space="preserve"> 2025. gadā, kas attiecīgi </w:t>
      </w:r>
      <w:r w:rsidRPr="00A120D9">
        <w:rPr>
          <w:rFonts w:eastAsia="Times New Roman" w:cs="Times New Roman"/>
          <w:lang w:eastAsia="lv-LV"/>
        </w:rPr>
        <w:t xml:space="preserve">būtu </w:t>
      </w:r>
      <w:r>
        <w:rPr>
          <w:rFonts w:eastAsia="Times New Roman" w:cs="Times New Roman"/>
          <w:lang w:eastAsia="lv-LV"/>
        </w:rPr>
        <w:t>par 0,5 un 0,7</w:t>
      </w:r>
      <w:r w:rsidRPr="00A120D9">
        <w:rPr>
          <w:rFonts w:eastAsia="Times New Roman" w:cs="Times New Roman"/>
          <w:lang w:eastAsia="lv-LV"/>
        </w:rPr>
        <w:t xml:space="preserve"> procentpunktiem </w:t>
      </w:r>
      <w:r>
        <w:rPr>
          <w:rFonts w:eastAsia="Times New Roman" w:cs="Times New Roman"/>
          <w:lang w:eastAsia="lv-LV"/>
        </w:rPr>
        <w:t xml:space="preserve">vairāk </w:t>
      </w:r>
      <w:r w:rsidRPr="00A120D9">
        <w:rPr>
          <w:rFonts w:eastAsia="Times New Roman" w:cs="Times New Roman"/>
          <w:lang w:eastAsia="lv-LV"/>
        </w:rPr>
        <w:t xml:space="preserve">nekā </w:t>
      </w:r>
      <w:r>
        <w:rPr>
          <w:rFonts w:eastAsia="Times New Roman" w:cs="Times New Roman"/>
          <w:lang w:eastAsia="lv-LV"/>
        </w:rPr>
        <w:t xml:space="preserve">bāzes </w:t>
      </w:r>
      <w:r w:rsidRPr="00A120D9">
        <w:rPr>
          <w:rFonts w:eastAsia="Times New Roman" w:cs="Times New Roman"/>
          <w:lang w:eastAsia="lv-LV"/>
        </w:rPr>
        <w:t>scenārijā.</w:t>
      </w:r>
      <w:r>
        <w:rPr>
          <w:rFonts w:eastAsia="Times New Roman" w:cs="Times New Roman"/>
          <w:lang w:eastAsia="lv-LV"/>
        </w:rPr>
        <w:t xml:space="preserve"> Turpmākajos gados izaugsme saglabātos bāzes scenārija līmenī. Arī inflācijas dinamika neatšķirtos no bāzes scenārija, jo turpinātos enerģijas tirgus transformācija atbilstoši nospraustajiem plāniem.</w:t>
      </w:r>
    </w:p>
    <w:p w14:paraId="56DE3442" w14:textId="304F742B" w:rsidR="00F06325" w:rsidRPr="00D57E58" w:rsidRDefault="003B1933" w:rsidP="00F06325">
      <w:pPr>
        <w:jc w:val="center"/>
        <w:rPr>
          <w:b/>
          <w:bCs/>
        </w:rPr>
      </w:pPr>
      <w:r>
        <w:rPr>
          <w:b/>
          <w:bCs/>
        </w:rPr>
        <w:t>8</w:t>
      </w:r>
      <w:r w:rsidR="00F06325" w:rsidRPr="00F06325">
        <w:rPr>
          <w:b/>
          <w:bCs/>
        </w:rPr>
        <w:t>. tabula. Makroe</w:t>
      </w:r>
      <w:r w:rsidR="00F06325" w:rsidRPr="00D57E58">
        <w:rPr>
          <w:b/>
          <w:bCs/>
        </w:rPr>
        <w:t>konomiskie rādītāji 2023. – 2026</w:t>
      </w:r>
      <w:r w:rsidR="00F06325">
        <w:rPr>
          <w:b/>
          <w:bCs/>
        </w:rPr>
        <w:t>. gad</w:t>
      </w:r>
      <w:r w:rsidR="00F06325" w:rsidRPr="00D57E58">
        <w:rPr>
          <w:b/>
          <w:bCs/>
        </w:rPr>
        <w:t>ā</w:t>
      </w:r>
      <w:r w:rsidR="00F06325">
        <w:rPr>
          <w:b/>
          <w:bCs/>
        </w:rPr>
        <w:br/>
        <w:t>(optimistiskais scenārijs)</w:t>
      </w:r>
    </w:p>
    <w:tbl>
      <w:tblPr>
        <w:tblW w:w="8500" w:type="dxa"/>
        <w:jc w:val="center"/>
        <w:tblLayout w:type="fixed"/>
        <w:tblLook w:val="04A0" w:firstRow="1" w:lastRow="0" w:firstColumn="1" w:lastColumn="0" w:noHBand="0" w:noVBand="1"/>
      </w:tblPr>
      <w:tblGrid>
        <w:gridCol w:w="3823"/>
        <w:gridCol w:w="850"/>
        <w:gridCol w:w="1020"/>
        <w:gridCol w:w="936"/>
        <w:gridCol w:w="935"/>
        <w:gridCol w:w="936"/>
      </w:tblGrid>
      <w:tr w:rsidR="00F06325" w:rsidRPr="00500AAB" w14:paraId="57403865" w14:textId="77777777" w:rsidTr="00EA6E0B">
        <w:trPr>
          <w:trHeight w:val="300"/>
          <w:jc w:val="center"/>
        </w:trPr>
        <w:tc>
          <w:tcPr>
            <w:tcW w:w="3823" w:type="dxa"/>
            <w:tcBorders>
              <w:top w:val="single" w:sz="4" w:space="0" w:color="auto"/>
              <w:left w:val="single" w:sz="4" w:space="0" w:color="auto"/>
              <w:right w:val="single" w:sz="4" w:space="0" w:color="auto"/>
            </w:tcBorders>
            <w:shd w:val="clear" w:color="auto" w:fill="auto"/>
            <w:noWrap/>
            <w:vAlign w:val="center"/>
            <w:hideMark/>
          </w:tcPr>
          <w:p w14:paraId="2587AE08" w14:textId="77777777" w:rsidR="00F06325" w:rsidRPr="00EE5E38" w:rsidRDefault="00F06325" w:rsidP="00EA6E0B">
            <w:pPr>
              <w:spacing w:before="0" w:after="0"/>
              <w:ind w:firstLine="0"/>
              <w:rPr>
                <w:rFonts w:eastAsia="Calibri" w:cs="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12C3961" w14:textId="77777777" w:rsidR="00F06325" w:rsidRPr="00EE5E38" w:rsidRDefault="00F06325" w:rsidP="00EA6E0B">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2022</w:t>
            </w:r>
          </w:p>
        </w:tc>
        <w:tc>
          <w:tcPr>
            <w:tcW w:w="1020"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78A21B39" w14:textId="77777777" w:rsidR="00F06325" w:rsidRPr="00EE5E38" w:rsidRDefault="00F06325" w:rsidP="00EA6E0B">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2023</w:t>
            </w:r>
          </w:p>
        </w:tc>
        <w:tc>
          <w:tcPr>
            <w:tcW w:w="936"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7DFB4381" w14:textId="77777777" w:rsidR="00F06325" w:rsidRPr="00EE5E38" w:rsidRDefault="00F06325" w:rsidP="00EA6E0B">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2024</w:t>
            </w:r>
          </w:p>
        </w:tc>
        <w:tc>
          <w:tcPr>
            <w:tcW w:w="935"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2B5997FD" w14:textId="77777777" w:rsidR="00F06325" w:rsidRPr="00EE5E38" w:rsidRDefault="00F06325" w:rsidP="00EA6E0B">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2025</w:t>
            </w:r>
          </w:p>
        </w:tc>
        <w:tc>
          <w:tcPr>
            <w:tcW w:w="936"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27287C95" w14:textId="77777777" w:rsidR="00F06325" w:rsidRPr="00EE5E38" w:rsidRDefault="00F06325" w:rsidP="00EA6E0B">
            <w:pPr>
              <w:spacing w:before="0" w:after="0"/>
              <w:ind w:firstLine="0"/>
              <w:jc w:val="center"/>
              <w:rPr>
                <w:rFonts w:eastAsia="Calibri" w:cs="Times New Roman"/>
                <w:b/>
                <w:bCs/>
                <w:sz w:val="20"/>
                <w:szCs w:val="20"/>
                <w:lang w:eastAsia="lv-LV"/>
              </w:rPr>
            </w:pPr>
            <w:r w:rsidRPr="00EE5E38">
              <w:rPr>
                <w:rFonts w:eastAsia="Calibri" w:cs="Times New Roman"/>
                <w:b/>
                <w:bCs/>
                <w:sz w:val="20"/>
                <w:szCs w:val="20"/>
                <w:lang w:eastAsia="lv-LV"/>
              </w:rPr>
              <w:t>2026</w:t>
            </w:r>
          </w:p>
        </w:tc>
      </w:tr>
      <w:tr w:rsidR="00F06325" w:rsidRPr="00500AAB" w14:paraId="22E4BF6B" w14:textId="77777777" w:rsidTr="00EA6E0B">
        <w:trPr>
          <w:trHeight w:val="300"/>
          <w:jc w:val="center"/>
        </w:trPr>
        <w:tc>
          <w:tcPr>
            <w:tcW w:w="3823" w:type="dxa"/>
            <w:tcBorders>
              <w:left w:val="single" w:sz="4" w:space="0" w:color="auto"/>
              <w:bottom w:val="single" w:sz="4" w:space="0" w:color="auto"/>
              <w:right w:val="single" w:sz="4" w:space="0" w:color="auto"/>
            </w:tcBorders>
            <w:shd w:val="clear" w:color="auto" w:fill="auto"/>
            <w:noWrap/>
            <w:vAlign w:val="center"/>
          </w:tcPr>
          <w:p w14:paraId="55C0537B" w14:textId="77777777" w:rsidR="00F06325" w:rsidRPr="00EE5E38" w:rsidRDefault="00F06325" w:rsidP="00EA6E0B">
            <w:pPr>
              <w:spacing w:before="0" w:after="0"/>
              <w:ind w:firstLine="0"/>
              <w:rPr>
                <w:rFonts w:eastAsia="Calibri" w:cs="Times New Roman"/>
                <w:noProof/>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E4F78E3" w14:textId="77777777" w:rsidR="00F06325" w:rsidRPr="00EE5E38" w:rsidRDefault="00F06325" w:rsidP="00EA6E0B">
            <w:pPr>
              <w:spacing w:before="0" w:after="0"/>
              <w:ind w:firstLine="0"/>
              <w:jc w:val="center"/>
              <w:rPr>
                <w:rFonts w:eastAsia="Calibri" w:cs="Times New Roman"/>
                <w:b/>
                <w:bCs/>
                <w:noProof/>
                <w:sz w:val="20"/>
                <w:szCs w:val="20"/>
                <w:lang w:eastAsia="lv-LV"/>
              </w:rPr>
            </w:pPr>
            <w:r w:rsidRPr="00EE5E38">
              <w:rPr>
                <w:rFonts w:eastAsia="Calibri" w:cs="Times New Roman"/>
                <w:b/>
                <w:bCs/>
                <w:noProof/>
                <w:sz w:val="20"/>
                <w:szCs w:val="20"/>
                <w:lang w:eastAsia="lv-LV"/>
              </w:rPr>
              <w:t>fakts</w:t>
            </w:r>
          </w:p>
        </w:tc>
        <w:tc>
          <w:tcPr>
            <w:tcW w:w="3827" w:type="dxa"/>
            <w:gridSpan w:val="4"/>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59DD892F" w14:textId="77777777" w:rsidR="00F06325" w:rsidRPr="00EE5E38" w:rsidRDefault="00F06325" w:rsidP="00EA6E0B">
            <w:pPr>
              <w:spacing w:before="0" w:after="0"/>
              <w:ind w:firstLine="0"/>
              <w:jc w:val="center"/>
              <w:rPr>
                <w:rFonts w:eastAsia="Calibri" w:cs="Times New Roman"/>
                <w:b/>
                <w:bCs/>
                <w:noProof/>
                <w:sz w:val="20"/>
                <w:szCs w:val="20"/>
                <w:lang w:eastAsia="lv-LV"/>
              </w:rPr>
            </w:pPr>
            <w:r w:rsidRPr="00EE5E38">
              <w:rPr>
                <w:rFonts w:eastAsia="Calibri" w:cs="Times New Roman"/>
                <w:b/>
                <w:bCs/>
                <w:noProof/>
                <w:sz w:val="20"/>
                <w:szCs w:val="20"/>
                <w:lang w:eastAsia="lv-LV"/>
              </w:rPr>
              <w:t>prognoze</w:t>
            </w:r>
          </w:p>
        </w:tc>
      </w:tr>
      <w:tr w:rsidR="00F06325" w:rsidRPr="00500AAB" w14:paraId="5CB43088"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C904290" w14:textId="77777777" w:rsidR="00F06325" w:rsidRPr="00EE5E38" w:rsidRDefault="00F06325" w:rsidP="00EA6E0B">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Iekšzemes kopprodukts (IKP</w:t>
            </w:r>
            <w:r w:rsidRPr="00EE5E38">
              <w:rPr>
                <w:rFonts w:eastAsia="Calibri" w:cs="Times New Roman"/>
                <w:noProof/>
                <w:sz w:val="20"/>
                <w:szCs w:val="20"/>
                <w:lang w:eastAsia="lv-LV"/>
              </w:rPr>
              <w:t>), milj.</w:t>
            </w:r>
            <w:r w:rsidRPr="00875C23">
              <w:rPr>
                <w:rFonts w:eastAsia="Calibri" w:cs="Times New Roman"/>
                <w:i/>
                <w:iCs/>
                <w:noProof/>
                <w:sz w:val="20"/>
                <w:szCs w:val="20"/>
                <w:lang w:eastAsia="lv-LV"/>
              </w:rPr>
              <w:t xml:space="preserve"> euro</w:t>
            </w:r>
          </w:p>
        </w:tc>
        <w:tc>
          <w:tcPr>
            <w:tcW w:w="850"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05566E3A"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39 063</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FCF475D"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43 619</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2DF19FA4"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46 309</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29861CCA"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49 162</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90B2C6E"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52 006</w:t>
            </w:r>
          </w:p>
        </w:tc>
      </w:tr>
      <w:tr w:rsidR="00F06325" w:rsidRPr="00851539" w14:paraId="26493C5E" w14:textId="77777777" w:rsidTr="00EA6E0B">
        <w:trPr>
          <w:trHeight w:val="235"/>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7B6B092" w14:textId="77777777" w:rsidR="00F06325" w:rsidRPr="00EE5E38" w:rsidRDefault="00F06325" w:rsidP="00EA6E0B">
            <w:pPr>
              <w:spacing w:before="0" w:after="0"/>
              <w:rPr>
                <w:rFonts w:eastAsia="Calibri" w:cs="Times New Roman"/>
                <w:noProof/>
                <w:sz w:val="20"/>
                <w:szCs w:val="20"/>
                <w:lang w:eastAsia="lv-LV"/>
              </w:rPr>
            </w:pPr>
            <w:r w:rsidRPr="00EE5E38">
              <w:rPr>
                <w:rFonts w:eastAsia="Calibri" w:cs="Times New Roman"/>
                <w:noProof/>
                <w:sz w:val="20"/>
                <w:szCs w:val="20"/>
                <w:lang w:eastAsia="lv-LV"/>
              </w:rPr>
              <w:t>pieaugums faktiskajās cenās,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06A07861"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16,2</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536E293"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11,7</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59F0A3A"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6,2</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1583155"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6,2</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F6950B0"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5,8</w:t>
            </w:r>
          </w:p>
        </w:tc>
      </w:tr>
      <w:tr w:rsidR="00F06325" w:rsidRPr="00500AAB" w14:paraId="6241C5FF"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29DA01D" w14:textId="77777777" w:rsidR="00F06325" w:rsidRPr="00EE5E38" w:rsidRDefault="00F06325" w:rsidP="00EA6E0B">
            <w:pPr>
              <w:spacing w:before="0" w:after="0"/>
              <w:rPr>
                <w:rFonts w:eastAsia="Calibri" w:cs="Times New Roman"/>
                <w:noProof/>
                <w:sz w:val="20"/>
                <w:szCs w:val="20"/>
                <w:lang w:eastAsia="lv-LV"/>
              </w:rPr>
            </w:pPr>
            <w:r w:rsidRPr="00EE5E38">
              <w:rPr>
                <w:rFonts w:eastAsia="Calibri" w:cs="Times New Roman"/>
                <w:noProof/>
                <w:sz w:val="20"/>
                <w:szCs w:val="20"/>
                <w:lang w:eastAsia="lv-LV"/>
              </w:rPr>
              <w:t>pieaugums salīdzināmās cenās,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54145AB1"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2,8</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2BE81031"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1,4</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0C2041E"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3,2</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2E249DFC"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2,9</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DCD9108"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2,9</w:t>
            </w:r>
          </w:p>
        </w:tc>
      </w:tr>
      <w:tr w:rsidR="00F06325" w:rsidRPr="00500AAB" w14:paraId="1633AC15"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055A0F4" w14:textId="77777777" w:rsidR="00F06325" w:rsidRPr="00EE5E38" w:rsidRDefault="00F06325" w:rsidP="00EA6E0B">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IKP deflators</w:t>
            </w:r>
            <w:r w:rsidRPr="00EE5E38">
              <w:rPr>
                <w:rFonts w:eastAsia="Calibri" w:cs="Times New Roman"/>
                <w:noProof/>
                <w:sz w:val="20"/>
                <w:szCs w:val="20"/>
                <w:lang w:eastAsia="lv-LV"/>
              </w:rPr>
              <w:t xml:space="preserve"> (gads pret gadu),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400C77E6"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13,1</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960826E"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10,1</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6788190"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2,9</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80F55B8"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3,2</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F58369B"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2,8</w:t>
            </w:r>
          </w:p>
        </w:tc>
      </w:tr>
      <w:tr w:rsidR="00F06325" w:rsidRPr="00500AAB" w14:paraId="0931CDC1"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75D57F3" w14:textId="77777777" w:rsidR="00F06325" w:rsidRPr="00EE5E38" w:rsidRDefault="00F06325" w:rsidP="00EA6E0B">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PCI</w:t>
            </w:r>
            <w:r w:rsidRPr="00EE5E38">
              <w:rPr>
                <w:rFonts w:eastAsia="Calibri" w:cs="Times New Roman"/>
                <w:noProof/>
                <w:sz w:val="20"/>
                <w:szCs w:val="20"/>
                <w:lang w:eastAsia="lv-LV"/>
              </w:rPr>
              <w:t xml:space="preserve"> (gads pret gadu),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3303F991"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17,3</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A8A05EB"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10,0</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C11E4D5"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2,2</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5849EC3"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2,5</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3BCB8172"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2,3</w:t>
            </w:r>
          </w:p>
        </w:tc>
      </w:tr>
      <w:tr w:rsidR="00F06325" w:rsidRPr="00500AAB" w14:paraId="5FCD4004" w14:textId="77777777" w:rsidTr="00EA6E0B">
        <w:trPr>
          <w:trHeight w:val="6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6AF28B3" w14:textId="77777777" w:rsidR="00F06325" w:rsidRPr="00EE5E38" w:rsidRDefault="00F06325" w:rsidP="00EA6E0B">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Tautsaimniecībā nodarbināto mēn. vid. bruto darba samaksa</w:t>
            </w:r>
            <w:r w:rsidRPr="00EE5E38">
              <w:rPr>
                <w:rFonts w:eastAsia="Calibri" w:cs="Times New Roman"/>
                <w:noProof/>
                <w:sz w:val="20"/>
                <w:szCs w:val="20"/>
                <w:lang w:eastAsia="lv-LV"/>
              </w:rPr>
              <w:t xml:space="preserve">, </w:t>
            </w:r>
            <w:r w:rsidRPr="00875C23">
              <w:rPr>
                <w:rFonts w:eastAsia="Calibri" w:cs="Times New Roman"/>
                <w:i/>
                <w:iCs/>
                <w:noProof/>
                <w:sz w:val="20"/>
                <w:szCs w:val="20"/>
                <w:lang w:eastAsia="lv-LV"/>
              </w:rPr>
              <w:t>euro</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18B92EBA" w14:textId="508B63F4"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w:t>
            </w:r>
            <w:r w:rsidR="00B1196F">
              <w:rPr>
                <w:rFonts w:eastAsia="Calibri" w:cs="Times New Roman"/>
                <w:noProof/>
                <w:sz w:val="20"/>
                <w:szCs w:val="20"/>
                <w:lang w:eastAsia="lv-LV"/>
              </w:rPr>
              <w:t xml:space="preserve"> </w:t>
            </w:r>
            <w:r w:rsidRPr="00EE5E38">
              <w:rPr>
                <w:rFonts w:eastAsia="Calibri" w:cs="Times New Roman"/>
                <w:noProof/>
                <w:sz w:val="20"/>
                <w:szCs w:val="20"/>
                <w:lang w:eastAsia="lv-LV"/>
              </w:rPr>
              <w:t>373</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34244EE" w14:textId="0E8676C3"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w:t>
            </w:r>
            <w:r w:rsidR="00B1196F">
              <w:rPr>
                <w:rFonts w:eastAsia="Calibri" w:cs="Times New Roman"/>
                <w:noProof/>
                <w:sz w:val="20"/>
                <w:szCs w:val="20"/>
                <w:lang w:eastAsia="lv-LV"/>
              </w:rPr>
              <w:t xml:space="preserve"> </w:t>
            </w:r>
            <w:r w:rsidRPr="00EE5E38">
              <w:rPr>
                <w:rFonts w:eastAsia="Calibri" w:cs="Times New Roman"/>
                <w:noProof/>
                <w:sz w:val="20"/>
                <w:szCs w:val="20"/>
                <w:lang w:eastAsia="lv-LV"/>
              </w:rPr>
              <w:t>524</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705B0A24" w14:textId="5786D8A0"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w:t>
            </w:r>
            <w:r w:rsidR="00B1196F">
              <w:rPr>
                <w:rFonts w:eastAsia="Calibri" w:cs="Times New Roman"/>
                <w:noProof/>
                <w:sz w:val="20"/>
                <w:szCs w:val="20"/>
                <w:lang w:eastAsia="lv-LV"/>
              </w:rPr>
              <w:t xml:space="preserve"> </w:t>
            </w:r>
            <w:r w:rsidRPr="00EE5E38">
              <w:rPr>
                <w:rFonts w:eastAsia="Calibri" w:cs="Times New Roman"/>
                <w:noProof/>
                <w:sz w:val="20"/>
                <w:szCs w:val="20"/>
                <w:lang w:eastAsia="lv-LV"/>
              </w:rPr>
              <w:t>654</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FA1034F" w14:textId="6B315E65"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w:t>
            </w:r>
            <w:r w:rsidR="00B1196F">
              <w:rPr>
                <w:rFonts w:eastAsia="Calibri" w:cs="Times New Roman"/>
                <w:sz w:val="20"/>
                <w:szCs w:val="20"/>
                <w:lang w:eastAsia="lv-LV"/>
              </w:rPr>
              <w:t xml:space="preserve"> </w:t>
            </w:r>
            <w:r w:rsidRPr="00EE5E38">
              <w:rPr>
                <w:rFonts w:eastAsia="Calibri" w:cs="Times New Roman"/>
                <w:sz w:val="20"/>
                <w:szCs w:val="20"/>
                <w:lang w:eastAsia="lv-LV"/>
              </w:rPr>
              <w:t>753</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F08CDD6" w14:textId="5FFF3496"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1</w:t>
            </w:r>
            <w:r w:rsidR="00B1196F">
              <w:rPr>
                <w:rFonts w:eastAsia="Calibri" w:cs="Times New Roman"/>
                <w:sz w:val="20"/>
                <w:szCs w:val="20"/>
                <w:lang w:eastAsia="lv-LV"/>
              </w:rPr>
              <w:t xml:space="preserve"> </w:t>
            </w:r>
            <w:r w:rsidRPr="00EE5E38">
              <w:rPr>
                <w:rFonts w:eastAsia="Calibri" w:cs="Times New Roman"/>
                <w:sz w:val="20"/>
                <w:szCs w:val="20"/>
                <w:lang w:eastAsia="lv-LV"/>
              </w:rPr>
              <w:t>858</w:t>
            </w:r>
          </w:p>
        </w:tc>
      </w:tr>
      <w:tr w:rsidR="00F06325" w:rsidRPr="00500AAB" w14:paraId="2971C628"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01DB8E9" w14:textId="77777777" w:rsidR="00F06325" w:rsidRPr="00EE5E38" w:rsidRDefault="00F06325" w:rsidP="00EA6E0B">
            <w:pPr>
              <w:spacing w:before="0" w:after="0"/>
              <w:rPr>
                <w:rFonts w:eastAsia="Calibri" w:cs="Times New Roman"/>
                <w:noProof/>
                <w:sz w:val="20"/>
                <w:szCs w:val="20"/>
                <w:lang w:eastAsia="lv-LV"/>
              </w:rPr>
            </w:pPr>
            <w:r w:rsidRPr="00EE5E38">
              <w:rPr>
                <w:rFonts w:eastAsia="Calibri" w:cs="Times New Roman"/>
                <w:noProof/>
                <w:sz w:val="20"/>
                <w:szCs w:val="20"/>
                <w:lang w:eastAsia="lv-LV"/>
              </w:rPr>
              <w:t>pieaugums faktiskajās cenās,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6F4BAC37"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7,5</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51AB78F"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11,0</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2D00D346"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8,5</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3B5F49B"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6,0</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6759F6C"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6,0</w:t>
            </w:r>
          </w:p>
        </w:tc>
      </w:tr>
      <w:tr w:rsidR="00F06325" w:rsidRPr="00500AAB" w14:paraId="4C35BB51"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CCBB0CB" w14:textId="77777777" w:rsidR="00F06325" w:rsidRPr="00EE5E38" w:rsidRDefault="00F06325" w:rsidP="00EA6E0B">
            <w:pPr>
              <w:spacing w:before="0" w:after="0"/>
              <w:rPr>
                <w:rFonts w:eastAsia="Calibri" w:cs="Times New Roman"/>
                <w:noProof/>
                <w:sz w:val="20"/>
                <w:szCs w:val="20"/>
                <w:lang w:eastAsia="lv-LV"/>
              </w:rPr>
            </w:pPr>
            <w:r w:rsidRPr="00EE5E38">
              <w:rPr>
                <w:rFonts w:eastAsia="Calibri" w:cs="Times New Roman"/>
                <w:noProof/>
                <w:sz w:val="20"/>
                <w:szCs w:val="20"/>
                <w:lang w:eastAsia="lv-LV"/>
              </w:rPr>
              <w:t>pieaugums salīdzināmās cenās,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7D4A216D"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-8,4</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1FF14FF4"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0,9</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7951923"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6,2</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7DF210DA"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3,4</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4A7D83CA"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3,6</w:t>
            </w:r>
          </w:p>
        </w:tc>
      </w:tr>
      <w:tr w:rsidR="00F06325" w:rsidRPr="00500AAB" w14:paraId="5B4365AB" w14:textId="77777777" w:rsidTr="00EA6E0B">
        <w:trPr>
          <w:trHeight w:val="6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45FF196" w14:textId="77777777" w:rsidR="00F06325" w:rsidRPr="00EE5E38" w:rsidRDefault="00F06325" w:rsidP="00EA6E0B">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Nodarbinātība,</w:t>
            </w:r>
            <w:r w:rsidRPr="00EE5E38">
              <w:rPr>
                <w:rFonts w:eastAsia="Calibri" w:cs="Times New Roman"/>
                <w:noProof/>
                <w:sz w:val="20"/>
                <w:szCs w:val="20"/>
                <w:lang w:eastAsia="lv-LV"/>
              </w:rPr>
              <w:t xml:space="preserve"> tūkst. iedzīvotāju (atbilstoši darbaspēka apsekojumiem)</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2FC3D532"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886</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6D6A081"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888</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72D83752"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888</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BCF4969"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885</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A402E78"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880</w:t>
            </w:r>
          </w:p>
        </w:tc>
      </w:tr>
      <w:tr w:rsidR="00F06325" w:rsidRPr="00500AAB" w14:paraId="66256D44" w14:textId="77777777" w:rsidTr="00EA6E0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3A0342D" w14:textId="77777777" w:rsidR="00F06325" w:rsidRPr="00EE5E38" w:rsidRDefault="00F06325" w:rsidP="00EA6E0B">
            <w:pPr>
              <w:spacing w:before="0" w:after="0"/>
              <w:rPr>
                <w:rFonts w:eastAsia="Calibri" w:cs="Times New Roman"/>
                <w:noProof/>
                <w:sz w:val="20"/>
                <w:szCs w:val="20"/>
                <w:lang w:eastAsia="lv-LV"/>
              </w:rPr>
            </w:pPr>
            <w:r w:rsidRPr="00EE5E38">
              <w:rPr>
                <w:rFonts w:eastAsia="Calibri" w:cs="Times New Roman"/>
                <w:noProof/>
                <w:sz w:val="20"/>
                <w:szCs w:val="20"/>
                <w:lang w:eastAsia="lv-LV"/>
              </w:rPr>
              <w:t>pieaugums,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73FE8121"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2,6</w:t>
            </w:r>
          </w:p>
        </w:tc>
        <w:tc>
          <w:tcPr>
            <w:tcW w:w="1020"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5ACC694"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0,2</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504ACB58"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0,0</w:t>
            </w:r>
          </w:p>
        </w:tc>
        <w:tc>
          <w:tcPr>
            <w:tcW w:w="935"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6067D5EB"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-0,3</w:t>
            </w:r>
          </w:p>
        </w:tc>
        <w:tc>
          <w:tcPr>
            <w:tcW w:w="936" w:type="dxa"/>
            <w:tcBorders>
              <w:top w:val="nil"/>
              <w:left w:val="nil"/>
              <w:bottom w:val="single" w:sz="4" w:space="0" w:color="auto"/>
              <w:right w:val="single" w:sz="4" w:space="0" w:color="auto"/>
            </w:tcBorders>
            <w:shd w:val="clear" w:color="auto" w:fill="BDD6EE" w:themeFill="accent1" w:themeFillTint="66"/>
            <w:noWrap/>
            <w:tcMar>
              <w:right w:w="170" w:type="dxa"/>
            </w:tcMar>
            <w:vAlign w:val="center"/>
          </w:tcPr>
          <w:p w14:paraId="0A86883E"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-0,6</w:t>
            </w:r>
          </w:p>
        </w:tc>
      </w:tr>
      <w:tr w:rsidR="00F06325" w:rsidRPr="00500AAB" w14:paraId="366C10F3" w14:textId="77777777" w:rsidTr="00EA6E0B">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DB321" w14:textId="77777777" w:rsidR="00F06325" w:rsidRPr="00EE5E38" w:rsidRDefault="00F06325" w:rsidP="00EA6E0B">
            <w:pPr>
              <w:spacing w:before="0" w:after="0"/>
              <w:ind w:firstLine="0"/>
              <w:rPr>
                <w:rFonts w:eastAsia="Calibri" w:cs="Times New Roman"/>
                <w:noProof/>
                <w:sz w:val="20"/>
                <w:szCs w:val="20"/>
                <w:lang w:eastAsia="lv-LV"/>
              </w:rPr>
            </w:pPr>
            <w:r w:rsidRPr="00EE5E38">
              <w:rPr>
                <w:rFonts w:eastAsia="Calibri" w:cs="Times New Roman"/>
                <w:b/>
                <w:bCs/>
                <w:noProof/>
                <w:sz w:val="20"/>
                <w:szCs w:val="20"/>
                <w:lang w:eastAsia="lv-LV"/>
              </w:rPr>
              <w:t>Bezdarba līmenis</w:t>
            </w:r>
            <w:r w:rsidRPr="00EE5E38">
              <w:rPr>
                <w:rFonts w:eastAsia="Calibri" w:cs="Times New Roman"/>
                <w:noProof/>
                <w:sz w:val="20"/>
                <w:szCs w:val="20"/>
                <w:lang w:eastAsia="lv-LV"/>
              </w:rPr>
              <w:t xml:space="preserve"> (gada vidējais),</w:t>
            </w:r>
            <w:r w:rsidRPr="00EE5E38">
              <w:rPr>
                <w:rFonts w:eastAsia="Calibri" w:cs="Times New Roman"/>
                <w:noProof/>
                <w:sz w:val="20"/>
                <w:szCs w:val="20"/>
                <w:lang w:eastAsia="lv-LV"/>
              </w:rPr>
              <w:br/>
              <w:t>% no ekon. aktīviem iedzīv</w:t>
            </w:r>
            <w:r>
              <w:rPr>
                <w:rFonts w:eastAsia="Calibri" w:cs="Times New Roman"/>
                <w:noProof/>
                <w:sz w:val="20"/>
                <w:szCs w:val="20"/>
                <w:lang w:eastAsia="lv-LV"/>
              </w:rPr>
              <w:t>otājiem</w:t>
            </w:r>
          </w:p>
        </w:tc>
        <w:tc>
          <w:tcPr>
            <w:tcW w:w="850"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082DC246"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6,9</w:t>
            </w:r>
          </w:p>
        </w:tc>
        <w:tc>
          <w:tcPr>
            <w:tcW w:w="1020" w:type="dxa"/>
            <w:tcBorders>
              <w:top w:val="single" w:sz="4" w:space="0" w:color="auto"/>
              <w:left w:val="nil"/>
              <w:bottom w:val="single" w:sz="4" w:space="0" w:color="auto"/>
              <w:right w:val="single" w:sz="4" w:space="0" w:color="auto"/>
            </w:tcBorders>
            <w:shd w:val="clear" w:color="auto" w:fill="BDD6EE" w:themeFill="accent1" w:themeFillTint="66"/>
            <w:noWrap/>
            <w:tcMar>
              <w:right w:w="170" w:type="dxa"/>
            </w:tcMar>
            <w:vAlign w:val="center"/>
          </w:tcPr>
          <w:p w14:paraId="5E829D44"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6,4</w:t>
            </w:r>
          </w:p>
        </w:tc>
        <w:tc>
          <w:tcPr>
            <w:tcW w:w="936" w:type="dxa"/>
            <w:tcBorders>
              <w:top w:val="single" w:sz="4" w:space="0" w:color="auto"/>
              <w:left w:val="nil"/>
              <w:bottom w:val="single" w:sz="4" w:space="0" w:color="auto"/>
              <w:right w:val="single" w:sz="4" w:space="0" w:color="auto"/>
            </w:tcBorders>
            <w:shd w:val="clear" w:color="auto" w:fill="BDD6EE" w:themeFill="accent1" w:themeFillTint="66"/>
            <w:noWrap/>
            <w:tcMar>
              <w:right w:w="170" w:type="dxa"/>
            </w:tcMar>
            <w:vAlign w:val="center"/>
          </w:tcPr>
          <w:p w14:paraId="53D82F7D" w14:textId="77777777" w:rsidR="00F06325" w:rsidRPr="00EE5E38" w:rsidRDefault="00F06325" w:rsidP="00EA6E0B">
            <w:pPr>
              <w:spacing w:before="0" w:after="0"/>
              <w:ind w:firstLine="0"/>
              <w:jc w:val="center"/>
              <w:rPr>
                <w:rFonts w:eastAsia="Calibri" w:cs="Times New Roman"/>
                <w:noProof/>
                <w:sz w:val="20"/>
                <w:szCs w:val="20"/>
                <w:lang w:eastAsia="lv-LV"/>
              </w:rPr>
            </w:pPr>
            <w:r w:rsidRPr="00EE5E38">
              <w:rPr>
                <w:rFonts w:eastAsia="Calibri" w:cs="Times New Roman"/>
                <w:noProof/>
                <w:sz w:val="20"/>
                <w:szCs w:val="20"/>
                <w:lang w:eastAsia="lv-LV"/>
              </w:rPr>
              <w:t>6,3</w:t>
            </w:r>
          </w:p>
        </w:tc>
        <w:tc>
          <w:tcPr>
            <w:tcW w:w="935" w:type="dxa"/>
            <w:tcBorders>
              <w:top w:val="single" w:sz="4" w:space="0" w:color="auto"/>
              <w:left w:val="nil"/>
              <w:bottom w:val="single" w:sz="4" w:space="0" w:color="auto"/>
              <w:right w:val="single" w:sz="4" w:space="0" w:color="auto"/>
            </w:tcBorders>
            <w:shd w:val="clear" w:color="auto" w:fill="BDD6EE" w:themeFill="accent1" w:themeFillTint="66"/>
            <w:noWrap/>
            <w:tcMar>
              <w:right w:w="170" w:type="dxa"/>
            </w:tcMar>
            <w:vAlign w:val="center"/>
          </w:tcPr>
          <w:p w14:paraId="27A2BCEE"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6,3</w:t>
            </w:r>
          </w:p>
        </w:tc>
        <w:tc>
          <w:tcPr>
            <w:tcW w:w="936" w:type="dxa"/>
            <w:tcBorders>
              <w:top w:val="single" w:sz="4" w:space="0" w:color="auto"/>
              <w:left w:val="nil"/>
              <w:bottom w:val="single" w:sz="4" w:space="0" w:color="auto"/>
              <w:right w:val="single" w:sz="4" w:space="0" w:color="auto"/>
            </w:tcBorders>
            <w:shd w:val="clear" w:color="auto" w:fill="BDD6EE" w:themeFill="accent1" w:themeFillTint="66"/>
            <w:noWrap/>
            <w:tcMar>
              <w:right w:w="170" w:type="dxa"/>
            </w:tcMar>
            <w:vAlign w:val="center"/>
          </w:tcPr>
          <w:p w14:paraId="2936CD3B" w14:textId="77777777" w:rsidR="00F06325" w:rsidRPr="00EE5E38" w:rsidRDefault="00F06325" w:rsidP="00EA6E0B">
            <w:pPr>
              <w:spacing w:before="0" w:after="0"/>
              <w:ind w:firstLine="0"/>
              <w:jc w:val="center"/>
              <w:rPr>
                <w:rFonts w:eastAsia="Calibri" w:cs="Times New Roman"/>
                <w:sz w:val="20"/>
                <w:szCs w:val="20"/>
                <w:lang w:eastAsia="lv-LV"/>
              </w:rPr>
            </w:pPr>
            <w:r w:rsidRPr="00EE5E38">
              <w:rPr>
                <w:rFonts w:eastAsia="Calibri" w:cs="Times New Roman"/>
                <w:sz w:val="20"/>
                <w:szCs w:val="20"/>
                <w:lang w:eastAsia="lv-LV"/>
              </w:rPr>
              <w:t>6,3</w:t>
            </w:r>
          </w:p>
        </w:tc>
      </w:tr>
    </w:tbl>
    <w:p w14:paraId="6AD2FCD0" w14:textId="1378D1A5" w:rsidR="00F06325" w:rsidRPr="00F06325" w:rsidRDefault="00F06325" w:rsidP="00F06325">
      <w:pPr>
        <w:rPr>
          <w:noProof/>
          <w:szCs w:val="20"/>
        </w:rPr>
      </w:pPr>
      <w:r w:rsidRPr="00817795">
        <w:rPr>
          <w:color w:val="000000" w:themeColor="text1"/>
        </w:rPr>
        <w:t xml:space="preserve">Ņemot vērā makroekonomiskās attīstības optimistisko scenāriju, Finanšu ministrija ir novērtējusi šī scenārija ietekmi uz vispārējās valdības budžeta bilanci, novērtējot izmaiņas nodokļu un </w:t>
      </w:r>
      <w:r w:rsidRPr="00817795">
        <w:rPr>
          <w:noProof/>
          <w:color w:val="000000" w:themeColor="text1"/>
        </w:rPr>
        <w:t xml:space="preserve">nenodokļu ieņēmumos, kā arī valsts speciālā budžeta izdevumos un valsts parāda apkalpošanas (procentu) izdevumos salīdzinājumā ar </w:t>
      </w:r>
      <w:r w:rsidRPr="00F06325">
        <w:rPr>
          <w:noProof/>
          <w:color w:val="000000" w:themeColor="text1"/>
        </w:rPr>
        <w:t xml:space="preserve">bāzes scenāriju (skat. </w:t>
      </w:r>
      <w:r w:rsidR="003B1933">
        <w:rPr>
          <w:noProof/>
          <w:color w:val="000000" w:themeColor="text1"/>
        </w:rPr>
        <w:t>9</w:t>
      </w:r>
      <w:r w:rsidRPr="00F06325">
        <w:rPr>
          <w:noProof/>
          <w:color w:val="000000" w:themeColor="text1"/>
        </w:rPr>
        <w:t xml:space="preserve">. tabulu). </w:t>
      </w:r>
      <w:r w:rsidRPr="00F06325">
        <w:rPr>
          <w:noProof/>
          <w:szCs w:val="24"/>
          <w:lang w:eastAsia="lv-LV"/>
        </w:rPr>
        <w:t>Rezultātā kopbudžeta nodokļu ieņēmumi, salīdzinot ar bāzes scenāriju 2023.-2026. gadam, pēc naudas plūsmas tiek prognozēti ar palielinājumu 33,7 milj. </w:t>
      </w:r>
      <w:r w:rsidRPr="00F06325">
        <w:rPr>
          <w:i/>
          <w:iCs/>
          <w:noProof/>
          <w:szCs w:val="24"/>
          <w:lang w:eastAsia="lv-LV"/>
        </w:rPr>
        <w:t>euro</w:t>
      </w:r>
      <w:r w:rsidRPr="00F06325">
        <w:rPr>
          <w:noProof/>
          <w:szCs w:val="24"/>
          <w:lang w:eastAsia="lv-LV"/>
        </w:rPr>
        <w:t xml:space="preserve"> 2023. gadā, 143,4 milj. </w:t>
      </w:r>
      <w:r w:rsidRPr="00F06325">
        <w:rPr>
          <w:i/>
          <w:iCs/>
          <w:noProof/>
          <w:szCs w:val="24"/>
          <w:lang w:eastAsia="lv-LV"/>
        </w:rPr>
        <w:t>euro</w:t>
      </w:r>
      <w:r w:rsidRPr="00F06325">
        <w:rPr>
          <w:noProof/>
          <w:szCs w:val="24"/>
          <w:lang w:eastAsia="lv-LV"/>
        </w:rPr>
        <w:t xml:space="preserve"> 2024. gadā, 234,7 milj. </w:t>
      </w:r>
      <w:r w:rsidRPr="00F06325">
        <w:rPr>
          <w:i/>
          <w:iCs/>
          <w:noProof/>
          <w:szCs w:val="24"/>
          <w:lang w:eastAsia="lv-LV"/>
        </w:rPr>
        <w:t>euro</w:t>
      </w:r>
      <w:r w:rsidRPr="00F06325">
        <w:rPr>
          <w:noProof/>
          <w:szCs w:val="24"/>
          <w:lang w:eastAsia="lv-LV"/>
        </w:rPr>
        <w:t xml:space="preserve"> 2025. gadā un 341,5 milj. </w:t>
      </w:r>
      <w:r w:rsidRPr="00F06325">
        <w:rPr>
          <w:i/>
          <w:iCs/>
          <w:noProof/>
          <w:szCs w:val="24"/>
          <w:lang w:eastAsia="lv-LV"/>
        </w:rPr>
        <w:t>euro</w:t>
      </w:r>
      <w:r w:rsidRPr="00F06325">
        <w:rPr>
          <w:noProof/>
          <w:szCs w:val="24"/>
          <w:lang w:eastAsia="lv-LV"/>
        </w:rPr>
        <w:t xml:space="preserve"> 2026. gadā, vadoties pēc optimistiskajā scenārijā iezīmētājām tautsaimniecības attīstības tendencēm. </w:t>
      </w:r>
    </w:p>
    <w:p w14:paraId="3B399CCB" w14:textId="6F1B2CA0" w:rsidR="00F06325" w:rsidRPr="00817795" w:rsidRDefault="003B1933" w:rsidP="00F06325">
      <w:pPr>
        <w:jc w:val="center"/>
        <w:rPr>
          <w:rFonts w:eastAsia="Calibri" w:cs="Times New Roman"/>
          <w:b/>
          <w:szCs w:val="24"/>
        </w:rPr>
      </w:pPr>
      <w:r>
        <w:rPr>
          <w:rFonts w:eastAsia="Calibri" w:cs="Times New Roman"/>
          <w:b/>
          <w:szCs w:val="24"/>
        </w:rPr>
        <w:t>9</w:t>
      </w:r>
      <w:r w:rsidR="00F06325" w:rsidRPr="00F06325">
        <w:rPr>
          <w:rFonts w:eastAsia="Calibri" w:cs="Times New Roman"/>
          <w:b/>
          <w:szCs w:val="24"/>
        </w:rPr>
        <w:t>. tabula. Vispārējās valdības budžeta b</w:t>
      </w:r>
      <w:r w:rsidR="00F06325" w:rsidRPr="00817795">
        <w:rPr>
          <w:rFonts w:eastAsia="Calibri" w:cs="Times New Roman"/>
          <w:b/>
          <w:szCs w:val="24"/>
        </w:rPr>
        <w:t>ilance un parāds</w:t>
      </w:r>
      <w:r w:rsidR="00F06325">
        <w:rPr>
          <w:rFonts w:eastAsia="Calibri" w:cs="Times New Roman"/>
          <w:b/>
          <w:szCs w:val="24"/>
        </w:rPr>
        <w:br/>
      </w:r>
      <w:r w:rsidR="00F06325" w:rsidRPr="00817795">
        <w:rPr>
          <w:rFonts w:eastAsia="Calibri" w:cs="Times New Roman"/>
          <w:b/>
          <w:szCs w:val="24"/>
        </w:rPr>
        <w:t>(optimistiskais scenārijs)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3"/>
        <w:gridCol w:w="993"/>
        <w:gridCol w:w="992"/>
        <w:gridCol w:w="975"/>
        <w:gridCol w:w="1019"/>
      </w:tblGrid>
      <w:tr w:rsidR="00F06325" w:rsidRPr="001414A9" w14:paraId="35D145B0" w14:textId="77777777" w:rsidTr="00B63ACE">
        <w:trPr>
          <w:trHeight w:val="124"/>
          <w:tblHeader/>
        </w:trPr>
        <w:tc>
          <w:tcPr>
            <w:tcW w:w="5093" w:type="dxa"/>
            <w:shd w:val="clear" w:color="auto" w:fill="auto"/>
            <w:vAlign w:val="center"/>
            <w:hideMark/>
          </w:tcPr>
          <w:p w14:paraId="2C40DA82" w14:textId="77777777" w:rsidR="00F06325" w:rsidRPr="00817795" w:rsidRDefault="00F06325" w:rsidP="00EA6E0B">
            <w:pPr>
              <w:spacing w:before="0" w:after="0"/>
              <w:ind w:firstLine="0"/>
              <w:jc w:val="left"/>
              <w:rPr>
                <w:rFonts w:ascii="Calibri" w:eastAsia="Times New Roman" w:hAnsi="Calibri" w:cs="Calibri"/>
                <w:color w:val="000000"/>
                <w:sz w:val="22"/>
                <w:lang w:eastAsia="lv-LV"/>
              </w:rPr>
            </w:pPr>
            <w:r w:rsidRPr="00817795">
              <w:rPr>
                <w:rFonts w:ascii="Calibri" w:eastAsia="Times New Roman" w:hAnsi="Calibri" w:cs="Calibri"/>
                <w:color w:val="000000"/>
                <w:sz w:val="22"/>
                <w:lang w:eastAsia="lv-LV"/>
              </w:rPr>
              <w:t> </w:t>
            </w:r>
          </w:p>
        </w:tc>
        <w:tc>
          <w:tcPr>
            <w:tcW w:w="993" w:type="dxa"/>
            <w:shd w:val="clear" w:color="auto" w:fill="BDD6EE" w:themeFill="accent1" w:themeFillTint="66"/>
            <w:vAlign w:val="center"/>
            <w:hideMark/>
          </w:tcPr>
          <w:p w14:paraId="4F0B80FF" w14:textId="77777777" w:rsidR="00F06325" w:rsidRPr="00817795" w:rsidRDefault="00F06325" w:rsidP="00EA6E0B">
            <w:pPr>
              <w:spacing w:before="0" w:after="0"/>
              <w:ind w:firstLine="0"/>
              <w:jc w:val="center"/>
              <w:rPr>
                <w:rFonts w:eastAsia="Times New Roman" w:cs="Times New Roman"/>
                <w:b/>
                <w:bCs/>
                <w:color w:val="000000"/>
                <w:sz w:val="20"/>
                <w:szCs w:val="20"/>
                <w:lang w:eastAsia="lv-LV"/>
              </w:rPr>
            </w:pPr>
            <w:r w:rsidRPr="00817795">
              <w:rPr>
                <w:rFonts w:eastAsia="Times New Roman" w:cs="Times New Roman"/>
                <w:b/>
                <w:bCs/>
                <w:color w:val="000000"/>
                <w:sz w:val="20"/>
                <w:szCs w:val="20"/>
                <w:lang w:eastAsia="lv-LV"/>
              </w:rPr>
              <w:t>2023</w:t>
            </w:r>
          </w:p>
        </w:tc>
        <w:tc>
          <w:tcPr>
            <w:tcW w:w="992" w:type="dxa"/>
            <w:shd w:val="clear" w:color="auto" w:fill="BDD6EE" w:themeFill="accent1" w:themeFillTint="66"/>
            <w:vAlign w:val="center"/>
            <w:hideMark/>
          </w:tcPr>
          <w:p w14:paraId="07609354" w14:textId="77777777" w:rsidR="00F06325" w:rsidRPr="00817795" w:rsidRDefault="00F06325" w:rsidP="00EA6E0B">
            <w:pPr>
              <w:spacing w:before="0" w:after="0"/>
              <w:ind w:firstLine="0"/>
              <w:jc w:val="center"/>
              <w:rPr>
                <w:rFonts w:eastAsia="Times New Roman" w:cs="Times New Roman"/>
                <w:b/>
                <w:bCs/>
                <w:color w:val="000000"/>
                <w:sz w:val="20"/>
                <w:szCs w:val="20"/>
                <w:lang w:eastAsia="lv-LV"/>
              </w:rPr>
            </w:pPr>
            <w:r w:rsidRPr="00817795">
              <w:rPr>
                <w:rFonts w:eastAsia="Times New Roman" w:cs="Times New Roman"/>
                <w:b/>
                <w:bCs/>
                <w:color w:val="000000"/>
                <w:sz w:val="20"/>
                <w:szCs w:val="20"/>
                <w:lang w:eastAsia="lv-LV"/>
              </w:rPr>
              <w:t>2024</w:t>
            </w:r>
          </w:p>
        </w:tc>
        <w:tc>
          <w:tcPr>
            <w:tcW w:w="975" w:type="dxa"/>
            <w:shd w:val="clear" w:color="auto" w:fill="BDD6EE" w:themeFill="accent1" w:themeFillTint="66"/>
            <w:vAlign w:val="center"/>
            <w:hideMark/>
          </w:tcPr>
          <w:p w14:paraId="1F00A515" w14:textId="77777777" w:rsidR="00F06325" w:rsidRPr="00817795" w:rsidRDefault="00F06325" w:rsidP="00EA6E0B">
            <w:pPr>
              <w:spacing w:before="0" w:after="0"/>
              <w:ind w:firstLine="0"/>
              <w:jc w:val="center"/>
              <w:rPr>
                <w:rFonts w:eastAsia="Times New Roman" w:cs="Times New Roman"/>
                <w:b/>
                <w:bCs/>
                <w:color w:val="000000"/>
                <w:sz w:val="20"/>
                <w:szCs w:val="20"/>
                <w:lang w:eastAsia="lv-LV"/>
              </w:rPr>
            </w:pPr>
            <w:r w:rsidRPr="00817795">
              <w:rPr>
                <w:rFonts w:eastAsia="Times New Roman" w:cs="Times New Roman"/>
                <w:b/>
                <w:bCs/>
                <w:color w:val="000000"/>
                <w:sz w:val="20"/>
                <w:szCs w:val="20"/>
                <w:lang w:eastAsia="lv-LV"/>
              </w:rPr>
              <w:t>2025</w:t>
            </w:r>
          </w:p>
        </w:tc>
        <w:tc>
          <w:tcPr>
            <w:tcW w:w="1019" w:type="dxa"/>
            <w:shd w:val="clear" w:color="auto" w:fill="BDD6EE" w:themeFill="accent1" w:themeFillTint="66"/>
            <w:vAlign w:val="center"/>
            <w:hideMark/>
          </w:tcPr>
          <w:p w14:paraId="76C9C681" w14:textId="77777777" w:rsidR="00F06325" w:rsidRPr="00817795" w:rsidRDefault="00F06325" w:rsidP="00EA6E0B">
            <w:pPr>
              <w:spacing w:before="0" w:after="0"/>
              <w:ind w:firstLine="0"/>
              <w:jc w:val="center"/>
              <w:rPr>
                <w:rFonts w:eastAsia="Times New Roman" w:cs="Times New Roman"/>
                <w:b/>
                <w:bCs/>
                <w:color w:val="000000"/>
                <w:sz w:val="20"/>
                <w:szCs w:val="20"/>
                <w:lang w:eastAsia="lv-LV"/>
              </w:rPr>
            </w:pPr>
            <w:r w:rsidRPr="00817795">
              <w:rPr>
                <w:rFonts w:eastAsia="Times New Roman" w:cs="Times New Roman"/>
                <w:b/>
                <w:bCs/>
                <w:color w:val="000000"/>
                <w:sz w:val="20"/>
                <w:szCs w:val="20"/>
                <w:lang w:eastAsia="lv-LV"/>
              </w:rPr>
              <w:t>2026</w:t>
            </w:r>
          </w:p>
        </w:tc>
      </w:tr>
      <w:tr w:rsidR="00B63ACE" w:rsidRPr="001414A9" w14:paraId="60DBDA77" w14:textId="77777777" w:rsidTr="00B63ACE">
        <w:trPr>
          <w:trHeight w:val="213"/>
          <w:tblHeader/>
        </w:trPr>
        <w:tc>
          <w:tcPr>
            <w:tcW w:w="5093" w:type="dxa"/>
            <w:shd w:val="clear" w:color="auto" w:fill="auto"/>
            <w:vAlign w:val="center"/>
          </w:tcPr>
          <w:p w14:paraId="42197CD7" w14:textId="77777777" w:rsidR="00B63ACE" w:rsidRPr="00817795" w:rsidRDefault="00B63ACE" w:rsidP="00EA6E0B">
            <w:pPr>
              <w:spacing w:before="0" w:after="0"/>
              <w:ind w:firstLine="0"/>
              <w:jc w:val="left"/>
              <w:rPr>
                <w:rFonts w:eastAsia="Times New Roman" w:cs="Times New Roman"/>
                <w:b/>
                <w:bCs/>
                <w:color w:val="000000"/>
                <w:sz w:val="20"/>
                <w:szCs w:val="20"/>
                <w:lang w:eastAsia="lv-LV"/>
              </w:rPr>
            </w:pPr>
          </w:p>
        </w:tc>
        <w:tc>
          <w:tcPr>
            <w:tcW w:w="3979" w:type="dxa"/>
            <w:gridSpan w:val="4"/>
            <w:shd w:val="clear" w:color="auto" w:fill="BDD6EE" w:themeFill="accent1" w:themeFillTint="66"/>
            <w:vAlign w:val="center"/>
          </w:tcPr>
          <w:p w14:paraId="58661FB9" w14:textId="19C704E3" w:rsidR="00B63ACE" w:rsidRPr="00817795" w:rsidRDefault="00B63ACE" w:rsidP="00EA6E0B">
            <w:pPr>
              <w:spacing w:before="0" w:after="0"/>
              <w:ind w:firstLine="0"/>
              <w:jc w:val="center"/>
              <w:rPr>
                <w:b/>
                <w:bCs/>
                <w:color w:val="000000"/>
                <w:sz w:val="20"/>
                <w:szCs w:val="20"/>
              </w:rPr>
            </w:pPr>
            <w:r>
              <w:rPr>
                <w:b/>
                <w:bCs/>
                <w:color w:val="000000"/>
                <w:sz w:val="20"/>
                <w:szCs w:val="20"/>
              </w:rPr>
              <w:t>prognoze</w:t>
            </w:r>
          </w:p>
        </w:tc>
      </w:tr>
      <w:tr w:rsidR="00F06325" w:rsidRPr="001414A9" w14:paraId="3C383020" w14:textId="77777777" w:rsidTr="00EA6E0B">
        <w:trPr>
          <w:trHeight w:val="213"/>
        </w:trPr>
        <w:tc>
          <w:tcPr>
            <w:tcW w:w="5093" w:type="dxa"/>
            <w:shd w:val="clear" w:color="auto" w:fill="auto"/>
            <w:vAlign w:val="center"/>
          </w:tcPr>
          <w:p w14:paraId="386B5079" w14:textId="77777777" w:rsidR="00F06325" w:rsidRPr="00817795" w:rsidRDefault="00F06325" w:rsidP="00EA6E0B">
            <w:pPr>
              <w:spacing w:before="0" w:after="0"/>
              <w:ind w:firstLine="0"/>
              <w:jc w:val="left"/>
              <w:rPr>
                <w:rFonts w:ascii="Calibri" w:eastAsia="Times New Roman" w:hAnsi="Calibri" w:cs="Calibri"/>
                <w:color w:val="000000"/>
                <w:sz w:val="22"/>
                <w:lang w:eastAsia="lv-LV"/>
              </w:rPr>
            </w:pPr>
            <w:r w:rsidRPr="00817795">
              <w:rPr>
                <w:rFonts w:eastAsia="Times New Roman" w:cs="Times New Roman"/>
                <w:b/>
                <w:bCs/>
                <w:color w:val="000000"/>
                <w:sz w:val="20"/>
                <w:szCs w:val="20"/>
                <w:lang w:eastAsia="lv-LV"/>
              </w:rPr>
              <w:t>Vispārējās valdības budžeta bilance, % no IKP</w:t>
            </w:r>
          </w:p>
        </w:tc>
        <w:tc>
          <w:tcPr>
            <w:tcW w:w="993" w:type="dxa"/>
            <w:shd w:val="clear" w:color="auto" w:fill="BDD6EE" w:themeFill="accent1" w:themeFillTint="66"/>
            <w:vAlign w:val="center"/>
          </w:tcPr>
          <w:p w14:paraId="07FAFC24" w14:textId="77777777" w:rsidR="00F06325" w:rsidRPr="00817795" w:rsidRDefault="00F06325" w:rsidP="00EA6E0B">
            <w:pPr>
              <w:spacing w:before="0" w:after="0"/>
              <w:ind w:firstLine="0"/>
              <w:jc w:val="center"/>
              <w:rPr>
                <w:rFonts w:eastAsia="Times New Roman" w:cs="Times New Roman"/>
                <w:b/>
                <w:bCs/>
                <w:color w:val="000000"/>
                <w:sz w:val="20"/>
                <w:szCs w:val="20"/>
                <w:lang w:eastAsia="lv-LV"/>
              </w:rPr>
            </w:pPr>
            <w:r w:rsidRPr="00817795">
              <w:rPr>
                <w:b/>
                <w:bCs/>
                <w:color w:val="000000"/>
                <w:sz w:val="20"/>
                <w:szCs w:val="20"/>
              </w:rPr>
              <w:t>-2,6</w:t>
            </w:r>
          </w:p>
        </w:tc>
        <w:tc>
          <w:tcPr>
            <w:tcW w:w="992" w:type="dxa"/>
            <w:shd w:val="clear" w:color="auto" w:fill="BDD6EE" w:themeFill="accent1" w:themeFillTint="66"/>
            <w:vAlign w:val="center"/>
          </w:tcPr>
          <w:p w14:paraId="42A79DCF" w14:textId="77777777" w:rsidR="00F06325" w:rsidRPr="00817795" w:rsidRDefault="00F06325" w:rsidP="00EA6E0B">
            <w:pPr>
              <w:spacing w:before="0" w:after="0"/>
              <w:ind w:firstLine="0"/>
              <w:jc w:val="center"/>
              <w:rPr>
                <w:rFonts w:eastAsia="Times New Roman" w:cs="Times New Roman"/>
                <w:b/>
                <w:bCs/>
                <w:color w:val="000000"/>
                <w:sz w:val="20"/>
                <w:szCs w:val="20"/>
                <w:lang w:eastAsia="lv-LV"/>
              </w:rPr>
            </w:pPr>
            <w:r w:rsidRPr="00817795">
              <w:rPr>
                <w:b/>
                <w:bCs/>
                <w:color w:val="000000"/>
                <w:sz w:val="20"/>
                <w:szCs w:val="20"/>
              </w:rPr>
              <w:t>-1,9</w:t>
            </w:r>
          </w:p>
        </w:tc>
        <w:tc>
          <w:tcPr>
            <w:tcW w:w="975" w:type="dxa"/>
            <w:shd w:val="clear" w:color="auto" w:fill="BDD6EE" w:themeFill="accent1" w:themeFillTint="66"/>
            <w:vAlign w:val="center"/>
          </w:tcPr>
          <w:p w14:paraId="335DF8E6" w14:textId="77777777" w:rsidR="00F06325" w:rsidRPr="00817795" w:rsidRDefault="00F06325" w:rsidP="00EA6E0B">
            <w:pPr>
              <w:spacing w:before="0" w:after="0"/>
              <w:ind w:firstLine="0"/>
              <w:jc w:val="center"/>
              <w:rPr>
                <w:rFonts w:eastAsia="Times New Roman" w:cs="Times New Roman"/>
                <w:b/>
                <w:bCs/>
                <w:color w:val="000000"/>
                <w:sz w:val="20"/>
                <w:szCs w:val="20"/>
                <w:lang w:eastAsia="lv-LV"/>
              </w:rPr>
            </w:pPr>
            <w:r w:rsidRPr="00817795">
              <w:rPr>
                <w:b/>
                <w:bCs/>
                <w:color w:val="000000"/>
                <w:sz w:val="20"/>
                <w:szCs w:val="20"/>
              </w:rPr>
              <w:t>-0,8</w:t>
            </w:r>
          </w:p>
        </w:tc>
        <w:tc>
          <w:tcPr>
            <w:tcW w:w="1019" w:type="dxa"/>
            <w:shd w:val="clear" w:color="auto" w:fill="BDD6EE" w:themeFill="accent1" w:themeFillTint="66"/>
            <w:vAlign w:val="center"/>
          </w:tcPr>
          <w:p w14:paraId="37225C35" w14:textId="77777777" w:rsidR="00F06325" w:rsidRPr="00817795" w:rsidRDefault="00F06325" w:rsidP="00EA6E0B">
            <w:pPr>
              <w:spacing w:before="0" w:after="0"/>
              <w:ind w:firstLine="0"/>
              <w:jc w:val="center"/>
              <w:rPr>
                <w:rFonts w:eastAsia="Times New Roman" w:cs="Times New Roman"/>
                <w:b/>
                <w:bCs/>
                <w:color w:val="000000"/>
                <w:sz w:val="20"/>
                <w:szCs w:val="20"/>
                <w:lang w:eastAsia="lv-LV"/>
              </w:rPr>
            </w:pPr>
            <w:r w:rsidRPr="00817795">
              <w:rPr>
                <w:b/>
                <w:bCs/>
                <w:color w:val="000000"/>
                <w:sz w:val="20"/>
                <w:szCs w:val="20"/>
              </w:rPr>
              <w:t>0,7</w:t>
            </w:r>
          </w:p>
        </w:tc>
      </w:tr>
      <w:tr w:rsidR="00F06325" w:rsidRPr="001414A9" w14:paraId="43021B3A" w14:textId="77777777" w:rsidTr="00EA6E0B">
        <w:trPr>
          <w:trHeight w:val="213"/>
        </w:trPr>
        <w:tc>
          <w:tcPr>
            <w:tcW w:w="5093" w:type="dxa"/>
            <w:shd w:val="clear" w:color="auto" w:fill="auto"/>
            <w:vAlign w:val="center"/>
          </w:tcPr>
          <w:p w14:paraId="529B116B" w14:textId="77777777" w:rsidR="00F06325" w:rsidRPr="00817795" w:rsidRDefault="00F06325" w:rsidP="00EA6E0B">
            <w:pPr>
              <w:spacing w:before="0" w:after="0"/>
              <w:ind w:firstLine="0"/>
              <w:jc w:val="left"/>
              <w:rPr>
                <w:rFonts w:ascii="Calibri" w:eastAsia="Times New Roman" w:hAnsi="Calibri" w:cs="Calibri"/>
                <w:noProof/>
                <w:color w:val="000000"/>
                <w:sz w:val="22"/>
                <w:lang w:eastAsia="lv-LV"/>
              </w:rPr>
            </w:pPr>
            <w:r w:rsidRPr="00817795">
              <w:rPr>
                <w:rFonts w:eastAsia="Times New Roman" w:cs="Times New Roman"/>
                <w:noProof/>
                <w:color w:val="000000"/>
                <w:sz w:val="20"/>
                <w:szCs w:val="20"/>
                <w:lang w:eastAsia="lv-LV"/>
              </w:rPr>
              <w:t xml:space="preserve">Vispārējās valdības budžeta bilance, milj. </w:t>
            </w:r>
            <w:r w:rsidRPr="00817795">
              <w:rPr>
                <w:rFonts w:eastAsia="Times New Roman" w:cs="Times New Roman"/>
                <w:i/>
                <w:noProof/>
                <w:color w:val="000000"/>
                <w:sz w:val="20"/>
                <w:szCs w:val="20"/>
                <w:lang w:eastAsia="lv-LV"/>
              </w:rPr>
              <w:t>euro</w:t>
            </w:r>
          </w:p>
        </w:tc>
        <w:tc>
          <w:tcPr>
            <w:tcW w:w="993" w:type="dxa"/>
            <w:shd w:val="clear" w:color="auto" w:fill="BDD6EE" w:themeFill="accent1" w:themeFillTint="66"/>
            <w:vAlign w:val="center"/>
          </w:tcPr>
          <w:p w14:paraId="21F80EE3" w14:textId="77777777" w:rsidR="00F06325" w:rsidRPr="00817795" w:rsidRDefault="00F06325" w:rsidP="00EA6E0B">
            <w:pPr>
              <w:spacing w:before="0" w:after="0"/>
              <w:ind w:firstLine="0"/>
              <w:jc w:val="center"/>
              <w:rPr>
                <w:rFonts w:eastAsia="Times New Roman" w:cs="Times New Roman"/>
                <w:b/>
                <w:bCs/>
                <w:color w:val="000000"/>
                <w:sz w:val="20"/>
                <w:szCs w:val="20"/>
                <w:lang w:eastAsia="lv-LV"/>
              </w:rPr>
            </w:pPr>
            <w:r w:rsidRPr="00817795">
              <w:rPr>
                <w:color w:val="000000"/>
                <w:sz w:val="20"/>
                <w:szCs w:val="20"/>
              </w:rPr>
              <w:t>-1 149,8</w:t>
            </w:r>
          </w:p>
        </w:tc>
        <w:tc>
          <w:tcPr>
            <w:tcW w:w="992" w:type="dxa"/>
            <w:shd w:val="clear" w:color="auto" w:fill="BDD6EE" w:themeFill="accent1" w:themeFillTint="66"/>
            <w:vAlign w:val="center"/>
          </w:tcPr>
          <w:p w14:paraId="445FEC36" w14:textId="77777777" w:rsidR="00F06325" w:rsidRPr="00817795" w:rsidRDefault="00F06325" w:rsidP="00EA6E0B">
            <w:pPr>
              <w:spacing w:before="0" w:after="0"/>
              <w:ind w:firstLine="0"/>
              <w:jc w:val="center"/>
              <w:rPr>
                <w:rFonts w:eastAsia="Times New Roman" w:cs="Times New Roman"/>
                <w:b/>
                <w:bCs/>
                <w:color w:val="000000"/>
                <w:sz w:val="20"/>
                <w:szCs w:val="20"/>
                <w:lang w:eastAsia="lv-LV"/>
              </w:rPr>
            </w:pPr>
            <w:r w:rsidRPr="00817795">
              <w:rPr>
                <w:color w:val="000000"/>
                <w:sz w:val="20"/>
                <w:szCs w:val="20"/>
              </w:rPr>
              <w:t>-857,4</w:t>
            </w:r>
          </w:p>
        </w:tc>
        <w:tc>
          <w:tcPr>
            <w:tcW w:w="975" w:type="dxa"/>
            <w:shd w:val="clear" w:color="auto" w:fill="BDD6EE" w:themeFill="accent1" w:themeFillTint="66"/>
            <w:vAlign w:val="center"/>
          </w:tcPr>
          <w:p w14:paraId="2EF5B3FA" w14:textId="77777777" w:rsidR="00F06325" w:rsidRPr="00817795" w:rsidRDefault="00F06325" w:rsidP="00EA6E0B">
            <w:pPr>
              <w:spacing w:before="0" w:after="0"/>
              <w:ind w:firstLine="0"/>
              <w:jc w:val="center"/>
              <w:rPr>
                <w:rFonts w:eastAsia="Times New Roman" w:cs="Times New Roman"/>
                <w:b/>
                <w:bCs/>
                <w:color w:val="000000"/>
                <w:sz w:val="20"/>
                <w:szCs w:val="20"/>
                <w:lang w:eastAsia="lv-LV"/>
              </w:rPr>
            </w:pPr>
            <w:r w:rsidRPr="00817795">
              <w:rPr>
                <w:color w:val="000000"/>
                <w:sz w:val="20"/>
                <w:szCs w:val="20"/>
              </w:rPr>
              <w:t>-402,3</w:t>
            </w:r>
          </w:p>
        </w:tc>
        <w:tc>
          <w:tcPr>
            <w:tcW w:w="1019" w:type="dxa"/>
            <w:shd w:val="clear" w:color="auto" w:fill="BDD6EE" w:themeFill="accent1" w:themeFillTint="66"/>
            <w:vAlign w:val="center"/>
          </w:tcPr>
          <w:p w14:paraId="230647ED" w14:textId="77777777" w:rsidR="00F06325" w:rsidRPr="00817795" w:rsidRDefault="00F06325" w:rsidP="00EA6E0B">
            <w:pPr>
              <w:spacing w:before="0" w:after="0"/>
              <w:ind w:firstLine="0"/>
              <w:jc w:val="center"/>
              <w:rPr>
                <w:rFonts w:eastAsia="Times New Roman" w:cs="Times New Roman"/>
                <w:b/>
                <w:bCs/>
                <w:color w:val="000000"/>
                <w:sz w:val="20"/>
                <w:szCs w:val="20"/>
                <w:lang w:eastAsia="lv-LV"/>
              </w:rPr>
            </w:pPr>
            <w:r w:rsidRPr="00817795">
              <w:rPr>
                <w:color w:val="000000"/>
                <w:sz w:val="20"/>
                <w:szCs w:val="20"/>
              </w:rPr>
              <w:t>388,3</w:t>
            </w:r>
          </w:p>
        </w:tc>
      </w:tr>
      <w:tr w:rsidR="00F06325" w:rsidRPr="001414A9" w14:paraId="6F6FF52D" w14:textId="77777777" w:rsidTr="00EA6E0B">
        <w:trPr>
          <w:trHeight w:val="355"/>
        </w:trPr>
        <w:tc>
          <w:tcPr>
            <w:tcW w:w="5093" w:type="dxa"/>
            <w:shd w:val="clear" w:color="auto" w:fill="auto"/>
            <w:vAlign w:val="center"/>
            <w:hideMark/>
          </w:tcPr>
          <w:p w14:paraId="42DB4887" w14:textId="77777777" w:rsidR="00F06325" w:rsidRPr="00EB0A50" w:rsidRDefault="00F06325" w:rsidP="00EA6E0B">
            <w:pPr>
              <w:spacing w:before="0" w:after="0"/>
              <w:ind w:firstLine="0"/>
              <w:rPr>
                <w:rFonts w:eastAsia="Times New Roman" w:cs="Times New Roman"/>
                <w:b/>
                <w:bCs/>
                <w:noProof/>
                <w:sz w:val="20"/>
                <w:szCs w:val="20"/>
                <w:lang w:eastAsia="lv-LV"/>
              </w:rPr>
            </w:pPr>
            <w:r w:rsidRPr="00EB0A50">
              <w:rPr>
                <w:rFonts w:eastAsia="Times New Roman" w:cs="Times New Roman"/>
                <w:b/>
                <w:bCs/>
                <w:noProof/>
                <w:sz w:val="20"/>
                <w:szCs w:val="20"/>
                <w:lang w:eastAsia="lv-LV"/>
              </w:rPr>
              <w:t>Vispārējās valdības budžeta bilances novirze no bāzes scenārija, % no IKP</w:t>
            </w:r>
          </w:p>
        </w:tc>
        <w:tc>
          <w:tcPr>
            <w:tcW w:w="993" w:type="dxa"/>
            <w:shd w:val="clear" w:color="auto" w:fill="BDD6EE" w:themeFill="accent1" w:themeFillTint="66"/>
            <w:vAlign w:val="center"/>
            <w:hideMark/>
          </w:tcPr>
          <w:p w14:paraId="717A2F51"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0,1</w:t>
            </w:r>
          </w:p>
        </w:tc>
        <w:tc>
          <w:tcPr>
            <w:tcW w:w="992" w:type="dxa"/>
            <w:shd w:val="clear" w:color="auto" w:fill="BDD6EE" w:themeFill="accent1" w:themeFillTint="66"/>
            <w:vAlign w:val="center"/>
            <w:hideMark/>
          </w:tcPr>
          <w:p w14:paraId="7776332E"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0,4</w:t>
            </w:r>
          </w:p>
        </w:tc>
        <w:tc>
          <w:tcPr>
            <w:tcW w:w="975" w:type="dxa"/>
            <w:shd w:val="clear" w:color="auto" w:fill="BDD6EE" w:themeFill="accent1" w:themeFillTint="66"/>
            <w:vAlign w:val="center"/>
            <w:hideMark/>
          </w:tcPr>
          <w:p w14:paraId="0C965630"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0,5</w:t>
            </w:r>
          </w:p>
        </w:tc>
        <w:tc>
          <w:tcPr>
            <w:tcW w:w="1019" w:type="dxa"/>
            <w:shd w:val="clear" w:color="auto" w:fill="BDD6EE" w:themeFill="accent1" w:themeFillTint="66"/>
            <w:vAlign w:val="center"/>
            <w:hideMark/>
          </w:tcPr>
          <w:p w14:paraId="7E752741"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0,6</w:t>
            </w:r>
          </w:p>
        </w:tc>
      </w:tr>
      <w:tr w:rsidR="00F06325" w:rsidRPr="001414A9" w14:paraId="56804582" w14:textId="77777777" w:rsidTr="00EA6E0B">
        <w:trPr>
          <w:trHeight w:val="213"/>
        </w:trPr>
        <w:tc>
          <w:tcPr>
            <w:tcW w:w="5093" w:type="dxa"/>
            <w:shd w:val="clear" w:color="auto" w:fill="auto"/>
            <w:vAlign w:val="center"/>
            <w:hideMark/>
          </w:tcPr>
          <w:p w14:paraId="351DB643" w14:textId="77777777" w:rsidR="00F06325" w:rsidRPr="00EB0A50" w:rsidRDefault="00F06325" w:rsidP="00EA6E0B">
            <w:pPr>
              <w:spacing w:before="0" w:after="0"/>
              <w:ind w:firstLine="0"/>
              <w:rPr>
                <w:rFonts w:eastAsia="Times New Roman" w:cs="Times New Roman"/>
                <w:b/>
                <w:bCs/>
                <w:noProof/>
                <w:sz w:val="20"/>
                <w:szCs w:val="20"/>
                <w:lang w:eastAsia="lv-LV"/>
              </w:rPr>
            </w:pPr>
            <w:r w:rsidRPr="00EB0A50">
              <w:rPr>
                <w:rFonts w:eastAsia="Times New Roman" w:cs="Times New Roman"/>
                <w:b/>
                <w:bCs/>
                <w:noProof/>
                <w:sz w:val="20"/>
                <w:szCs w:val="20"/>
                <w:lang w:eastAsia="lv-LV"/>
              </w:rPr>
              <w:t xml:space="preserve">Vispārējās valdības budžeta bilances novirze no bāzes scenārija, milj. </w:t>
            </w:r>
            <w:r w:rsidRPr="00EB0A50">
              <w:rPr>
                <w:rFonts w:eastAsia="Times New Roman" w:cs="Times New Roman"/>
                <w:b/>
                <w:bCs/>
                <w:i/>
                <w:noProof/>
                <w:sz w:val="20"/>
                <w:szCs w:val="20"/>
                <w:lang w:eastAsia="lv-LV"/>
              </w:rPr>
              <w:t>euro</w:t>
            </w:r>
          </w:p>
        </w:tc>
        <w:tc>
          <w:tcPr>
            <w:tcW w:w="993" w:type="dxa"/>
            <w:shd w:val="clear" w:color="auto" w:fill="BDD6EE" w:themeFill="accent1" w:themeFillTint="66"/>
            <w:vAlign w:val="center"/>
            <w:hideMark/>
          </w:tcPr>
          <w:p w14:paraId="4FE5E601"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41,1</w:t>
            </w:r>
          </w:p>
        </w:tc>
        <w:tc>
          <w:tcPr>
            <w:tcW w:w="992" w:type="dxa"/>
            <w:shd w:val="clear" w:color="auto" w:fill="BDD6EE" w:themeFill="accent1" w:themeFillTint="66"/>
            <w:vAlign w:val="center"/>
            <w:hideMark/>
          </w:tcPr>
          <w:p w14:paraId="41B5A102"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158,8</w:t>
            </w:r>
          </w:p>
        </w:tc>
        <w:tc>
          <w:tcPr>
            <w:tcW w:w="975" w:type="dxa"/>
            <w:shd w:val="clear" w:color="auto" w:fill="BDD6EE" w:themeFill="accent1" w:themeFillTint="66"/>
            <w:vAlign w:val="center"/>
            <w:hideMark/>
          </w:tcPr>
          <w:p w14:paraId="6FEEB219"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237,9</w:t>
            </w:r>
          </w:p>
        </w:tc>
        <w:tc>
          <w:tcPr>
            <w:tcW w:w="1019" w:type="dxa"/>
            <w:shd w:val="clear" w:color="auto" w:fill="BDD6EE" w:themeFill="accent1" w:themeFillTint="66"/>
            <w:vAlign w:val="center"/>
            <w:hideMark/>
          </w:tcPr>
          <w:p w14:paraId="33336A42" w14:textId="77777777" w:rsidR="00F06325" w:rsidRPr="00EB0A50" w:rsidRDefault="00F06325" w:rsidP="00EA6E0B">
            <w:pPr>
              <w:spacing w:before="0" w:after="0"/>
              <w:ind w:firstLine="0"/>
              <w:jc w:val="center"/>
              <w:rPr>
                <w:rFonts w:eastAsia="Times New Roman" w:cs="Times New Roman"/>
                <w:b/>
                <w:bCs/>
                <w:sz w:val="20"/>
                <w:szCs w:val="20"/>
                <w:lang w:eastAsia="lv-LV"/>
              </w:rPr>
            </w:pPr>
            <w:r w:rsidRPr="00EB0A50">
              <w:rPr>
                <w:b/>
                <w:bCs/>
                <w:sz w:val="20"/>
                <w:szCs w:val="20"/>
              </w:rPr>
              <w:t>317,1</w:t>
            </w:r>
          </w:p>
        </w:tc>
      </w:tr>
      <w:tr w:rsidR="00F06325" w:rsidRPr="001414A9" w14:paraId="0FF11F66" w14:textId="77777777" w:rsidTr="00EA6E0B">
        <w:trPr>
          <w:trHeight w:val="213"/>
        </w:trPr>
        <w:tc>
          <w:tcPr>
            <w:tcW w:w="5093" w:type="dxa"/>
            <w:shd w:val="clear" w:color="auto" w:fill="auto"/>
            <w:vAlign w:val="center"/>
            <w:hideMark/>
          </w:tcPr>
          <w:p w14:paraId="11F77CC6" w14:textId="77777777" w:rsidR="00F06325" w:rsidRPr="00817795" w:rsidRDefault="00F06325" w:rsidP="00EA6E0B">
            <w:pPr>
              <w:spacing w:before="0" w:after="0"/>
              <w:ind w:firstLineChars="100" w:firstLine="200"/>
              <w:jc w:val="left"/>
              <w:rPr>
                <w:rFonts w:eastAsia="Times New Roman" w:cs="Times New Roman"/>
                <w:noProof/>
                <w:color w:val="000000"/>
                <w:sz w:val="20"/>
                <w:szCs w:val="20"/>
                <w:lang w:eastAsia="lv-LV"/>
              </w:rPr>
            </w:pPr>
            <w:r w:rsidRPr="00817795">
              <w:rPr>
                <w:rFonts w:eastAsia="Times New Roman" w:cs="Times New Roman"/>
                <w:noProof/>
                <w:color w:val="000000"/>
                <w:sz w:val="20"/>
                <w:szCs w:val="20"/>
                <w:lang w:eastAsia="lv-LV"/>
              </w:rPr>
              <w:lastRenderedPageBreak/>
              <w:t>Nodokļu ieņēmumi</w:t>
            </w:r>
          </w:p>
        </w:tc>
        <w:tc>
          <w:tcPr>
            <w:tcW w:w="993" w:type="dxa"/>
            <w:shd w:val="clear" w:color="auto" w:fill="BDD6EE" w:themeFill="accent1" w:themeFillTint="66"/>
            <w:vAlign w:val="center"/>
            <w:hideMark/>
          </w:tcPr>
          <w:p w14:paraId="5E7A64A9" w14:textId="77777777" w:rsidR="00F06325" w:rsidRPr="00817795" w:rsidRDefault="00F06325" w:rsidP="00EA6E0B">
            <w:pPr>
              <w:spacing w:before="0" w:after="0"/>
              <w:ind w:firstLine="0"/>
              <w:jc w:val="center"/>
              <w:rPr>
                <w:rFonts w:eastAsia="Times New Roman" w:cs="Times New Roman"/>
                <w:color w:val="000000"/>
                <w:sz w:val="20"/>
                <w:szCs w:val="20"/>
                <w:lang w:eastAsia="lv-LV"/>
              </w:rPr>
            </w:pPr>
            <w:r w:rsidRPr="00817795">
              <w:rPr>
                <w:color w:val="000000"/>
                <w:sz w:val="20"/>
                <w:szCs w:val="20"/>
              </w:rPr>
              <w:t>33,7</w:t>
            </w:r>
          </w:p>
        </w:tc>
        <w:tc>
          <w:tcPr>
            <w:tcW w:w="992" w:type="dxa"/>
            <w:shd w:val="clear" w:color="auto" w:fill="BDD6EE" w:themeFill="accent1" w:themeFillTint="66"/>
            <w:vAlign w:val="center"/>
            <w:hideMark/>
          </w:tcPr>
          <w:p w14:paraId="18749218" w14:textId="77777777" w:rsidR="00F06325" w:rsidRPr="00817795" w:rsidRDefault="00F06325" w:rsidP="00EA6E0B">
            <w:pPr>
              <w:spacing w:before="0" w:after="0"/>
              <w:ind w:firstLine="0"/>
              <w:jc w:val="center"/>
              <w:rPr>
                <w:rFonts w:eastAsia="Times New Roman" w:cs="Times New Roman"/>
                <w:color w:val="000000"/>
                <w:sz w:val="20"/>
                <w:szCs w:val="20"/>
                <w:lang w:eastAsia="lv-LV"/>
              </w:rPr>
            </w:pPr>
            <w:r w:rsidRPr="00817795">
              <w:rPr>
                <w:color w:val="000000"/>
                <w:sz w:val="20"/>
                <w:szCs w:val="20"/>
              </w:rPr>
              <w:t>143,4</w:t>
            </w:r>
          </w:p>
        </w:tc>
        <w:tc>
          <w:tcPr>
            <w:tcW w:w="975" w:type="dxa"/>
            <w:shd w:val="clear" w:color="auto" w:fill="BDD6EE" w:themeFill="accent1" w:themeFillTint="66"/>
            <w:vAlign w:val="center"/>
            <w:hideMark/>
          </w:tcPr>
          <w:p w14:paraId="4B156F5F" w14:textId="77777777" w:rsidR="00F06325" w:rsidRPr="00817795" w:rsidRDefault="00F06325" w:rsidP="00EA6E0B">
            <w:pPr>
              <w:spacing w:before="0" w:after="0"/>
              <w:ind w:firstLine="0"/>
              <w:jc w:val="center"/>
              <w:rPr>
                <w:rFonts w:eastAsia="Times New Roman" w:cs="Times New Roman"/>
                <w:color w:val="000000"/>
                <w:sz w:val="20"/>
                <w:szCs w:val="20"/>
                <w:lang w:eastAsia="lv-LV"/>
              </w:rPr>
            </w:pPr>
            <w:r w:rsidRPr="00817795">
              <w:rPr>
                <w:color w:val="000000"/>
                <w:sz w:val="20"/>
                <w:szCs w:val="20"/>
              </w:rPr>
              <w:t>234,7</w:t>
            </w:r>
          </w:p>
        </w:tc>
        <w:tc>
          <w:tcPr>
            <w:tcW w:w="1019" w:type="dxa"/>
            <w:shd w:val="clear" w:color="auto" w:fill="BDD6EE" w:themeFill="accent1" w:themeFillTint="66"/>
            <w:vAlign w:val="center"/>
            <w:hideMark/>
          </w:tcPr>
          <w:p w14:paraId="105E6263" w14:textId="77777777" w:rsidR="00F06325" w:rsidRPr="00817795" w:rsidRDefault="00F06325" w:rsidP="00EA6E0B">
            <w:pPr>
              <w:spacing w:before="0" w:after="0"/>
              <w:ind w:firstLine="0"/>
              <w:jc w:val="center"/>
              <w:rPr>
                <w:rFonts w:eastAsia="Times New Roman" w:cs="Times New Roman"/>
                <w:color w:val="000000"/>
                <w:sz w:val="20"/>
                <w:szCs w:val="20"/>
                <w:lang w:eastAsia="lv-LV"/>
              </w:rPr>
            </w:pPr>
            <w:r w:rsidRPr="00817795">
              <w:rPr>
                <w:color w:val="000000"/>
                <w:sz w:val="20"/>
                <w:szCs w:val="20"/>
              </w:rPr>
              <w:t>341,5</w:t>
            </w:r>
          </w:p>
        </w:tc>
      </w:tr>
      <w:tr w:rsidR="00F06325" w:rsidRPr="001414A9" w14:paraId="267FC5F2" w14:textId="77777777" w:rsidTr="00EA6E0B">
        <w:trPr>
          <w:trHeight w:val="213"/>
        </w:trPr>
        <w:tc>
          <w:tcPr>
            <w:tcW w:w="5093" w:type="dxa"/>
            <w:shd w:val="clear" w:color="auto" w:fill="auto"/>
            <w:vAlign w:val="center"/>
            <w:hideMark/>
          </w:tcPr>
          <w:p w14:paraId="304E3EB5" w14:textId="77777777" w:rsidR="00F06325" w:rsidRPr="00817795" w:rsidRDefault="00F06325" w:rsidP="00EA6E0B">
            <w:pPr>
              <w:spacing w:before="0" w:after="0"/>
              <w:ind w:firstLine="0"/>
              <w:jc w:val="right"/>
              <w:rPr>
                <w:rFonts w:eastAsia="Times New Roman" w:cs="Times New Roman"/>
                <w:i/>
                <w:iCs/>
                <w:noProof/>
                <w:color w:val="000000"/>
                <w:sz w:val="18"/>
                <w:szCs w:val="18"/>
                <w:lang w:eastAsia="lv-LV"/>
              </w:rPr>
            </w:pPr>
            <w:r w:rsidRPr="00817795">
              <w:rPr>
                <w:rFonts w:eastAsia="Times New Roman" w:cs="Times New Roman"/>
                <w:i/>
                <w:iCs/>
                <w:noProof/>
                <w:color w:val="000000"/>
                <w:sz w:val="18"/>
                <w:szCs w:val="18"/>
                <w:lang w:eastAsia="lv-LV"/>
              </w:rPr>
              <w:t>Iedzīvotāju ienākuma nodoklis</w:t>
            </w:r>
          </w:p>
        </w:tc>
        <w:tc>
          <w:tcPr>
            <w:tcW w:w="993" w:type="dxa"/>
            <w:shd w:val="clear" w:color="auto" w:fill="BDD6EE" w:themeFill="accent1" w:themeFillTint="66"/>
            <w:hideMark/>
          </w:tcPr>
          <w:p w14:paraId="44C87780"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rFonts w:ascii="Times New Roman Baltic" w:hAnsi="Times New Roman Baltic" w:cs="Times New Roman Baltic"/>
                <w:i/>
                <w:iCs/>
                <w:sz w:val="20"/>
                <w:szCs w:val="20"/>
              </w:rPr>
              <w:t>2,4</w:t>
            </w:r>
          </w:p>
        </w:tc>
        <w:tc>
          <w:tcPr>
            <w:tcW w:w="992" w:type="dxa"/>
            <w:shd w:val="clear" w:color="auto" w:fill="BDD6EE" w:themeFill="accent1" w:themeFillTint="66"/>
            <w:hideMark/>
          </w:tcPr>
          <w:p w14:paraId="599D49DB"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rFonts w:ascii="Times New Roman Baltic" w:hAnsi="Times New Roman Baltic" w:cs="Times New Roman Baltic"/>
                <w:i/>
                <w:iCs/>
                <w:sz w:val="20"/>
                <w:szCs w:val="20"/>
              </w:rPr>
              <w:t>26,9</w:t>
            </w:r>
          </w:p>
        </w:tc>
        <w:tc>
          <w:tcPr>
            <w:tcW w:w="975" w:type="dxa"/>
            <w:shd w:val="clear" w:color="auto" w:fill="BDD6EE" w:themeFill="accent1" w:themeFillTint="66"/>
            <w:hideMark/>
          </w:tcPr>
          <w:p w14:paraId="02274708"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rFonts w:ascii="Times New Roman Baltic" w:hAnsi="Times New Roman Baltic" w:cs="Times New Roman Baltic"/>
                <w:i/>
                <w:iCs/>
                <w:sz w:val="20"/>
                <w:szCs w:val="20"/>
              </w:rPr>
              <w:t>55,4</w:t>
            </w:r>
          </w:p>
        </w:tc>
        <w:tc>
          <w:tcPr>
            <w:tcW w:w="1019" w:type="dxa"/>
            <w:shd w:val="clear" w:color="auto" w:fill="BDD6EE" w:themeFill="accent1" w:themeFillTint="66"/>
            <w:hideMark/>
          </w:tcPr>
          <w:p w14:paraId="37DCA3AC"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rFonts w:ascii="Times New Roman Baltic" w:hAnsi="Times New Roman Baltic" w:cs="Times New Roman Baltic"/>
                <w:i/>
                <w:iCs/>
                <w:sz w:val="20"/>
                <w:szCs w:val="20"/>
              </w:rPr>
              <w:t>88,3</w:t>
            </w:r>
          </w:p>
        </w:tc>
      </w:tr>
      <w:tr w:rsidR="00F06325" w:rsidRPr="001414A9" w14:paraId="173597CC" w14:textId="77777777" w:rsidTr="00EA6E0B">
        <w:trPr>
          <w:trHeight w:val="213"/>
        </w:trPr>
        <w:tc>
          <w:tcPr>
            <w:tcW w:w="5093" w:type="dxa"/>
            <w:shd w:val="clear" w:color="auto" w:fill="auto"/>
            <w:vAlign w:val="center"/>
            <w:hideMark/>
          </w:tcPr>
          <w:p w14:paraId="0ED991D6" w14:textId="77777777" w:rsidR="00F06325" w:rsidRPr="00817795" w:rsidRDefault="00F06325" w:rsidP="00EA6E0B">
            <w:pPr>
              <w:spacing w:before="0" w:after="0"/>
              <w:ind w:firstLine="0"/>
              <w:jc w:val="right"/>
              <w:rPr>
                <w:rFonts w:eastAsia="Times New Roman" w:cs="Times New Roman"/>
                <w:i/>
                <w:iCs/>
                <w:noProof/>
                <w:color w:val="000000"/>
                <w:sz w:val="18"/>
                <w:szCs w:val="18"/>
                <w:lang w:eastAsia="lv-LV"/>
              </w:rPr>
            </w:pPr>
            <w:r w:rsidRPr="00817795">
              <w:rPr>
                <w:rFonts w:eastAsia="Times New Roman" w:cs="Times New Roman"/>
                <w:i/>
                <w:iCs/>
                <w:noProof/>
                <w:color w:val="000000"/>
                <w:sz w:val="18"/>
                <w:szCs w:val="18"/>
                <w:lang w:eastAsia="lv-LV"/>
              </w:rPr>
              <w:t>Uzņēmuma ienākuma nodoklis</w:t>
            </w:r>
          </w:p>
        </w:tc>
        <w:tc>
          <w:tcPr>
            <w:tcW w:w="993" w:type="dxa"/>
            <w:shd w:val="clear" w:color="auto" w:fill="BDD6EE" w:themeFill="accent1" w:themeFillTint="66"/>
            <w:vAlign w:val="center"/>
            <w:hideMark/>
          </w:tcPr>
          <w:p w14:paraId="4BBC65B4"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2,9</w:t>
            </w:r>
          </w:p>
        </w:tc>
        <w:tc>
          <w:tcPr>
            <w:tcW w:w="992" w:type="dxa"/>
            <w:shd w:val="clear" w:color="auto" w:fill="BDD6EE" w:themeFill="accent1" w:themeFillTint="66"/>
            <w:vAlign w:val="center"/>
            <w:hideMark/>
          </w:tcPr>
          <w:p w14:paraId="1596959E"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6,7</w:t>
            </w:r>
          </w:p>
        </w:tc>
        <w:tc>
          <w:tcPr>
            <w:tcW w:w="975" w:type="dxa"/>
            <w:shd w:val="clear" w:color="auto" w:fill="BDD6EE" w:themeFill="accent1" w:themeFillTint="66"/>
            <w:vAlign w:val="center"/>
            <w:hideMark/>
          </w:tcPr>
          <w:p w14:paraId="4CF67F1A"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7,1</w:t>
            </w:r>
          </w:p>
        </w:tc>
        <w:tc>
          <w:tcPr>
            <w:tcW w:w="1019" w:type="dxa"/>
            <w:shd w:val="clear" w:color="auto" w:fill="BDD6EE" w:themeFill="accent1" w:themeFillTint="66"/>
            <w:vAlign w:val="center"/>
            <w:hideMark/>
          </w:tcPr>
          <w:p w14:paraId="2776E4D5"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7,8</w:t>
            </w:r>
          </w:p>
        </w:tc>
      </w:tr>
      <w:tr w:rsidR="00F06325" w:rsidRPr="001414A9" w14:paraId="1AB2DC30" w14:textId="77777777" w:rsidTr="00EA6E0B">
        <w:trPr>
          <w:trHeight w:val="213"/>
        </w:trPr>
        <w:tc>
          <w:tcPr>
            <w:tcW w:w="5093" w:type="dxa"/>
            <w:shd w:val="clear" w:color="auto" w:fill="auto"/>
            <w:vAlign w:val="center"/>
            <w:hideMark/>
          </w:tcPr>
          <w:p w14:paraId="7E0D2D78" w14:textId="77777777" w:rsidR="00F06325" w:rsidRPr="00817795" w:rsidRDefault="00F06325" w:rsidP="00EA6E0B">
            <w:pPr>
              <w:spacing w:before="0" w:after="0"/>
              <w:ind w:firstLine="0"/>
              <w:jc w:val="right"/>
              <w:rPr>
                <w:rFonts w:eastAsia="Times New Roman" w:cs="Times New Roman"/>
                <w:i/>
                <w:iCs/>
                <w:noProof/>
                <w:color w:val="000000"/>
                <w:sz w:val="18"/>
                <w:szCs w:val="18"/>
                <w:lang w:eastAsia="lv-LV"/>
              </w:rPr>
            </w:pPr>
            <w:r w:rsidRPr="00817795">
              <w:rPr>
                <w:rFonts w:eastAsia="Times New Roman" w:cs="Times New Roman"/>
                <w:i/>
                <w:iCs/>
                <w:noProof/>
                <w:color w:val="000000"/>
                <w:sz w:val="18"/>
                <w:szCs w:val="18"/>
                <w:lang w:eastAsia="lv-LV"/>
              </w:rPr>
              <w:t>Pievienotās vērtības nodoklis</w:t>
            </w:r>
          </w:p>
        </w:tc>
        <w:tc>
          <w:tcPr>
            <w:tcW w:w="993" w:type="dxa"/>
            <w:shd w:val="clear" w:color="auto" w:fill="BDD6EE" w:themeFill="accent1" w:themeFillTint="66"/>
            <w:vAlign w:val="center"/>
            <w:hideMark/>
          </w:tcPr>
          <w:p w14:paraId="5A9655EB"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22,7</w:t>
            </w:r>
          </w:p>
        </w:tc>
        <w:tc>
          <w:tcPr>
            <w:tcW w:w="992" w:type="dxa"/>
            <w:shd w:val="clear" w:color="auto" w:fill="BDD6EE" w:themeFill="accent1" w:themeFillTint="66"/>
            <w:vAlign w:val="center"/>
            <w:hideMark/>
          </w:tcPr>
          <w:p w14:paraId="546B05FE"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50,2</w:t>
            </w:r>
          </w:p>
        </w:tc>
        <w:tc>
          <w:tcPr>
            <w:tcW w:w="975" w:type="dxa"/>
            <w:shd w:val="clear" w:color="auto" w:fill="BDD6EE" w:themeFill="accent1" w:themeFillTint="66"/>
            <w:vAlign w:val="center"/>
            <w:hideMark/>
          </w:tcPr>
          <w:p w14:paraId="28D1B126"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52,4</w:t>
            </w:r>
          </w:p>
        </w:tc>
        <w:tc>
          <w:tcPr>
            <w:tcW w:w="1019" w:type="dxa"/>
            <w:shd w:val="clear" w:color="auto" w:fill="BDD6EE" w:themeFill="accent1" w:themeFillTint="66"/>
            <w:vAlign w:val="center"/>
            <w:hideMark/>
          </w:tcPr>
          <w:p w14:paraId="0F85CA69"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56,7</w:t>
            </w:r>
          </w:p>
        </w:tc>
      </w:tr>
      <w:tr w:rsidR="00F06325" w:rsidRPr="001414A9" w14:paraId="77A386A0" w14:textId="77777777" w:rsidTr="00EA6E0B">
        <w:trPr>
          <w:trHeight w:val="84"/>
        </w:trPr>
        <w:tc>
          <w:tcPr>
            <w:tcW w:w="5093" w:type="dxa"/>
            <w:shd w:val="clear" w:color="auto" w:fill="auto"/>
            <w:vAlign w:val="bottom"/>
            <w:hideMark/>
          </w:tcPr>
          <w:p w14:paraId="5AB5E033" w14:textId="77777777" w:rsidR="00F06325" w:rsidRPr="00817795" w:rsidRDefault="00F06325" w:rsidP="00EA6E0B">
            <w:pPr>
              <w:spacing w:before="0" w:after="0"/>
              <w:ind w:firstLine="0"/>
              <w:jc w:val="right"/>
              <w:rPr>
                <w:rFonts w:eastAsia="Times New Roman" w:cs="Times New Roman"/>
                <w:i/>
                <w:iCs/>
                <w:noProof/>
                <w:color w:val="000000"/>
                <w:sz w:val="18"/>
                <w:szCs w:val="18"/>
                <w:lang w:eastAsia="lv-LV"/>
              </w:rPr>
            </w:pPr>
            <w:r w:rsidRPr="00817795">
              <w:rPr>
                <w:rFonts w:eastAsia="Times New Roman" w:cs="Times New Roman"/>
                <w:i/>
                <w:iCs/>
                <w:noProof/>
                <w:color w:val="000000"/>
                <w:sz w:val="18"/>
                <w:szCs w:val="18"/>
                <w:lang w:eastAsia="lv-LV"/>
              </w:rPr>
              <w:t>Valsts sociālās apdrošināšanas obligātās  iemaksas</w:t>
            </w:r>
          </w:p>
        </w:tc>
        <w:tc>
          <w:tcPr>
            <w:tcW w:w="993" w:type="dxa"/>
            <w:shd w:val="clear" w:color="auto" w:fill="BDD6EE" w:themeFill="accent1" w:themeFillTint="66"/>
            <w:vAlign w:val="center"/>
            <w:hideMark/>
          </w:tcPr>
          <w:p w14:paraId="0E66D84D"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0,0</w:t>
            </w:r>
          </w:p>
        </w:tc>
        <w:tc>
          <w:tcPr>
            <w:tcW w:w="992" w:type="dxa"/>
            <w:shd w:val="clear" w:color="auto" w:fill="BDD6EE" w:themeFill="accent1" w:themeFillTint="66"/>
            <w:vAlign w:val="center"/>
            <w:hideMark/>
          </w:tcPr>
          <w:p w14:paraId="1A84B84C"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41,9</w:t>
            </w:r>
          </w:p>
        </w:tc>
        <w:tc>
          <w:tcPr>
            <w:tcW w:w="975" w:type="dxa"/>
            <w:shd w:val="clear" w:color="auto" w:fill="BDD6EE" w:themeFill="accent1" w:themeFillTint="66"/>
            <w:vAlign w:val="center"/>
            <w:hideMark/>
          </w:tcPr>
          <w:p w14:paraId="709F0988"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95,4</w:t>
            </w:r>
          </w:p>
        </w:tc>
        <w:tc>
          <w:tcPr>
            <w:tcW w:w="1019" w:type="dxa"/>
            <w:shd w:val="clear" w:color="auto" w:fill="BDD6EE" w:themeFill="accent1" w:themeFillTint="66"/>
            <w:vAlign w:val="center"/>
            <w:hideMark/>
          </w:tcPr>
          <w:p w14:paraId="203DA304"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156,9</w:t>
            </w:r>
          </w:p>
        </w:tc>
      </w:tr>
      <w:tr w:rsidR="00F06325" w:rsidRPr="001414A9" w14:paraId="44CEFEC9" w14:textId="77777777" w:rsidTr="00EA6E0B">
        <w:trPr>
          <w:trHeight w:val="213"/>
        </w:trPr>
        <w:tc>
          <w:tcPr>
            <w:tcW w:w="5093" w:type="dxa"/>
            <w:shd w:val="clear" w:color="auto" w:fill="auto"/>
            <w:vAlign w:val="center"/>
            <w:hideMark/>
          </w:tcPr>
          <w:p w14:paraId="57708E7A" w14:textId="77777777" w:rsidR="00F06325" w:rsidRPr="00817795" w:rsidRDefault="00F06325" w:rsidP="00EA6E0B">
            <w:pPr>
              <w:spacing w:before="0" w:after="0"/>
              <w:ind w:firstLine="0"/>
              <w:jc w:val="right"/>
              <w:rPr>
                <w:rFonts w:eastAsia="Times New Roman" w:cs="Times New Roman"/>
                <w:noProof/>
                <w:color w:val="000000"/>
                <w:sz w:val="18"/>
                <w:szCs w:val="18"/>
                <w:lang w:eastAsia="lv-LV"/>
              </w:rPr>
            </w:pPr>
            <w:r w:rsidRPr="00817795">
              <w:rPr>
                <w:rFonts w:eastAsia="Times New Roman" w:cs="Times New Roman"/>
                <w:noProof/>
                <w:color w:val="000000"/>
                <w:sz w:val="18"/>
                <w:szCs w:val="18"/>
                <w:lang w:eastAsia="lv-LV"/>
              </w:rPr>
              <w:t xml:space="preserve">          </w:t>
            </w:r>
            <w:r w:rsidRPr="00817795">
              <w:rPr>
                <w:rFonts w:eastAsia="Times New Roman" w:cs="Times New Roman"/>
                <w:i/>
                <w:iCs/>
                <w:noProof/>
                <w:color w:val="000000"/>
                <w:sz w:val="18"/>
                <w:szCs w:val="18"/>
                <w:lang w:eastAsia="lv-LV"/>
              </w:rPr>
              <w:t>Akcīzes nodoklis</w:t>
            </w:r>
          </w:p>
        </w:tc>
        <w:tc>
          <w:tcPr>
            <w:tcW w:w="993" w:type="dxa"/>
            <w:shd w:val="clear" w:color="auto" w:fill="BDD6EE" w:themeFill="accent1" w:themeFillTint="66"/>
            <w:vAlign w:val="center"/>
            <w:hideMark/>
          </w:tcPr>
          <w:p w14:paraId="1416BCF5"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4,2</w:t>
            </w:r>
          </w:p>
        </w:tc>
        <w:tc>
          <w:tcPr>
            <w:tcW w:w="992" w:type="dxa"/>
            <w:shd w:val="clear" w:color="auto" w:fill="BDD6EE" w:themeFill="accent1" w:themeFillTint="66"/>
            <w:vAlign w:val="center"/>
            <w:hideMark/>
          </w:tcPr>
          <w:p w14:paraId="475BC64A"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13,9</w:t>
            </w:r>
          </w:p>
        </w:tc>
        <w:tc>
          <w:tcPr>
            <w:tcW w:w="975" w:type="dxa"/>
            <w:shd w:val="clear" w:color="auto" w:fill="BDD6EE" w:themeFill="accent1" w:themeFillTint="66"/>
            <w:vAlign w:val="center"/>
            <w:hideMark/>
          </w:tcPr>
          <w:p w14:paraId="26D2E312"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20,1</w:t>
            </w:r>
          </w:p>
        </w:tc>
        <w:tc>
          <w:tcPr>
            <w:tcW w:w="1019" w:type="dxa"/>
            <w:shd w:val="clear" w:color="auto" w:fill="BDD6EE" w:themeFill="accent1" w:themeFillTint="66"/>
            <w:vAlign w:val="center"/>
            <w:hideMark/>
          </w:tcPr>
          <w:p w14:paraId="035DE962" w14:textId="77777777" w:rsidR="00F06325" w:rsidRPr="00817795" w:rsidRDefault="00F06325" w:rsidP="00EA6E0B">
            <w:pPr>
              <w:spacing w:before="0" w:after="0"/>
              <w:ind w:firstLine="0"/>
              <w:jc w:val="center"/>
              <w:rPr>
                <w:rFonts w:eastAsia="Times New Roman" w:cs="Times New Roman"/>
                <w:color w:val="000000"/>
                <w:sz w:val="18"/>
                <w:szCs w:val="18"/>
                <w:lang w:eastAsia="lv-LV"/>
              </w:rPr>
            </w:pPr>
            <w:r w:rsidRPr="00817795">
              <w:rPr>
                <w:i/>
                <w:iCs/>
                <w:color w:val="000000"/>
                <w:sz w:val="20"/>
                <w:szCs w:val="20"/>
              </w:rPr>
              <w:t>26,9</w:t>
            </w:r>
          </w:p>
        </w:tc>
      </w:tr>
      <w:tr w:rsidR="00F06325" w:rsidRPr="001414A9" w14:paraId="1EF4DEEB" w14:textId="77777777" w:rsidTr="00EA6E0B">
        <w:trPr>
          <w:trHeight w:val="213"/>
        </w:trPr>
        <w:tc>
          <w:tcPr>
            <w:tcW w:w="5093" w:type="dxa"/>
            <w:shd w:val="clear" w:color="auto" w:fill="auto"/>
            <w:vAlign w:val="center"/>
            <w:hideMark/>
          </w:tcPr>
          <w:p w14:paraId="541148F9" w14:textId="77777777" w:rsidR="00F06325" w:rsidRPr="00817795" w:rsidRDefault="00F06325" w:rsidP="00EA6E0B">
            <w:pPr>
              <w:spacing w:before="0" w:after="0"/>
              <w:ind w:firstLineChars="100" w:firstLine="200"/>
              <w:jc w:val="left"/>
              <w:rPr>
                <w:rFonts w:eastAsia="Times New Roman" w:cs="Times New Roman"/>
                <w:noProof/>
                <w:color w:val="000000"/>
                <w:sz w:val="20"/>
                <w:szCs w:val="20"/>
                <w:lang w:eastAsia="lv-LV"/>
              </w:rPr>
            </w:pPr>
            <w:r w:rsidRPr="00817795">
              <w:rPr>
                <w:rFonts w:eastAsia="Times New Roman" w:cs="Times New Roman"/>
                <w:noProof/>
                <w:color w:val="000000"/>
                <w:sz w:val="20"/>
                <w:szCs w:val="20"/>
                <w:lang w:eastAsia="lv-LV"/>
              </w:rPr>
              <w:t>Nenodokļu ieņēmumi</w:t>
            </w:r>
          </w:p>
        </w:tc>
        <w:tc>
          <w:tcPr>
            <w:tcW w:w="993" w:type="dxa"/>
            <w:shd w:val="clear" w:color="auto" w:fill="BDD6EE" w:themeFill="accent1" w:themeFillTint="66"/>
            <w:vAlign w:val="center"/>
            <w:hideMark/>
          </w:tcPr>
          <w:p w14:paraId="36295E23" w14:textId="77777777" w:rsidR="00F06325" w:rsidRPr="00817795" w:rsidRDefault="00F06325" w:rsidP="00EA6E0B">
            <w:pPr>
              <w:spacing w:before="0" w:after="0"/>
              <w:ind w:firstLine="0"/>
              <w:jc w:val="center"/>
              <w:rPr>
                <w:rFonts w:eastAsia="Times New Roman" w:cs="Times New Roman"/>
                <w:color w:val="000000"/>
                <w:sz w:val="20"/>
                <w:szCs w:val="20"/>
                <w:lang w:eastAsia="lv-LV"/>
              </w:rPr>
            </w:pPr>
            <w:r w:rsidRPr="00817795">
              <w:rPr>
                <w:color w:val="000000"/>
                <w:sz w:val="20"/>
                <w:szCs w:val="20"/>
              </w:rPr>
              <w:t>4,9</w:t>
            </w:r>
          </w:p>
        </w:tc>
        <w:tc>
          <w:tcPr>
            <w:tcW w:w="992" w:type="dxa"/>
            <w:shd w:val="clear" w:color="auto" w:fill="BDD6EE" w:themeFill="accent1" w:themeFillTint="66"/>
            <w:vAlign w:val="center"/>
            <w:hideMark/>
          </w:tcPr>
          <w:p w14:paraId="6C0D2AD8" w14:textId="77777777" w:rsidR="00F06325" w:rsidRPr="00817795" w:rsidRDefault="00F06325" w:rsidP="00EA6E0B">
            <w:pPr>
              <w:spacing w:before="0" w:after="0"/>
              <w:ind w:firstLine="0"/>
              <w:jc w:val="center"/>
              <w:rPr>
                <w:rFonts w:eastAsia="Times New Roman" w:cs="Times New Roman"/>
                <w:color w:val="000000"/>
                <w:sz w:val="20"/>
                <w:szCs w:val="20"/>
                <w:lang w:eastAsia="lv-LV"/>
              </w:rPr>
            </w:pPr>
            <w:r w:rsidRPr="00817795">
              <w:rPr>
                <w:color w:val="000000"/>
                <w:sz w:val="20"/>
                <w:szCs w:val="20"/>
              </w:rPr>
              <w:t>7,9</w:t>
            </w:r>
          </w:p>
        </w:tc>
        <w:tc>
          <w:tcPr>
            <w:tcW w:w="975" w:type="dxa"/>
            <w:shd w:val="clear" w:color="auto" w:fill="BDD6EE" w:themeFill="accent1" w:themeFillTint="66"/>
            <w:vAlign w:val="center"/>
            <w:hideMark/>
          </w:tcPr>
          <w:p w14:paraId="5031A145" w14:textId="77777777" w:rsidR="00F06325" w:rsidRPr="00817795" w:rsidRDefault="00F06325" w:rsidP="00EA6E0B">
            <w:pPr>
              <w:spacing w:before="0" w:after="0"/>
              <w:ind w:firstLine="0"/>
              <w:jc w:val="center"/>
              <w:rPr>
                <w:rFonts w:eastAsia="Times New Roman" w:cs="Times New Roman"/>
                <w:color w:val="000000"/>
                <w:sz w:val="20"/>
                <w:szCs w:val="20"/>
                <w:lang w:eastAsia="lv-LV"/>
              </w:rPr>
            </w:pPr>
            <w:r w:rsidRPr="00817795">
              <w:rPr>
                <w:color w:val="000000"/>
                <w:sz w:val="20"/>
                <w:szCs w:val="20"/>
              </w:rPr>
              <w:t>7,8</w:t>
            </w:r>
          </w:p>
        </w:tc>
        <w:tc>
          <w:tcPr>
            <w:tcW w:w="1019" w:type="dxa"/>
            <w:shd w:val="clear" w:color="auto" w:fill="BDD6EE" w:themeFill="accent1" w:themeFillTint="66"/>
            <w:vAlign w:val="center"/>
            <w:hideMark/>
          </w:tcPr>
          <w:p w14:paraId="1B04B733" w14:textId="77777777" w:rsidR="00F06325" w:rsidRPr="00817795" w:rsidRDefault="00F06325" w:rsidP="00EA6E0B">
            <w:pPr>
              <w:spacing w:before="0" w:after="0"/>
              <w:ind w:firstLine="0"/>
              <w:jc w:val="center"/>
              <w:rPr>
                <w:rFonts w:eastAsia="Times New Roman" w:cs="Times New Roman"/>
                <w:color w:val="000000"/>
                <w:sz w:val="20"/>
                <w:szCs w:val="20"/>
                <w:lang w:eastAsia="lv-LV"/>
              </w:rPr>
            </w:pPr>
            <w:r w:rsidRPr="00817795">
              <w:rPr>
                <w:color w:val="000000"/>
                <w:sz w:val="20"/>
                <w:szCs w:val="20"/>
              </w:rPr>
              <w:t>6,6</w:t>
            </w:r>
          </w:p>
        </w:tc>
      </w:tr>
      <w:tr w:rsidR="00F06325" w:rsidRPr="001414A9" w14:paraId="7A94CBF9" w14:textId="77777777" w:rsidTr="00EA6E0B">
        <w:trPr>
          <w:trHeight w:val="213"/>
        </w:trPr>
        <w:tc>
          <w:tcPr>
            <w:tcW w:w="5093" w:type="dxa"/>
            <w:shd w:val="clear" w:color="auto" w:fill="auto"/>
            <w:vAlign w:val="center"/>
          </w:tcPr>
          <w:p w14:paraId="3318AA79" w14:textId="77777777" w:rsidR="00F06325" w:rsidRPr="00817795" w:rsidRDefault="00F06325" w:rsidP="00EA6E0B">
            <w:pPr>
              <w:spacing w:before="0" w:after="0"/>
              <w:ind w:firstLineChars="100" w:firstLine="200"/>
              <w:jc w:val="left"/>
              <w:rPr>
                <w:rFonts w:eastAsia="Times New Roman" w:cs="Times New Roman"/>
                <w:noProof/>
                <w:color w:val="000000"/>
                <w:sz w:val="20"/>
                <w:szCs w:val="20"/>
                <w:lang w:eastAsia="lv-LV"/>
              </w:rPr>
            </w:pPr>
            <w:r>
              <w:rPr>
                <w:rFonts w:eastAsia="Times New Roman" w:cs="Times New Roman"/>
                <w:noProof/>
                <w:color w:val="000000"/>
                <w:sz w:val="20"/>
                <w:szCs w:val="20"/>
                <w:lang w:eastAsia="lv-LV"/>
              </w:rPr>
              <w:t>Soc.p</w:t>
            </w:r>
            <w:r w:rsidRPr="00817795">
              <w:rPr>
                <w:rFonts w:eastAsia="Times New Roman" w:cs="Times New Roman"/>
                <w:noProof/>
                <w:color w:val="000000"/>
                <w:sz w:val="20"/>
                <w:szCs w:val="20"/>
                <w:lang w:eastAsia="lv-LV"/>
              </w:rPr>
              <w:t>abalstu izdevumi</w:t>
            </w:r>
          </w:p>
        </w:tc>
        <w:tc>
          <w:tcPr>
            <w:tcW w:w="993" w:type="dxa"/>
            <w:shd w:val="clear" w:color="auto" w:fill="BDD6EE" w:themeFill="accent1" w:themeFillTint="66"/>
            <w:vAlign w:val="center"/>
          </w:tcPr>
          <w:p w14:paraId="5450BA46" w14:textId="77777777" w:rsidR="00F06325" w:rsidRPr="00817795" w:rsidRDefault="00F06325" w:rsidP="00EA6E0B">
            <w:pPr>
              <w:spacing w:before="0" w:after="0"/>
              <w:ind w:firstLine="0"/>
              <w:jc w:val="center"/>
              <w:rPr>
                <w:color w:val="000000"/>
                <w:sz w:val="20"/>
                <w:szCs w:val="20"/>
              </w:rPr>
            </w:pPr>
            <w:r w:rsidRPr="00817795">
              <w:rPr>
                <w:color w:val="000000"/>
                <w:sz w:val="20"/>
                <w:szCs w:val="20"/>
              </w:rPr>
              <w:t>-2,6</w:t>
            </w:r>
          </w:p>
        </w:tc>
        <w:tc>
          <w:tcPr>
            <w:tcW w:w="992" w:type="dxa"/>
            <w:shd w:val="clear" w:color="auto" w:fill="BDD6EE" w:themeFill="accent1" w:themeFillTint="66"/>
            <w:vAlign w:val="center"/>
          </w:tcPr>
          <w:p w14:paraId="3806F2DC" w14:textId="77777777" w:rsidR="00F06325" w:rsidRPr="00817795" w:rsidRDefault="00F06325" w:rsidP="00EA6E0B">
            <w:pPr>
              <w:spacing w:before="0" w:after="0"/>
              <w:ind w:firstLine="0"/>
              <w:jc w:val="center"/>
              <w:rPr>
                <w:color w:val="000000"/>
                <w:sz w:val="20"/>
                <w:szCs w:val="20"/>
              </w:rPr>
            </w:pPr>
            <w:r w:rsidRPr="00817795">
              <w:rPr>
                <w:color w:val="000000"/>
                <w:sz w:val="20"/>
                <w:szCs w:val="20"/>
              </w:rPr>
              <w:t>-5,4</w:t>
            </w:r>
          </w:p>
        </w:tc>
        <w:tc>
          <w:tcPr>
            <w:tcW w:w="975" w:type="dxa"/>
            <w:shd w:val="clear" w:color="auto" w:fill="BDD6EE" w:themeFill="accent1" w:themeFillTint="66"/>
            <w:vAlign w:val="center"/>
          </w:tcPr>
          <w:p w14:paraId="7D9FBD2E" w14:textId="77777777" w:rsidR="00F06325" w:rsidRPr="00817795" w:rsidRDefault="00F06325" w:rsidP="00EA6E0B">
            <w:pPr>
              <w:spacing w:before="0" w:after="0"/>
              <w:ind w:firstLine="0"/>
              <w:jc w:val="center"/>
              <w:rPr>
                <w:color w:val="000000"/>
                <w:sz w:val="20"/>
                <w:szCs w:val="20"/>
              </w:rPr>
            </w:pPr>
            <w:r w:rsidRPr="00817795">
              <w:rPr>
                <w:color w:val="000000"/>
                <w:sz w:val="20"/>
                <w:szCs w:val="20"/>
              </w:rPr>
              <w:t>14,0</w:t>
            </w:r>
          </w:p>
        </w:tc>
        <w:tc>
          <w:tcPr>
            <w:tcW w:w="1019" w:type="dxa"/>
            <w:shd w:val="clear" w:color="auto" w:fill="BDD6EE" w:themeFill="accent1" w:themeFillTint="66"/>
            <w:vAlign w:val="center"/>
          </w:tcPr>
          <w:p w14:paraId="7429970D" w14:textId="77777777" w:rsidR="00F06325" w:rsidRPr="00817795" w:rsidRDefault="00F06325" w:rsidP="00EA6E0B">
            <w:pPr>
              <w:spacing w:before="0" w:after="0"/>
              <w:ind w:firstLine="0"/>
              <w:jc w:val="center"/>
              <w:rPr>
                <w:color w:val="000000"/>
                <w:sz w:val="20"/>
                <w:szCs w:val="20"/>
              </w:rPr>
            </w:pPr>
            <w:r w:rsidRPr="00817795">
              <w:rPr>
                <w:color w:val="000000"/>
                <w:sz w:val="20"/>
                <w:szCs w:val="20"/>
              </w:rPr>
              <w:t>50,7</w:t>
            </w:r>
          </w:p>
        </w:tc>
      </w:tr>
      <w:tr w:rsidR="00F06325" w:rsidRPr="001414A9" w14:paraId="362AC2F3" w14:textId="77777777" w:rsidTr="00EA6E0B">
        <w:trPr>
          <w:trHeight w:val="213"/>
        </w:trPr>
        <w:tc>
          <w:tcPr>
            <w:tcW w:w="5093" w:type="dxa"/>
            <w:shd w:val="clear" w:color="auto" w:fill="auto"/>
            <w:vAlign w:val="center"/>
            <w:hideMark/>
          </w:tcPr>
          <w:p w14:paraId="39621235" w14:textId="77777777" w:rsidR="00F06325" w:rsidRPr="00817795" w:rsidRDefault="00F06325" w:rsidP="00EA6E0B">
            <w:pPr>
              <w:spacing w:before="0" w:after="0"/>
              <w:ind w:firstLineChars="100" w:firstLine="200"/>
              <w:jc w:val="left"/>
              <w:rPr>
                <w:rFonts w:eastAsia="Times New Roman" w:cs="Times New Roman"/>
                <w:color w:val="000000"/>
                <w:sz w:val="20"/>
                <w:szCs w:val="20"/>
                <w:lang w:eastAsia="lv-LV"/>
              </w:rPr>
            </w:pPr>
            <w:r w:rsidRPr="00817795">
              <w:rPr>
                <w:rFonts w:eastAsia="Times New Roman" w:cs="Times New Roman"/>
                <w:color w:val="000000"/>
                <w:sz w:val="20"/>
                <w:szCs w:val="20"/>
                <w:lang w:eastAsia="lv-LV"/>
              </w:rPr>
              <w:t>Procentu izdevumi</w:t>
            </w:r>
          </w:p>
        </w:tc>
        <w:tc>
          <w:tcPr>
            <w:tcW w:w="993" w:type="dxa"/>
            <w:shd w:val="clear" w:color="auto" w:fill="BDD6EE" w:themeFill="accent1" w:themeFillTint="66"/>
            <w:vAlign w:val="center"/>
            <w:hideMark/>
          </w:tcPr>
          <w:p w14:paraId="026153C0" w14:textId="77777777" w:rsidR="00F06325" w:rsidRPr="00817795" w:rsidRDefault="00F06325" w:rsidP="00EA6E0B">
            <w:pPr>
              <w:spacing w:before="0" w:after="0"/>
              <w:ind w:firstLine="0"/>
              <w:jc w:val="center"/>
              <w:rPr>
                <w:rFonts w:eastAsia="Times New Roman" w:cs="Times New Roman"/>
                <w:color w:val="000000"/>
                <w:sz w:val="20"/>
                <w:szCs w:val="20"/>
                <w:lang w:eastAsia="lv-LV"/>
              </w:rPr>
            </w:pPr>
            <w:r w:rsidRPr="00817795">
              <w:rPr>
                <w:color w:val="000000"/>
                <w:sz w:val="20"/>
                <w:szCs w:val="20"/>
              </w:rPr>
              <w:t>0,0</w:t>
            </w:r>
          </w:p>
        </w:tc>
        <w:tc>
          <w:tcPr>
            <w:tcW w:w="992" w:type="dxa"/>
            <w:shd w:val="clear" w:color="auto" w:fill="BDD6EE" w:themeFill="accent1" w:themeFillTint="66"/>
            <w:vAlign w:val="center"/>
            <w:hideMark/>
          </w:tcPr>
          <w:p w14:paraId="6AD68DB7" w14:textId="77777777" w:rsidR="00F06325" w:rsidRPr="00817795" w:rsidRDefault="00F06325" w:rsidP="00EA6E0B">
            <w:pPr>
              <w:spacing w:before="0" w:after="0"/>
              <w:ind w:firstLine="0"/>
              <w:jc w:val="center"/>
              <w:rPr>
                <w:rFonts w:eastAsia="Times New Roman" w:cs="Times New Roman"/>
                <w:color w:val="000000"/>
                <w:sz w:val="20"/>
                <w:szCs w:val="20"/>
                <w:lang w:eastAsia="lv-LV"/>
              </w:rPr>
            </w:pPr>
            <w:r w:rsidRPr="00817795">
              <w:rPr>
                <w:color w:val="000000"/>
                <w:sz w:val="20"/>
                <w:szCs w:val="20"/>
              </w:rPr>
              <w:t>-2,1</w:t>
            </w:r>
          </w:p>
        </w:tc>
        <w:tc>
          <w:tcPr>
            <w:tcW w:w="975" w:type="dxa"/>
            <w:shd w:val="clear" w:color="auto" w:fill="BDD6EE" w:themeFill="accent1" w:themeFillTint="66"/>
            <w:vAlign w:val="center"/>
            <w:hideMark/>
          </w:tcPr>
          <w:p w14:paraId="4407A2B0" w14:textId="77777777" w:rsidR="00F06325" w:rsidRPr="00817795" w:rsidRDefault="00F06325" w:rsidP="00EA6E0B">
            <w:pPr>
              <w:spacing w:before="0" w:after="0"/>
              <w:ind w:firstLine="0"/>
              <w:jc w:val="center"/>
              <w:rPr>
                <w:rFonts w:eastAsia="Times New Roman" w:cs="Times New Roman"/>
                <w:color w:val="000000"/>
                <w:sz w:val="20"/>
                <w:szCs w:val="20"/>
                <w:lang w:eastAsia="lv-LV"/>
              </w:rPr>
            </w:pPr>
            <w:r w:rsidRPr="00817795">
              <w:rPr>
                <w:color w:val="000000"/>
                <w:sz w:val="20"/>
                <w:szCs w:val="20"/>
              </w:rPr>
              <w:t>-9,4</w:t>
            </w:r>
          </w:p>
        </w:tc>
        <w:tc>
          <w:tcPr>
            <w:tcW w:w="1019" w:type="dxa"/>
            <w:shd w:val="clear" w:color="auto" w:fill="BDD6EE" w:themeFill="accent1" w:themeFillTint="66"/>
            <w:vAlign w:val="center"/>
            <w:hideMark/>
          </w:tcPr>
          <w:p w14:paraId="73F9186B" w14:textId="77777777" w:rsidR="00F06325" w:rsidRPr="00817795" w:rsidRDefault="00F06325" w:rsidP="00EA6E0B">
            <w:pPr>
              <w:spacing w:before="0" w:after="0"/>
              <w:ind w:firstLine="0"/>
              <w:jc w:val="center"/>
              <w:rPr>
                <w:rFonts w:eastAsia="Times New Roman" w:cs="Times New Roman"/>
                <w:color w:val="000000"/>
                <w:sz w:val="20"/>
                <w:szCs w:val="20"/>
                <w:lang w:eastAsia="lv-LV"/>
              </w:rPr>
            </w:pPr>
            <w:r w:rsidRPr="00817795">
              <w:rPr>
                <w:color w:val="000000"/>
                <w:sz w:val="20"/>
                <w:szCs w:val="20"/>
              </w:rPr>
              <w:t>-19,8</w:t>
            </w:r>
          </w:p>
        </w:tc>
      </w:tr>
      <w:tr w:rsidR="00F06325" w:rsidRPr="001414A9" w14:paraId="2AC516F7" w14:textId="77777777" w:rsidTr="00EA6E0B">
        <w:trPr>
          <w:trHeight w:val="213"/>
        </w:trPr>
        <w:tc>
          <w:tcPr>
            <w:tcW w:w="5093" w:type="dxa"/>
            <w:shd w:val="clear" w:color="auto" w:fill="auto"/>
            <w:vAlign w:val="center"/>
          </w:tcPr>
          <w:p w14:paraId="2185A458" w14:textId="77777777" w:rsidR="00F06325" w:rsidRPr="00817795" w:rsidRDefault="00F06325" w:rsidP="00EA6E0B">
            <w:pPr>
              <w:spacing w:before="0" w:after="0"/>
              <w:ind w:firstLine="0"/>
              <w:jc w:val="left"/>
              <w:rPr>
                <w:rFonts w:eastAsia="Times New Roman" w:cs="Times New Roman"/>
                <w:color w:val="000000"/>
                <w:sz w:val="20"/>
                <w:szCs w:val="20"/>
                <w:lang w:eastAsia="lv-LV"/>
              </w:rPr>
            </w:pPr>
            <w:r w:rsidRPr="00817795">
              <w:rPr>
                <w:rFonts w:eastAsia="Times New Roman" w:cs="Times New Roman"/>
                <w:b/>
                <w:bCs/>
                <w:color w:val="000000"/>
                <w:sz w:val="20"/>
                <w:szCs w:val="20"/>
                <w:lang w:eastAsia="lv-LV"/>
              </w:rPr>
              <w:t>Vispārējās valdības parāds, % no IKP</w:t>
            </w:r>
          </w:p>
        </w:tc>
        <w:tc>
          <w:tcPr>
            <w:tcW w:w="993" w:type="dxa"/>
            <w:shd w:val="clear" w:color="auto" w:fill="BDD6EE" w:themeFill="accent1" w:themeFillTint="66"/>
            <w:vAlign w:val="center"/>
          </w:tcPr>
          <w:p w14:paraId="1EFE8310" w14:textId="77777777" w:rsidR="00F06325" w:rsidRPr="00817795" w:rsidRDefault="00F06325" w:rsidP="00EA6E0B">
            <w:pPr>
              <w:spacing w:before="0" w:after="0"/>
              <w:ind w:firstLine="0"/>
              <w:jc w:val="center"/>
              <w:rPr>
                <w:color w:val="000000"/>
                <w:sz w:val="20"/>
                <w:szCs w:val="20"/>
              </w:rPr>
            </w:pPr>
            <w:r w:rsidRPr="00817795">
              <w:rPr>
                <w:b/>
                <w:bCs/>
                <w:color w:val="000000"/>
                <w:sz w:val="20"/>
                <w:szCs w:val="20"/>
              </w:rPr>
              <w:t>39,4%</w:t>
            </w:r>
          </w:p>
        </w:tc>
        <w:tc>
          <w:tcPr>
            <w:tcW w:w="992" w:type="dxa"/>
            <w:shd w:val="clear" w:color="auto" w:fill="BDD6EE" w:themeFill="accent1" w:themeFillTint="66"/>
            <w:vAlign w:val="center"/>
          </w:tcPr>
          <w:p w14:paraId="24F6AE0B" w14:textId="77777777" w:rsidR="00F06325" w:rsidRPr="00817795" w:rsidRDefault="00F06325" w:rsidP="00EA6E0B">
            <w:pPr>
              <w:spacing w:before="0" w:after="0"/>
              <w:ind w:firstLine="0"/>
              <w:jc w:val="center"/>
              <w:rPr>
                <w:color w:val="000000"/>
                <w:sz w:val="20"/>
                <w:szCs w:val="20"/>
              </w:rPr>
            </w:pPr>
            <w:r w:rsidRPr="00817795">
              <w:rPr>
                <w:b/>
                <w:bCs/>
                <w:color w:val="000000"/>
                <w:sz w:val="20"/>
                <w:szCs w:val="20"/>
              </w:rPr>
              <w:t>39,6%</w:t>
            </w:r>
          </w:p>
        </w:tc>
        <w:tc>
          <w:tcPr>
            <w:tcW w:w="975" w:type="dxa"/>
            <w:shd w:val="clear" w:color="auto" w:fill="BDD6EE" w:themeFill="accent1" w:themeFillTint="66"/>
            <w:vAlign w:val="center"/>
          </w:tcPr>
          <w:p w14:paraId="267F9C70" w14:textId="77777777" w:rsidR="00F06325" w:rsidRPr="00817795" w:rsidRDefault="00F06325" w:rsidP="00EA6E0B">
            <w:pPr>
              <w:spacing w:before="0" w:after="0"/>
              <w:ind w:firstLine="0"/>
              <w:jc w:val="center"/>
              <w:rPr>
                <w:color w:val="000000"/>
                <w:sz w:val="20"/>
                <w:szCs w:val="20"/>
              </w:rPr>
            </w:pPr>
            <w:r w:rsidRPr="00817795">
              <w:rPr>
                <w:b/>
                <w:bCs/>
                <w:color w:val="000000"/>
                <w:sz w:val="20"/>
                <w:szCs w:val="20"/>
              </w:rPr>
              <w:t>39,0%</w:t>
            </w:r>
          </w:p>
        </w:tc>
        <w:tc>
          <w:tcPr>
            <w:tcW w:w="1019" w:type="dxa"/>
            <w:shd w:val="clear" w:color="auto" w:fill="BDD6EE" w:themeFill="accent1" w:themeFillTint="66"/>
            <w:vAlign w:val="center"/>
          </w:tcPr>
          <w:p w14:paraId="08A13042" w14:textId="77777777" w:rsidR="00F06325" w:rsidRPr="00817795" w:rsidRDefault="00F06325" w:rsidP="00EA6E0B">
            <w:pPr>
              <w:spacing w:before="0" w:after="0"/>
              <w:ind w:firstLine="0"/>
              <w:jc w:val="center"/>
              <w:rPr>
                <w:color w:val="000000"/>
                <w:sz w:val="20"/>
                <w:szCs w:val="20"/>
              </w:rPr>
            </w:pPr>
            <w:r w:rsidRPr="00817795">
              <w:rPr>
                <w:b/>
                <w:bCs/>
                <w:color w:val="000000"/>
                <w:sz w:val="20"/>
                <w:szCs w:val="20"/>
              </w:rPr>
              <w:t>37,4%</w:t>
            </w:r>
          </w:p>
        </w:tc>
      </w:tr>
    </w:tbl>
    <w:p w14:paraId="5F83AA51" w14:textId="77777777" w:rsidR="00F06325" w:rsidRPr="00056DDB" w:rsidRDefault="00F06325" w:rsidP="00B14F2A">
      <w:pPr>
        <w:rPr>
          <w:color w:val="000000" w:themeColor="text1"/>
          <w:szCs w:val="24"/>
        </w:rPr>
      </w:pPr>
      <w:r w:rsidRPr="00817795">
        <w:rPr>
          <w:noProof/>
          <w:color w:val="000000" w:themeColor="text1"/>
          <w:szCs w:val="24"/>
        </w:rPr>
        <w:t>2023. -2026. gadā vispārējās valdības budžeta</w:t>
      </w:r>
      <w:r w:rsidRPr="00817795">
        <w:rPr>
          <w:color w:val="000000" w:themeColor="text1"/>
          <w:szCs w:val="24"/>
        </w:rPr>
        <w:t xml:space="preserve"> deficīts, optimistiskajam scenārijam iestājoties un saglabājoties nemainīgai valdības politikai, tiek prognozēts attiecīgi 2,6% no IKP 2023. gadā, 1,9% no IKP 2024. gadā, 0,8% no IKP 2025. gadā, bet 2026. gadā gaidāms 0,7% no IKP pārpalikums. Pie šī scenārija bilances uzlabošanos galvenokārt nosaka augstāki </w:t>
      </w:r>
      <w:r w:rsidRPr="00056DDB">
        <w:rPr>
          <w:color w:val="000000" w:themeColor="text1"/>
          <w:szCs w:val="24"/>
        </w:rPr>
        <w:t>kopbudžeta nodokļu ieņēmumi un zemāki izdevumi pensijām un pabalstiem speciālajā budžetā.</w:t>
      </w:r>
    </w:p>
    <w:p w14:paraId="5929DAD6" w14:textId="77777777" w:rsidR="00F06325" w:rsidRPr="00812977" w:rsidRDefault="00F06325" w:rsidP="00B14F2A">
      <w:pPr>
        <w:rPr>
          <w:color w:val="000000" w:themeColor="text1"/>
          <w:szCs w:val="24"/>
        </w:rPr>
      </w:pPr>
      <w:r w:rsidRPr="00056DDB">
        <w:rPr>
          <w:color w:val="000000" w:themeColor="text1"/>
          <w:szCs w:val="24"/>
        </w:rPr>
        <w:t>Iestājoties šādam scenārijam, vispārējās valdības budžeta bilance uzlabotos ik gadu  - par 0,1 procentpunktu 2023.gadā, salīdzinot ar bāzes scenāriju, 2024. gadā par 0,4</w:t>
      </w:r>
      <w:r>
        <w:rPr>
          <w:color w:val="000000" w:themeColor="text1"/>
          <w:szCs w:val="24"/>
        </w:rPr>
        <w:t> </w:t>
      </w:r>
      <w:r w:rsidRPr="00056DDB">
        <w:rPr>
          <w:color w:val="000000" w:themeColor="text1"/>
          <w:szCs w:val="24"/>
        </w:rPr>
        <w:t>procentpunktiem no IKP, 2025. gadā par 0,5 procentpunktiem no IKP un 2026. gadā par 0,6 procentpunktiem no IKP. Savukārt vispārējās valdības parāda līmenis samazināsies – 2023. gadā par 0,3 procentpunktu, 2024. gadā par 0,9 procentpunktiem, 2025. gadā par 1,3</w:t>
      </w:r>
      <w:r>
        <w:rPr>
          <w:color w:val="000000" w:themeColor="text1"/>
          <w:szCs w:val="24"/>
        </w:rPr>
        <w:t> </w:t>
      </w:r>
      <w:r w:rsidRPr="00056DDB">
        <w:rPr>
          <w:color w:val="000000" w:themeColor="text1"/>
          <w:szCs w:val="24"/>
        </w:rPr>
        <w:t xml:space="preserve">procentpunktiem un 2026. gadā par 1,7 procentpunktiem. </w:t>
      </w:r>
    </w:p>
    <w:p w14:paraId="32EE644C" w14:textId="77777777" w:rsidR="00F06325" w:rsidRDefault="00F06325">
      <w:pPr>
        <w:spacing w:before="0" w:after="0"/>
        <w:ind w:firstLine="0"/>
        <w:jc w:val="left"/>
        <w:rPr>
          <w:rFonts w:eastAsiaTheme="majorEastAsia" w:cstheme="majorBidi"/>
          <w:b/>
          <w:sz w:val="28"/>
          <w:szCs w:val="28"/>
        </w:rPr>
      </w:pPr>
      <w:r>
        <w:rPr>
          <w:sz w:val="28"/>
          <w:szCs w:val="28"/>
        </w:rPr>
        <w:br w:type="page"/>
      </w:r>
    </w:p>
    <w:p w14:paraId="05566D70" w14:textId="18224A49" w:rsidR="00AA4CC2" w:rsidRPr="00945E3A" w:rsidRDefault="00B008E5" w:rsidP="00945E3A">
      <w:pPr>
        <w:pStyle w:val="Heading1"/>
        <w:ind w:left="360"/>
        <w:rPr>
          <w:sz w:val="28"/>
          <w:szCs w:val="28"/>
        </w:rPr>
      </w:pPr>
      <w:bookmarkStart w:id="12" w:name="_Toc142344006"/>
      <w:bookmarkStart w:id="13" w:name="_Toc16665007"/>
      <w:bookmarkStart w:id="14" w:name="_Toc403038748"/>
      <w:bookmarkEnd w:id="7"/>
      <w:r w:rsidRPr="00553819">
        <w:rPr>
          <w:sz w:val="28"/>
          <w:szCs w:val="28"/>
        </w:rPr>
        <w:lastRenderedPageBreak/>
        <w:t>Fiskālās politikas nosacījumi</w:t>
      </w:r>
      <w:r w:rsidR="004B6B5C" w:rsidRPr="00553819">
        <w:rPr>
          <w:sz w:val="28"/>
          <w:szCs w:val="28"/>
        </w:rPr>
        <w:t xml:space="preserve"> un</w:t>
      </w:r>
      <w:r w:rsidR="00E73727" w:rsidRPr="00553819">
        <w:rPr>
          <w:sz w:val="28"/>
          <w:szCs w:val="28"/>
        </w:rPr>
        <w:t xml:space="preserve"> </w:t>
      </w:r>
      <w:r w:rsidR="004B6B5C" w:rsidRPr="00553819">
        <w:rPr>
          <w:sz w:val="28"/>
          <w:szCs w:val="28"/>
        </w:rPr>
        <w:t>fiskālā telpa</w:t>
      </w:r>
      <w:r w:rsidR="005E2E80" w:rsidRPr="00553819">
        <w:rPr>
          <w:sz w:val="28"/>
          <w:szCs w:val="28"/>
        </w:rPr>
        <w:t xml:space="preserve"> </w:t>
      </w:r>
      <w:r w:rsidR="004B6B5C" w:rsidRPr="00553819">
        <w:rPr>
          <w:sz w:val="28"/>
          <w:szCs w:val="28"/>
        </w:rPr>
        <w:t>202</w:t>
      </w:r>
      <w:r w:rsidR="00B15B93">
        <w:rPr>
          <w:sz w:val="28"/>
          <w:szCs w:val="28"/>
        </w:rPr>
        <w:t>4</w:t>
      </w:r>
      <w:r w:rsidR="004B6B5C" w:rsidRPr="00553819">
        <w:rPr>
          <w:sz w:val="28"/>
          <w:szCs w:val="28"/>
        </w:rPr>
        <w:t>.-202</w:t>
      </w:r>
      <w:r w:rsidR="00B15B93">
        <w:rPr>
          <w:sz w:val="28"/>
          <w:szCs w:val="28"/>
        </w:rPr>
        <w:t>6</w:t>
      </w:r>
      <w:r w:rsidR="004B6B5C" w:rsidRPr="00553819">
        <w:rPr>
          <w:sz w:val="28"/>
          <w:szCs w:val="28"/>
        </w:rPr>
        <w:t>.</w:t>
      </w:r>
      <w:r w:rsidR="006A7261">
        <w:rPr>
          <w:sz w:val="28"/>
          <w:szCs w:val="28"/>
        </w:rPr>
        <w:t> </w:t>
      </w:r>
      <w:r w:rsidR="004B6B5C" w:rsidRPr="00553819">
        <w:rPr>
          <w:sz w:val="28"/>
          <w:szCs w:val="28"/>
        </w:rPr>
        <w:t>gadam</w:t>
      </w:r>
      <w:bookmarkEnd w:id="12"/>
      <w:r w:rsidRPr="00553819">
        <w:rPr>
          <w:sz w:val="28"/>
          <w:szCs w:val="28"/>
        </w:rPr>
        <w:t xml:space="preserve"> </w:t>
      </w:r>
      <w:bookmarkEnd w:id="13"/>
    </w:p>
    <w:p w14:paraId="24D99CB6" w14:textId="77777777" w:rsidR="00AA4CC2" w:rsidRPr="001262AC" w:rsidRDefault="00AA4CC2" w:rsidP="00945E3A">
      <w:pPr>
        <w:spacing w:before="240"/>
        <w:rPr>
          <w:color w:val="000000" w:themeColor="text1"/>
          <w:szCs w:val="24"/>
        </w:rPr>
      </w:pPr>
      <w:r w:rsidRPr="001262AC">
        <w:rPr>
          <w:color w:val="000000" w:themeColor="text1"/>
          <w:szCs w:val="24"/>
        </w:rPr>
        <w:t xml:space="preserve">Fiskālas telpas aprēķins ir sagatavots atbilstoši Latvijas Stabilitātes programmā 2022. – 2025. gadam noteiktajai fiskālās politikas stratēģijai, kas balstās uz </w:t>
      </w:r>
      <w:bookmarkStart w:id="15" w:name="_Hlk114663328"/>
      <w:r w:rsidRPr="001262AC">
        <w:rPr>
          <w:color w:val="000000" w:themeColor="text1"/>
          <w:szCs w:val="24"/>
        </w:rPr>
        <w:t>pārejas kārtību Fiskālās disciplīnas likumā noteiktās minimālās plānojamās vispārējās valdības strukturālās bilances sasniegšanai, kas apstiprināta Ministru Kabineta</w:t>
      </w:r>
      <w:bookmarkEnd w:id="15"/>
      <w:r w:rsidRPr="001262AC">
        <w:rPr>
          <w:color w:val="000000" w:themeColor="text1"/>
          <w:szCs w:val="24"/>
        </w:rPr>
        <w:t xml:space="preserve"> 2022. gada 12. aprīļa sēdē (MK sēdes protokols nr. 20, 45 §)</w:t>
      </w:r>
      <w:r w:rsidRPr="00FB76EC">
        <w:rPr>
          <w:color w:val="000000" w:themeColor="text1"/>
          <w:szCs w:val="24"/>
          <w:vertAlign w:val="superscript"/>
        </w:rPr>
        <w:footnoteReference w:id="1"/>
      </w:r>
      <w:r w:rsidRPr="001262AC">
        <w:rPr>
          <w:color w:val="000000" w:themeColor="text1"/>
          <w:szCs w:val="24"/>
        </w:rPr>
        <w:t xml:space="preserve">, kā arī atbilstoši likuma “Par valsts budžetu 2023. gadam un budžeta ietvaru 2023., 2024. un 2025. gadam” 5. pantam, kas nosaka no vispārējās valdības budžeta strukturālās bilances mērķa izslēdzamos izdevumus. </w:t>
      </w:r>
    </w:p>
    <w:p w14:paraId="4B5DBADF" w14:textId="70BA8055" w:rsidR="00AA4CC2" w:rsidRPr="001262AC" w:rsidRDefault="00AA4CC2" w:rsidP="001262AC">
      <w:pPr>
        <w:rPr>
          <w:color w:val="000000" w:themeColor="text1"/>
          <w:szCs w:val="24"/>
        </w:rPr>
      </w:pPr>
      <w:r w:rsidRPr="001262AC">
        <w:rPr>
          <w:color w:val="000000" w:themeColor="text1"/>
          <w:szCs w:val="24"/>
        </w:rPr>
        <w:t>Eiropas Komisija š</w:t>
      </w:r>
      <w:r w:rsidR="00FB76EC">
        <w:rPr>
          <w:color w:val="000000" w:themeColor="text1"/>
          <w:szCs w:val="24"/>
        </w:rPr>
        <w:t>ā gada</w:t>
      </w:r>
      <w:r w:rsidRPr="001262AC">
        <w:rPr>
          <w:color w:val="000000" w:themeColor="text1"/>
          <w:szCs w:val="24"/>
        </w:rPr>
        <w:t xml:space="preserve"> 8.martā Fiskālās politikas vadlīnijās 2024. gadam</w:t>
      </w:r>
      <w:r w:rsidRPr="00FB76EC">
        <w:rPr>
          <w:color w:val="000000" w:themeColor="text1"/>
          <w:szCs w:val="24"/>
          <w:vertAlign w:val="superscript"/>
        </w:rPr>
        <w:footnoteReference w:id="2"/>
      </w:r>
      <w:r w:rsidRPr="001262AC">
        <w:rPr>
          <w:color w:val="000000" w:themeColor="text1"/>
          <w:szCs w:val="24"/>
        </w:rPr>
        <w:t xml:space="preserve"> paziņoja par vispārējās izņēmuma klauzulas darbības pārtraukšanu sākot ar 2024.gadu un to, ka 2024.</w:t>
      </w:r>
      <w:r w:rsidR="00FB76EC">
        <w:rPr>
          <w:color w:val="000000" w:themeColor="text1"/>
          <w:szCs w:val="24"/>
        </w:rPr>
        <w:t> </w:t>
      </w:r>
      <w:r w:rsidRPr="001262AC">
        <w:rPr>
          <w:color w:val="000000" w:themeColor="text1"/>
          <w:szCs w:val="24"/>
        </w:rPr>
        <w:t>gada pavasarī ierosinās Padomei sākt pārmērīga budžeta deficīta novēršanas procedūru, pamatojoties uz 2023. gada rezultātiem, saskaņā ar spēkā esošajiem tiesību aktiem.</w:t>
      </w:r>
    </w:p>
    <w:p w14:paraId="65D6E529" w14:textId="39B41D8E" w:rsidR="00AA4CC2" w:rsidRPr="001262AC" w:rsidRDefault="00AA4CC2" w:rsidP="001262AC">
      <w:pPr>
        <w:rPr>
          <w:color w:val="000000" w:themeColor="text1"/>
          <w:szCs w:val="24"/>
        </w:rPr>
      </w:pPr>
      <w:r w:rsidRPr="001262AC">
        <w:rPr>
          <w:color w:val="000000" w:themeColor="text1"/>
          <w:szCs w:val="24"/>
        </w:rPr>
        <w:t>2023.</w:t>
      </w:r>
      <w:r w:rsidR="00FB76EC">
        <w:rPr>
          <w:color w:val="000000" w:themeColor="text1"/>
          <w:szCs w:val="24"/>
        </w:rPr>
        <w:t> </w:t>
      </w:r>
      <w:r w:rsidRPr="001262AC">
        <w:rPr>
          <w:color w:val="000000" w:themeColor="text1"/>
          <w:szCs w:val="24"/>
        </w:rPr>
        <w:t>gada 26.</w:t>
      </w:r>
      <w:r w:rsidR="00FB76EC">
        <w:rPr>
          <w:color w:val="000000" w:themeColor="text1"/>
          <w:szCs w:val="24"/>
        </w:rPr>
        <w:t> </w:t>
      </w:r>
      <w:r w:rsidRPr="001262AC">
        <w:rPr>
          <w:color w:val="000000" w:themeColor="text1"/>
          <w:szCs w:val="24"/>
        </w:rPr>
        <w:t>aprīlī Eiropas Komisija publicēja priekšlikumus Padomes ES dalībvalstīm specifiskajām rekomendācijām, t</w:t>
      </w:r>
      <w:r w:rsidR="00FB76EC">
        <w:rPr>
          <w:color w:val="000000" w:themeColor="text1"/>
          <w:szCs w:val="24"/>
        </w:rPr>
        <w:t>ai skaitā</w:t>
      </w:r>
      <w:r w:rsidRPr="001262AC">
        <w:rPr>
          <w:color w:val="000000" w:themeColor="text1"/>
          <w:szCs w:val="24"/>
        </w:rPr>
        <w:t xml:space="preserve"> Latvijai, kurās ir integrēta fiskālā komponente. Rekomendācijas ir apstiprinātas Padomē š</w:t>
      </w:r>
      <w:r w:rsidR="00FB76EC">
        <w:rPr>
          <w:color w:val="000000" w:themeColor="text1"/>
          <w:szCs w:val="24"/>
        </w:rPr>
        <w:t>ā gada</w:t>
      </w:r>
      <w:r w:rsidRPr="001262AC">
        <w:rPr>
          <w:color w:val="000000" w:themeColor="text1"/>
          <w:szCs w:val="24"/>
        </w:rPr>
        <w:t xml:space="preserve"> 14.</w:t>
      </w:r>
      <w:r w:rsidR="00FB76EC">
        <w:rPr>
          <w:color w:val="000000" w:themeColor="text1"/>
          <w:szCs w:val="24"/>
        </w:rPr>
        <w:t> </w:t>
      </w:r>
      <w:r w:rsidRPr="001262AC">
        <w:rPr>
          <w:color w:val="000000" w:themeColor="text1"/>
          <w:szCs w:val="24"/>
        </w:rPr>
        <w:t>jūlijā (pēc diskusijām Eiropadomē š</w:t>
      </w:r>
      <w:r w:rsidR="00FB76EC">
        <w:rPr>
          <w:color w:val="000000" w:themeColor="text1"/>
          <w:szCs w:val="24"/>
        </w:rPr>
        <w:t>ā gada</w:t>
      </w:r>
      <w:r w:rsidRPr="001262AC">
        <w:rPr>
          <w:color w:val="000000" w:themeColor="text1"/>
          <w:szCs w:val="24"/>
        </w:rPr>
        <w:t xml:space="preserve"> 29.</w:t>
      </w:r>
      <w:r w:rsidR="00FB76EC">
        <w:rPr>
          <w:color w:val="000000" w:themeColor="text1"/>
          <w:szCs w:val="24"/>
        </w:rPr>
        <w:t>-</w:t>
      </w:r>
      <w:r w:rsidRPr="001262AC">
        <w:rPr>
          <w:color w:val="000000" w:themeColor="text1"/>
          <w:szCs w:val="24"/>
        </w:rPr>
        <w:t xml:space="preserve">30. jūnijā). 2023. un 2024. gadā fiskālajai politikai vajadzētu būt piesardzīgai, lai nodrošinātu koncentrēšanos uz </w:t>
      </w:r>
      <w:r w:rsidRPr="001262AC">
        <w:rPr>
          <w:noProof/>
          <w:color w:val="000000" w:themeColor="text1"/>
          <w:szCs w:val="24"/>
        </w:rPr>
        <w:t>parāda atmaksājamību</w:t>
      </w:r>
      <w:r w:rsidRPr="001262AC">
        <w:rPr>
          <w:color w:val="000000" w:themeColor="text1"/>
          <w:szCs w:val="24"/>
        </w:rPr>
        <w:t xml:space="preserve"> vidējā termiņā, vienlaikus palielinot potenciālo izaugsmi un ilgtspējīgā un noturīgā veidā nodrošinot zaļo un digitālo pāreju. ES dalībvalstu fiskālajai korekcijai 2024. gadam būtu jāatbilst spēkā esošajiem tiesību aktiem saskaņā ar Stabilitātes un </w:t>
      </w:r>
      <w:r w:rsidRPr="001262AC">
        <w:rPr>
          <w:noProof/>
          <w:color w:val="000000" w:themeColor="text1"/>
          <w:szCs w:val="24"/>
        </w:rPr>
        <w:t>izaugsmes paktu,</w:t>
      </w:r>
      <w:r w:rsidRPr="001262AC">
        <w:rPr>
          <w:color w:val="000000" w:themeColor="text1"/>
          <w:szCs w:val="24"/>
        </w:rPr>
        <w:t xml:space="preserve"> un visām dalībvalstīm būtu jāsaglabā vai jāsamazina budžeta deficīts zem Līgumā par Eiropas Savienības darbību noteiktās atsauces vērtības 3% no IKP, kā arī būtu jāsaglabā parāds piesardzīgā līmenī vai jānodrošina ticams un nepārtraukts parāda samazinājums vidējā termiņā. </w:t>
      </w:r>
    </w:p>
    <w:p w14:paraId="0022422C" w14:textId="43145B5F" w:rsidR="00AA4CC2" w:rsidRPr="001262AC" w:rsidRDefault="00AA4CC2" w:rsidP="001262AC">
      <w:pPr>
        <w:rPr>
          <w:color w:val="000000" w:themeColor="text1"/>
          <w:szCs w:val="24"/>
        </w:rPr>
      </w:pPr>
      <w:r w:rsidRPr="001262AC">
        <w:rPr>
          <w:color w:val="000000" w:themeColor="text1"/>
          <w:szCs w:val="24"/>
        </w:rPr>
        <w:t>Latvijai rekomendācijas fiskālā komponente</w:t>
      </w:r>
      <w:r w:rsidRPr="001D18D2">
        <w:rPr>
          <w:color w:val="000000" w:themeColor="text1"/>
          <w:szCs w:val="24"/>
          <w:vertAlign w:val="superscript"/>
        </w:rPr>
        <w:footnoteReference w:id="3"/>
      </w:r>
      <w:r w:rsidRPr="001262AC">
        <w:rPr>
          <w:color w:val="000000" w:themeColor="text1"/>
          <w:szCs w:val="24"/>
        </w:rPr>
        <w:t xml:space="preserve"> paredz cik drīz vien iespējams, 2023. un 2024. gadā izbeigt spēkā esošos ārkārtas enerģētikas atbalsta pasākumus, saistītos ietaupījumus izmantojot valdības budžeta deficīta samazināšanai. Ja atkal pieaugošu enerģijas cenu dēļ ir nepieciešami jauni atbalsta pasākumi vai ja esošie pasākumi ir jāturpina, nodrošināt, ka tie ir orientēti uz neaizsargātu mājsaimniecību un uzņēmumu aizsardzību, fiskāli pieņemami un ka tie saglabā stimulus enerģijas taupīšanai. Latvijai ieteikts nodrošināt piesardzīgu fiskālo politiku, jo īpaši, ierobežojot valsts finansēto neto primāro izdevumu nominālo pieaugumu 2024. gadā līdz ne vairāk kā 3,0%</w:t>
      </w:r>
      <w:r w:rsidRPr="001D18D2">
        <w:rPr>
          <w:color w:val="000000" w:themeColor="text1"/>
          <w:szCs w:val="24"/>
          <w:vertAlign w:val="superscript"/>
        </w:rPr>
        <w:footnoteReference w:id="4"/>
      </w:r>
      <w:r w:rsidRPr="001262AC">
        <w:rPr>
          <w:color w:val="000000" w:themeColor="text1"/>
          <w:szCs w:val="24"/>
        </w:rPr>
        <w:t>, saglabāt valsts finansētās publiskās investīcijas un nodrošināt ANM dotāciju un citu ES fondu efektīvu apguvi, jo īpaši, lai veicinātu zaļo un digitālo pārkārtošanos. Laikposmā pēc 2024. gada ieteikts turpināt īstenot vidēja termiņa fiskālo stratēģiju pakāpeniskai un ilgtspējīgai konsolidācijai apvienojumā ar tādām investīcijām un reformām, kas veicina lielāku ilgtspējīgu izaugsmi, lai panāktu piesardzīgu vidēja termiņa fiskālo stāvokli.</w:t>
      </w:r>
    </w:p>
    <w:p w14:paraId="4DAAFE14" w14:textId="77777777" w:rsidR="00B14F2A" w:rsidRDefault="00B14F2A" w:rsidP="00B14F2A">
      <w:pPr>
        <w:rPr>
          <w:rFonts w:eastAsia="Calibri" w:cs="Times New Roman"/>
          <w:b/>
          <w:bCs/>
          <w:color w:val="000000"/>
        </w:rPr>
      </w:pPr>
      <w:r>
        <w:rPr>
          <w:rFonts w:eastAsia="Calibri" w:cs="Times New Roman"/>
          <w:b/>
          <w:bCs/>
          <w:color w:val="000000"/>
        </w:rPr>
        <w:br w:type="page"/>
      </w:r>
    </w:p>
    <w:p w14:paraId="6DB41226" w14:textId="3754DCE5" w:rsidR="00B14F2A" w:rsidRDefault="00AA4CC2" w:rsidP="00B14F2A">
      <w:pPr>
        <w:rPr>
          <w:rFonts w:eastAsia="Calibri" w:cs="Times New Roman"/>
          <w:b/>
          <w:bCs/>
          <w:color w:val="000000"/>
        </w:rPr>
      </w:pPr>
      <w:r w:rsidRPr="00C652A3">
        <w:rPr>
          <w:rFonts w:eastAsia="Calibri" w:cs="Times New Roman"/>
          <w:b/>
          <w:bCs/>
          <w:color w:val="000000"/>
        </w:rPr>
        <w:lastRenderedPageBreak/>
        <w:t>Uzkrāt</w:t>
      </w:r>
      <w:r>
        <w:rPr>
          <w:rFonts w:eastAsia="Calibri" w:cs="Times New Roman"/>
          <w:b/>
          <w:bCs/>
          <w:color w:val="000000"/>
        </w:rPr>
        <w:t>ās</w:t>
      </w:r>
      <w:r w:rsidRPr="00C652A3">
        <w:rPr>
          <w:rFonts w:eastAsia="Calibri" w:cs="Times New Roman"/>
          <w:b/>
          <w:bCs/>
          <w:color w:val="000000"/>
        </w:rPr>
        <w:t xml:space="preserve"> bilanču starpības</w:t>
      </w:r>
    </w:p>
    <w:p w14:paraId="5F6C2A8A" w14:textId="3581CB5C" w:rsidR="00AA4CC2" w:rsidRPr="00B14F2A" w:rsidRDefault="00AA4CC2" w:rsidP="00B14F2A">
      <w:pPr>
        <w:rPr>
          <w:rFonts w:eastAsia="Calibri" w:cs="Times New Roman"/>
          <w:b/>
          <w:bCs/>
          <w:color w:val="000000"/>
        </w:rPr>
      </w:pPr>
      <w:r>
        <w:rPr>
          <w:rFonts w:eastAsia="Calibri" w:cs="Times New Roman"/>
          <w:color w:val="000000"/>
        </w:rPr>
        <w:t xml:space="preserve">Fiskālās disciplīnas likuma </w:t>
      </w:r>
      <w:r w:rsidRPr="00C652A3">
        <w:rPr>
          <w:rFonts w:eastAsia="Calibri" w:cs="Times New Roman"/>
          <w:color w:val="000000"/>
        </w:rPr>
        <w:t>11.</w:t>
      </w:r>
      <w:r w:rsidR="001D18D2">
        <w:rPr>
          <w:rFonts w:eastAsia="Calibri" w:cs="Times New Roman"/>
          <w:color w:val="000000"/>
        </w:rPr>
        <w:t> </w:t>
      </w:r>
      <w:r w:rsidRPr="00C652A3">
        <w:rPr>
          <w:rFonts w:eastAsia="Calibri" w:cs="Times New Roman"/>
          <w:color w:val="000000"/>
        </w:rPr>
        <w:t xml:space="preserve">pants nosaka </w:t>
      </w:r>
      <w:r w:rsidRPr="00C652A3">
        <w:rPr>
          <w:rFonts w:eastAsia="Calibri" w:cs="Times New Roman"/>
          <w:noProof/>
          <w:color w:val="000000"/>
        </w:rPr>
        <w:t xml:space="preserve">automātisko </w:t>
      </w:r>
      <w:r w:rsidRPr="00C652A3">
        <w:rPr>
          <w:rFonts w:eastAsia="Calibri" w:cs="Times New Roman"/>
          <w:i/>
          <w:iCs/>
          <w:noProof/>
          <w:color w:val="000000"/>
        </w:rPr>
        <w:t>ex-post</w:t>
      </w:r>
      <w:r w:rsidRPr="00C652A3">
        <w:rPr>
          <w:rFonts w:eastAsia="Calibri" w:cs="Times New Roman"/>
          <w:color w:val="000000"/>
        </w:rPr>
        <w:t xml:space="preserve"> korekcijas mehānismu, t.i.</w:t>
      </w:r>
      <w:r w:rsidR="001D18D2">
        <w:rPr>
          <w:rFonts w:eastAsia="Calibri" w:cs="Times New Roman"/>
          <w:color w:val="000000"/>
        </w:rPr>
        <w:t>,</w:t>
      </w:r>
      <w:r w:rsidRPr="00C652A3">
        <w:rPr>
          <w:rFonts w:eastAsia="Calibri" w:cs="Times New Roman"/>
          <w:color w:val="000000"/>
        </w:rPr>
        <w:t xml:space="preserve"> minimālās plānojamās vispārējās valdības budžeta strukturālās bilances koriģēšanu, lai nodrošinātu to, ka iepriekšējo gadu faktiskās novirzes no bilances nosacījuma (</w:t>
      </w:r>
      <w:r>
        <w:rPr>
          <w:rFonts w:eastAsia="Calibri" w:cs="Times New Roman"/>
          <w:color w:val="000000"/>
        </w:rPr>
        <w:t>Fiskālās disciplīnas likuma</w:t>
      </w:r>
      <w:r w:rsidRPr="00C652A3">
        <w:rPr>
          <w:rFonts w:eastAsia="Calibri" w:cs="Times New Roman"/>
          <w:color w:val="000000"/>
        </w:rPr>
        <w:t xml:space="preserve">  10.</w:t>
      </w:r>
      <w:r w:rsidR="001D18D2">
        <w:rPr>
          <w:rFonts w:eastAsia="Calibri" w:cs="Times New Roman"/>
          <w:color w:val="000000"/>
        </w:rPr>
        <w:t> </w:t>
      </w:r>
      <w:r w:rsidRPr="00C652A3">
        <w:rPr>
          <w:rFonts w:eastAsia="Calibri" w:cs="Times New Roman"/>
          <w:color w:val="000000"/>
        </w:rPr>
        <w:t xml:space="preserve">pants) neietekmē budžeta sabalansētību. Uzkrātās bilanču starpības ir  attēlotas </w:t>
      </w:r>
      <w:r w:rsidR="001262AC">
        <w:rPr>
          <w:rFonts w:eastAsia="Calibri" w:cs="Times New Roman"/>
          <w:color w:val="000000"/>
        </w:rPr>
        <w:t>10</w:t>
      </w:r>
      <w:r w:rsidRPr="00C652A3">
        <w:rPr>
          <w:rFonts w:eastAsia="Calibri" w:cs="Times New Roman"/>
          <w:color w:val="000000"/>
        </w:rPr>
        <w:t>. tabulā.</w:t>
      </w:r>
    </w:p>
    <w:p w14:paraId="53A8C746" w14:textId="22916821" w:rsidR="00AA4CC2" w:rsidRPr="00CA2CB6" w:rsidRDefault="001262AC" w:rsidP="001262AC">
      <w:pPr>
        <w:ind w:left="720" w:hanging="720"/>
        <w:jc w:val="center"/>
        <w:rPr>
          <w:rFonts w:eastAsia="Calibri" w:cs="Times New Roman"/>
          <w:b/>
          <w:bCs/>
          <w:color w:val="000000" w:themeColor="text1"/>
        </w:rPr>
      </w:pPr>
      <w:r w:rsidRPr="001262AC">
        <w:rPr>
          <w:rFonts w:eastAsia="Calibri" w:cs="Times New Roman"/>
          <w:b/>
          <w:bCs/>
          <w:color w:val="000000" w:themeColor="text1"/>
        </w:rPr>
        <w:t>10</w:t>
      </w:r>
      <w:r w:rsidR="00AA4CC2" w:rsidRPr="001262AC">
        <w:rPr>
          <w:rFonts w:eastAsia="Calibri" w:cs="Times New Roman"/>
          <w:b/>
          <w:bCs/>
          <w:color w:val="000000" w:themeColor="text1"/>
        </w:rPr>
        <w:t>. tabula</w:t>
      </w:r>
      <w:r w:rsidR="00AA4CC2" w:rsidRPr="00CA2CB6">
        <w:rPr>
          <w:rFonts w:eastAsia="Calibri" w:cs="Times New Roman"/>
          <w:b/>
          <w:bCs/>
          <w:color w:val="000000" w:themeColor="text1"/>
        </w:rPr>
        <w:t>. Uzkrāto bilanču starpības</w:t>
      </w:r>
    </w:p>
    <w:tbl>
      <w:tblPr>
        <w:tblStyle w:val="TableGrid1"/>
        <w:tblW w:w="9734" w:type="dxa"/>
        <w:tblInd w:w="-289" w:type="dxa"/>
        <w:tblLayout w:type="fixed"/>
        <w:tblLook w:val="04A0" w:firstRow="1" w:lastRow="0" w:firstColumn="1" w:lastColumn="0" w:noHBand="0" w:noVBand="1"/>
      </w:tblPr>
      <w:tblGrid>
        <w:gridCol w:w="672"/>
        <w:gridCol w:w="1700"/>
        <w:gridCol w:w="725"/>
        <w:gridCol w:w="725"/>
        <w:gridCol w:w="725"/>
        <w:gridCol w:w="725"/>
        <w:gridCol w:w="725"/>
        <w:gridCol w:w="725"/>
        <w:gridCol w:w="725"/>
        <w:gridCol w:w="725"/>
        <w:gridCol w:w="725"/>
        <w:gridCol w:w="837"/>
      </w:tblGrid>
      <w:tr w:rsidR="00D2329D" w:rsidRPr="009665E6" w14:paraId="37893284" w14:textId="77777777" w:rsidTr="00BE6193">
        <w:trPr>
          <w:trHeight w:val="285"/>
        </w:trPr>
        <w:tc>
          <w:tcPr>
            <w:tcW w:w="672" w:type="dxa"/>
            <w:tcBorders>
              <w:right w:val="nil"/>
            </w:tcBorders>
            <w:shd w:val="clear" w:color="auto" w:fill="BDD6EE" w:themeFill="accent1" w:themeFillTint="66"/>
            <w:hideMark/>
          </w:tcPr>
          <w:p w14:paraId="0CF1ABCA" w14:textId="77777777" w:rsidR="00AA4CC2" w:rsidRPr="00AA4CC2" w:rsidRDefault="00AA4CC2" w:rsidP="00AA4CC2">
            <w:pPr>
              <w:spacing w:before="0" w:after="0"/>
              <w:ind w:firstLine="0"/>
              <w:jc w:val="left"/>
              <w:rPr>
                <w:rFonts w:eastAsia="Times New Roman"/>
                <w:color w:val="000000"/>
                <w:sz w:val="16"/>
                <w:szCs w:val="16"/>
              </w:rPr>
            </w:pPr>
          </w:p>
        </w:tc>
        <w:tc>
          <w:tcPr>
            <w:tcW w:w="1700" w:type="dxa"/>
            <w:tcBorders>
              <w:left w:val="nil"/>
            </w:tcBorders>
            <w:shd w:val="clear" w:color="auto" w:fill="BDD6EE" w:themeFill="accent1" w:themeFillTint="66"/>
            <w:hideMark/>
          </w:tcPr>
          <w:p w14:paraId="2E581251" w14:textId="77777777" w:rsidR="00AA4CC2" w:rsidRPr="00AA4CC2" w:rsidRDefault="00AA4CC2" w:rsidP="00AA4CC2">
            <w:pPr>
              <w:spacing w:before="0" w:after="0"/>
              <w:ind w:firstLine="0"/>
              <w:jc w:val="left"/>
              <w:rPr>
                <w:rFonts w:eastAsia="Times New Roman"/>
                <w:color w:val="000000"/>
                <w:sz w:val="18"/>
                <w:szCs w:val="18"/>
              </w:rPr>
            </w:pPr>
          </w:p>
        </w:tc>
        <w:tc>
          <w:tcPr>
            <w:tcW w:w="725" w:type="dxa"/>
            <w:shd w:val="clear" w:color="auto" w:fill="BDD6EE" w:themeFill="accent1" w:themeFillTint="66"/>
            <w:vAlign w:val="center"/>
            <w:hideMark/>
          </w:tcPr>
          <w:p w14:paraId="03C36E2B" w14:textId="77777777" w:rsidR="00AA4CC2" w:rsidRPr="001262AC" w:rsidRDefault="00AA4CC2" w:rsidP="00AA4CC2">
            <w:pPr>
              <w:spacing w:before="0" w:after="0"/>
              <w:ind w:firstLine="0"/>
              <w:jc w:val="center"/>
              <w:rPr>
                <w:rFonts w:eastAsia="Times New Roman"/>
                <w:b/>
                <w:bCs/>
                <w:color w:val="000000"/>
                <w:sz w:val="18"/>
                <w:szCs w:val="18"/>
              </w:rPr>
            </w:pPr>
            <w:r w:rsidRPr="001262AC">
              <w:rPr>
                <w:rFonts w:eastAsia="Times New Roman"/>
                <w:b/>
                <w:bCs/>
                <w:color w:val="000000"/>
                <w:sz w:val="18"/>
                <w:szCs w:val="18"/>
              </w:rPr>
              <w:t>2013</w:t>
            </w:r>
          </w:p>
        </w:tc>
        <w:tc>
          <w:tcPr>
            <w:tcW w:w="725" w:type="dxa"/>
            <w:shd w:val="clear" w:color="auto" w:fill="BDD6EE" w:themeFill="accent1" w:themeFillTint="66"/>
            <w:vAlign w:val="center"/>
            <w:hideMark/>
          </w:tcPr>
          <w:p w14:paraId="7B6618B2" w14:textId="77777777" w:rsidR="00AA4CC2" w:rsidRPr="001262AC" w:rsidRDefault="00AA4CC2" w:rsidP="00AA4CC2">
            <w:pPr>
              <w:spacing w:before="0" w:after="0"/>
              <w:ind w:firstLine="0"/>
              <w:jc w:val="center"/>
              <w:rPr>
                <w:rFonts w:eastAsia="Times New Roman"/>
                <w:b/>
                <w:bCs/>
                <w:color w:val="000000"/>
                <w:sz w:val="18"/>
                <w:szCs w:val="18"/>
              </w:rPr>
            </w:pPr>
            <w:r w:rsidRPr="001262AC">
              <w:rPr>
                <w:rFonts w:eastAsia="Times New Roman"/>
                <w:b/>
                <w:bCs/>
                <w:color w:val="000000"/>
                <w:sz w:val="18"/>
                <w:szCs w:val="18"/>
              </w:rPr>
              <w:t>2014</w:t>
            </w:r>
          </w:p>
        </w:tc>
        <w:tc>
          <w:tcPr>
            <w:tcW w:w="725" w:type="dxa"/>
            <w:shd w:val="clear" w:color="auto" w:fill="BDD6EE" w:themeFill="accent1" w:themeFillTint="66"/>
            <w:vAlign w:val="center"/>
            <w:hideMark/>
          </w:tcPr>
          <w:p w14:paraId="16CE63E5" w14:textId="77777777" w:rsidR="00AA4CC2" w:rsidRPr="001262AC" w:rsidRDefault="00AA4CC2" w:rsidP="00AA4CC2">
            <w:pPr>
              <w:spacing w:before="0" w:after="0"/>
              <w:ind w:firstLine="0"/>
              <w:jc w:val="center"/>
              <w:rPr>
                <w:rFonts w:eastAsia="Times New Roman"/>
                <w:b/>
                <w:bCs/>
                <w:color w:val="000000"/>
                <w:sz w:val="18"/>
                <w:szCs w:val="18"/>
              </w:rPr>
            </w:pPr>
            <w:r w:rsidRPr="001262AC">
              <w:rPr>
                <w:rFonts w:eastAsia="Times New Roman"/>
                <w:b/>
                <w:bCs/>
                <w:color w:val="000000"/>
                <w:sz w:val="18"/>
                <w:szCs w:val="18"/>
              </w:rPr>
              <w:t>2015</w:t>
            </w:r>
          </w:p>
        </w:tc>
        <w:tc>
          <w:tcPr>
            <w:tcW w:w="725" w:type="dxa"/>
            <w:shd w:val="clear" w:color="auto" w:fill="BDD6EE" w:themeFill="accent1" w:themeFillTint="66"/>
            <w:vAlign w:val="center"/>
            <w:hideMark/>
          </w:tcPr>
          <w:p w14:paraId="06DB0C28" w14:textId="77777777" w:rsidR="00AA4CC2" w:rsidRPr="001262AC" w:rsidRDefault="00AA4CC2" w:rsidP="00AA4CC2">
            <w:pPr>
              <w:spacing w:before="0" w:after="0"/>
              <w:ind w:firstLine="0"/>
              <w:jc w:val="center"/>
              <w:rPr>
                <w:rFonts w:eastAsia="Times New Roman"/>
                <w:b/>
                <w:bCs/>
                <w:color w:val="000000"/>
                <w:sz w:val="18"/>
                <w:szCs w:val="18"/>
              </w:rPr>
            </w:pPr>
            <w:r w:rsidRPr="001262AC">
              <w:rPr>
                <w:rFonts w:eastAsia="Times New Roman"/>
                <w:b/>
                <w:bCs/>
                <w:color w:val="000000"/>
                <w:sz w:val="18"/>
                <w:szCs w:val="18"/>
              </w:rPr>
              <w:t>2016</w:t>
            </w:r>
          </w:p>
        </w:tc>
        <w:tc>
          <w:tcPr>
            <w:tcW w:w="725" w:type="dxa"/>
            <w:shd w:val="clear" w:color="auto" w:fill="BDD6EE" w:themeFill="accent1" w:themeFillTint="66"/>
            <w:vAlign w:val="center"/>
            <w:hideMark/>
          </w:tcPr>
          <w:p w14:paraId="1C6E0458" w14:textId="77777777" w:rsidR="00AA4CC2" w:rsidRPr="001262AC" w:rsidRDefault="00AA4CC2" w:rsidP="00AA4CC2">
            <w:pPr>
              <w:spacing w:before="0" w:after="0"/>
              <w:ind w:firstLine="0"/>
              <w:jc w:val="center"/>
              <w:rPr>
                <w:rFonts w:eastAsia="Times New Roman"/>
                <w:b/>
                <w:bCs/>
                <w:color w:val="000000"/>
                <w:sz w:val="18"/>
                <w:szCs w:val="18"/>
              </w:rPr>
            </w:pPr>
            <w:r w:rsidRPr="001262AC">
              <w:rPr>
                <w:rFonts w:eastAsia="Times New Roman"/>
                <w:b/>
                <w:bCs/>
                <w:color w:val="000000"/>
                <w:sz w:val="18"/>
                <w:szCs w:val="18"/>
              </w:rPr>
              <w:t>2017</w:t>
            </w:r>
          </w:p>
        </w:tc>
        <w:tc>
          <w:tcPr>
            <w:tcW w:w="725" w:type="dxa"/>
            <w:shd w:val="clear" w:color="auto" w:fill="BDD6EE" w:themeFill="accent1" w:themeFillTint="66"/>
            <w:vAlign w:val="center"/>
            <w:hideMark/>
          </w:tcPr>
          <w:p w14:paraId="43A96515" w14:textId="77777777" w:rsidR="00AA4CC2" w:rsidRPr="001262AC" w:rsidRDefault="00AA4CC2" w:rsidP="00AA4CC2">
            <w:pPr>
              <w:spacing w:before="0" w:after="0"/>
              <w:ind w:firstLine="0"/>
              <w:jc w:val="center"/>
              <w:rPr>
                <w:rFonts w:eastAsia="Times New Roman"/>
                <w:b/>
                <w:bCs/>
                <w:color w:val="000000"/>
                <w:sz w:val="18"/>
                <w:szCs w:val="18"/>
              </w:rPr>
            </w:pPr>
            <w:r w:rsidRPr="001262AC">
              <w:rPr>
                <w:rFonts w:eastAsia="Times New Roman"/>
                <w:b/>
                <w:bCs/>
                <w:color w:val="000000"/>
                <w:sz w:val="18"/>
                <w:szCs w:val="18"/>
              </w:rPr>
              <w:t>2018</w:t>
            </w:r>
          </w:p>
        </w:tc>
        <w:tc>
          <w:tcPr>
            <w:tcW w:w="725" w:type="dxa"/>
            <w:shd w:val="clear" w:color="auto" w:fill="BDD6EE" w:themeFill="accent1" w:themeFillTint="66"/>
            <w:vAlign w:val="center"/>
            <w:hideMark/>
          </w:tcPr>
          <w:p w14:paraId="5497AA8C" w14:textId="77777777" w:rsidR="00AA4CC2" w:rsidRPr="001262AC" w:rsidRDefault="00AA4CC2" w:rsidP="00AA4CC2">
            <w:pPr>
              <w:spacing w:before="0" w:after="0"/>
              <w:ind w:firstLine="0"/>
              <w:jc w:val="center"/>
              <w:rPr>
                <w:rFonts w:eastAsia="Times New Roman"/>
                <w:b/>
                <w:bCs/>
                <w:color w:val="000000"/>
                <w:sz w:val="18"/>
                <w:szCs w:val="18"/>
              </w:rPr>
            </w:pPr>
            <w:r w:rsidRPr="001262AC">
              <w:rPr>
                <w:rFonts w:eastAsia="Times New Roman"/>
                <w:b/>
                <w:bCs/>
                <w:color w:val="000000"/>
                <w:sz w:val="18"/>
                <w:szCs w:val="18"/>
              </w:rPr>
              <w:t>2019</w:t>
            </w:r>
          </w:p>
        </w:tc>
        <w:tc>
          <w:tcPr>
            <w:tcW w:w="725" w:type="dxa"/>
            <w:shd w:val="clear" w:color="auto" w:fill="BDD6EE" w:themeFill="accent1" w:themeFillTint="66"/>
            <w:vAlign w:val="center"/>
            <w:hideMark/>
          </w:tcPr>
          <w:p w14:paraId="5976A77B" w14:textId="77777777" w:rsidR="00AA4CC2" w:rsidRPr="001262AC" w:rsidRDefault="00AA4CC2" w:rsidP="00AA4CC2">
            <w:pPr>
              <w:spacing w:before="0" w:after="0"/>
              <w:ind w:firstLine="0"/>
              <w:jc w:val="center"/>
              <w:rPr>
                <w:rFonts w:eastAsia="Times New Roman"/>
                <w:b/>
                <w:bCs/>
                <w:color w:val="000000"/>
                <w:sz w:val="18"/>
                <w:szCs w:val="18"/>
              </w:rPr>
            </w:pPr>
            <w:r w:rsidRPr="001262AC">
              <w:rPr>
                <w:rFonts w:eastAsia="Times New Roman"/>
                <w:b/>
                <w:bCs/>
                <w:color w:val="000000"/>
                <w:sz w:val="18"/>
                <w:szCs w:val="18"/>
              </w:rPr>
              <w:t>2020</w:t>
            </w:r>
          </w:p>
        </w:tc>
        <w:tc>
          <w:tcPr>
            <w:tcW w:w="725" w:type="dxa"/>
            <w:shd w:val="clear" w:color="auto" w:fill="BDD6EE" w:themeFill="accent1" w:themeFillTint="66"/>
            <w:vAlign w:val="center"/>
          </w:tcPr>
          <w:p w14:paraId="380405BB" w14:textId="77777777" w:rsidR="00AA4CC2" w:rsidRPr="001262AC" w:rsidRDefault="00AA4CC2" w:rsidP="00AA4CC2">
            <w:pPr>
              <w:spacing w:before="0" w:after="0"/>
              <w:ind w:firstLine="0"/>
              <w:jc w:val="center"/>
              <w:rPr>
                <w:rFonts w:eastAsia="Times New Roman"/>
                <w:b/>
                <w:bCs/>
                <w:color w:val="000000"/>
                <w:sz w:val="18"/>
                <w:szCs w:val="18"/>
              </w:rPr>
            </w:pPr>
            <w:r w:rsidRPr="001262AC">
              <w:rPr>
                <w:rFonts w:eastAsia="Times New Roman"/>
                <w:b/>
                <w:bCs/>
                <w:color w:val="000000"/>
                <w:sz w:val="18"/>
                <w:szCs w:val="18"/>
              </w:rPr>
              <w:t>2021</w:t>
            </w:r>
          </w:p>
        </w:tc>
        <w:tc>
          <w:tcPr>
            <w:tcW w:w="837" w:type="dxa"/>
            <w:shd w:val="clear" w:color="auto" w:fill="BDD6EE" w:themeFill="accent1" w:themeFillTint="66"/>
            <w:vAlign w:val="center"/>
          </w:tcPr>
          <w:p w14:paraId="0D5CADEE" w14:textId="77777777" w:rsidR="00AA4CC2" w:rsidRPr="001262AC" w:rsidRDefault="00AA4CC2" w:rsidP="00AA4CC2">
            <w:pPr>
              <w:spacing w:before="0" w:after="0"/>
              <w:ind w:firstLine="0"/>
              <w:jc w:val="center"/>
              <w:rPr>
                <w:rFonts w:eastAsia="Times New Roman"/>
                <w:b/>
                <w:bCs/>
                <w:color w:val="000000"/>
                <w:sz w:val="18"/>
                <w:szCs w:val="18"/>
              </w:rPr>
            </w:pPr>
            <w:r w:rsidRPr="001262AC">
              <w:rPr>
                <w:rFonts w:eastAsia="Times New Roman"/>
                <w:b/>
                <w:bCs/>
                <w:color w:val="000000"/>
                <w:sz w:val="18"/>
                <w:szCs w:val="18"/>
              </w:rPr>
              <w:t>2022</w:t>
            </w:r>
          </w:p>
        </w:tc>
      </w:tr>
      <w:tr w:rsidR="00D2329D" w:rsidRPr="009665E6" w14:paraId="280AA08B" w14:textId="77777777" w:rsidTr="00D2329D">
        <w:trPr>
          <w:trHeight w:val="241"/>
        </w:trPr>
        <w:tc>
          <w:tcPr>
            <w:tcW w:w="672" w:type="dxa"/>
            <w:shd w:val="clear" w:color="auto" w:fill="auto"/>
            <w:vAlign w:val="center"/>
            <w:hideMark/>
          </w:tcPr>
          <w:p w14:paraId="2563CE7E" w14:textId="486DB76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1</w:t>
            </w:r>
            <w:r w:rsidR="0096612F">
              <w:rPr>
                <w:rFonts w:eastAsia="Times New Roman"/>
                <w:color w:val="000000"/>
                <w:sz w:val="16"/>
                <w:szCs w:val="16"/>
              </w:rPr>
              <w:t>.</w:t>
            </w:r>
          </w:p>
        </w:tc>
        <w:tc>
          <w:tcPr>
            <w:tcW w:w="1700" w:type="dxa"/>
            <w:hideMark/>
          </w:tcPr>
          <w:p w14:paraId="00F577C4" w14:textId="77777777" w:rsidR="00AA4CC2" w:rsidRPr="00D515BE" w:rsidRDefault="00AA4CC2" w:rsidP="00AA4CC2">
            <w:pPr>
              <w:spacing w:before="0" w:after="0"/>
              <w:ind w:firstLine="0"/>
              <w:jc w:val="left"/>
              <w:rPr>
                <w:rFonts w:eastAsia="Times New Roman"/>
                <w:noProof/>
                <w:color w:val="000000"/>
                <w:sz w:val="18"/>
                <w:szCs w:val="18"/>
              </w:rPr>
            </w:pPr>
            <w:r w:rsidRPr="00D515BE">
              <w:rPr>
                <w:rFonts w:eastAsia="Times New Roman"/>
                <w:noProof/>
                <w:color w:val="000000"/>
                <w:sz w:val="18"/>
                <w:szCs w:val="18"/>
              </w:rPr>
              <w:t xml:space="preserve">IKP (faktiskajās cenās), milj. </w:t>
            </w:r>
            <w:r w:rsidRPr="00D515BE">
              <w:rPr>
                <w:rFonts w:eastAsia="Times New Roman"/>
                <w:i/>
                <w:iCs/>
                <w:noProof/>
                <w:color w:val="000000"/>
                <w:sz w:val="18"/>
                <w:szCs w:val="18"/>
              </w:rPr>
              <w:t>euro</w:t>
            </w:r>
          </w:p>
        </w:tc>
        <w:tc>
          <w:tcPr>
            <w:tcW w:w="725" w:type="dxa"/>
            <w:vAlign w:val="center"/>
          </w:tcPr>
          <w:p w14:paraId="64005253"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22 749</w:t>
            </w:r>
          </w:p>
        </w:tc>
        <w:tc>
          <w:tcPr>
            <w:tcW w:w="725" w:type="dxa"/>
            <w:vAlign w:val="center"/>
          </w:tcPr>
          <w:p w14:paraId="7B6315DD"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23 626</w:t>
            </w:r>
          </w:p>
        </w:tc>
        <w:tc>
          <w:tcPr>
            <w:tcW w:w="725" w:type="dxa"/>
            <w:vAlign w:val="center"/>
          </w:tcPr>
          <w:p w14:paraId="234AB12E"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24 572</w:t>
            </w:r>
          </w:p>
        </w:tc>
        <w:tc>
          <w:tcPr>
            <w:tcW w:w="725" w:type="dxa"/>
            <w:vAlign w:val="center"/>
          </w:tcPr>
          <w:p w14:paraId="037BE8CA"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25 371</w:t>
            </w:r>
          </w:p>
        </w:tc>
        <w:tc>
          <w:tcPr>
            <w:tcW w:w="725" w:type="dxa"/>
            <w:vAlign w:val="center"/>
          </w:tcPr>
          <w:p w14:paraId="439E2DE7"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26 984</w:t>
            </w:r>
          </w:p>
        </w:tc>
        <w:tc>
          <w:tcPr>
            <w:tcW w:w="725" w:type="dxa"/>
            <w:vAlign w:val="center"/>
          </w:tcPr>
          <w:p w14:paraId="2653CA51"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29 154</w:t>
            </w:r>
          </w:p>
        </w:tc>
        <w:tc>
          <w:tcPr>
            <w:tcW w:w="725" w:type="dxa"/>
            <w:vAlign w:val="center"/>
          </w:tcPr>
          <w:p w14:paraId="77853F44"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30 679</w:t>
            </w:r>
          </w:p>
        </w:tc>
        <w:tc>
          <w:tcPr>
            <w:tcW w:w="725" w:type="dxa"/>
            <w:vAlign w:val="center"/>
          </w:tcPr>
          <w:p w14:paraId="4DD91C99"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30 265</w:t>
            </w:r>
          </w:p>
        </w:tc>
        <w:tc>
          <w:tcPr>
            <w:tcW w:w="725" w:type="dxa"/>
            <w:vAlign w:val="center"/>
          </w:tcPr>
          <w:p w14:paraId="1D2AEE07"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33 617</w:t>
            </w:r>
          </w:p>
        </w:tc>
        <w:tc>
          <w:tcPr>
            <w:tcW w:w="837" w:type="dxa"/>
            <w:vAlign w:val="center"/>
          </w:tcPr>
          <w:p w14:paraId="12FA5139"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39 063</w:t>
            </w:r>
          </w:p>
        </w:tc>
      </w:tr>
      <w:tr w:rsidR="00D2329D" w:rsidRPr="009665E6" w14:paraId="21FECFED" w14:textId="77777777" w:rsidTr="00D2329D">
        <w:trPr>
          <w:trHeight w:val="675"/>
        </w:trPr>
        <w:tc>
          <w:tcPr>
            <w:tcW w:w="672" w:type="dxa"/>
            <w:shd w:val="clear" w:color="auto" w:fill="auto"/>
            <w:vAlign w:val="center"/>
            <w:hideMark/>
          </w:tcPr>
          <w:p w14:paraId="3ABDCE1C" w14:textId="2B110EB3"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2</w:t>
            </w:r>
            <w:r w:rsidR="0096612F">
              <w:rPr>
                <w:rFonts w:eastAsia="Times New Roman"/>
                <w:color w:val="000000"/>
                <w:sz w:val="16"/>
                <w:szCs w:val="16"/>
              </w:rPr>
              <w:t>.</w:t>
            </w:r>
          </w:p>
        </w:tc>
        <w:tc>
          <w:tcPr>
            <w:tcW w:w="1700" w:type="dxa"/>
            <w:hideMark/>
          </w:tcPr>
          <w:p w14:paraId="1E98EB4E" w14:textId="77777777" w:rsidR="00AA4CC2" w:rsidRPr="00D515BE" w:rsidRDefault="00AA4CC2" w:rsidP="00AA4CC2">
            <w:pPr>
              <w:spacing w:before="0" w:after="0"/>
              <w:ind w:firstLine="0"/>
              <w:jc w:val="left"/>
              <w:rPr>
                <w:rFonts w:eastAsia="Times New Roman"/>
                <w:noProof/>
                <w:color w:val="000000"/>
                <w:sz w:val="18"/>
                <w:szCs w:val="18"/>
              </w:rPr>
            </w:pPr>
            <w:r w:rsidRPr="00D515BE">
              <w:rPr>
                <w:rFonts w:eastAsia="Times New Roman"/>
                <w:noProof/>
                <w:color w:val="000000"/>
                <w:sz w:val="18"/>
                <w:szCs w:val="18"/>
              </w:rPr>
              <w:t>Faktiskā vispārējās valdības budžeta strukturālā bilance, % no IKP</w:t>
            </w:r>
          </w:p>
        </w:tc>
        <w:tc>
          <w:tcPr>
            <w:tcW w:w="725" w:type="dxa"/>
            <w:vAlign w:val="center"/>
          </w:tcPr>
          <w:p w14:paraId="6B87CEB9"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-0,3</w:t>
            </w:r>
          </w:p>
        </w:tc>
        <w:tc>
          <w:tcPr>
            <w:tcW w:w="725" w:type="dxa"/>
            <w:vAlign w:val="center"/>
          </w:tcPr>
          <w:p w14:paraId="541282A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-1,0</w:t>
            </w:r>
          </w:p>
        </w:tc>
        <w:tc>
          <w:tcPr>
            <w:tcW w:w="725" w:type="dxa"/>
            <w:vAlign w:val="center"/>
          </w:tcPr>
          <w:p w14:paraId="652BD6E0"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-1,5</w:t>
            </w:r>
          </w:p>
        </w:tc>
        <w:tc>
          <w:tcPr>
            <w:tcW w:w="725" w:type="dxa"/>
            <w:vAlign w:val="center"/>
          </w:tcPr>
          <w:p w14:paraId="5DDF39C6"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725" w:type="dxa"/>
            <w:vAlign w:val="center"/>
          </w:tcPr>
          <w:p w14:paraId="57B83812"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-1,6</w:t>
            </w:r>
          </w:p>
        </w:tc>
        <w:tc>
          <w:tcPr>
            <w:tcW w:w="725" w:type="dxa"/>
            <w:vAlign w:val="center"/>
          </w:tcPr>
          <w:p w14:paraId="514BEDE5"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-2,2</w:t>
            </w:r>
          </w:p>
        </w:tc>
        <w:tc>
          <w:tcPr>
            <w:tcW w:w="725" w:type="dxa"/>
            <w:vAlign w:val="center"/>
          </w:tcPr>
          <w:p w14:paraId="68F23E7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-1,4</w:t>
            </w:r>
          </w:p>
        </w:tc>
        <w:tc>
          <w:tcPr>
            <w:tcW w:w="725" w:type="dxa"/>
            <w:vAlign w:val="center"/>
          </w:tcPr>
          <w:p w14:paraId="30540226"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-0,4</w:t>
            </w:r>
          </w:p>
        </w:tc>
        <w:tc>
          <w:tcPr>
            <w:tcW w:w="725" w:type="dxa"/>
            <w:vAlign w:val="center"/>
          </w:tcPr>
          <w:p w14:paraId="21E34340"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-1,1</w:t>
            </w:r>
          </w:p>
        </w:tc>
        <w:tc>
          <w:tcPr>
            <w:tcW w:w="837" w:type="dxa"/>
            <w:vAlign w:val="center"/>
          </w:tcPr>
          <w:p w14:paraId="2697A0C1"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0,3</w:t>
            </w:r>
          </w:p>
        </w:tc>
      </w:tr>
      <w:tr w:rsidR="00D2329D" w:rsidRPr="009665E6" w14:paraId="088075BA" w14:textId="77777777" w:rsidTr="00D2329D">
        <w:trPr>
          <w:trHeight w:val="679"/>
        </w:trPr>
        <w:tc>
          <w:tcPr>
            <w:tcW w:w="672" w:type="dxa"/>
            <w:shd w:val="clear" w:color="auto" w:fill="auto"/>
            <w:vAlign w:val="center"/>
            <w:hideMark/>
          </w:tcPr>
          <w:p w14:paraId="477B7956"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3.</w:t>
            </w:r>
          </w:p>
          <w:p w14:paraId="66EAA198"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(1.×2.)</w:t>
            </w:r>
          </w:p>
        </w:tc>
        <w:tc>
          <w:tcPr>
            <w:tcW w:w="1700" w:type="dxa"/>
            <w:hideMark/>
          </w:tcPr>
          <w:p w14:paraId="52463DC0" w14:textId="77777777" w:rsidR="00AA4CC2" w:rsidRPr="00D515BE" w:rsidRDefault="00AA4CC2" w:rsidP="00AA4CC2">
            <w:pPr>
              <w:spacing w:before="0" w:after="0"/>
              <w:ind w:firstLine="0"/>
              <w:jc w:val="left"/>
              <w:rPr>
                <w:rFonts w:eastAsia="Times New Roman"/>
                <w:noProof/>
                <w:color w:val="000000"/>
                <w:sz w:val="18"/>
                <w:szCs w:val="18"/>
              </w:rPr>
            </w:pPr>
            <w:r w:rsidRPr="00D515BE">
              <w:rPr>
                <w:rFonts w:eastAsia="Times New Roman"/>
                <w:noProof/>
                <w:color w:val="000000"/>
                <w:sz w:val="18"/>
                <w:szCs w:val="18"/>
              </w:rPr>
              <w:t xml:space="preserve">Faktiskā vispārējās valdības budžeta strukturālā bilance, milj. </w:t>
            </w:r>
            <w:r w:rsidRPr="00D515BE">
              <w:rPr>
                <w:rFonts w:eastAsia="Times New Roman"/>
                <w:i/>
                <w:iCs/>
                <w:noProof/>
                <w:color w:val="000000"/>
                <w:sz w:val="18"/>
                <w:szCs w:val="18"/>
              </w:rPr>
              <w:t>euro</w:t>
            </w:r>
          </w:p>
        </w:tc>
        <w:tc>
          <w:tcPr>
            <w:tcW w:w="725" w:type="dxa"/>
            <w:vAlign w:val="center"/>
          </w:tcPr>
          <w:p w14:paraId="6BBBE06A"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-78,0</w:t>
            </w:r>
          </w:p>
        </w:tc>
        <w:tc>
          <w:tcPr>
            <w:tcW w:w="725" w:type="dxa"/>
            <w:vAlign w:val="center"/>
          </w:tcPr>
          <w:p w14:paraId="219D3167"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-235,4</w:t>
            </w:r>
          </w:p>
        </w:tc>
        <w:tc>
          <w:tcPr>
            <w:tcW w:w="725" w:type="dxa"/>
            <w:vAlign w:val="center"/>
          </w:tcPr>
          <w:p w14:paraId="267D0FAA"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-379,0</w:t>
            </w:r>
          </w:p>
        </w:tc>
        <w:tc>
          <w:tcPr>
            <w:tcW w:w="725" w:type="dxa"/>
            <w:vAlign w:val="center"/>
          </w:tcPr>
          <w:p w14:paraId="26CEBF08"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-118,8</w:t>
            </w:r>
          </w:p>
        </w:tc>
        <w:tc>
          <w:tcPr>
            <w:tcW w:w="725" w:type="dxa"/>
            <w:vAlign w:val="center"/>
          </w:tcPr>
          <w:p w14:paraId="64835A50"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-437,7</w:t>
            </w:r>
          </w:p>
        </w:tc>
        <w:tc>
          <w:tcPr>
            <w:tcW w:w="725" w:type="dxa"/>
            <w:vAlign w:val="center"/>
          </w:tcPr>
          <w:p w14:paraId="1E2CA90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-639,7</w:t>
            </w:r>
          </w:p>
        </w:tc>
        <w:tc>
          <w:tcPr>
            <w:tcW w:w="725" w:type="dxa"/>
            <w:vAlign w:val="center"/>
          </w:tcPr>
          <w:p w14:paraId="325E001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-437,7</w:t>
            </w:r>
          </w:p>
        </w:tc>
        <w:tc>
          <w:tcPr>
            <w:tcW w:w="725" w:type="dxa"/>
            <w:vAlign w:val="center"/>
          </w:tcPr>
          <w:p w14:paraId="5B370857"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-113,5</w:t>
            </w:r>
          </w:p>
        </w:tc>
        <w:tc>
          <w:tcPr>
            <w:tcW w:w="725" w:type="dxa"/>
            <w:vAlign w:val="center"/>
          </w:tcPr>
          <w:p w14:paraId="6947C719"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-362,4</w:t>
            </w:r>
          </w:p>
        </w:tc>
        <w:tc>
          <w:tcPr>
            <w:tcW w:w="837" w:type="dxa"/>
            <w:vAlign w:val="center"/>
          </w:tcPr>
          <w:p w14:paraId="01ADED97"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101,6</w:t>
            </w:r>
          </w:p>
        </w:tc>
      </w:tr>
      <w:tr w:rsidR="00D2329D" w:rsidRPr="009665E6" w14:paraId="04404707" w14:textId="77777777" w:rsidTr="00D2329D">
        <w:trPr>
          <w:trHeight w:val="679"/>
        </w:trPr>
        <w:tc>
          <w:tcPr>
            <w:tcW w:w="672" w:type="dxa"/>
            <w:shd w:val="clear" w:color="auto" w:fill="auto"/>
            <w:vAlign w:val="center"/>
            <w:hideMark/>
          </w:tcPr>
          <w:p w14:paraId="43311912" w14:textId="33CF1979"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4</w:t>
            </w:r>
            <w:r w:rsidR="0096612F">
              <w:rPr>
                <w:rFonts w:eastAsia="Times New Roman"/>
                <w:color w:val="000000"/>
                <w:sz w:val="16"/>
                <w:szCs w:val="16"/>
              </w:rPr>
              <w:t>.</w:t>
            </w:r>
          </w:p>
        </w:tc>
        <w:tc>
          <w:tcPr>
            <w:tcW w:w="1700" w:type="dxa"/>
            <w:hideMark/>
          </w:tcPr>
          <w:p w14:paraId="4D9B905C" w14:textId="5A3ADE07" w:rsidR="00AA4CC2" w:rsidRPr="00D515BE" w:rsidRDefault="00AA4CC2" w:rsidP="00AA4CC2">
            <w:pPr>
              <w:spacing w:before="0" w:after="0"/>
              <w:ind w:firstLine="0"/>
              <w:jc w:val="left"/>
              <w:rPr>
                <w:rFonts w:eastAsia="Times New Roman"/>
                <w:noProof/>
                <w:color w:val="000000"/>
                <w:sz w:val="18"/>
                <w:szCs w:val="18"/>
              </w:rPr>
            </w:pPr>
            <w:r w:rsidRPr="00D515BE">
              <w:rPr>
                <w:rFonts w:eastAsia="Times New Roman"/>
                <w:noProof/>
                <w:color w:val="000000"/>
                <w:sz w:val="18"/>
                <w:szCs w:val="18"/>
              </w:rPr>
              <w:t>Minimālāplānojamā vispārējās valdības budžeta strukturālā bilance, % no IKP</w:t>
            </w:r>
          </w:p>
        </w:tc>
        <w:tc>
          <w:tcPr>
            <w:tcW w:w="725" w:type="dxa"/>
            <w:vAlign w:val="center"/>
          </w:tcPr>
          <w:p w14:paraId="63FDF941"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-1,3</w:t>
            </w:r>
          </w:p>
        </w:tc>
        <w:tc>
          <w:tcPr>
            <w:tcW w:w="725" w:type="dxa"/>
            <w:vAlign w:val="center"/>
          </w:tcPr>
          <w:p w14:paraId="215018AB"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-1,0</w:t>
            </w:r>
          </w:p>
        </w:tc>
        <w:tc>
          <w:tcPr>
            <w:tcW w:w="725" w:type="dxa"/>
            <w:vAlign w:val="center"/>
          </w:tcPr>
          <w:p w14:paraId="18CF1AB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-1,0</w:t>
            </w:r>
          </w:p>
        </w:tc>
        <w:tc>
          <w:tcPr>
            <w:tcW w:w="725" w:type="dxa"/>
            <w:vAlign w:val="center"/>
          </w:tcPr>
          <w:p w14:paraId="5C416421"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-0,9</w:t>
            </w:r>
          </w:p>
        </w:tc>
        <w:tc>
          <w:tcPr>
            <w:tcW w:w="725" w:type="dxa"/>
            <w:vAlign w:val="center"/>
          </w:tcPr>
          <w:p w14:paraId="53AB2AEA"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-1,0</w:t>
            </w:r>
          </w:p>
        </w:tc>
        <w:tc>
          <w:tcPr>
            <w:tcW w:w="725" w:type="dxa"/>
            <w:vAlign w:val="center"/>
          </w:tcPr>
          <w:p w14:paraId="689A468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-1,2</w:t>
            </w:r>
          </w:p>
        </w:tc>
        <w:tc>
          <w:tcPr>
            <w:tcW w:w="725" w:type="dxa"/>
            <w:vAlign w:val="center"/>
          </w:tcPr>
          <w:p w14:paraId="01914626"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-0,6</w:t>
            </w:r>
          </w:p>
        </w:tc>
        <w:tc>
          <w:tcPr>
            <w:tcW w:w="725" w:type="dxa"/>
            <w:vAlign w:val="center"/>
          </w:tcPr>
          <w:p w14:paraId="3D3CD8C0"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725" w:type="dxa"/>
            <w:vAlign w:val="center"/>
          </w:tcPr>
          <w:p w14:paraId="62541963"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-2,1</w:t>
            </w:r>
          </w:p>
        </w:tc>
        <w:tc>
          <w:tcPr>
            <w:tcW w:w="837" w:type="dxa"/>
            <w:vAlign w:val="center"/>
          </w:tcPr>
          <w:p w14:paraId="4F5ED5E3"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-4,7</w:t>
            </w:r>
          </w:p>
        </w:tc>
      </w:tr>
      <w:tr w:rsidR="00D2329D" w:rsidRPr="009665E6" w14:paraId="5FAECDF5" w14:textId="77777777" w:rsidTr="00D2329D">
        <w:trPr>
          <w:trHeight w:val="679"/>
        </w:trPr>
        <w:tc>
          <w:tcPr>
            <w:tcW w:w="672" w:type="dxa"/>
            <w:shd w:val="clear" w:color="auto" w:fill="auto"/>
            <w:vAlign w:val="center"/>
            <w:hideMark/>
          </w:tcPr>
          <w:p w14:paraId="30F177B0"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5.</w:t>
            </w:r>
          </w:p>
          <w:p w14:paraId="3A8971DB"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(1.×4.)</w:t>
            </w:r>
          </w:p>
        </w:tc>
        <w:tc>
          <w:tcPr>
            <w:tcW w:w="1700" w:type="dxa"/>
            <w:hideMark/>
          </w:tcPr>
          <w:p w14:paraId="45E1AD02" w14:textId="77777777" w:rsidR="00AA4CC2" w:rsidRPr="00D515BE" w:rsidRDefault="00AA4CC2" w:rsidP="00AA4CC2">
            <w:pPr>
              <w:spacing w:before="0" w:after="0"/>
              <w:ind w:firstLine="0"/>
              <w:jc w:val="left"/>
              <w:rPr>
                <w:rFonts w:eastAsia="Times New Roman"/>
                <w:noProof/>
                <w:color w:val="000000"/>
                <w:sz w:val="18"/>
                <w:szCs w:val="18"/>
              </w:rPr>
            </w:pPr>
            <w:r w:rsidRPr="00D515BE">
              <w:rPr>
                <w:rFonts w:eastAsia="Times New Roman"/>
                <w:noProof/>
                <w:color w:val="000000"/>
                <w:sz w:val="18"/>
                <w:szCs w:val="18"/>
              </w:rPr>
              <w:t xml:space="preserve">Minimālā plānojamā vispārējās valdības budžeta strukturālā bilance, milj. </w:t>
            </w:r>
            <w:r w:rsidRPr="00D515BE">
              <w:rPr>
                <w:rFonts w:eastAsia="Times New Roman"/>
                <w:i/>
                <w:iCs/>
                <w:noProof/>
                <w:color w:val="000000"/>
                <w:sz w:val="18"/>
                <w:szCs w:val="18"/>
              </w:rPr>
              <w:t>euro</w:t>
            </w:r>
          </w:p>
        </w:tc>
        <w:tc>
          <w:tcPr>
            <w:tcW w:w="725" w:type="dxa"/>
            <w:vAlign w:val="center"/>
          </w:tcPr>
          <w:p w14:paraId="7DB70661"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-295,7</w:t>
            </w:r>
          </w:p>
        </w:tc>
        <w:tc>
          <w:tcPr>
            <w:tcW w:w="725" w:type="dxa"/>
            <w:vAlign w:val="center"/>
          </w:tcPr>
          <w:p w14:paraId="717CC394"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-236,3</w:t>
            </w:r>
          </w:p>
        </w:tc>
        <w:tc>
          <w:tcPr>
            <w:tcW w:w="725" w:type="dxa"/>
            <w:vAlign w:val="center"/>
          </w:tcPr>
          <w:p w14:paraId="5A67E6D8"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-245,7</w:t>
            </w:r>
          </w:p>
        </w:tc>
        <w:tc>
          <w:tcPr>
            <w:tcW w:w="725" w:type="dxa"/>
            <w:vAlign w:val="center"/>
          </w:tcPr>
          <w:p w14:paraId="5F0FE3D4"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-228,3</w:t>
            </w:r>
          </w:p>
        </w:tc>
        <w:tc>
          <w:tcPr>
            <w:tcW w:w="725" w:type="dxa"/>
            <w:vAlign w:val="center"/>
          </w:tcPr>
          <w:p w14:paraId="7FA4236A"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-269,8</w:t>
            </w:r>
          </w:p>
        </w:tc>
        <w:tc>
          <w:tcPr>
            <w:tcW w:w="725" w:type="dxa"/>
            <w:vAlign w:val="center"/>
          </w:tcPr>
          <w:p w14:paraId="56EF8CD2"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-349,8</w:t>
            </w:r>
          </w:p>
        </w:tc>
        <w:tc>
          <w:tcPr>
            <w:tcW w:w="725" w:type="dxa"/>
            <w:vAlign w:val="center"/>
          </w:tcPr>
          <w:p w14:paraId="3EFA431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-173,8</w:t>
            </w:r>
          </w:p>
        </w:tc>
        <w:tc>
          <w:tcPr>
            <w:tcW w:w="725" w:type="dxa"/>
            <w:vAlign w:val="center"/>
          </w:tcPr>
          <w:p w14:paraId="21ED5573"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-140,7</w:t>
            </w:r>
          </w:p>
        </w:tc>
        <w:tc>
          <w:tcPr>
            <w:tcW w:w="725" w:type="dxa"/>
            <w:vAlign w:val="center"/>
          </w:tcPr>
          <w:p w14:paraId="28F3F32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-705,9</w:t>
            </w:r>
          </w:p>
        </w:tc>
        <w:tc>
          <w:tcPr>
            <w:tcW w:w="837" w:type="dxa"/>
            <w:vAlign w:val="center"/>
          </w:tcPr>
          <w:p w14:paraId="31C4A305" w14:textId="6525EF95" w:rsidR="00AA4CC2" w:rsidRPr="001262AC" w:rsidRDefault="00AA4CC2" w:rsidP="001262AC">
            <w:pPr>
              <w:spacing w:before="0" w:after="0"/>
              <w:ind w:firstLine="0"/>
              <w:rPr>
                <w:rFonts w:eastAsia="Times New Roman"/>
                <w:color w:val="000000"/>
                <w:sz w:val="18"/>
                <w:szCs w:val="18"/>
              </w:rPr>
            </w:pPr>
            <w:r w:rsidRPr="001262AC">
              <w:rPr>
                <w:rFonts w:eastAsia="Times New Roman"/>
                <w:color w:val="000000"/>
                <w:sz w:val="18"/>
                <w:szCs w:val="18"/>
              </w:rPr>
              <w:t>-1</w:t>
            </w:r>
            <w:r w:rsidR="001262AC">
              <w:rPr>
                <w:rFonts w:eastAsia="Times New Roman"/>
                <w:color w:val="000000"/>
                <w:sz w:val="18"/>
                <w:szCs w:val="18"/>
              </w:rPr>
              <w:t xml:space="preserve"> </w:t>
            </w:r>
            <w:r w:rsidRPr="001262AC">
              <w:rPr>
                <w:rFonts w:eastAsia="Times New Roman"/>
                <w:color w:val="000000"/>
                <w:sz w:val="18"/>
                <w:szCs w:val="18"/>
              </w:rPr>
              <w:t>835,9</w:t>
            </w:r>
          </w:p>
        </w:tc>
      </w:tr>
      <w:tr w:rsidR="00D2329D" w:rsidRPr="009665E6" w14:paraId="36FAB082" w14:textId="77777777" w:rsidTr="00D2329D">
        <w:trPr>
          <w:trHeight w:val="450"/>
        </w:trPr>
        <w:tc>
          <w:tcPr>
            <w:tcW w:w="672" w:type="dxa"/>
            <w:shd w:val="clear" w:color="auto" w:fill="auto"/>
            <w:vAlign w:val="center"/>
            <w:hideMark/>
          </w:tcPr>
          <w:p w14:paraId="5020135C"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6.</w:t>
            </w:r>
          </w:p>
          <w:p w14:paraId="799384B7"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(3.-5.)</w:t>
            </w:r>
          </w:p>
        </w:tc>
        <w:tc>
          <w:tcPr>
            <w:tcW w:w="1700" w:type="dxa"/>
            <w:hideMark/>
          </w:tcPr>
          <w:p w14:paraId="2B574795" w14:textId="77777777" w:rsidR="00AA4CC2" w:rsidRPr="00D515BE" w:rsidRDefault="00AA4CC2" w:rsidP="00AA4CC2">
            <w:pPr>
              <w:spacing w:before="0" w:after="0"/>
              <w:ind w:firstLine="0"/>
              <w:jc w:val="left"/>
              <w:rPr>
                <w:rFonts w:eastAsia="Times New Roman"/>
                <w:noProof/>
                <w:color w:val="000000"/>
                <w:sz w:val="18"/>
                <w:szCs w:val="18"/>
              </w:rPr>
            </w:pPr>
            <w:r w:rsidRPr="00D515BE">
              <w:rPr>
                <w:rFonts w:eastAsia="Times New Roman"/>
                <w:noProof/>
                <w:color w:val="000000"/>
                <w:sz w:val="18"/>
                <w:szCs w:val="18"/>
              </w:rPr>
              <w:t xml:space="preserve">Saimnieciskā gada bilanču starpība, milj. </w:t>
            </w:r>
            <w:r w:rsidRPr="00D515BE">
              <w:rPr>
                <w:rFonts w:eastAsia="Times New Roman"/>
                <w:i/>
                <w:iCs/>
                <w:noProof/>
                <w:color w:val="000000"/>
                <w:sz w:val="18"/>
                <w:szCs w:val="18"/>
              </w:rPr>
              <w:t>euro</w:t>
            </w:r>
          </w:p>
        </w:tc>
        <w:tc>
          <w:tcPr>
            <w:tcW w:w="725" w:type="dxa"/>
            <w:vAlign w:val="center"/>
          </w:tcPr>
          <w:p w14:paraId="4E61F692"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217,7</w:t>
            </w:r>
          </w:p>
        </w:tc>
        <w:tc>
          <w:tcPr>
            <w:tcW w:w="725" w:type="dxa"/>
            <w:vAlign w:val="center"/>
          </w:tcPr>
          <w:p w14:paraId="1F3D17E8"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0,9</w:t>
            </w:r>
          </w:p>
        </w:tc>
        <w:tc>
          <w:tcPr>
            <w:tcW w:w="725" w:type="dxa"/>
            <w:vAlign w:val="center"/>
          </w:tcPr>
          <w:p w14:paraId="05CAE318"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-133,3</w:t>
            </w:r>
          </w:p>
        </w:tc>
        <w:tc>
          <w:tcPr>
            <w:tcW w:w="725" w:type="dxa"/>
            <w:vAlign w:val="center"/>
          </w:tcPr>
          <w:p w14:paraId="5376D1F4"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109,5</w:t>
            </w:r>
          </w:p>
        </w:tc>
        <w:tc>
          <w:tcPr>
            <w:tcW w:w="725" w:type="dxa"/>
            <w:vAlign w:val="center"/>
          </w:tcPr>
          <w:p w14:paraId="10616D5D"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-167,9</w:t>
            </w:r>
          </w:p>
        </w:tc>
        <w:tc>
          <w:tcPr>
            <w:tcW w:w="725" w:type="dxa"/>
            <w:vAlign w:val="center"/>
          </w:tcPr>
          <w:p w14:paraId="04AD3599"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-289,8</w:t>
            </w:r>
          </w:p>
        </w:tc>
        <w:tc>
          <w:tcPr>
            <w:tcW w:w="725" w:type="dxa"/>
            <w:vAlign w:val="center"/>
          </w:tcPr>
          <w:p w14:paraId="03EDD387"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-263,9</w:t>
            </w:r>
          </w:p>
        </w:tc>
        <w:tc>
          <w:tcPr>
            <w:tcW w:w="725" w:type="dxa"/>
            <w:vAlign w:val="center"/>
          </w:tcPr>
          <w:p w14:paraId="55D88436"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27,2</w:t>
            </w:r>
          </w:p>
        </w:tc>
        <w:tc>
          <w:tcPr>
            <w:tcW w:w="725" w:type="dxa"/>
            <w:vAlign w:val="center"/>
          </w:tcPr>
          <w:p w14:paraId="6E54DED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343,6</w:t>
            </w:r>
          </w:p>
        </w:tc>
        <w:tc>
          <w:tcPr>
            <w:tcW w:w="837" w:type="dxa"/>
            <w:vAlign w:val="center"/>
          </w:tcPr>
          <w:p w14:paraId="48F6968E"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1 937,5</w:t>
            </w:r>
          </w:p>
        </w:tc>
      </w:tr>
      <w:tr w:rsidR="00D2329D" w:rsidRPr="009665E6" w14:paraId="6BDE8A4D" w14:textId="77777777" w:rsidTr="00D2329D">
        <w:trPr>
          <w:trHeight w:val="450"/>
        </w:trPr>
        <w:tc>
          <w:tcPr>
            <w:tcW w:w="672" w:type="dxa"/>
            <w:shd w:val="clear" w:color="auto" w:fill="auto"/>
            <w:vAlign w:val="center"/>
            <w:hideMark/>
          </w:tcPr>
          <w:p w14:paraId="4A524CC8"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7.</w:t>
            </w:r>
          </w:p>
          <w:p w14:paraId="52588187"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((6.:1.)</w:t>
            </w:r>
          </w:p>
          <w:p w14:paraId="286DEEF6"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×100)</w:t>
            </w:r>
          </w:p>
        </w:tc>
        <w:tc>
          <w:tcPr>
            <w:tcW w:w="1700" w:type="dxa"/>
            <w:hideMark/>
          </w:tcPr>
          <w:p w14:paraId="1C7521D2" w14:textId="77777777" w:rsidR="00AA4CC2" w:rsidRPr="00D515BE" w:rsidRDefault="00AA4CC2" w:rsidP="00AA4CC2">
            <w:pPr>
              <w:spacing w:before="0" w:after="0"/>
              <w:ind w:firstLine="0"/>
              <w:jc w:val="left"/>
              <w:rPr>
                <w:rFonts w:eastAsia="Times New Roman"/>
                <w:noProof/>
                <w:color w:val="000000"/>
                <w:sz w:val="18"/>
                <w:szCs w:val="18"/>
              </w:rPr>
            </w:pPr>
            <w:r w:rsidRPr="00D515BE">
              <w:rPr>
                <w:rFonts w:eastAsia="Times New Roman"/>
                <w:noProof/>
                <w:color w:val="000000"/>
                <w:sz w:val="18"/>
                <w:szCs w:val="18"/>
              </w:rPr>
              <w:t>Saimnieciskā gada bilanču starpība, % no IKP</w:t>
            </w:r>
          </w:p>
        </w:tc>
        <w:tc>
          <w:tcPr>
            <w:tcW w:w="725" w:type="dxa"/>
            <w:vAlign w:val="center"/>
          </w:tcPr>
          <w:p w14:paraId="549F2F95"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1,0</w:t>
            </w:r>
          </w:p>
        </w:tc>
        <w:tc>
          <w:tcPr>
            <w:tcW w:w="725" w:type="dxa"/>
            <w:vAlign w:val="center"/>
          </w:tcPr>
          <w:p w14:paraId="79F14D1A"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0,0</w:t>
            </w:r>
          </w:p>
        </w:tc>
        <w:tc>
          <w:tcPr>
            <w:tcW w:w="725" w:type="dxa"/>
            <w:vAlign w:val="center"/>
          </w:tcPr>
          <w:p w14:paraId="3927E6D1"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725" w:type="dxa"/>
            <w:vAlign w:val="center"/>
          </w:tcPr>
          <w:p w14:paraId="4ACEA9E1"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0,4</w:t>
            </w:r>
          </w:p>
        </w:tc>
        <w:tc>
          <w:tcPr>
            <w:tcW w:w="725" w:type="dxa"/>
            <w:vAlign w:val="center"/>
          </w:tcPr>
          <w:p w14:paraId="7558014A"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-0,6</w:t>
            </w:r>
          </w:p>
        </w:tc>
        <w:tc>
          <w:tcPr>
            <w:tcW w:w="725" w:type="dxa"/>
            <w:vAlign w:val="center"/>
          </w:tcPr>
          <w:p w14:paraId="4C366AF2"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-1,0</w:t>
            </w:r>
          </w:p>
        </w:tc>
        <w:tc>
          <w:tcPr>
            <w:tcW w:w="725" w:type="dxa"/>
            <w:vAlign w:val="center"/>
          </w:tcPr>
          <w:p w14:paraId="5EB19184"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-0,9</w:t>
            </w:r>
          </w:p>
        </w:tc>
        <w:tc>
          <w:tcPr>
            <w:tcW w:w="725" w:type="dxa"/>
            <w:vAlign w:val="center"/>
          </w:tcPr>
          <w:p w14:paraId="5D28595B"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0,1</w:t>
            </w:r>
          </w:p>
        </w:tc>
        <w:tc>
          <w:tcPr>
            <w:tcW w:w="725" w:type="dxa"/>
            <w:vAlign w:val="center"/>
          </w:tcPr>
          <w:p w14:paraId="6FF8E12E"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1,0</w:t>
            </w:r>
          </w:p>
        </w:tc>
        <w:tc>
          <w:tcPr>
            <w:tcW w:w="837" w:type="dxa"/>
            <w:vAlign w:val="center"/>
          </w:tcPr>
          <w:p w14:paraId="39E39BD8"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5,0</w:t>
            </w:r>
          </w:p>
        </w:tc>
      </w:tr>
      <w:tr w:rsidR="00D2329D" w:rsidRPr="009665E6" w14:paraId="3A2AE733" w14:textId="77777777" w:rsidTr="00D2329D">
        <w:trPr>
          <w:trHeight w:val="450"/>
        </w:trPr>
        <w:tc>
          <w:tcPr>
            <w:tcW w:w="672" w:type="dxa"/>
            <w:shd w:val="clear" w:color="auto" w:fill="auto"/>
            <w:vAlign w:val="center"/>
            <w:hideMark/>
          </w:tcPr>
          <w:p w14:paraId="536CAE32"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8.</w:t>
            </w:r>
          </w:p>
          <w:p w14:paraId="0B63A8AE"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(Σ(6.))</w:t>
            </w:r>
          </w:p>
        </w:tc>
        <w:tc>
          <w:tcPr>
            <w:tcW w:w="1700" w:type="dxa"/>
            <w:hideMark/>
          </w:tcPr>
          <w:p w14:paraId="094AE000" w14:textId="77777777" w:rsidR="00AA4CC2" w:rsidRPr="00D515BE" w:rsidRDefault="00AA4CC2" w:rsidP="00AA4CC2">
            <w:pPr>
              <w:spacing w:before="0" w:after="0"/>
              <w:ind w:firstLine="0"/>
              <w:jc w:val="left"/>
              <w:rPr>
                <w:rFonts w:eastAsia="Times New Roman"/>
                <w:noProof/>
                <w:color w:val="000000"/>
                <w:sz w:val="18"/>
                <w:szCs w:val="18"/>
              </w:rPr>
            </w:pPr>
            <w:r w:rsidRPr="00D515BE">
              <w:rPr>
                <w:rFonts w:eastAsia="Times New Roman"/>
                <w:noProof/>
                <w:color w:val="000000"/>
                <w:sz w:val="18"/>
                <w:szCs w:val="18"/>
              </w:rPr>
              <w:t xml:space="preserve">Uzkrāto bilanču starpības summa (kumulatīvi), milj. </w:t>
            </w:r>
            <w:r w:rsidRPr="00D515BE">
              <w:rPr>
                <w:rFonts w:eastAsia="Times New Roman"/>
                <w:i/>
                <w:iCs/>
                <w:noProof/>
                <w:color w:val="000000"/>
                <w:sz w:val="18"/>
                <w:szCs w:val="18"/>
              </w:rPr>
              <w:t>euro</w:t>
            </w:r>
          </w:p>
        </w:tc>
        <w:tc>
          <w:tcPr>
            <w:tcW w:w="725" w:type="dxa"/>
            <w:vAlign w:val="center"/>
          </w:tcPr>
          <w:p w14:paraId="188009BD"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217,7</w:t>
            </w:r>
          </w:p>
        </w:tc>
        <w:tc>
          <w:tcPr>
            <w:tcW w:w="725" w:type="dxa"/>
            <w:vAlign w:val="center"/>
          </w:tcPr>
          <w:p w14:paraId="030251CF"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218,6</w:t>
            </w:r>
          </w:p>
        </w:tc>
        <w:tc>
          <w:tcPr>
            <w:tcW w:w="725" w:type="dxa"/>
            <w:vAlign w:val="center"/>
          </w:tcPr>
          <w:p w14:paraId="0B0923E1"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85,3</w:t>
            </w:r>
          </w:p>
        </w:tc>
        <w:tc>
          <w:tcPr>
            <w:tcW w:w="725" w:type="dxa"/>
            <w:vAlign w:val="center"/>
          </w:tcPr>
          <w:p w14:paraId="78B2329F"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194,8</w:t>
            </w:r>
          </w:p>
        </w:tc>
        <w:tc>
          <w:tcPr>
            <w:tcW w:w="725" w:type="dxa"/>
            <w:vAlign w:val="center"/>
          </w:tcPr>
          <w:p w14:paraId="674D0452"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27,0</w:t>
            </w:r>
          </w:p>
        </w:tc>
        <w:tc>
          <w:tcPr>
            <w:tcW w:w="725" w:type="dxa"/>
            <w:vAlign w:val="center"/>
          </w:tcPr>
          <w:p w14:paraId="10ABB78D"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-262,9</w:t>
            </w:r>
          </w:p>
        </w:tc>
        <w:tc>
          <w:tcPr>
            <w:tcW w:w="725" w:type="dxa"/>
            <w:vAlign w:val="center"/>
          </w:tcPr>
          <w:p w14:paraId="26AD5612"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-526,8</w:t>
            </w:r>
          </w:p>
        </w:tc>
        <w:tc>
          <w:tcPr>
            <w:tcW w:w="725" w:type="dxa"/>
            <w:vAlign w:val="center"/>
          </w:tcPr>
          <w:p w14:paraId="62CBACB4"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-499,6</w:t>
            </w:r>
          </w:p>
        </w:tc>
        <w:tc>
          <w:tcPr>
            <w:tcW w:w="725" w:type="dxa"/>
            <w:vAlign w:val="center"/>
          </w:tcPr>
          <w:p w14:paraId="3AAD7020"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-156,0</w:t>
            </w:r>
          </w:p>
        </w:tc>
        <w:tc>
          <w:tcPr>
            <w:tcW w:w="837" w:type="dxa"/>
            <w:vAlign w:val="center"/>
          </w:tcPr>
          <w:p w14:paraId="2AB34355"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1 781,5</w:t>
            </w:r>
          </w:p>
        </w:tc>
      </w:tr>
      <w:tr w:rsidR="00D2329D" w:rsidRPr="009665E6" w14:paraId="21E46E83" w14:textId="77777777" w:rsidTr="00D2329D">
        <w:trPr>
          <w:trHeight w:val="806"/>
        </w:trPr>
        <w:tc>
          <w:tcPr>
            <w:tcW w:w="672" w:type="dxa"/>
            <w:shd w:val="clear" w:color="auto" w:fill="auto"/>
            <w:vAlign w:val="center"/>
            <w:hideMark/>
          </w:tcPr>
          <w:p w14:paraId="1AF468C5"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9.</w:t>
            </w:r>
          </w:p>
          <w:p w14:paraId="2D640DDB"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((8./1.)</w:t>
            </w:r>
          </w:p>
          <w:p w14:paraId="72745E8D" w14:textId="77777777"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×100)</w:t>
            </w:r>
          </w:p>
        </w:tc>
        <w:tc>
          <w:tcPr>
            <w:tcW w:w="1700" w:type="dxa"/>
            <w:hideMark/>
          </w:tcPr>
          <w:p w14:paraId="755C38D0" w14:textId="77777777" w:rsidR="00AA4CC2" w:rsidRPr="00D515BE" w:rsidRDefault="00AA4CC2" w:rsidP="00AA4CC2">
            <w:pPr>
              <w:spacing w:before="0" w:after="0"/>
              <w:ind w:firstLine="0"/>
              <w:jc w:val="left"/>
              <w:rPr>
                <w:rFonts w:eastAsia="Times New Roman"/>
                <w:noProof/>
                <w:color w:val="000000"/>
                <w:sz w:val="18"/>
                <w:szCs w:val="18"/>
              </w:rPr>
            </w:pPr>
            <w:r w:rsidRPr="00D515BE">
              <w:rPr>
                <w:rFonts w:eastAsia="Times New Roman"/>
                <w:noProof/>
                <w:color w:val="000000"/>
                <w:sz w:val="18"/>
                <w:szCs w:val="18"/>
              </w:rPr>
              <w:t>Uzkrāto bilanču starpības summa, % no IKP</w:t>
            </w:r>
          </w:p>
        </w:tc>
        <w:tc>
          <w:tcPr>
            <w:tcW w:w="725" w:type="dxa"/>
            <w:vAlign w:val="center"/>
          </w:tcPr>
          <w:p w14:paraId="6DFC6B7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1,0</w:t>
            </w:r>
          </w:p>
        </w:tc>
        <w:tc>
          <w:tcPr>
            <w:tcW w:w="725" w:type="dxa"/>
            <w:vAlign w:val="center"/>
          </w:tcPr>
          <w:p w14:paraId="07B471DB"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0,9</w:t>
            </w:r>
          </w:p>
        </w:tc>
        <w:tc>
          <w:tcPr>
            <w:tcW w:w="725" w:type="dxa"/>
            <w:vAlign w:val="center"/>
          </w:tcPr>
          <w:p w14:paraId="30809123"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0,3</w:t>
            </w:r>
          </w:p>
        </w:tc>
        <w:tc>
          <w:tcPr>
            <w:tcW w:w="725" w:type="dxa"/>
            <w:vAlign w:val="center"/>
          </w:tcPr>
          <w:p w14:paraId="4F4CB67E"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0,8</w:t>
            </w:r>
          </w:p>
        </w:tc>
        <w:tc>
          <w:tcPr>
            <w:tcW w:w="725" w:type="dxa"/>
            <w:vAlign w:val="center"/>
          </w:tcPr>
          <w:p w14:paraId="4D01E440"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0,1</w:t>
            </w:r>
          </w:p>
        </w:tc>
        <w:tc>
          <w:tcPr>
            <w:tcW w:w="725" w:type="dxa"/>
            <w:vAlign w:val="center"/>
          </w:tcPr>
          <w:p w14:paraId="5C9E5B57"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-0,9</w:t>
            </w:r>
          </w:p>
        </w:tc>
        <w:tc>
          <w:tcPr>
            <w:tcW w:w="725" w:type="dxa"/>
            <w:vAlign w:val="center"/>
          </w:tcPr>
          <w:p w14:paraId="42230E9E"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-1,7</w:t>
            </w:r>
          </w:p>
        </w:tc>
        <w:tc>
          <w:tcPr>
            <w:tcW w:w="725" w:type="dxa"/>
            <w:vAlign w:val="center"/>
          </w:tcPr>
          <w:p w14:paraId="55F4A075"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-1,7</w:t>
            </w:r>
          </w:p>
        </w:tc>
        <w:tc>
          <w:tcPr>
            <w:tcW w:w="725" w:type="dxa"/>
            <w:vAlign w:val="center"/>
          </w:tcPr>
          <w:p w14:paraId="24BC9946"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837" w:type="dxa"/>
            <w:vAlign w:val="center"/>
          </w:tcPr>
          <w:p w14:paraId="7250D410"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4,6</w:t>
            </w:r>
          </w:p>
        </w:tc>
      </w:tr>
      <w:tr w:rsidR="00D2329D" w:rsidRPr="009665E6" w14:paraId="4B8F567A" w14:textId="77777777" w:rsidTr="00D2329D">
        <w:trPr>
          <w:trHeight w:val="463"/>
        </w:trPr>
        <w:tc>
          <w:tcPr>
            <w:tcW w:w="672" w:type="dxa"/>
            <w:shd w:val="clear" w:color="auto" w:fill="auto"/>
            <w:vAlign w:val="center"/>
            <w:hideMark/>
          </w:tcPr>
          <w:p w14:paraId="53706571" w14:textId="3421C41C"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10</w:t>
            </w:r>
            <w:r w:rsidR="0096612F">
              <w:rPr>
                <w:rFonts w:eastAsia="Times New Roman"/>
                <w:color w:val="000000"/>
                <w:sz w:val="16"/>
                <w:szCs w:val="16"/>
              </w:rPr>
              <w:t>.</w:t>
            </w:r>
          </w:p>
        </w:tc>
        <w:tc>
          <w:tcPr>
            <w:tcW w:w="1700" w:type="dxa"/>
            <w:hideMark/>
          </w:tcPr>
          <w:p w14:paraId="19F06F54" w14:textId="77777777" w:rsidR="00AA4CC2" w:rsidRPr="00D515BE" w:rsidRDefault="00AA4CC2" w:rsidP="00AA4CC2">
            <w:pPr>
              <w:spacing w:before="0" w:after="0"/>
              <w:ind w:firstLine="0"/>
              <w:jc w:val="left"/>
              <w:rPr>
                <w:rFonts w:eastAsia="Times New Roman"/>
                <w:noProof/>
                <w:color w:val="000000"/>
                <w:sz w:val="18"/>
                <w:szCs w:val="18"/>
              </w:rPr>
            </w:pPr>
            <w:r w:rsidRPr="00D515BE">
              <w:rPr>
                <w:rFonts w:eastAsia="Times New Roman"/>
                <w:noProof/>
                <w:color w:val="000000"/>
                <w:sz w:val="18"/>
                <w:szCs w:val="18"/>
              </w:rPr>
              <w:t>FDL 11. panta nosacījums, % no IKP</w:t>
            </w:r>
          </w:p>
        </w:tc>
        <w:tc>
          <w:tcPr>
            <w:tcW w:w="725" w:type="dxa"/>
            <w:vAlign w:val="center"/>
          </w:tcPr>
          <w:p w14:paraId="37EBA3B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725" w:type="dxa"/>
            <w:vAlign w:val="center"/>
          </w:tcPr>
          <w:p w14:paraId="65F5424E"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725" w:type="dxa"/>
            <w:vAlign w:val="center"/>
          </w:tcPr>
          <w:p w14:paraId="0CFD9077"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725" w:type="dxa"/>
            <w:vAlign w:val="center"/>
          </w:tcPr>
          <w:p w14:paraId="769BEECF"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725" w:type="dxa"/>
            <w:vAlign w:val="center"/>
          </w:tcPr>
          <w:p w14:paraId="57256346"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725" w:type="dxa"/>
            <w:vAlign w:val="center"/>
          </w:tcPr>
          <w:p w14:paraId="505E59CF"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725" w:type="dxa"/>
            <w:vAlign w:val="center"/>
          </w:tcPr>
          <w:p w14:paraId="4EA82AD2"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725" w:type="dxa"/>
            <w:vAlign w:val="center"/>
          </w:tcPr>
          <w:p w14:paraId="247FA537"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725" w:type="dxa"/>
            <w:vAlign w:val="center"/>
          </w:tcPr>
          <w:p w14:paraId="4FF1EA2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c>
          <w:tcPr>
            <w:tcW w:w="837" w:type="dxa"/>
            <w:vAlign w:val="center"/>
          </w:tcPr>
          <w:p w14:paraId="0EB186D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-0,5</w:t>
            </w:r>
          </w:p>
        </w:tc>
      </w:tr>
      <w:tr w:rsidR="00D2329D" w:rsidRPr="009665E6" w14:paraId="64A3D428" w14:textId="77777777" w:rsidTr="00D2329D">
        <w:trPr>
          <w:trHeight w:val="130"/>
        </w:trPr>
        <w:tc>
          <w:tcPr>
            <w:tcW w:w="672" w:type="dxa"/>
            <w:shd w:val="clear" w:color="auto" w:fill="auto"/>
            <w:vAlign w:val="center"/>
            <w:hideMark/>
          </w:tcPr>
          <w:p w14:paraId="54F554C5" w14:textId="0FF7007D" w:rsidR="00AA4CC2" w:rsidRPr="00D515BE" w:rsidRDefault="00AA4CC2" w:rsidP="00AA4CC2">
            <w:pPr>
              <w:spacing w:before="0" w:after="0"/>
              <w:ind w:firstLine="0"/>
              <w:jc w:val="center"/>
              <w:rPr>
                <w:rFonts w:eastAsia="Times New Roman"/>
                <w:color w:val="000000"/>
                <w:sz w:val="16"/>
                <w:szCs w:val="16"/>
              </w:rPr>
            </w:pPr>
            <w:r w:rsidRPr="00D515BE">
              <w:rPr>
                <w:rFonts w:eastAsia="Times New Roman"/>
                <w:color w:val="000000"/>
                <w:sz w:val="16"/>
                <w:szCs w:val="16"/>
              </w:rPr>
              <w:t>11</w:t>
            </w:r>
            <w:r w:rsidR="0096612F">
              <w:rPr>
                <w:rFonts w:eastAsia="Times New Roman"/>
                <w:color w:val="000000"/>
                <w:sz w:val="16"/>
                <w:szCs w:val="16"/>
              </w:rPr>
              <w:t>.</w:t>
            </w:r>
          </w:p>
        </w:tc>
        <w:tc>
          <w:tcPr>
            <w:tcW w:w="1700" w:type="dxa"/>
            <w:hideMark/>
          </w:tcPr>
          <w:p w14:paraId="62C1EA39" w14:textId="77777777" w:rsidR="00AA4CC2" w:rsidRPr="00D515BE" w:rsidRDefault="00AA4CC2" w:rsidP="00AA4CC2">
            <w:pPr>
              <w:spacing w:before="0" w:after="0"/>
              <w:ind w:firstLine="0"/>
              <w:jc w:val="left"/>
              <w:rPr>
                <w:rFonts w:eastAsia="Times New Roman"/>
                <w:noProof/>
                <w:color w:val="000000"/>
                <w:sz w:val="18"/>
                <w:szCs w:val="18"/>
              </w:rPr>
            </w:pPr>
            <w:r w:rsidRPr="00D515BE">
              <w:rPr>
                <w:rFonts w:eastAsia="Times New Roman"/>
                <w:noProof/>
                <w:color w:val="000000"/>
                <w:sz w:val="18"/>
                <w:szCs w:val="18"/>
              </w:rPr>
              <w:t>Ir jākoriģē, ja 9.&lt;10.</w:t>
            </w:r>
          </w:p>
        </w:tc>
        <w:tc>
          <w:tcPr>
            <w:tcW w:w="725" w:type="dxa"/>
            <w:vAlign w:val="center"/>
          </w:tcPr>
          <w:p w14:paraId="444372AF" w14:textId="77777777" w:rsidR="00AA4CC2" w:rsidRPr="001262AC" w:rsidRDefault="00AA4CC2" w:rsidP="00AA4CC2">
            <w:pPr>
              <w:spacing w:before="0" w:after="0"/>
              <w:ind w:firstLine="0"/>
              <w:jc w:val="center"/>
              <w:rPr>
                <w:rFonts w:eastAsia="Times New Roman"/>
                <w:color w:val="000000"/>
                <w:sz w:val="18"/>
                <w:szCs w:val="18"/>
              </w:rPr>
            </w:pPr>
          </w:p>
        </w:tc>
        <w:tc>
          <w:tcPr>
            <w:tcW w:w="725" w:type="dxa"/>
            <w:vAlign w:val="center"/>
          </w:tcPr>
          <w:p w14:paraId="6A938594" w14:textId="77777777" w:rsidR="00AA4CC2" w:rsidRPr="001262AC" w:rsidRDefault="00AA4CC2" w:rsidP="00AA4CC2">
            <w:pPr>
              <w:spacing w:before="0" w:after="0"/>
              <w:ind w:firstLine="0"/>
              <w:jc w:val="center"/>
              <w:rPr>
                <w:rFonts w:eastAsia="Times New Roman"/>
                <w:color w:val="000000"/>
                <w:sz w:val="18"/>
                <w:szCs w:val="18"/>
              </w:rPr>
            </w:pPr>
          </w:p>
        </w:tc>
        <w:tc>
          <w:tcPr>
            <w:tcW w:w="725" w:type="dxa"/>
            <w:vAlign w:val="center"/>
          </w:tcPr>
          <w:p w14:paraId="38786F15" w14:textId="77777777" w:rsidR="00AA4CC2" w:rsidRPr="001262AC" w:rsidRDefault="00AA4CC2" w:rsidP="00AA4CC2">
            <w:pPr>
              <w:spacing w:before="0" w:after="0"/>
              <w:ind w:firstLine="0"/>
              <w:jc w:val="center"/>
              <w:rPr>
                <w:rFonts w:eastAsia="Times New Roman"/>
                <w:color w:val="000000"/>
                <w:sz w:val="18"/>
                <w:szCs w:val="18"/>
              </w:rPr>
            </w:pPr>
          </w:p>
        </w:tc>
        <w:tc>
          <w:tcPr>
            <w:tcW w:w="725" w:type="dxa"/>
            <w:vAlign w:val="center"/>
          </w:tcPr>
          <w:p w14:paraId="7F4A5D2E" w14:textId="77777777" w:rsidR="00AA4CC2" w:rsidRPr="001262AC" w:rsidRDefault="00AA4CC2" w:rsidP="00AA4CC2">
            <w:pPr>
              <w:spacing w:before="0" w:after="0"/>
              <w:ind w:firstLine="0"/>
              <w:jc w:val="center"/>
              <w:rPr>
                <w:rFonts w:eastAsia="Times New Roman"/>
                <w:color w:val="000000"/>
                <w:sz w:val="18"/>
                <w:szCs w:val="18"/>
              </w:rPr>
            </w:pPr>
          </w:p>
        </w:tc>
        <w:tc>
          <w:tcPr>
            <w:tcW w:w="725" w:type="dxa"/>
            <w:vAlign w:val="center"/>
          </w:tcPr>
          <w:p w14:paraId="62E5A4C5" w14:textId="77777777" w:rsidR="00AA4CC2" w:rsidRPr="001262AC" w:rsidRDefault="00AA4CC2" w:rsidP="00AA4CC2">
            <w:pPr>
              <w:spacing w:before="0" w:after="0"/>
              <w:ind w:firstLine="0"/>
              <w:jc w:val="center"/>
              <w:rPr>
                <w:rFonts w:eastAsia="Times New Roman"/>
                <w:color w:val="000000"/>
                <w:sz w:val="18"/>
                <w:szCs w:val="18"/>
              </w:rPr>
            </w:pPr>
          </w:p>
        </w:tc>
        <w:tc>
          <w:tcPr>
            <w:tcW w:w="725" w:type="dxa"/>
            <w:vAlign w:val="center"/>
          </w:tcPr>
          <w:p w14:paraId="1EEF0B89" w14:textId="77777777" w:rsidR="00AA4CC2" w:rsidRPr="001262AC" w:rsidRDefault="00AA4CC2" w:rsidP="00AA4CC2">
            <w:pPr>
              <w:spacing w:before="0" w:after="0"/>
              <w:ind w:firstLine="0"/>
              <w:jc w:val="center"/>
              <w:rPr>
                <w:rFonts w:eastAsia="Times New Roman"/>
                <w:color w:val="000000"/>
                <w:sz w:val="18"/>
                <w:szCs w:val="18"/>
              </w:rPr>
            </w:pPr>
          </w:p>
        </w:tc>
        <w:tc>
          <w:tcPr>
            <w:tcW w:w="725" w:type="dxa"/>
            <w:vAlign w:val="center"/>
          </w:tcPr>
          <w:p w14:paraId="539A44CF" w14:textId="77777777" w:rsidR="00AA4CC2" w:rsidRPr="001262AC" w:rsidRDefault="00AA4CC2" w:rsidP="00AA4CC2">
            <w:pPr>
              <w:spacing w:before="0" w:after="0"/>
              <w:ind w:firstLine="0"/>
              <w:jc w:val="center"/>
              <w:rPr>
                <w:rFonts w:eastAsia="Times New Roman"/>
                <w:color w:val="000000"/>
                <w:sz w:val="18"/>
                <w:szCs w:val="18"/>
              </w:rPr>
            </w:pPr>
          </w:p>
        </w:tc>
        <w:tc>
          <w:tcPr>
            <w:tcW w:w="725" w:type="dxa"/>
            <w:vAlign w:val="center"/>
          </w:tcPr>
          <w:p w14:paraId="604EA252" w14:textId="77777777" w:rsidR="00AA4CC2" w:rsidRPr="001262AC" w:rsidRDefault="00AA4CC2" w:rsidP="00AA4CC2">
            <w:pPr>
              <w:spacing w:before="0" w:after="0"/>
              <w:ind w:firstLine="0"/>
              <w:jc w:val="center"/>
              <w:rPr>
                <w:rFonts w:eastAsia="Times New Roman"/>
                <w:color w:val="000000"/>
                <w:sz w:val="18"/>
                <w:szCs w:val="18"/>
              </w:rPr>
            </w:pPr>
          </w:p>
        </w:tc>
        <w:tc>
          <w:tcPr>
            <w:tcW w:w="725" w:type="dxa"/>
            <w:vAlign w:val="center"/>
          </w:tcPr>
          <w:p w14:paraId="43B61DEC" w14:textId="77777777" w:rsidR="00AA4CC2" w:rsidRPr="001262AC" w:rsidRDefault="00AA4CC2" w:rsidP="00AA4CC2">
            <w:pPr>
              <w:spacing w:before="0" w:after="0"/>
              <w:ind w:firstLine="0"/>
              <w:jc w:val="center"/>
              <w:rPr>
                <w:rFonts w:eastAsia="Times New Roman"/>
                <w:color w:val="000000"/>
                <w:sz w:val="18"/>
                <w:szCs w:val="18"/>
              </w:rPr>
            </w:pPr>
            <w:r w:rsidRPr="001262AC">
              <w:rPr>
                <w:rFonts w:eastAsia="Times New Roman"/>
                <w:color w:val="000000"/>
                <w:sz w:val="18"/>
                <w:szCs w:val="18"/>
              </w:rPr>
              <w:t>-</w:t>
            </w:r>
          </w:p>
        </w:tc>
        <w:tc>
          <w:tcPr>
            <w:tcW w:w="837" w:type="dxa"/>
            <w:vAlign w:val="center"/>
          </w:tcPr>
          <w:p w14:paraId="3CA6C36C" w14:textId="77777777" w:rsidR="00AA4CC2" w:rsidRPr="001262AC" w:rsidRDefault="00AA4CC2" w:rsidP="00AA4CC2">
            <w:pPr>
              <w:spacing w:before="0" w:after="0"/>
              <w:ind w:firstLine="0"/>
              <w:jc w:val="center"/>
              <w:rPr>
                <w:rFonts w:eastAsia="Times New Roman"/>
                <w:color w:val="000000"/>
                <w:sz w:val="17"/>
                <w:szCs w:val="17"/>
              </w:rPr>
            </w:pPr>
            <w:r w:rsidRPr="001262AC">
              <w:rPr>
                <w:rFonts w:eastAsia="Times New Roman"/>
                <w:color w:val="000000"/>
                <w:sz w:val="17"/>
                <w:szCs w:val="17"/>
              </w:rPr>
              <w:t>Nav jākoriģē</w:t>
            </w:r>
          </w:p>
        </w:tc>
      </w:tr>
    </w:tbl>
    <w:p w14:paraId="665EBE2D" w14:textId="33CBA9DB" w:rsidR="00AA4CC2" w:rsidRPr="001A327E" w:rsidRDefault="00AA4CC2" w:rsidP="00B14F2A">
      <w:pPr>
        <w:rPr>
          <w:rFonts w:eastAsia="Calibri" w:cs="Times New Roman"/>
          <w:color w:val="000000"/>
        </w:rPr>
      </w:pPr>
      <w:r w:rsidRPr="00F831E6">
        <w:rPr>
          <w:rFonts w:eastAsia="Calibri" w:cs="Times New Roman"/>
          <w:color w:val="000000"/>
        </w:rPr>
        <w:t>Ja budžet</w:t>
      </w:r>
      <w:r>
        <w:rPr>
          <w:rFonts w:eastAsia="Calibri" w:cs="Times New Roman"/>
          <w:color w:val="000000"/>
        </w:rPr>
        <w:t>u</w:t>
      </w:r>
      <w:r w:rsidRPr="00F831E6">
        <w:rPr>
          <w:rFonts w:eastAsia="Calibri" w:cs="Times New Roman"/>
          <w:color w:val="000000"/>
        </w:rPr>
        <w:t xml:space="preserve"> izpildes gaitā tiek konstatēts, ka </w:t>
      </w:r>
      <w:bookmarkStart w:id="16" w:name="_Hlk130919523"/>
      <w:r w:rsidRPr="00F831E6">
        <w:rPr>
          <w:rFonts w:eastAsia="Calibri" w:cs="Times New Roman"/>
          <w:color w:val="000000"/>
        </w:rPr>
        <w:t xml:space="preserve">uzkrātā faktisko strukturālo bilanču novirze no plānoto bilanču apmēra ir negatīva </w:t>
      </w:r>
      <w:bookmarkEnd w:id="16"/>
      <w:r w:rsidRPr="00F831E6">
        <w:rPr>
          <w:rFonts w:eastAsia="Calibri" w:cs="Times New Roman"/>
          <w:color w:val="000000"/>
        </w:rPr>
        <w:t xml:space="preserve">un sasniedz vismaz 0,5% no IKP, jāveic tās koriģēšana. </w:t>
      </w:r>
      <w:r>
        <w:rPr>
          <w:rFonts w:eastAsia="Calibri" w:cs="Times New Roman"/>
          <w:color w:val="000000"/>
        </w:rPr>
        <w:t>Tomēr</w:t>
      </w:r>
      <w:r w:rsidRPr="00F831E6">
        <w:rPr>
          <w:rFonts w:eastAsia="Calibri" w:cs="Times New Roman"/>
          <w:color w:val="000000"/>
        </w:rPr>
        <w:t xml:space="preserve"> ņemot vērā, ka 202</w:t>
      </w:r>
      <w:r>
        <w:rPr>
          <w:rFonts w:eastAsia="Calibri" w:cs="Times New Roman"/>
          <w:color w:val="000000"/>
        </w:rPr>
        <w:t>2</w:t>
      </w:r>
      <w:r w:rsidRPr="00F831E6">
        <w:rPr>
          <w:rFonts w:eastAsia="Calibri" w:cs="Times New Roman"/>
          <w:color w:val="000000"/>
        </w:rPr>
        <w:t>.</w:t>
      </w:r>
      <w:r w:rsidR="001D18D2">
        <w:rPr>
          <w:rFonts w:eastAsia="Calibri" w:cs="Times New Roman"/>
          <w:color w:val="000000"/>
        </w:rPr>
        <w:t> </w:t>
      </w:r>
      <w:r w:rsidRPr="00F831E6">
        <w:rPr>
          <w:rFonts w:eastAsia="Calibri" w:cs="Times New Roman"/>
          <w:color w:val="000000"/>
        </w:rPr>
        <w:t xml:space="preserve">gadā uzkrātā faktisko strukturālo bilanču novirze no plānoto bilanču apmēra ir </w:t>
      </w:r>
      <w:r>
        <w:rPr>
          <w:rFonts w:eastAsia="Calibri" w:cs="Times New Roman"/>
          <w:color w:val="000000"/>
        </w:rPr>
        <w:t>pozitīva</w:t>
      </w:r>
      <w:r w:rsidRPr="00F831E6">
        <w:rPr>
          <w:rFonts w:eastAsia="Calibri" w:cs="Times New Roman"/>
          <w:color w:val="000000"/>
        </w:rPr>
        <w:t>,</w:t>
      </w:r>
      <w:r>
        <w:rPr>
          <w:rFonts w:eastAsia="Calibri" w:cs="Times New Roman"/>
          <w:color w:val="000000"/>
        </w:rPr>
        <w:t xml:space="preserve"> savukārt izlaižu starpības 2026.</w:t>
      </w:r>
      <w:r w:rsidR="00D2329D">
        <w:rPr>
          <w:rFonts w:eastAsia="Calibri" w:cs="Times New Roman"/>
          <w:color w:val="000000"/>
        </w:rPr>
        <w:t xml:space="preserve"> </w:t>
      </w:r>
      <w:r>
        <w:rPr>
          <w:rFonts w:eastAsia="Calibri" w:cs="Times New Roman"/>
          <w:color w:val="000000"/>
        </w:rPr>
        <w:t>gadam prognozētā  vērtība ir</w:t>
      </w:r>
      <w:r w:rsidRPr="001A327E">
        <w:rPr>
          <w:rFonts w:eastAsia="Calibri" w:cs="Times New Roman"/>
          <w:color w:val="000000"/>
        </w:rPr>
        <w:t xml:space="preserve"> </w:t>
      </w:r>
      <w:r>
        <w:rPr>
          <w:rFonts w:eastAsia="Calibri" w:cs="Times New Roman"/>
          <w:color w:val="000000"/>
        </w:rPr>
        <w:t xml:space="preserve">negatīva, </w:t>
      </w:r>
      <w:r w:rsidRPr="00F831E6">
        <w:rPr>
          <w:rFonts w:eastAsia="Calibri" w:cs="Times New Roman"/>
          <w:color w:val="000000"/>
        </w:rPr>
        <w:t xml:space="preserve"> atbi</w:t>
      </w:r>
      <w:r>
        <w:rPr>
          <w:rFonts w:eastAsia="Calibri" w:cs="Times New Roman"/>
          <w:color w:val="000000"/>
        </w:rPr>
        <w:t>l</w:t>
      </w:r>
      <w:r w:rsidRPr="00F831E6">
        <w:rPr>
          <w:rFonts w:eastAsia="Calibri" w:cs="Times New Roman"/>
          <w:color w:val="000000"/>
        </w:rPr>
        <w:t>stoši F</w:t>
      </w:r>
      <w:r>
        <w:rPr>
          <w:rFonts w:eastAsia="Calibri" w:cs="Times New Roman"/>
          <w:color w:val="000000"/>
        </w:rPr>
        <w:t xml:space="preserve">iskālās disciplīnas likuma </w:t>
      </w:r>
      <w:r w:rsidRPr="00F831E6">
        <w:rPr>
          <w:rFonts w:eastAsia="Calibri" w:cs="Times New Roman"/>
          <w:color w:val="000000"/>
        </w:rPr>
        <w:t>11.</w:t>
      </w:r>
      <w:r>
        <w:rPr>
          <w:rFonts w:eastAsia="Calibri" w:cs="Times New Roman"/>
          <w:color w:val="000000"/>
        </w:rPr>
        <w:t xml:space="preserve"> </w:t>
      </w:r>
      <w:r w:rsidRPr="00F831E6">
        <w:rPr>
          <w:rFonts w:eastAsia="Calibri" w:cs="Times New Roman"/>
          <w:color w:val="000000"/>
        </w:rPr>
        <w:t xml:space="preserve">panta </w:t>
      </w:r>
      <w:r>
        <w:rPr>
          <w:rFonts w:eastAsia="Calibri" w:cs="Times New Roman"/>
          <w:color w:val="000000"/>
        </w:rPr>
        <w:t>septītajai</w:t>
      </w:r>
      <w:r w:rsidRPr="00F831E6">
        <w:rPr>
          <w:rFonts w:eastAsia="Calibri" w:cs="Times New Roman"/>
          <w:color w:val="000000"/>
        </w:rPr>
        <w:t xml:space="preserve"> </w:t>
      </w:r>
      <w:r w:rsidRPr="001A327E">
        <w:rPr>
          <w:rFonts w:eastAsia="Calibri" w:cs="Times New Roman"/>
          <w:color w:val="000000"/>
        </w:rPr>
        <w:t>daļai minimālās plānojamās vispārējās valdības budžeta strukturālās bilances koriģēšanu neveic.</w:t>
      </w:r>
    </w:p>
    <w:p w14:paraId="5BB2A3E1" w14:textId="429DE45A" w:rsidR="00AA4CC2" w:rsidRPr="00AA4CC2" w:rsidRDefault="00B14F2A" w:rsidP="00945E3A">
      <w:pPr>
        <w:widowControl w:val="0"/>
        <w:rPr>
          <w:rFonts w:eastAsia="Times New Roman" w:cs="Times New Roman"/>
          <w:b/>
        </w:rPr>
      </w:pPr>
      <w:r>
        <w:rPr>
          <w:rFonts w:eastAsia="Times New Roman" w:cs="Times New Roman"/>
          <w:b/>
        </w:rPr>
        <w:br w:type="page"/>
      </w:r>
      <w:r w:rsidR="00AA4CC2" w:rsidRPr="00AA4CC2">
        <w:rPr>
          <w:rFonts w:eastAsia="Times New Roman" w:cs="Times New Roman"/>
          <w:b/>
        </w:rPr>
        <w:lastRenderedPageBreak/>
        <w:t>Strukturālās bilances mērķi</w:t>
      </w:r>
    </w:p>
    <w:p w14:paraId="6F45DF47" w14:textId="2F3975B2" w:rsidR="00AA4CC2" w:rsidRDefault="00AA4CC2" w:rsidP="00B14F2A">
      <w:pPr>
        <w:widowControl w:val="0"/>
        <w:rPr>
          <w:rFonts w:eastAsia="Times New Roman" w:cs="Times New Roman"/>
          <w:bCs/>
        </w:rPr>
      </w:pPr>
      <w:r w:rsidRPr="00F851C3">
        <w:rPr>
          <w:rFonts w:eastAsia="Times New Roman" w:cs="Times New Roman"/>
          <w:bCs/>
        </w:rPr>
        <w:t xml:space="preserve">Saskaņā ar fiskālās politikas stratēģiju strukturālās bilances mērķis 2024. </w:t>
      </w:r>
      <w:r w:rsidR="001D18D2">
        <w:rPr>
          <w:rFonts w:eastAsia="Times New Roman" w:cs="Times New Roman"/>
          <w:bCs/>
        </w:rPr>
        <w:t>-</w:t>
      </w:r>
      <w:r w:rsidRPr="00F851C3">
        <w:rPr>
          <w:rFonts w:eastAsia="Times New Roman" w:cs="Times New Roman"/>
          <w:bCs/>
        </w:rPr>
        <w:t>2026.</w:t>
      </w:r>
      <w:r>
        <w:rPr>
          <w:rFonts w:eastAsia="Times New Roman" w:cs="Times New Roman"/>
          <w:bCs/>
        </w:rPr>
        <w:t xml:space="preserve"> </w:t>
      </w:r>
      <w:r w:rsidRPr="00F851C3">
        <w:rPr>
          <w:rFonts w:eastAsia="Times New Roman" w:cs="Times New Roman"/>
          <w:bCs/>
        </w:rPr>
        <w:t>gad</w:t>
      </w:r>
      <w:r w:rsidR="001D18D2">
        <w:rPr>
          <w:rFonts w:eastAsia="Times New Roman" w:cs="Times New Roman"/>
          <w:bCs/>
        </w:rPr>
        <w:t>a</w:t>
      </w:r>
      <w:r w:rsidRPr="00F851C3">
        <w:rPr>
          <w:rFonts w:eastAsia="Times New Roman" w:cs="Times New Roman"/>
          <w:bCs/>
        </w:rPr>
        <w:t xml:space="preserve">m tiek noteikts par pamatu ņemot 2023. gada strukturālās bilances prognozi. </w:t>
      </w:r>
    </w:p>
    <w:p w14:paraId="6693A040" w14:textId="00383E4E" w:rsidR="00AA4CC2" w:rsidRPr="001A327E" w:rsidRDefault="00AA4CC2" w:rsidP="00B14F2A">
      <w:pPr>
        <w:pStyle w:val="ListParagraph"/>
        <w:ind w:left="0"/>
        <w:contextualSpacing w:val="0"/>
        <w:rPr>
          <w:rFonts w:eastAsia="Times New Roman" w:cs="Times New Roman"/>
          <w:bCs/>
          <w:szCs w:val="28"/>
        </w:rPr>
      </w:pPr>
      <w:r>
        <w:rPr>
          <w:rFonts w:eastAsia="Times New Roman" w:cs="Times New Roman"/>
          <w:bCs/>
          <w:szCs w:val="28"/>
        </w:rPr>
        <w:t>Ņemot vērā, ka 2023. gadā saskaņā ar pašreizējām prognozēm vispārējās valdības budžeta deficīts ir 2,7% no IKP un</w:t>
      </w:r>
      <w:r w:rsidR="001D18D2">
        <w:rPr>
          <w:rFonts w:eastAsia="Times New Roman" w:cs="Times New Roman"/>
          <w:bCs/>
          <w:szCs w:val="28"/>
        </w:rPr>
        <w:t>,</w:t>
      </w:r>
      <w:r>
        <w:rPr>
          <w:rFonts w:eastAsia="Times New Roman" w:cs="Times New Roman"/>
          <w:bCs/>
          <w:szCs w:val="28"/>
        </w:rPr>
        <w:t xml:space="preserve"> ņemot vērā izlaižu starpību un vienreizējo pasākumu apmēru</w:t>
      </w:r>
      <w:r w:rsidR="001D18D2">
        <w:rPr>
          <w:rFonts w:eastAsia="Times New Roman" w:cs="Times New Roman"/>
          <w:bCs/>
          <w:szCs w:val="28"/>
        </w:rPr>
        <w:t>,</w:t>
      </w:r>
      <w:r>
        <w:rPr>
          <w:rFonts w:eastAsia="Times New Roman" w:cs="Times New Roman"/>
          <w:bCs/>
          <w:szCs w:val="28"/>
        </w:rPr>
        <w:t xml:space="preserve"> var konstatēt, ka 2023. gada vispārējas valdības </w:t>
      </w:r>
      <w:r w:rsidR="002E7BD2" w:rsidRPr="002E7BD2">
        <w:rPr>
          <w:rFonts w:eastAsia="Times New Roman" w:cs="Times New Roman"/>
          <w:bCs/>
          <w:szCs w:val="28"/>
        </w:rPr>
        <w:t xml:space="preserve">strukturālā bilance </w:t>
      </w:r>
      <w:r>
        <w:rPr>
          <w:rFonts w:eastAsia="Times New Roman" w:cs="Times New Roman"/>
          <w:bCs/>
          <w:szCs w:val="28"/>
        </w:rPr>
        <w:t xml:space="preserve">ir </w:t>
      </w:r>
      <w:r w:rsidRPr="00CA0651">
        <w:rPr>
          <w:rFonts w:eastAsia="Times New Roman" w:cs="Times New Roman"/>
          <w:bCs/>
          <w:szCs w:val="28"/>
        </w:rPr>
        <w:t>0,3%</w:t>
      </w:r>
      <w:r>
        <w:rPr>
          <w:rFonts w:eastAsia="Times New Roman" w:cs="Times New Roman"/>
          <w:bCs/>
          <w:szCs w:val="28"/>
        </w:rPr>
        <w:t xml:space="preserve"> no IKP (skat. 1</w:t>
      </w:r>
      <w:r w:rsidR="001D18D2">
        <w:rPr>
          <w:rFonts w:eastAsia="Times New Roman" w:cs="Times New Roman"/>
          <w:bCs/>
          <w:szCs w:val="28"/>
        </w:rPr>
        <w:t>1</w:t>
      </w:r>
      <w:r>
        <w:rPr>
          <w:rFonts w:eastAsia="Times New Roman" w:cs="Times New Roman"/>
          <w:bCs/>
          <w:szCs w:val="28"/>
        </w:rPr>
        <w:t>.</w:t>
      </w:r>
      <w:r w:rsidR="001D18D2">
        <w:rPr>
          <w:rFonts w:eastAsia="Times New Roman" w:cs="Times New Roman"/>
          <w:bCs/>
          <w:szCs w:val="28"/>
        </w:rPr>
        <w:t> </w:t>
      </w:r>
      <w:r>
        <w:rPr>
          <w:rFonts w:eastAsia="Times New Roman" w:cs="Times New Roman"/>
          <w:bCs/>
          <w:szCs w:val="28"/>
        </w:rPr>
        <w:t xml:space="preserve">tabulu). </w:t>
      </w:r>
      <w:r w:rsidRPr="001A327E">
        <w:rPr>
          <w:rFonts w:eastAsia="Times New Roman" w:cs="Times New Roman"/>
          <w:bCs/>
          <w:szCs w:val="28"/>
        </w:rPr>
        <w:t>Līdz ar to tas ir zemāks par F</w:t>
      </w:r>
      <w:r>
        <w:rPr>
          <w:rFonts w:eastAsia="Times New Roman" w:cs="Times New Roman"/>
          <w:bCs/>
          <w:szCs w:val="28"/>
        </w:rPr>
        <w:t>iskālās disciplīnas likuma</w:t>
      </w:r>
      <w:r w:rsidRPr="001A327E">
        <w:rPr>
          <w:rFonts w:eastAsia="Times New Roman" w:cs="Times New Roman"/>
          <w:bCs/>
          <w:szCs w:val="28"/>
        </w:rPr>
        <w:t xml:space="preserve"> noteikto vidēja termiņa mērķi, kas ir -0,5% no IKP. Ja vispārīgā gadījumā saskaņā ar Fiskālās politikas stratēģiju strukturālais deficīts būtu jāsamazina par 0,5% no IKP ik gadu</w:t>
      </w:r>
      <w:r w:rsidR="000D3CBF">
        <w:rPr>
          <w:rFonts w:eastAsia="Times New Roman" w:cs="Times New Roman"/>
          <w:bCs/>
          <w:szCs w:val="28"/>
        </w:rPr>
        <w:t>,</w:t>
      </w:r>
      <w:r w:rsidRPr="001A327E">
        <w:rPr>
          <w:rFonts w:eastAsia="Times New Roman" w:cs="Times New Roman"/>
          <w:bCs/>
          <w:szCs w:val="28"/>
        </w:rPr>
        <w:t xml:space="preserve"> līdz tas sasniedz 0,5% no IKP vērtību, tad pie aktuālākajām prognozēm strukturālā deficīta samazināšana nav nepieciešama, to var pat palielināt un turpmāk uzturēt F</w:t>
      </w:r>
      <w:r>
        <w:rPr>
          <w:rFonts w:eastAsia="Times New Roman" w:cs="Times New Roman"/>
          <w:bCs/>
          <w:szCs w:val="28"/>
        </w:rPr>
        <w:t>iskālās disciplīnas likuma</w:t>
      </w:r>
      <w:r w:rsidRPr="001A327E">
        <w:rPr>
          <w:rFonts w:eastAsia="Times New Roman" w:cs="Times New Roman"/>
          <w:bCs/>
          <w:szCs w:val="28"/>
        </w:rPr>
        <w:t xml:space="preserve"> 10.</w:t>
      </w:r>
      <w:r w:rsidR="00BE6193">
        <w:rPr>
          <w:rFonts w:eastAsia="Times New Roman" w:cs="Times New Roman"/>
          <w:bCs/>
          <w:szCs w:val="28"/>
        </w:rPr>
        <w:t> </w:t>
      </w:r>
      <w:r w:rsidRPr="001A327E">
        <w:rPr>
          <w:rFonts w:eastAsia="Times New Roman" w:cs="Times New Roman"/>
          <w:bCs/>
          <w:szCs w:val="28"/>
        </w:rPr>
        <w:t xml:space="preserve">pantā noteiktajā maksimālajā pieļaujamajā līmenī. </w:t>
      </w:r>
    </w:p>
    <w:p w14:paraId="4877A206" w14:textId="422A3FAF" w:rsidR="00AA4CC2" w:rsidRDefault="00AA4CC2" w:rsidP="00B14F2A">
      <w:pPr>
        <w:pStyle w:val="ListParagraph"/>
        <w:widowControl w:val="0"/>
        <w:ind w:left="0"/>
        <w:contextualSpacing w:val="0"/>
        <w:rPr>
          <w:rFonts w:eastAsia="Times New Roman" w:cs="Times New Roman"/>
          <w:bCs/>
          <w:szCs w:val="28"/>
        </w:rPr>
      </w:pPr>
      <w:r>
        <w:rPr>
          <w:rFonts w:eastAsia="Times New Roman" w:cs="Times New Roman"/>
          <w:bCs/>
          <w:szCs w:val="28"/>
        </w:rPr>
        <w:t>Saskaņā ar augstāk minēto</w:t>
      </w:r>
      <w:r w:rsidR="00BE6193">
        <w:rPr>
          <w:rFonts w:eastAsia="Times New Roman" w:cs="Times New Roman"/>
          <w:bCs/>
          <w:szCs w:val="28"/>
        </w:rPr>
        <w:t xml:space="preserve"> </w:t>
      </w:r>
      <w:r>
        <w:rPr>
          <w:rFonts w:eastAsia="Times New Roman" w:cs="Times New Roman"/>
          <w:bCs/>
          <w:szCs w:val="28"/>
        </w:rPr>
        <w:t>vispārējās valdības budžeta bilances mērķis 2024.</w:t>
      </w:r>
      <w:r w:rsidR="00BE6193">
        <w:rPr>
          <w:rFonts w:eastAsia="Times New Roman" w:cs="Times New Roman"/>
          <w:bCs/>
          <w:szCs w:val="28"/>
        </w:rPr>
        <w:t>-</w:t>
      </w:r>
      <w:r>
        <w:rPr>
          <w:rFonts w:eastAsia="Times New Roman" w:cs="Times New Roman"/>
          <w:bCs/>
          <w:szCs w:val="28"/>
        </w:rPr>
        <w:t>2026.</w:t>
      </w:r>
      <w:r w:rsidR="00BE6193">
        <w:rPr>
          <w:rFonts w:eastAsia="Times New Roman" w:cs="Times New Roman"/>
          <w:bCs/>
          <w:szCs w:val="28"/>
        </w:rPr>
        <w:t> </w:t>
      </w:r>
      <w:r>
        <w:rPr>
          <w:rFonts w:eastAsia="Times New Roman" w:cs="Times New Roman"/>
          <w:bCs/>
          <w:szCs w:val="28"/>
        </w:rPr>
        <w:t>gad</w:t>
      </w:r>
      <w:r w:rsidR="00BE6193">
        <w:rPr>
          <w:rFonts w:eastAsia="Times New Roman" w:cs="Times New Roman"/>
          <w:bCs/>
          <w:szCs w:val="28"/>
        </w:rPr>
        <w:t>a</w:t>
      </w:r>
      <w:r>
        <w:rPr>
          <w:rFonts w:eastAsia="Times New Roman" w:cs="Times New Roman"/>
          <w:bCs/>
          <w:szCs w:val="28"/>
        </w:rPr>
        <w:t xml:space="preserve">m tiek noteikts </w:t>
      </w:r>
      <w:r w:rsidRPr="001A327E">
        <w:rPr>
          <w:rFonts w:eastAsia="Times New Roman" w:cs="Times New Roman"/>
          <w:bCs/>
          <w:szCs w:val="28"/>
        </w:rPr>
        <w:t>F</w:t>
      </w:r>
      <w:r>
        <w:rPr>
          <w:rFonts w:eastAsia="Times New Roman" w:cs="Times New Roman"/>
          <w:bCs/>
          <w:szCs w:val="28"/>
        </w:rPr>
        <w:t>iskālās disciplīnas likuma</w:t>
      </w:r>
      <w:r w:rsidRPr="001A327E">
        <w:rPr>
          <w:rFonts w:eastAsia="Times New Roman" w:cs="Times New Roman"/>
          <w:bCs/>
          <w:szCs w:val="28"/>
        </w:rPr>
        <w:t xml:space="preserve"> 10.</w:t>
      </w:r>
      <w:r w:rsidR="00BE6193">
        <w:rPr>
          <w:rFonts w:eastAsia="Times New Roman" w:cs="Times New Roman"/>
          <w:bCs/>
          <w:szCs w:val="28"/>
        </w:rPr>
        <w:t> </w:t>
      </w:r>
      <w:r w:rsidRPr="001A327E">
        <w:rPr>
          <w:rFonts w:eastAsia="Times New Roman" w:cs="Times New Roman"/>
          <w:bCs/>
          <w:szCs w:val="28"/>
        </w:rPr>
        <w:t>pantā noteiktajā maksimālajā pieļaujamajā līmenī</w:t>
      </w:r>
      <w:r>
        <w:rPr>
          <w:rFonts w:eastAsia="Times New Roman" w:cs="Times New Roman"/>
          <w:bCs/>
          <w:szCs w:val="28"/>
        </w:rPr>
        <w:t xml:space="preserve"> -0,5% no IKP. </w:t>
      </w:r>
    </w:p>
    <w:p w14:paraId="308F93CD" w14:textId="2961ED14" w:rsidR="00AA4CC2" w:rsidRPr="00CF523E" w:rsidRDefault="00AA4CC2" w:rsidP="001262AC">
      <w:pPr>
        <w:pStyle w:val="ListParagraph"/>
        <w:widowControl w:val="0"/>
        <w:ind w:hanging="720"/>
        <w:contextualSpacing w:val="0"/>
        <w:jc w:val="center"/>
        <w:rPr>
          <w:rFonts w:eastAsia="Times New Roman" w:cs="Times New Roman"/>
          <w:bCs/>
          <w:szCs w:val="28"/>
        </w:rPr>
      </w:pPr>
      <w:r w:rsidRPr="001262AC">
        <w:rPr>
          <w:rFonts w:eastAsia="Times New Roman" w:cs="Times New Roman"/>
          <w:b/>
          <w:szCs w:val="24"/>
        </w:rPr>
        <w:t>1</w:t>
      </w:r>
      <w:r w:rsidR="001262AC" w:rsidRPr="001262AC">
        <w:rPr>
          <w:rFonts w:eastAsia="Times New Roman" w:cs="Times New Roman"/>
          <w:b/>
          <w:szCs w:val="24"/>
        </w:rPr>
        <w:t>1</w:t>
      </w:r>
      <w:r w:rsidRPr="001262AC">
        <w:rPr>
          <w:rFonts w:eastAsia="Times New Roman" w:cs="Times New Roman"/>
          <w:b/>
          <w:szCs w:val="24"/>
        </w:rPr>
        <w:t>. tabula.</w:t>
      </w:r>
      <w:r w:rsidRPr="00CF523E">
        <w:rPr>
          <w:rFonts w:eastAsia="Times New Roman" w:cs="Times New Roman"/>
          <w:b/>
          <w:szCs w:val="24"/>
        </w:rPr>
        <w:t xml:space="preserve"> Vispārējās valdības strukturālās bilances mērķi</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1484"/>
        <w:gridCol w:w="914"/>
        <w:gridCol w:w="709"/>
        <w:gridCol w:w="709"/>
        <w:gridCol w:w="709"/>
      </w:tblGrid>
      <w:tr w:rsidR="00AA4CC2" w:rsidRPr="00670F90" w14:paraId="1FAA4A33" w14:textId="77777777" w:rsidTr="00BE6193">
        <w:trPr>
          <w:trHeight w:val="20"/>
          <w:jc w:val="center"/>
        </w:trPr>
        <w:tc>
          <w:tcPr>
            <w:tcW w:w="4401" w:type="dxa"/>
            <w:shd w:val="clear" w:color="auto" w:fill="BDD6EE" w:themeFill="accent1" w:themeFillTint="66"/>
            <w:noWrap/>
            <w:vAlign w:val="bottom"/>
            <w:hideMark/>
          </w:tcPr>
          <w:p w14:paraId="0F25EE3A"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 </w:t>
            </w:r>
          </w:p>
        </w:tc>
        <w:tc>
          <w:tcPr>
            <w:tcW w:w="1484" w:type="dxa"/>
            <w:shd w:val="clear" w:color="auto" w:fill="BDD6EE" w:themeFill="accent1" w:themeFillTint="66"/>
            <w:noWrap/>
            <w:vAlign w:val="bottom"/>
            <w:hideMark/>
          </w:tcPr>
          <w:p w14:paraId="3D30D6E0"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 </w:t>
            </w:r>
          </w:p>
        </w:tc>
        <w:tc>
          <w:tcPr>
            <w:tcW w:w="914" w:type="dxa"/>
            <w:shd w:val="clear" w:color="auto" w:fill="BDD6EE" w:themeFill="accent1" w:themeFillTint="66"/>
            <w:noWrap/>
            <w:vAlign w:val="bottom"/>
            <w:hideMark/>
          </w:tcPr>
          <w:p w14:paraId="15B024DF"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sidRPr="00670F90">
              <w:rPr>
                <w:rFonts w:eastAsia="Times New Roman" w:cs="Times New Roman"/>
                <w:b/>
                <w:bCs/>
                <w:color w:val="000000"/>
                <w:sz w:val="18"/>
                <w:szCs w:val="18"/>
                <w:lang w:eastAsia="lv-LV"/>
              </w:rPr>
              <w:t>202</w:t>
            </w:r>
            <w:r>
              <w:rPr>
                <w:rFonts w:eastAsia="Times New Roman" w:cs="Times New Roman"/>
                <w:b/>
                <w:bCs/>
                <w:color w:val="000000"/>
                <w:sz w:val="18"/>
                <w:szCs w:val="18"/>
                <w:lang w:eastAsia="lv-LV"/>
              </w:rPr>
              <w:t>3</w:t>
            </w:r>
          </w:p>
        </w:tc>
        <w:tc>
          <w:tcPr>
            <w:tcW w:w="709" w:type="dxa"/>
            <w:shd w:val="clear" w:color="auto" w:fill="BDD6EE" w:themeFill="accent1" w:themeFillTint="66"/>
            <w:noWrap/>
            <w:vAlign w:val="bottom"/>
            <w:hideMark/>
          </w:tcPr>
          <w:p w14:paraId="21833C28"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sidRPr="00670F90">
              <w:rPr>
                <w:rFonts w:eastAsia="Times New Roman" w:cs="Times New Roman"/>
                <w:b/>
                <w:bCs/>
                <w:color w:val="000000"/>
                <w:sz w:val="18"/>
                <w:szCs w:val="18"/>
                <w:lang w:eastAsia="lv-LV"/>
              </w:rPr>
              <w:t>202</w:t>
            </w:r>
            <w:r>
              <w:rPr>
                <w:rFonts w:eastAsia="Times New Roman" w:cs="Times New Roman"/>
                <w:b/>
                <w:bCs/>
                <w:color w:val="000000"/>
                <w:sz w:val="18"/>
                <w:szCs w:val="18"/>
                <w:lang w:eastAsia="lv-LV"/>
              </w:rPr>
              <w:t>4</w:t>
            </w:r>
          </w:p>
        </w:tc>
        <w:tc>
          <w:tcPr>
            <w:tcW w:w="709" w:type="dxa"/>
            <w:shd w:val="clear" w:color="auto" w:fill="BDD6EE" w:themeFill="accent1" w:themeFillTint="66"/>
            <w:noWrap/>
            <w:vAlign w:val="bottom"/>
            <w:hideMark/>
          </w:tcPr>
          <w:p w14:paraId="42A78666"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sidRPr="00670F90">
              <w:rPr>
                <w:rFonts w:eastAsia="Times New Roman" w:cs="Times New Roman"/>
                <w:b/>
                <w:bCs/>
                <w:color w:val="000000"/>
                <w:sz w:val="18"/>
                <w:szCs w:val="18"/>
                <w:lang w:eastAsia="lv-LV"/>
              </w:rPr>
              <w:t>202</w:t>
            </w:r>
            <w:r>
              <w:rPr>
                <w:rFonts w:eastAsia="Times New Roman" w:cs="Times New Roman"/>
                <w:b/>
                <w:bCs/>
                <w:color w:val="000000"/>
                <w:sz w:val="18"/>
                <w:szCs w:val="18"/>
                <w:lang w:eastAsia="lv-LV"/>
              </w:rPr>
              <w:t>5</w:t>
            </w:r>
          </w:p>
        </w:tc>
        <w:tc>
          <w:tcPr>
            <w:tcW w:w="709" w:type="dxa"/>
            <w:shd w:val="clear" w:color="auto" w:fill="BDD6EE" w:themeFill="accent1" w:themeFillTint="66"/>
            <w:noWrap/>
            <w:vAlign w:val="bottom"/>
            <w:hideMark/>
          </w:tcPr>
          <w:p w14:paraId="2FDBD5EA"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sidRPr="00670F90">
              <w:rPr>
                <w:rFonts w:eastAsia="Times New Roman" w:cs="Times New Roman"/>
                <w:b/>
                <w:bCs/>
                <w:color w:val="000000"/>
                <w:sz w:val="18"/>
                <w:szCs w:val="18"/>
                <w:lang w:eastAsia="lv-LV"/>
              </w:rPr>
              <w:t>202</w:t>
            </w:r>
            <w:r>
              <w:rPr>
                <w:rFonts w:eastAsia="Times New Roman" w:cs="Times New Roman"/>
                <w:b/>
                <w:bCs/>
                <w:color w:val="000000"/>
                <w:sz w:val="18"/>
                <w:szCs w:val="18"/>
                <w:lang w:eastAsia="lv-LV"/>
              </w:rPr>
              <w:t>6</w:t>
            </w:r>
          </w:p>
        </w:tc>
      </w:tr>
      <w:tr w:rsidR="00AA4CC2" w:rsidRPr="00670F90" w14:paraId="1598D059" w14:textId="77777777" w:rsidTr="008332B4">
        <w:trPr>
          <w:trHeight w:val="20"/>
          <w:jc w:val="center"/>
        </w:trPr>
        <w:tc>
          <w:tcPr>
            <w:tcW w:w="4401" w:type="dxa"/>
            <w:shd w:val="clear" w:color="auto" w:fill="auto"/>
            <w:noWrap/>
            <w:vAlign w:val="bottom"/>
            <w:hideMark/>
          </w:tcPr>
          <w:p w14:paraId="62ED5859" w14:textId="77777777" w:rsidR="00AA4CC2" w:rsidRPr="00670F90" w:rsidRDefault="00AA4CC2" w:rsidP="00163D32">
            <w:pPr>
              <w:spacing w:before="60" w:after="0"/>
              <w:ind w:firstLine="0"/>
              <w:jc w:val="left"/>
              <w:rPr>
                <w:rFonts w:eastAsia="Times New Roman" w:cs="Times New Roman"/>
                <w:noProof/>
                <w:color w:val="000000"/>
                <w:sz w:val="18"/>
                <w:szCs w:val="18"/>
                <w:lang w:eastAsia="lv-LV"/>
              </w:rPr>
            </w:pPr>
            <w:r w:rsidRPr="00670F90">
              <w:rPr>
                <w:rFonts w:eastAsia="Times New Roman" w:cs="Times New Roman"/>
                <w:noProof/>
                <w:color w:val="000000"/>
                <w:sz w:val="18"/>
                <w:szCs w:val="18"/>
                <w:lang w:eastAsia="lv-LV"/>
              </w:rPr>
              <w:t>IKP prognoze</w:t>
            </w:r>
            <w:r>
              <w:rPr>
                <w:rFonts w:eastAsia="Times New Roman" w:cs="Times New Roman"/>
                <w:noProof/>
                <w:color w:val="000000"/>
                <w:sz w:val="18"/>
                <w:szCs w:val="18"/>
                <w:lang w:eastAsia="lv-LV"/>
              </w:rPr>
              <w:t xml:space="preserve">, milj. </w:t>
            </w:r>
            <w:r w:rsidRPr="00CA0651">
              <w:rPr>
                <w:rFonts w:eastAsia="Times New Roman" w:cs="Times New Roman"/>
                <w:i/>
                <w:iCs/>
                <w:noProof/>
                <w:color w:val="000000"/>
                <w:sz w:val="18"/>
                <w:szCs w:val="18"/>
                <w:lang w:eastAsia="lv-LV"/>
              </w:rPr>
              <w:t>euro</w:t>
            </w:r>
          </w:p>
        </w:tc>
        <w:tc>
          <w:tcPr>
            <w:tcW w:w="1484" w:type="dxa"/>
            <w:shd w:val="clear" w:color="auto" w:fill="auto"/>
            <w:noWrap/>
            <w:vAlign w:val="bottom"/>
            <w:hideMark/>
          </w:tcPr>
          <w:p w14:paraId="466335A8"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(1)</w:t>
            </w:r>
          </w:p>
        </w:tc>
        <w:tc>
          <w:tcPr>
            <w:tcW w:w="914" w:type="dxa"/>
            <w:shd w:val="clear" w:color="auto" w:fill="auto"/>
            <w:noWrap/>
            <w:vAlign w:val="center"/>
            <w:hideMark/>
          </w:tcPr>
          <w:p w14:paraId="670E5A60" w14:textId="77777777" w:rsidR="00AA4CC2" w:rsidRDefault="00AA4CC2" w:rsidP="00163D32">
            <w:pPr>
              <w:spacing w:before="60" w:after="0"/>
              <w:ind w:firstLine="0"/>
              <w:jc w:val="center"/>
              <w:rPr>
                <w:sz w:val="20"/>
                <w:szCs w:val="20"/>
              </w:rPr>
            </w:pPr>
            <w:r>
              <w:rPr>
                <w:sz w:val="20"/>
                <w:szCs w:val="20"/>
              </w:rPr>
              <w:t>43368</w:t>
            </w:r>
          </w:p>
          <w:p w14:paraId="2CAE07BE"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p>
        </w:tc>
        <w:tc>
          <w:tcPr>
            <w:tcW w:w="709" w:type="dxa"/>
            <w:shd w:val="clear" w:color="auto" w:fill="DEEAF6" w:themeFill="accent1" w:themeFillTint="33"/>
            <w:noWrap/>
            <w:hideMark/>
          </w:tcPr>
          <w:p w14:paraId="2B6BC8F6"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61093D0A"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3A7780E6"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r>
      <w:tr w:rsidR="00AA4CC2" w:rsidRPr="00670F90" w14:paraId="0CBC10C5" w14:textId="77777777" w:rsidTr="008332B4">
        <w:trPr>
          <w:trHeight w:val="20"/>
          <w:jc w:val="center"/>
        </w:trPr>
        <w:tc>
          <w:tcPr>
            <w:tcW w:w="4401" w:type="dxa"/>
            <w:shd w:val="clear" w:color="auto" w:fill="auto"/>
            <w:noWrap/>
            <w:vAlign w:val="bottom"/>
            <w:hideMark/>
          </w:tcPr>
          <w:p w14:paraId="227DA32D" w14:textId="77777777" w:rsidR="00AA4CC2" w:rsidRPr="00670F90" w:rsidRDefault="00AA4CC2" w:rsidP="00163D32">
            <w:pPr>
              <w:spacing w:before="60" w:after="0"/>
              <w:ind w:firstLine="0"/>
              <w:jc w:val="left"/>
              <w:rPr>
                <w:rFonts w:eastAsia="Times New Roman" w:cs="Times New Roman"/>
                <w:noProof/>
                <w:color w:val="000000"/>
                <w:sz w:val="18"/>
                <w:szCs w:val="18"/>
                <w:lang w:eastAsia="lv-LV"/>
              </w:rPr>
            </w:pPr>
            <w:r w:rsidRPr="00670F90">
              <w:rPr>
                <w:rFonts w:eastAsia="Times New Roman" w:cs="Times New Roman"/>
                <w:noProof/>
                <w:color w:val="000000"/>
                <w:sz w:val="18"/>
                <w:szCs w:val="18"/>
                <w:lang w:eastAsia="lv-LV"/>
              </w:rPr>
              <w:t>202</w:t>
            </w:r>
            <w:r>
              <w:rPr>
                <w:rFonts w:eastAsia="Times New Roman" w:cs="Times New Roman"/>
                <w:noProof/>
                <w:color w:val="000000"/>
                <w:sz w:val="18"/>
                <w:szCs w:val="18"/>
                <w:lang w:eastAsia="lv-LV"/>
              </w:rPr>
              <w:t>3</w:t>
            </w:r>
            <w:r w:rsidRPr="00670F90">
              <w:rPr>
                <w:rFonts w:eastAsia="Times New Roman" w:cs="Times New Roman"/>
                <w:noProof/>
                <w:color w:val="000000"/>
                <w:sz w:val="18"/>
                <w:szCs w:val="18"/>
                <w:lang w:eastAsia="lv-LV"/>
              </w:rPr>
              <w:t xml:space="preserve">. gada vispārējās valdības budžeta bilance, milj. </w:t>
            </w:r>
            <w:r w:rsidRPr="00670F90">
              <w:rPr>
                <w:rFonts w:eastAsia="Times New Roman" w:cs="Times New Roman"/>
                <w:i/>
                <w:iCs/>
                <w:noProof/>
                <w:color w:val="000000"/>
                <w:sz w:val="18"/>
                <w:szCs w:val="18"/>
                <w:lang w:eastAsia="lv-LV"/>
              </w:rPr>
              <w:t>euro</w:t>
            </w:r>
          </w:p>
        </w:tc>
        <w:tc>
          <w:tcPr>
            <w:tcW w:w="1484" w:type="dxa"/>
            <w:shd w:val="clear" w:color="auto" w:fill="auto"/>
            <w:noWrap/>
            <w:vAlign w:val="bottom"/>
            <w:hideMark/>
          </w:tcPr>
          <w:p w14:paraId="48E9BBB5"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(2)</w:t>
            </w:r>
          </w:p>
        </w:tc>
        <w:tc>
          <w:tcPr>
            <w:tcW w:w="914" w:type="dxa"/>
            <w:shd w:val="clear" w:color="auto" w:fill="auto"/>
            <w:noWrap/>
            <w:vAlign w:val="center"/>
            <w:hideMark/>
          </w:tcPr>
          <w:p w14:paraId="49D2D7BC"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-1190,9</w:t>
            </w:r>
          </w:p>
        </w:tc>
        <w:tc>
          <w:tcPr>
            <w:tcW w:w="709" w:type="dxa"/>
            <w:shd w:val="clear" w:color="auto" w:fill="DEEAF6" w:themeFill="accent1" w:themeFillTint="33"/>
            <w:noWrap/>
            <w:hideMark/>
          </w:tcPr>
          <w:p w14:paraId="38AB1DFD"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17AA52D2"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7C3808F1"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r>
      <w:tr w:rsidR="00AA4CC2" w:rsidRPr="00670F90" w14:paraId="44CD013E" w14:textId="77777777" w:rsidTr="008332B4">
        <w:trPr>
          <w:trHeight w:val="20"/>
          <w:jc w:val="center"/>
        </w:trPr>
        <w:tc>
          <w:tcPr>
            <w:tcW w:w="4401" w:type="dxa"/>
            <w:shd w:val="clear" w:color="auto" w:fill="auto"/>
            <w:noWrap/>
            <w:vAlign w:val="bottom"/>
            <w:hideMark/>
          </w:tcPr>
          <w:p w14:paraId="25DC1BED" w14:textId="77777777" w:rsidR="00AA4CC2" w:rsidRPr="00670F90" w:rsidRDefault="00AA4CC2" w:rsidP="00163D32">
            <w:pPr>
              <w:spacing w:before="60" w:after="0"/>
              <w:ind w:firstLine="0"/>
              <w:jc w:val="left"/>
              <w:rPr>
                <w:rFonts w:eastAsia="Times New Roman" w:cs="Times New Roman"/>
                <w:noProof/>
                <w:color w:val="000000"/>
                <w:sz w:val="18"/>
                <w:szCs w:val="18"/>
                <w:lang w:eastAsia="lv-LV"/>
              </w:rPr>
            </w:pPr>
            <w:r w:rsidRPr="00670F90">
              <w:rPr>
                <w:rFonts w:eastAsia="Times New Roman" w:cs="Times New Roman"/>
                <w:noProof/>
                <w:color w:val="000000"/>
                <w:sz w:val="18"/>
                <w:szCs w:val="18"/>
                <w:lang w:eastAsia="lv-LV"/>
              </w:rPr>
              <w:t>202</w:t>
            </w:r>
            <w:r>
              <w:rPr>
                <w:rFonts w:eastAsia="Times New Roman" w:cs="Times New Roman"/>
                <w:noProof/>
                <w:color w:val="000000"/>
                <w:sz w:val="18"/>
                <w:szCs w:val="18"/>
                <w:lang w:eastAsia="lv-LV"/>
              </w:rPr>
              <w:t>3</w:t>
            </w:r>
            <w:r w:rsidRPr="00670F90">
              <w:rPr>
                <w:rFonts w:eastAsia="Times New Roman" w:cs="Times New Roman"/>
                <w:noProof/>
                <w:color w:val="000000"/>
                <w:sz w:val="18"/>
                <w:szCs w:val="18"/>
                <w:lang w:eastAsia="lv-LV"/>
              </w:rPr>
              <w:t>. gada vispārējās valdības budžeta bilance, % IKP</w:t>
            </w:r>
          </w:p>
        </w:tc>
        <w:tc>
          <w:tcPr>
            <w:tcW w:w="1484" w:type="dxa"/>
            <w:shd w:val="clear" w:color="auto" w:fill="auto"/>
            <w:noWrap/>
            <w:vAlign w:val="bottom"/>
            <w:hideMark/>
          </w:tcPr>
          <w:p w14:paraId="08281C15"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(3)=(2)/(1)*100</w:t>
            </w:r>
          </w:p>
        </w:tc>
        <w:tc>
          <w:tcPr>
            <w:tcW w:w="914" w:type="dxa"/>
            <w:shd w:val="clear" w:color="auto" w:fill="auto"/>
            <w:noWrap/>
            <w:vAlign w:val="center"/>
            <w:hideMark/>
          </w:tcPr>
          <w:p w14:paraId="05CA01F6"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-2,7</w:t>
            </w:r>
          </w:p>
        </w:tc>
        <w:tc>
          <w:tcPr>
            <w:tcW w:w="709" w:type="dxa"/>
            <w:shd w:val="clear" w:color="auto" w:fill="DEEAF6" w:themeFill="accent1" w:themeFillTint="33"/>
            <w:noWrap/>
            <w:hideMark/>
          </w:tcPr>
          <w:p w14:paraId="31B9F3EA"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45CF1EAA"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35D8449D"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r>
      <w:tr w:rsidR="00AA4CC2" w:rsidRPr="00670F90" w14:paraId="462909ED" w14:textId="77777777" w:rsidTr="008332B4">
        <w:trPr>
          <w:trHeight w:val="20"/>
          <w:jc w:val="center"/>
        </w:trPr>
        <w:tc>
          <w:tcPr>
            <w:tcW w:w="4401" w:type="dxa"/>
            <w:shd w:val="clear" w:color="auto" w:fill="auto"/>
            <w:noWrap/>
            <w:vAlign w:val="bottom"/>
            <w:hideMark/>
          </w:tcPr>
          <w:p w14:paraId="07B588EF" w14:textId="77777777" w:rsidR="00AA4CC2" w:rsidRPr="00670F90" w:rsidRDefault="00AA4CC2" w:rsidP="00163D32">
            <w:pPr>
              <w:spacing w:before="60" w:after="0"/>
              <w:ind w:firstLine="0"/>
              <w:jc w:val="left"/>
              <w:rPr>
                <w:rFonts w:eastAsia="Times New Roman" w:cs="Times New Roman"/>
                <w:noProof/>
                <w:color w:val="000000"/>
                <w:sz w:val="18"/>
                <w:szCs w:val="18"/>
                <w:lang w:eastAsia="lv-LV"/>
              </w:rPr>
            </w:pPr>
            <w:r w:rsidRPr="00670F90">
              <w:rPr>
                <w:rFonts w:eastAsia="Times New Roman" w:cs="Times New Roman"/>
                <w:noProof/>
                <w:color w:val="000000"/>
                <w:sz w:val="18"/>
                <w:szCs w:val="18"/>
                <w:lang w:eastAsia="lv-LV"/>
              </w:rPr>
              <w:t>Izlaižu starpība, % no potenciālā IKP</w:t>
            </w:r>
          </w:p>
        </w:tc>
        <w:tc>
          <w:tcPr>
            <w:tcW w:w="1484" w:type="dxa"/>
            <w:shd w:val="clear" w:color="auto" w:fill="auto"/>
            <w:noWrap/>
            <w:vAlign w:val="bottom"/>
            <w:hideMark/>
          </w:tcPr>
          <w:p w14:paraId="5A52F165"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(4)</w:t>
            </w:r>
          </w:p>
        </w:tc>
        <w:tc>
          <w:tcPr>
            <w:tcW w:w="914" w:type="dxa"/>
            <w:shd w:val="clear" w:color="auto" w:fill="auto"/>
            <w:noWrap/>
            <w:vAlign w:val="center"/>
            <w:hideMark/>
          </w:tcPr>
          <w:p w14:paraId="3B038EDA"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-1,2</w:t>
            </w:r>
          </w:p>
        </w:tc>
        <w:tc>
          <w:tcPr>
            <w:tcW w:w="709" w:type="dxa"/>
            <w:shd w:val="clear" w:color="auto" w:fill="DEEAF6" w:themeFill="accent1" w:themeFillTint="33"/>
            <w:noWrap/>
            <w:hideMark/>
          </w:tcPr>
          <w:p w14:paraId="128C0EE6"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22244EE5"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65F369A7"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r>
      <w:tr w:rsidR="00AA4CC2" w:rsidRPr="00670F90" w14:paraId="239D9989" w14:textId="77777777" w:rsidTr="008332B4">
        <w:trPr>
          <w:trHeight w:val="20"/>
          <w:jc w:val="center"/>
        </w:trPr>
        <w:tc>
          <w:tcPr>
            <w:tcW w:w="4401" w:type="dxa"/>
            <w:shd w:val="clear" w:color="auto" w:fill="auto"/>
            <w:noWrap/>
            <w:vAlign w:val="bottom"/>
            <w:hideMark/>
          </w:tcPr>
          <w:p w14:paraId="2F6EB645" w14:textId="77777777" w:rsidR="00AA4CC2" w:rsidRPr="00670F90" w:rsidRDefault="00AA4CC2" w:rsidP="00163D32">
            <w:pPr>
              <w:spacing w:before="60" w:after="0"/>
              <w:ind w:firstLine="0"/>
              <w:jc w:val="left"/>
              <w:rPr>
                <w:rFonts w:eastAsia="Times New Roman" w:cs="Times New Roman"/>
                <w:noProof/>
                <w:color w:val="000000"/>
                <w:sz w:val="18"/>
                <w:szCs w:val="18"/>
                <w:lang w:eastAsia="lv-LV"/>
              </w:rPr>
            </w:pPr>
            <w:r w:rsidRPr="00670F90">
              <w:rPr>
                <w:rFonts w:eastAsia="Times New Roman" w:cs="Times New Roman"/>
                <w:noProof/>
                <w:color w:val="000000"/>
                <w:sz w:val="18"/>
                <w:szCs w:val="18"/>
                <w:lang w:eastAsia="lv-LV"/>
              </w:rPr>
              <w:t>Bilances cikliskā komponente, % no IKP</w:t>
            </w:r>
          </w:p>
        </w:tc>
        <w:tc>
          <w:tcPr>
            <w:tcW w:w="1484" w:type="dxa"/>
            <w:shd w:val="clear" w:color="auto" w:fill="auto"/>
            <w:noWrap/>
            <w:vAlign w:val="bottom"/>
            <w:hideMark/>
          </w:tcPr>
          <w:p w14:paraId="4553417E"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(5)=0,378*(4)</w:t>
            </w:r>
          </w:p>
        </w:tc>
        <w:tc>
          <w:tcPr>
            <w:tcW w:w="914" w:type="dxa"/>
            <w:shd w:val="clear" w:color="auto" w:fill="auto"/>
            <w:noWrap/>
            <w:vAlign w:val="center"/>
            <w:hideMark/>
          </w:tcPr>
          <w:p w14:paraId="2604631B"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-0,5</w:t>
            </w:r>
          </w:p>
        </w:tc>
        <w:tc>
          <w:tcPr>
            <w:tcW w:w="709" w:type="dxa"/>
            <w:shd w:val="clear" w:color="auto" w:fill="DEEAF6" w:themeFill="accent1" w:themeFillTint="33"/>
            <w:noWrap/>
            <w:hideMark/>
          </w:tcPr>
          <w:p w14:paraId="115ABE9B"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614EF1D6"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2CA07B0E"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r>
      <w:tr w:rsidR="00AA4CC2" w:rsidRPr="00670F90" w14:paraId="061BC8D5" w14:textId="77777777" w:rsidTr="008332B4">
        <w:trPr>
          <w:trHeight w:val="20"/>
          <w:jc w:val="center"/>
        </w:trPr>
        <w:tc>
          <w:tcPr>
            <w:tcW w:w="4401" w:type="dxa"/>
            <w:shd w:val="clear" w:color="auto" w:fill="auto"/>
            <w:noWrap/>
            <w:vAlign w:val="bottom"/>
            <w:hideMark/>
          </w:tcPr>
          <w:p w14:paraId="7017E140" w14:textId="77777777" w:rsidR="00AA4CC2" w:rsidRPr="00670F90" w:rsidRDefault="00AA4CC2" w:rsidP="00163D32">
            <w:pPr>
              <w:spacing w:before="60" w:after="0"/>
              <w:ind w:firstLine="0"/>
              <w:jc w:val="left"/>
              <w:rPr>
                <w:rFonts w:eastAsia="Times New Roman" w:cs="Times New Roman"/>
                <w:noProof/>
                <w:color w:val="000000"/>
                <w:sz w:val="18"/>
                <w:szCs w:val="18"/>
                <w:lang w:eastAsia="lv-LV"/>
              </w:rPr>
            </w:pPr>
            <w:r w:rsidRPr="00670F90">
              <w:rPr>
                <w:rFonts w:eastAsia="Times New Roman" w:cs="Times New Roman"/>
                <w:i/>
                <w:iCs/>
                <w:noProof/>
                <w:color w:val="000000"/>
                <w:sz w:val="18"/>
                <w:szCs w:val="18"/>
                <w:lang w:eastAsia="lv-LV"/>
              </w:rPr>
              <w:t>One-off</w:t>
            </w:r>
            <w:r w:rsidRPr="00670F90">
              <w:rPr>
                <w:rFonts w:eastAsia="Times New Roman" w:cs="Times New Roman"/>
                <w:noProof/>
                <w:color w:val="000000"/>
                <w:sz w:val="18"/>
                <w:szCs w:val="18"/>
                <w:lang w:eastAsia="lv-LV"/>
              </w:rPr>
              <w:t xml:space="preserve"> un citi īslaicīgie pasākumi, % no IKP, tai skaitā</w:t>
            </w:r>
          </w:p>
        </w:tc>
        <w:tc>
          <w:tcPr>
            <w:tcW w:w="1484" w:type="dxa"/>
            <w:shd w:val="clear" w:color="auto" w:fill="auto"/>
            <w:noWrap/>
            <w:vAlign w:val="bottom"/>
            <w:hideMark/>
          </w:tcPr>
          <w:p w14:paraId="5F295533"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(6)</w:t>
            </w:r>
          </w:p>
        </w:tc>
        <w:tc>
          <w:tcPr>
            <w:tcW w:w="914" w:type="dxa"/>
            <w:shd w:val="clear" w:color="auto" w:fill="auto"/>
            <w:noWrap/>
            <w:vAlign w:val="center"/>
            <w:hideMark/>
          </w:tcPr>
          <w:p w14:paraId="4FB67698"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-2,6</w:t>
            </w:r>
          </w:p>
        </w:tc>
        <w:tc>
          <w:tcPr>
            <w:tcW w:w="709" w:type="dxa"/>
            <w:shd w:val="clear" w:color="auto" w:fill="DEEAF6" w:themeFill="accent1" w:themeFillTint="33"/>
            <w:noWrap/>
            <w:hideMark/>
          </w:tcPr>
          <w:p w14:paraId="25F082BB"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16D40DC9"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6021A74B"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r>
      <w:tr w:rsidR="00AA4CC2" w:rsidRPr="00670F90" w14:paraId="66426587" w14:textId="77777777" w:rsidTr="008332B4">
        <w:trPr>
          <w:trHeight w:val="20"/>
          <w:jc w:val="center"/>
        </w:trPr>
        <w:tc>
          <w:tcPr>
            <w:tcW w:w="4401" w:type="dxa"/>
            <w:shd w:val="clear" w:color="auto" w:fill="auto"/>
            <w:noWrap/>
            <w:vAlign w:val="bottom"/>
            <w:hideMark/>
          </w:tcPr>
          <w:p w14:paraId="72F44C06" w14:textId="77777777" w:rsidR="00AA4CC2" w:rsidRPr="00670F90" w:rsidRDefault="00AA4CC2" w:rsidP="00163D32">
            <w:pPr>
              <w:spacing w:before="60" w:after="0"/>
              <w:ind w:firstLineChars="200" w:firstLine="360"/>
              <w:jc w:val="left"/>
              <w:rPr>
                <w:rFonts w:eastAsia="Times New Roman" w:cs="Times New Roman"/>
                <w:noProof/>
                <w:color w:val="000000"/>
                <w:sz w:val="18"/>
                <w:szCs w:val="18"/>
                <w:lang w:eastAsia="lv-LV"/>
              </w:rPr>
            </w:pPr>
            <w:r w:rsidRPr="00670F90">
              <w:rPr>
                <w:rFonts w:eastAsia="Times New Roman" w:cs="Times New Roman"/>
                <w:noProof/>
                <w:color w:val="000000"/>
                <w:sz w:val="18"/>
                <w:szCs w:val="18"/>
                <w:lang w:eastAsia="lv-LV"/>
              </w:rPr>
              <w:t>Covid-19 pandēmijas mazināšanas pasākumi</w:t>
            </w:r>
          </w:p>
        </w:tc>
        <w:tc>
          <w:tcPr>
            <w:tcW w:w="1484" w:type="dxa"/>
            <w:shd w:val="clear" w:color="auto" w:fill="auto"/>
            <w:noWrap/>
            <w:vAlign w:val="bottom"/>
            <w:hideMark/>
          </w:tcPr>
          <w:p w14:paraId="2115684F"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 </w:t>
            </w:r>
          </w:p>
        </w:tc>
        <w:tc>
          <w:tcPr>
            <w:tcW w:w="914" w:type="dxa"/>
            <w:shd w:val="clear" w:color="auto" w:fill="auto"/>
            <w:noWrap/>
            <w:vAlign w:val="center"/>
            <w:hideMark/>
          </w:tcPr>
          <w:p w14:paraId="4D4F685A"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-0,2</w:t>
            </w:r>
          </w:p>
        </w:tc>
        <w:tc>
          <w:tcPr>
            <w:tcW w:w="709" w:type="dxa"/>
            <w:shd w:val="clear" w:color="auto" w:fill="DEEAF6" w:themeFill="accent1" w:themeFillTint="33"/>
            <w:noWrap/>
            <w:hideMark/>
          </w:tcPr>
          <w:p w14:paraId="7A6333BC"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4AC4BAD8"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7840BA92"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r>
      <w:tr w:rsidR="00AA4CC2" w:rsidRPr="00670F90" w14:paraId="23C20670" w14:textId="77777777" w:rsidTr="008332B4">
        <w:trPr>
          <w:trHeight w:val="20"/>
          <w:jc w:val="center"/>
        </w:trPr>
        <w:tc>
          <w:tcPr>
            <w:tcW w:w="4401" w:type="dxa"/>
            <w:shd w:val="clear" w:color="auto" w:fill="auto"/>
            <w:noWrap/>
            <w:vAlign w:val="center"/>
            <w:hideMark/>
          </w:tcPr>
          <w:p w14:paraId="1C3DDADD" w14:textId="77777777" w:rsidR="00AA4CC2" w:rsidRPr="00670F90" w:rsidRDefault="00AA4CC2" w:rsidP="00163D32">
            <w:pPr>
              <w:spacing w:before="60" w:after="0"/>
              <w:ind w:firstLineChars="200" w:firstLine="360"/>
              <w:jc w:val="left"/>
              <w:rPr>
                <w:rFonts w:eastAsia="Times New Roman" w:cs="Times New Roman"/>
                <w:color w:val="000000"/>
                <w:sz w:val="18"/>
                <w:szCs w:val="18"/>
                <w:lang w:eastAsia="lv-LV"/>
              </w:rPr>
            </w:pPr>
            <w:r>
              <w:rPr>
                <w:rFonts w:eastAsia="Times New Roman" w:cs="Times New Roman"/>
                <w:color w:val="000000"/>
                <w:sz w:val="18"/>
                <w:szCs w:val="18"/>
                <w:lang w:eastAsia="lv-LV"/>
              </w:rPr>
              <w:t>e</w:t>
            </w:r>
            <w:r w:rsidRPr="00670F90">
              <w:rPr>
                <w:rFonts w:eastAsia="Times New Roman" w:cs="Times New Roman"/>
                <w:color w:val="000000"/>
                <w:sz w:val="18"/>
                <w:szCs w:val="18"/>
                <w:lang w:eastAsia="lv-LV"/>
              </w:rPr>
              <w:t>nerģijas cenas pieauguma mazināšanas pasākumi</w:t>
            </w:r>
          </w:p>
        </w:tc>
        <w:tc>
          <w:tcPr>
            <w:tcW w:w="1484" w:type="dxa"/>
            <w:shd w:val="clear" w:color="auto" w:fill="auto"/>
            <w:noWrap/>
            <w:vAlign w:val="bottom"/>
            <w:hideMark/>
          </w:tcPr>
          <w:p w14:paraId="0C021C91"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 </w:t>
            </w:r>
          </w:p>
        </w:tc>
        <w:tc>
          <w:tcPr>
            <w:tcW w:w="914" w:type="dxa"/>
            <w:shd w:val="clear" w:color="auto" w:fill="auto"/>
            <w:noWrap/>
            <w:vAlign w:val="center"/>
            <w:hideMark/>
          </w:tcPr>
          <w:p w14:paraId="480E96B4"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-1,2</w:t>
            </w:r>
          </w:p>
        </w:tc>
        <w:tc>
          <w:tcPr>
            <w:tcW w:w="709" w:type="dxa"/>
            <w:shd w:val="clear" w:color="auto" w:fill="DEEAF6" w:themeFill="accent1" w:themeFillTint="33"/>
            <w:noWrap/>
            <w:hideMark/>
          </w:tcPr>
          <w:p w14:paraId="72B861C9"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268C5987"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hideMark/>
          </w:tcPr>
          <w:p w14:paraId="71534D1B"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r>
      <w:tr w:rsidR="00AA4CC2" w:rsidRPr="00670F90" w14:paraId="1F59DB65" w14:textId="77777777" w:rsidTr="008332B4">
        <w:trPr>
          <w:trHeight w:val="20"/>
          <w:jc w:val="center"/>
        </w:trPr>
        <w:tc>
          <w:tcPr>
            <w:tcW w:w="4401" w:type="dxa"/>
            <w:shd w:val="clear" w:color="auto" w:fill="auto"/>
            <w:noWrap/>
            <w:vAlign w:val="center"/>
          </w:tcPr>
          <w:p w14:paraId="657DB374" w14:textId="77777777" w:rsidR="00AA4CC2" w:rsidRPr="00255D47" w:rsidRDefault="00AA4CC2" w:rsidP="00163D32">
            <w:pPr>
              <w:spacing w:before="0" w:after="0"/>
              <w:ind w:firstLineChars="200" w:firstLine="360"/>
              <w:jc w:val="left"/>
              <w:rPr>
                <w:rFonts w:eastAsia="Times New Roman" w:cs="Times New Roman"/>
                <w:color w:val="000000"/>
                <w:sz w:val="18"/>
                <w:szCs w:val="18"/>
                <w:lang w:eastAsia="lv-LV"/>
              </w:rPr>
            </w:pPr>
            <w:r w:rsidRPr="00255D47">
              <w:rPr>
                <w:rFonts w:eastAsia="Times New Roman" w:cs="Times New Roman"/>
                <w:color w:val="000000"/>
                <w:sz w:val="18"/>
                <w:szCs w:val="18"/>
                <w:lang w:eastAsia="lv-LV"/>
              </w:rPr>
              <w:t>aizsardzības un iekšējās drošības finansējums</w:t>
            </w:r>
          </w:p>
          <w:p w14:paraId="225A4EE5" w14:textId="77777777" w:rsidR="00AA4CC2" w:rsidRPr="00670F90" w:rsidRDefault="00AA4CC2" w:rsidP="00163D32">
            <w:pPr>
              <w:spacing w:before="0" w:after="0"/>
              <w:ind w:firstLineChars="200" w:firstLine="360"/>
              <w:jc w:val="left"/>
              <w:rPr>
                <w:rFonts w:eastAsia="Times New Roman" w:cs="Times New Roman"/>
                <w:color w:val="000000"/>
                <w:sz w:val="18"/>
                <w:szCs w:val="18"/>
                <w:lang w:eastAsia="lv-LV"/>
              </w:rPr>
            </w:pPr>
          </w:p>
        </w:tc>
        <w:tc>
          <w:tcPr>
            <w:tcW w:w="1484" w:type="dxa"/>
            <w:shd w:val="clear" w:color="auto" w:fill="auto"/>
            <w:noWrap/>
            <w:vAlign w:val="bottom"/>
          </w:tcPr>
          <w:p w14:paraId="7D91744A" w14:textId="77777777" w:rsidR="00AA4CC2" w:rsidRPr="00670F90" w:rsidRDefault="00AA4CC2" w:rsidP="00163D32">
            <w:pPr>
              <w:spacing w:before="0" w:after="0"/>
              <w:ind w:firstLine="0"/>
              <w:jc w:val="left"/>
              <w:rPr>
                <w:rFonts w:eastAsia="Times New Roman" w:cs="Times New Roman"/>
                <w:color w:val="000000"/>
                <w:sz w:val="18"/>
                <w:szCs w:val="18"/>
                <w:lang w:eastAsia="lv-LV"/>
              </w:rPr>
            </w:pPr>
          </w:p>
        </w:tc>
        <w:tc>
          <w:tcPr>
            <w:tcW w:w="914" w:type="dxa"/>
            <w:shd w:val="clear" w:color="auto" w:fill="auto"/>
            <w:noWrap/>
            <w:vAlign w:val="center"/>
          </w:tcPr>
          <w:p w14:paraId="50273790" w14:textId="77777777" w:rsidR="00AA4CC2" w:rsidRPr="00670F90" w:rsidRDefault="00AA4CC2" w:rsidP="00163D32">
            <w:pPr>
              <w:spacing w:before="0" w:after="0"/>
              <w:ind w:firstLine="0"/>
              <w:jc w:val="center"/>
              <w:rPr>
                <w:rFonts w:cs="Times New Roman"/>
                <w:sz w:val="18"/>
                <w:szCs w:val="18"/>
              </w:rPr>
            </w:pPr>
            <w:r>
              <w:rPr>
                <w:sz w:val="20"/>
                <w:szCs w:val="20"/>
              </w:rPr>
              <w:t>-0,6</w:t>
            </w:r>
          </w:p>
        </w:tc>
        <w:tc>
          <w:tcPr>
            <w:tcW w:w="709" w:type="dxa"/>
            <w:shd w:val="clear" w:color="auto" w:fill="DEEAF6" w:themeFill="accent1" w:themeFillTint="33"/>
            <w:noWrap/>
          </w:tcPr>
          <w:p w14:paraId="0B8B72BF"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tcPr>
          <w:p w14:paraId="7FBDBE48"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tcPr>
          <w:p w14:paraId="2D39D980"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r>
      <w:tr w:rsidR="00AA4CC2" w:rsidRPr="00670F90" w14:paraId="0861B823" w14:textId="77777777" w:rsidTr="008332B4">
        <w:trPr>
          <w:trHeight w:val="20"/>
          <w:jc w:val="center"/>
        </w:trPr>
        <w:tc>
          <w:tcPr>
            <w:tcW w:w="4401" w:type="dxa"/>
            <w:shd w:val="clear" w:color="auto" w:fill="auto"/>
            <w:noWrap/>
            <w:vAlign w:val="center"/>
          </w:tcPr>
          <w:p w14:paraId="554267A4" w14:textId="77777777" w:rsidR="00AA4CC2" w:rsidRPr="00255D47" w:rsidRDefault="00AA4CC2" w:rsidP="00163D32">
            <w:pPr>
              <w:spacing w:before="0" w:after="0"/>
              <w:ind w:firstLineChars="200" w:firstLine="360"/>
              <w:jc w:val="left"/>
              <w:rPr>
                <w:rFonts w:eastAsia="Times New Roman" w:cs="Times New Roman"/>
                <w:color w:val="000000"/>
                <w:sz w:val="18"/>
                <w:szCs w:val="18"/>
                <w:lang w:eastAsia="lv-LV"/>
              </w:rPr>
            </w:pPr>
            <w:r w:rsidRPr="00255D47">
              <w:rPr>
                <w:rFonts w:eastAsia="Times New Roman" w:cs="Times New Roman"/>
                <w:color w:val="000000"/>
                <w:sz w:val="18"/>
                <w:szCs w:val="18"/>
                <w:lang w:eastAsia="lv-LV"/>
              </w:rPr>
              <w:t>atbalsts bēgļiem no Ukrainas</w:t>
            </w:r>
          </w:p>
          <w:p w14:paraId="6F8ED006" w14:textId="77777777" w:rsidR="00AA4CC2" w:rsidRPr="00670F90" w:rsidRDefault="00AA4CC2" w:rsidP="00163D32">
            <w:pPr>
              <w:spacing w:before="0" w:after="0"/>
              <w:ind w:firstLineChars="200" w:firstLine="360"/>
              <w:jc w:val="left"/>
              <w:rPr>
                <w:rFonts w:eastAsia="Times New Roman" w:cs="Times New Roman"/>
                <w:color w:val="000000"/>
                <w:sz w:val="18"/>
                <w:szCs w:val="18"/>
                <w:lang w:eastAsia="lv-LV"/>
              </w:rPr>
            </w:pPr>
          </w:p>
        </w:tc>
        <w:tc>
          <w:tcPr>
            <w:tcW w:w="1484" w:type="dxa"/>
            <w:shd w:val="clear" w:color="auto" w:fill="auto"/>
            <w:noWrap/>
            <w:vAlign w:val="bottom"/>
          </w:tcPr>
          <w:p w14:paraId="54CF6107" w14:textId="77777777" w:rsidR="00AA4CC2" w:rsidRPr="00670F90" w:rsidRDefault="00AA4CC2" w:rsidP="00163D32">
            <w:pPr>
              <w:spacing w:before="0" w:after="0"/>
              <w:ind w:firstLine="0"/>
              <w:jc w:val="left"/>
              <w:rPr>
                <w:rFonts w:eastAsia="Times New Roman" w:cs="Times New Roman"/>
                <w:color w:val="000000"/>
                <w:sz w:val="18"/>
                <w:szCs w:val="18"/>
                <w:lang w:eastAsia="lv-LV"/>
              </w:rPr>
            </w:pPr>
          </w:p>
        </w:tc>
        <w:tc>
          <w:tcPr>
            <w:tcW w:w="914" w:type="dxa"/>
            <w:shd w:val="clear" w:color="auto" w:fill="auto"/>
            <w:noWrap/>
            <w:vAlign w:val="center"/>
          </w:tcPr>
          <w:p w14:paraId="32CA2448" w14:textId="77777777" w:rsidR="00AA4CC2" w:rsidRPr="00670F90" w:rsidRDefault="00AA4CC2" w:rsidP="00163D32">
            <w:pPr>
              <w:spacing w:before="0" w:after="0"/>
              <w:ind w:firstLine="0"/>
              <w:jc w:val="center"/>
              <w:rPr>
                <w:rFonts w:cs="Times New Roman"/>
                <w:sz w:val="18"/>
                <w:szCs w:val="18"/>
              </w:rPr>
            </w:pPr>
            <w:r>
              <w:rPr>
                <w:sz w:val="20"/>
                <w:szCs w:val="20"/>
              </w:rPr>
              <w:t>-0,2</w:t>
            </w:r>
          </w:p>
        </w:tc>
        <w:tc>
          <w:tcPr>
            <w:tcW w:w="709" w:type="dxa"/>
            <w:shd w:val="clear" w:color="auto" w:fill="DEEAF6" w:themeFill="accent1" w:themeFillTint="33"/>
            <w:noWrap/>
          </w:tcPr>
          <w:p w14:paraId="0FDEB6BA"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tcPr>
          <w:p w14:paraId="6E14A581"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tcPr>
          <w:p w14:paraId="291E3EF3"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r>
      <w:tr w:rsidR="00AA4CC2" w:rsidRPr="00670F90" w14:paraId="35A2E653" w14:textId="77777777" w:rsidTr="008332B4">
        <w:trPr>
          <w:trHeight w:val="20"/>
          <w:jc w:val="center"/>
        </w:trPr>
        <w:tc>
          <w:tcPr>
            <w:tcW w:w="4401" w:type="dxa"/>
            <w:shd w:val="clear" w:color="auto" w:fill="auto"/>
            <w:noWrap/>
            <w:vAlign w:val="center"/>
          </w:tcPr>
          <w:p w14:paraId="27E1D19C" w14:textId="77777777" w:rsidR="00AA4CC2" w:rsidRPr="00670F90" w:rsidRDefault="00AA4CC2" w:rsidP="00163D32">
            <w:pPr>
              <w:spacing w:before="0" w:after="0"/>
              <w:ind w:firstLineChars="200" w:firstLine="360"/>
              <w:jc w:val="left"/>
              <w:rPr>
                <w:rFonts w:eastAsia="Times New Roman" w:cs="Times New Roman"/>
                <w:color w:val="000000"/>
                <w:sz w:val="18"/>
                <w:szCs w:val="18"/>
                <w:lang w:eastAsia="lv-LV"/>
              </w:rPr>
            </w:pPr>
            <w:r w:rsidRPr="00255D47">
              <w:rPr>
                <w:rFonts w:eastAsia="Times New Roman" w:cs="Times New Roman"/>
                <w:color w:val="000000"/>
                <w:sz w:val="18"/>
                <w:szCs w:val="18"/>
                <w:lang w:eastAsia="lv-LV"/>
              </w:rPr>
              <w:t>vienreizējie izdevumi valsts aizsardzībai un iekšējai drošībai</w:t>
            </w:r>
          </w:p>
        </w:tc>
        <w:tc>
          <w:tcPr>
            <w:tcW w:w="1484" w:type="dxa"/>
            <w:shd w:val="clear" w:color="auto" w:fill="auto"/>
            <w:noWrap/>
            <w:vAlign w:val="bottom"/>
          </w:tcPr>
          <w:p w14:paraId="1D331EAC" w14:textId="77777777" w:rsidR="00AA4CC2" w:rsidRPr="00670F90" w:rsidRDefault="00AA4CC2" w:rsidP="00163D32">
            <w:pPr>
              <w:spacing w:before="0" w:after="0"/>
              <w:ind w:firstLine="0"/>
              <w:jc w:val="left"/>
              <w:rPr>
                <w:rFonts w:eastAsia="Times New Roman" w:cs="Times New Roman"/>
                <w:color w:val="000000"/>
                <w:sz w:val="18"/>
                <w:szCs w:val="18"/>
                <w:lang w:eastAsia="lv-LV"/>
              </w:rPr>
            </w:pPr>
          </w:p>
        </w:tc>
        <w:tc>
          <w:tcPr>
            <w:tcW w:w="914" w:type="dxa"/>
            <w:shd w:val="clear" w:color="auto" w:fill="auto"/>
            <w:noWrap/>
            <w:vAlign w:val="center"/>
          </w:tcPr>
          <w:p w14:paraId="4D2C6D86" w14:textId="77777777" w:rsidR="00AA4CC2" w:rsidRPr="00670F90" w:rsidRDefault="00AA4CC2" w:rsidP="00163D32">
            <w:pPr>
              <w:spacing w:before="0" w:after="0"/>
              <w:ind w:firstLine="0"/>
              <w:jc w:val="center"/>
              <w:rPr>
                <w:rFonts w:cs="Times New Roman"/>
                <w:sz w:val="18"/>
                <w:szCs w:val="18"/>
              </w:rPr>
            </w:pPr>
            <w:r>
              <w:rPr>
                <w:sz w:val="20"/>
                <w:szCs w:val="20"/>
              </w:rPr>
              <w:t>-0,5</w:t>
            </w:r>
          </w:p>
        </w:tc>
        <w:tc>
          <w:tcPr>
            <w:tcW w:w="709" w:type="dxa"/>
            <w:shd w:val="clear" w:color="auto" w:fill="DEEAF6" w:themeFill="accent1" w:themeFillTint="33"/>
            <w:noWrap/>
          </w:tcPr>
          <w:p w14:paraId="3C727AA2"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tcPr>
          <w:p w14:paraId="0ED7613C"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c>
          <w:tcPr>
            <w:tcW w:w="709" w:type="dxa"/>
            <w:shd w:val="clear" w:color="auto" w:fill="DEEAF6" w:themeFill="accent1" w:themeFillTint="33"/>
            <w:noWrap/>
          </w:tcPr>
          <w:p w14:paraId="77BA001A" w14:textId="77777777" w:rsidR="00AA4CC2" w:rsidRPr="00CF3406" w:rsidRDefault="00AA4CC2" w:rsidP="00163D32">
            <w:pPr>
              <w:spacing w:before="0" w:after="0"/>
              <w:ind w:firstLine="0"/>
              <w:jc w:val="center"/>
              <w:rPr>
                <w:rFonts w:eastAsia="Times New Roman" w:cs="Times New Roman"/>
                <w:b/>
                <w:color w:val="000000" w:themeColor="text1"/>
                <w:sz w:val="20"/>
                <w:szCs w:val="20"/>
                <w:lang w:eastAsia="lv-LV"/>
              </w:rPr>
            </w:pPr>
          </w:p>
        </w:tc>
      </w:tr>
      <w:tr w:rsidR="00AA4CC2" w:rsidRPr="00670F90" w14:paraId="11B8527C" w14:textId="77777777" w:rsidTr="00BE6193">
        <w:trPr>
          <w:trHeight w:val="20"/>
          <w:jc w:val="center"/>
        </w:trPr>
        <w:tc>
          <w:tcPr>
            <w:tcW w:w="4401" w:type="dxa"/>
            <w:shd w:val="clear" w:color="auto" w:fill="BDD6EE" w:themeFill="accent1" w:themeFillTint="66"/>
            <w:noWrap/>
            <w:vAlign w:val="bottom"/>
            <w:hideMark/>
          </w:tcPr>
          <w:p w14:paraId="456AC1D0" w14:textId="77777777" w:rsidR="00AA4CC2" w:rsidRPr="00670F90" w:rsidRDefault="00AA4CC2" w:rsidP="00163D32">
            <w:pPr>
              <w:spacing w:before="60" w:after="0"/>
              <w:ind w:firstLine="0"/>
              <w:jc w:val="left"/>
              <w:rPr>
                <w:rFonts w:eastAsia="Times New Roman" w:cs="Times New Roman"/>
                <w:b/>
                <w:bCs/>
                <w:color w:val="000000"/>
                <w:sz w:val="18"/>
                <w:szCs w:val="18"/>
                <w:lang w:eastAsia="lv-LV"/>
              </w:rPr>
            </w:pPr>
            <w:r w:rsidRPr="00670F90">
              <w:rPr>
                <w:rFonts w:eastAsia="Times New Roman" w:cs="Times New Roman"/>
                <w:b/>
                <w:bCs/>
                <w:color w:val="000000"/>
                <w:sz w:val="18"/>
                <w:szCs w:val="18"/>
                <w:lang w:eastAsia="lv-LV"/>
              </w:rPr>
              <w:t>Vispārējās valdības strukturālās bilances prognoze un mērķi, % no IKP</w:t>
            </w:r>
          </w:p>
        </w:tc>
        <w:tc>
          <w:tcPr>
            <w:tcW w:w="1484" w:type="dxa"/>
            <w:shd w:val="clear" w:color="auto" w:fill="BDD6EE" w:themeFill="accent1" w:themeFillTint="66"/>
            <w:noWrap/>
            <w:hideMark/>
          </w:tcPr>
          <w:p w14:paraId="2B9A233A" w14:textId="77777777" w:rsidR="00AA4CC2" w:rsidRPr="00670F90" w:rsidRDefault="00AA4CC2" w:rsidP="00163D32">
            <w:pPr>
              <w:spacing w:before="60" w:after="0"/>
              <w:ind w:firstLine="0"/>
              <w:jc w:val="left"/>
              <w:rPr>
                <w:rFonts w:eastAsia="Times New Roman" w:cs="Times New Roman"/>
                <w:b/>
                <w:bCs/>
                <w:color w:val="000000"/>
                <w:sz w:val="18"/>
                <w:szCs w:val="18"/>
                <w:lang w:eastAsia="lv-LV"/>
              </w:rPr>
            </w:pPr>
            <w:r w:rsidRPr="00670F90">
              <w:rPr>
                <w:rFonts w:eastAsia="Times New Roman" w:cs="Times New Roman"/>
                <w:b/>
                <w:bCs/>
                <w:color w:val="000000"/>
                <w:sz w:val="18"/>
                <w:szCs w:val="18"/>
                <w:lang w:eastAsia="lv-LV"/>
              </w:rPr>
              <w:t>(7)=(3)-(5)-(6)</w:t>
            </w:r>
          </w:p>
        </w:tc>
        <w:tc>
          <w:tcPr>
            <w:tcW w:w="914" w:type="dxa"/>
            <w:shd w:val="clear" w:color="auto" w:fill="BDD6EE" w:themeFill="accent1" w:themeFillTint="66"/>
            <w:noWrap/>
            <w:vAlign w:val="center"/>
            <w:hideMark/>
          </w:tcPr>
          <w:p w14:paraId="534639AB"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Pr>
                <w:b/>
                <w:bCs/>
                <w:sz w:val="20"/>
                <w:szCs w:val="20"/>
              </w:rPr>
              <w:t>0,3</w:t>
            </w:r>
          </w:p>
        </w:tc>
        <w:tc>
          <w:tcPr>
            <w:tcW w:w="709" w:type="dxa"/>
            <w:shd w:val="clear" w:color="auto" w:fill="BDD6EE" w:themeFill="accent1" w:themeFillTint="66"/>
            <w:noWrap/>
            <w:vAlign w:val="center"/>
            <w:hideMark/>
          </w:tcPr>
          <w:p w14:paraId="481F278B"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sidRPr="00670F90">
              <w:rPr>
                <w:rFonts w:cs="Times New Roman"/>
                <w:b/>
                <w:bCs/>
                <w:sz w:val="18"/>
                <w:szCs w:val="18"/>
              </w:rPr>
              <w:t>-</w:t>
            </w:r>
            <w:r>
              <w:rPr>
                <w:rFonts w:cs="Times New Roman"/>
                <w:b/>
                <w:bCs/>
                <w:sz w:val="18"/>
                <w:szCs w:val="18"/>
              </w:rPr>
              <w:t>0,5</w:t>
            </w:r>
          </w:p>
        </w:tc>
        <w:tc>
          <w:tcPr>
            <w:tcW w:w="709" w:type="dxa"/>
            <w:shd w:val="clear" w:color="auto" w:fill="BDD6EE" w:themeFill="accent1" w:themeFillTint="66"/>
            <w:noWrap/>
            <w:vAlign w:val="center"/>
            <w:hideMark/>
          </w:tcPr>
          <w:p w14:paraId="6E3CD1D7"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sidRPr="00670F90">
              <w:rPr>
                <w:rFonts w:cs="Times New Roman"/>
                <w:b/>
                <w:bCs/>
                <w:sz w:val="18"/>
                <w:szCs w:val="18"/>
              </w:rPr>
              <w:t>-0,</w:t>
            </w:r>
            <w:r>
              <w:rPr>
                <w:rFonts w:cs="Times New Roman"/>
                <w:b/>
                <w:bCs/>
                <w:sz w:val="18"/>
                <w:szCs w:val="18"/>
              </w:rPr>
              <w:t>5</w:t>
            </w:r>
          </w:p>
        </w:tc>
        <w:tc>
          <w:tcPr>
            <w:tcW w:w="709" w:type="dxa"/>
            <w:shd w:val="clear" w:color="auto" w:fill="BDD6EE" w:themeFill="accent1" w:themeFillTint="66"/>
            <w:noWrap/>
            <w:vAlign w:val="center"/>
            <w:hideMark/>
          </w:tcPr>
          <w:p w14:paraId="2E4B16D9"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sidRPr="00670F90">
              <w:rPr>
                <w:rFonts w:cs="Times New Roman"/>
                <w:b/>
                <w:bCs/>
                <w:sz w:val="18"/>
                <w:szCs w:val="18"/>
              </w:rPr>
              <w:t>-0,5</w:t>
            </w:r>
          </w:p>
        </w:tc>
      </w:tr>
    </w:tbl>
    <w:p w14:paraId="674115BE" w14:textId="66D7B1D3" w:rsidR="00AA4CC2" w:rsidRPr="00670F90" w:rsidRDefault="00AA4CC2" w:rsidP="00AA4CC2">
      <w:pPr>
        <w:pStyle w:val="ListParagraph"/>
        <w:widowControl w:val="0"/>
        <w:ind w:left="0"/>
        <w:contextualSpacing w:val="0"/>
        <w:rPr>
          <w:rFonts w:eastAsia="Times New Roman" w:cs="Times New Roman"/>
          <w:bCs/>
          <w:szCs w:val="28"/>
        </w:rPr>
      </w:pPr>
      <w:r w:rsidRPr="00670F90">
        <w:rPr>
          <w:rFonts w:eastAsia="Times New Roman" w:cs="Times New Roman"/>
          <w:bCs/>
          <w:szCs w:val="28"/>
        </w:rPr>
        <w:t xml:space="preserve">No šiem mērķiem izrietošā vispārējās valdības nominālā bilance ir aprēķināta </w:t>
      </w:r>
      <w:r>
        <w:rPr>
          <w:rFonts w:eastAsia="Times New Roman" w:cs="Times New Roman"/>
          <w:bCs/>
          <w:szCs w:val="28"/>
        </w:rPr>
        <w:t>1</w:t>
      </w:r>
      <w:r w:rsidR="00BE6193">
        <w:rPr>
          <w:rFonts w:eastAsia="Times New Roman" w:cs="Times New Roman"/>
          <w:bCs/>
          <w:szCs w:val="28"/>
        </w:rPr>
        <w:t>2</w:t>
      </w:r>
      <w:r w:rsidRPr="00670F90">
        <w:rPr>
          <w:rFonts w:eastAsia="Times New Roman" w:cs="Times New Roman"/>
          <w:bCs/>
          <w:szCs w:val="28"/>
        </w:rPr>
        <w:t>.</w:t>
      </w:r>
      <w:r>
        <w:rPr>
          <w:rFonts w:eastAsia="Times New Roman" w:cs="Times New Roman"/>
          <w:bCs/>
          <w:szCs w:val="28"/>
        </w:rPr>
        <w:t> </w:t>
      </w:r>
      <w:r w:rsidRPr="00670F90">
        <w:rPr>
          <w:rFonts w:eastAsia="Times New Roman" w:cs="Times New Roman"/>
          <w:bCs/>
          <w:szCs w:val="28"/>
        </w:rPr>
        <w:t>tabulā. Saskaņā ar pašreiz plānoto vienreizējo pasākumu apmēru vispārējās valdības nominālā bilance, kas atbilst strukturālās bilances mērķim, ir -</w:t>
      </w:r>
      <w:r>
        <w:rPr>
          <w:rFonts w:eastAsia="Times New Roman" w:cs="Times New Roman"/>
          <w:bCs/>
          <w:szCs w:val="28"/>
        </w:rPr>
        <w:t>2,6</w:t>
      </w:r>
      <w:r w:rsidRPr="00670F90">
        <w:rPr>
          <w:rFonts w:eastAsia="Times New Roman" w:cs="Times New Roman"/>
          <w:bCs/>
          <w:szCs w:val="28"/>
        </w:rPr>
        <w:t>% no IKP 202</w:t>
      </w:r>
      <w:r>
        <w:rPr>
          <w:rFonts w:eastAsia="Times New Roman" w:cs="Times New Roman"/>
          <w:bCs/>
          <w:szCs w:val="28"/>
        </w:rPr>
        <w:t>4</w:t>
      </w:r>
      <w:r w:rsidRPr="00670F90">
        <w:rPr>
          <w:rFonts w:eastAsia="Times New Roman" w:cs="Times New Roman"/>
          <w:bCs/>
          <w:szCs w:val="28"/>
        </w:rPr>
        <w:t>. gadā, -</w:t>
      </w:r>
      <w:r>
        <w:rPr>
          <w:rFonts w:eastAsia="Times New Roman" w:cs="Times New Roman"/>
          <w:bCs/>
          <w:szCs w:val="28"/>
        </w:rPr>
        <w:t>2,3</w:t>
      </w:r>
      <w:r w:rsidRPr="00670F90">
        <w:rPr>
          <w:rFonts w:eastAsia="Times New Roman" w:cs="Times New Roman"/>
          <w:bCs/>
          <w:szCs w:val="28"/>
        </w:rPr>
        <w:t>% no IKP 202</w:t>
      </w:r>
      <w:r>
        <w:rPr>
          <w:rFonts w:eastAsia="Times New Roman" w:cs="Times New Roman"/>
          <w:bCs/>
          <w:szCs w:val="28"/>
        </w:rPr>
        <w:t>5</w:t>
      </w:r>
      <w:r w:rsidRPr="00670F90">
        <w:rPr>
          <w:rFonts w:eastAsia="Times New Roman" w:cs="Times New Roman"/>
          <w:bCs/>
          <w:szCs w:val="28"/>
        </w:rPr>
        <w:t>.</w:t>
      </w:r>
      <w:r>
        <w:rPr>
          <w:rFonts w:eastAsia="Times New Roman" w:cs="Times New Roman"/>
          <w:bCs/>
          <w:szCs w:val="28"/>
        </w:rPr>
        <w:t> </w:t>
      </w:r>
      <w:r w:rsidRPr="00670F90">
        <w:rPr>
          <w:rFonts w:eastAsia="Times New Roman" w:cs="Times New Roman"/>
          <w:bCs/>
          <w:szCs w:val="28"/>
        </w:rPr>
        <w:t>gadā un -1,</w:t>
      </w:r>
      <w:r>
        <w:rPr>
          <w:rFonts w:eastAsia="Times New Roman" w:cs="Times New Roman"/>
          <w:bCs/>
          <w:szCs w:val="28"/>
        </w:rPr>
        <w:t>3</w:t>
      </w:r>
      <w:r w:rsidRPr="00670F90">
        <w:rPr>
          <w:rFonts w:eastAsia="Times New Roman" w:cs="Times New Roman"/>
          <w:bCs/>
          <w:szCs w:val="28"/>
        </w:rPr>
        <w:t>% no IKP 202</w:t>
      </w:r>
      <w:r>
        <w:rPr>
          <w:rFonts w:eastAsia="Times New Roman" w:cs="Times New Roman"/>
          <w:bCs/>
          <w:szCs w:val="28"/>
        </w:rPr>
        <w:t>6</w:t>
      </w:r>
      <w:r w:rsidRPr="00670F90">
        <w:rPr>
          <w:rFonts w:eastAsia="Times New Roman" w:cs="Times New Roman"/>
          <w:bCs/>
          <w:szCs w:val="28"/>
        </w:rPr>
        <w:t>.</w:t>
      </w:r>
      <w:r>
        <w:rPr>
          <w:rFonts w:eastAsia="Times New Roman" w:cs="Times New Roman"/>
          <w:bCs/>
          <w:szCs w:val="28"/>
        </w:rPr>
        <w:t> </w:t>
      </w:r>
      <w:r w:rsidRPr="00670F90">
        <w:rPr>
          <w:rFonts w:eastAsia="Times New Roman" w:cs="Times New Roman"/>
          <w:bCs/>
          <w:szCs w:val="28"/>
        </w:rPr>
        <w:t>gadā. Jāatzīmē, ka</w:t>
      </w:r>
      <w:r>
        <w:rPr>
          <w:rFonts w:eastAsia="Times New Roman" w:cs="Times New Roman"/>
          <w:bCs/>
          <w:szCs w:val="28"/>
        </w:rPr>
        <w:t>,</w:t>
      </w:r>
      <w:r w:rsidRPr="00670F90">
        <w:rPr>
          <w:rFonts w:eastAsia="Times New Roman" w:cs="Times New Roman"/>
          <w:bCs/>
          <w:szCs w:val="28"/>
        </w:rPr>
        <w:t xml:space="preserve"> ja 202</w:t>
      </w:r>
      <w:r>
        <w:rPr>
          <w:rFonts w:eastAsia="Times New Roman" w:cs="Times New Roman"/>
          <w:bCs/>
          <w:szCs w:val="28"/>
        </w:rPr>
        <w:t>4</w:t>
      </w:r>
      <w:r w:rsidRPr="00670F90">
        <w:rPr>
          <w:rFonts w:eastAsia="Times New Roman" w:cs="Times New Roman"/>
          <w:bCs/>
          <w:szCs w:val="28"/>
        </w:rPr>
        <w:t>.</w:t>
      </w:r>
      <w:r>
        <w:rPr>
          <w:rFonts w:eastAsia="Times New Roman" w:cs="Times New Roman"/>
          <w:bCs/>
          <w:szCs w:val="28"/>
        </w:rPr>
        <w:t> </w:t>
      </w:r>
      <w:r w:rsidRPr="00670F90">
        <w:rPr>
          <w:rFonts w:eastAsia="Times New Roman" w:cs="Times New Roman"/>
          <w:bCs/>
          <w:szCs w:val="28"/>
        </w:rPr>
        <w:t>gada budžeta sagatavošanas laikā vai vēlāk tiks palielināts vienreizējo pasākumu apjoms, nominālā bilance attiecīgi samazināsies.</w:t>
      </w:r>
    </w:p>
    <w:p w14:paraId="46EC0ACA" w14:textId="6594769C" w:rsidR="00AA4CC2" w:rsidRPr="00670F90" w:rsidRDefault="00AA4CC2" w:rsidP="001262AC">
      <w:pPr>
        <w:pStyle w:val="ListParagraph"/>
        <w:widowControl w:val="0"/>
        <w:ind w:hanging="720"/>
        <w:contextualSpacing w:val="0"/>
        <w:jc w:val="center"/>
        <w:rPr>
          <w:rFonts w:eastAsia="Times New Roman" w:cs="Times New Roman"/>
          <w:b/>
          <w:szCs w:val="24"/>
        </w:rPr>
      </w:pPr>
      <w:r w:rsidRPr="001262AC">
        <w:rPr>
          <w:rFonts w:eastAsia="Times New Roman" w:cs="Times New Roman"/>
          <w:b/>
          <w:szCs w:val="24"/>
        </w:rPr>
        <w:t>1</w:t>
      </w:r>
      <w:r w:rsidR="001262AC" w:rsidRPr="001262AC">
        <w:rPr>
          <w:rFonts w:eastAsia="Times New Roman" w:cs="Times New Roman"/>
          <w:b/>
          <w:szCs w:val="24"/>
        </w:rPr>
        <w:t>2</w:t>
      </w:r>
      <w:r w:rsidRPr="001262AC">
        <w:rPr>
          <w:rFonts w:eastAsia="Times New Roman" w:cs="Times New Roman"/>
          <w:b/>
          <w:szCs w:val="24"/>
        </w:rPr>
        <w:t>. tabula. No</w:t>
      </w:r>
      <w:r w:rsidRPr="00670F90">
        <w:rPr>
          <w:rFonts w:eastAsia="Times New Roman" w:cs="Times New Roman"/>
          <w:b/>
          <w:szCs w:val="24"/>
        </w:rPr>
        <w:t xml:space="preserve"> strukturālās bilances mērķa izrietošā vispārējās valdības budžeta nominālā bilance</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364"/>
        <w:gridCol w:w="1046"/>
        <w:gridCol w:w="992"/>
        <w:gridCol w:w="993"/>
      </w:tblGrid>
      <w:tr w:rsidR="00AA4CC2" w:rsidRPr="00670F90" w14:paraId="3BA01818" w14:textId="77777777" w:rsidTr="00BE6193">
        <w:trPr>
          <w:trHeight w:val="364"/>
          <w:tblHeader/>
          <w:jc w:val="center"/>
        </w:trPr>
        <w:tc>
          <w:tcPr>
            <w:tcW w:w="4531" w:type="dxa"/>
            <w:shd w:val="clear" w:color="auto" w:fill="BDD6EE" w:themeFill="accent1" w:themeFillTint="66"/>
            <w:noWrap/>
            <w:vAlign w:val="bottom"/>
            <w:hideMark/>
          </w:tcPr>
          <w:p w14:paraId="6866CF62"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 </w:t>
            </w:r>
          </w:p>
        </w:tc>
        <w:tc>
          <w:tcPr>
            <w:tcW w:w="1364" w:type="dxa"/>
            <w:shd w:val="clear" w:color="auto" w:fill="BDD6EE" w:themeFill="accent1" w:themeFillTint="66"/>
            <w:noWrap/>
            <w:vAlign w:val="bottom"/>
            <w:hideMark/>
          </w:tcPr>
          <w:p w14:paraId="4B2EC0F0"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 </w:t>
            </w:r>
          </w:p>
        </w:tc>
        <w:tc>
          <w:tcPr>
            <w:tcW w:w="1046" w:type="dxa"/>
            <w:shd w:val="clear" w:color="auto" w:fill="BDD6EE" w:themeFill="accent1" w:themeFillTint="66"/>
            <w:noWrap/>
            <w:vAlign w:val="center"/>
            <w:hideMark/>
          </w:tcPr>
          <w:p w14:paraId="5BAC84F6"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sidRPr="00670F90">
              <w:rPr>
                <w:rFonts w:eastAsia="Times New Roman" w:cs="Times New Roman"/>
                <w:b/>
                <w:bCs/>
                <w:color w:val="000000"/>
                <w:sz w:val="18"/>
                <w:szCs w:val="18"/>
                <w:lang w:eastAsia="lv-LV"/>
              </w:rPr>
              <w:t>2023</w:t>
            </w:r>
          </w:p>
        </w:tc>
        <w:tc>
          <w:tcPr>
            <w:tcW w:w="992" w:type="dxa"/>
            <w:shd w:val="clear" w:color="auto" w:fill="BDD6EE" w:themeFill="accent1" w:themeFillTint="66"/>
            <w:noWrap/>
            <w:vAlign w:val="center"/>
            <w:hideMark/>
          </w:tcPr>
          <w:p w14:paraId="0475C00A"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sidRPr="00670F90">
              <w:rPr>
                <w:rFonts w:eastAsia="Times New Roman" w:cs="Times New Roman"/>
                <w:b/>
                <w:bCs/>
                <w:color w:val="000000"/>
                <w:sz w:val="18"/>
                <w:szCs w:val="18"/>
                <w:lang w:eastAsia="lv-LV"/>
              </w:rPr>
              <w:t>2024</w:t>
            </w:r>
          </w:p>
        </w:tc>
        <w:tc>
          <w:tcPr>
            <w:tcW w:w="993" w:type="dxa"/>
            <w:shd w:val="clear" w:color="auto" w:fill="BDD6EE" w:themeFill="accent1" w:themeFillTint="66"/>
            <w:noWrap/>
            <w:vAlign w:val="center"/>
            <w:hideMark/>
          </w:tcPr>
          <w:p w14:paraId="3454FDF9"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sidRPr="00670F90">
              <w:rPr>
                <w:rFonts w:eastAsia="Times New Roman" w:cs="Times New Roman"/>
                <w:b/>
                <w:bCs/>
                <w:color w:val="000000"/>
                <w:sz w:val="18"/>
                <w:szCs w:val="18"/>
                <w:lang w:eastAsia="lv-LV"/>
              </w:rPr>
              <w:t>2025</w:t>
            </w:r>
          </w:p>
        </w:tc>
      </w:tr>
      <w:tr w:rsidR="00AA4CC2" w:rsidRPr="00670F90" w14:paraId="69CEB48D" w14:textId="77777777" w:rsidTr="008332B4">
        <w:trPr>
          <w:trHeight w:val="364"/>
          <w:jc w:val="center"/>
        </w:trPr>
        <w:tc>
          <w:tcPr>
            <w:tcW w:w="4531" w:type="dxa"/>
            <w:shd w:val="clear" w:color="auto" w:fill="auto"/>
            <w:noWrap/>
            <w:vAlign w:val="bottom"/>
          </w:tcPr>
          <w:p w14:paraId="07C91402" w14:textId="77777777" w:rsidR="00AA4CC2" w:rsidRPr="00670F90" w:rsidRDefault="00AA4CC2" w:rsidP="00163D32">
            <w:pPr>
              <w:spacing w:before="60" w:after="0"/>
              <w:ind w:firstLine="0"/>
              <w:jc w:val="left"/>
              <w:rPr>
                <w:rFonts w:eastAsia="Times New Roman" w:cs="Times New Roman"/>
                <w:noProof/>
                <w:color w:val="000000"/>
                <w:sz w:val="18"/>
                <w:szCs w:val="18"/>
                <w:lang w:eastAsia="lv-LV"/>
              </w:rPr>
            </w:pPr>
            <w:r w:rsidRPr="00E301C4">
              <w:rPr>
                <w:rFonts w:eastAsia="Times New Roman" w:cs="Times New Roman"/>
                <w:noProof/>
                <w:color w:val="000000"/>
                <w:sz w:val="18"/>
                <w:szCs w:val="18"/>
                <w:lang w:eastAsia="lv-LV"/>
              </w:rPr>
              <w:t xml:space="preserve">IKP prognoze, milj. </w:t>
            </w:r>
            <w:r w:rsidRPr="00CA0651">
              <w:rPr>
                <w:rFonts w:eastAsia="Times New Roman" w:cs="Times New Roman"/>
                <w:i/>
                <w:iCs/>
                <w:noProof/>
                <w:color w:val="000000"/>
                <w:sz w:val="18"/>
                <w:szCs w:val="18"/>
                <w:lang w:eastAsia="lv-LV"/>
              </w:rPr>
              <w:t>euro</w:t>
            </w:r>
          </w:p>
        </w:tc>
        <w:tc>
          <w:tcPr>
            <w:tcW w:w="1364" w:type="dxa"/>
            <w:shd w:val="clear" w:color="auto" w:fill="auto"/>
            <w:noWrap/>
            <w:vAlign w:val="bottom"/>
          </w:tcPr>
          <w:p w14:paraId="4811488C"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p>
        </w:tc>
        <w:tc>
          <w:tcPr>
            <w:tcW w:w="1046" w:type="dxa"/>
            <w:shd w:val="clear" w:color="auto" w:fill="auto"/>
            <w:noWrap/>
            <w:vAlign w:val="center"/>
          </w:tcPr>
          <w:p w14:paraId="5A19090F"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Pr>
                <w:color w:val="000000"/>
                <w:sz w:val="20"/>
                <w:szCs w:val="20"/>
              </w:rPr>
              <w:t>45 750</w:t>
            </w:r>
          </w:p>
        </w:tc>
        <w:tc>
          <w:tcPr>
            <w:tcW w:w="992" w:type="dxa"/>
            <w:shd w:val="clear" w:color="auto" w:fill="auto"/>
            <w:noWrap/>
            <w:vAlign w:val="center"/>
          </w:tcPr>
          <w:p w14:paraId="0D7D7B5D"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Pr>
                <w:color w:val="000000"/>
                <w:sz w:val="20"/>
                <w:szCs w:val="20"/>
              </w:rPr>
              <w:t>48 577</w:t>
            </w:r>
          </w:p>
        </w:tc>
        <w:tc>
          <w:tcPr>
            <w:tcW w:w="993" w:type="dxa"/>
            <w:shd w:val="clear" w:color="auto" w:fill="auto"/>
            <w:noWrap/>
            <w:vAlign w:val="center"/>
          </w:tcPr>
          <w:p w14:paraId="21F25C61"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Pr>
                <w:color w:val="000000"/>
                <w:sz w:val="20"/>
                <w:szCs w:val="20"/>
              </w:rPr>
              <w:t>51 375</w:t>
            </w:r>
          </w:p>
        </w:tc>
      </w:tr>
      <w:tr w:rsidR="00AA4CC2" w:rsidRPr="00670F90" w14:paraId="38849E4E" w14:textId="77777777" w:rsidTr="008332B4">
        <w:trPr>
          <w:trHeight w:val="61"/>
          <w:jc w:val="center"/>
        </w:trPr>
        <w:tc>
          <w:tcPr>
            <w:tcW w:w="4531" w:type="dxa"/>
            <w:shd w:val="clear" w:color="auto" w:fill="auto"/>
            <w:noWrap/>
            <w:vAlign w:val="bottom"/>
            <w:hideMark/>
          </w:tcPr>
          <w:p w14:paraId="39F171B8" w14:textId="77777777" w:rsidR="00AA4CC2" w:rsidRPr="00670F90" w:rsidRDefault="00AA4CC2" w:rsidP="00163D32">
            <w:pPr>
              <w:spacing w:before="60" w:after="0"/>
              <w:ind w:firstLine="0"/>
              <w:jc w:val="left"/>
              <w:rPr>
                <w:rFonts w:eastAsia="Times New Roman" w:cs="Times New Roman"/>
                <w:noProof/>
                <w:color w:val="000000"/>
                <w:sz w:val="18"/>
                <w:szCs w:val="18"/>
                <w:lang w:eastAsia="lv-LV"/>
              </w:rPr>
            </w:pPr>
            <w:r>
              <w:rPr>
                <w:rFonts w:eastAsia="Times New Roman" w:cs="Times New Roman"/>
                <w:noProof/>
                <w:color w:val="000000"/>
                <w:sz w:val="18"/>
                <w:szCs w:val="18"/>
                <w:lang w:eastAsia="lv-LV"/>
              </w:rPr>
              <w:t>V</w:t>
            </w:r>
            <w:r w:rsidRPr="00670F90">
              <w:rPr>
                <w:rFonts w:eastAsia="Times New Roman" w:cs="Times New Roman"/>
                <w:noProof/>
                <w:color w:val="000000"/>
                <w:sz w:val="18"/>
                <w:szCs w:val="18"/>
                <w:lang w:eastAsia="lv-LV"/>
              </w:rPr>
              <w:t>ispārējās valdības strukturālās bilances  mērķi, % no IKP</w:t>
            </w:r>
          </w:p>
        </w:tc>
        <w:tc>
          <w:tcPr>
            <w:tcW w:w="1364" w:type="dxa"/>
            <w:shd w:val="clear" w:color="auto" w:fill="auto"/>
            <w:noWrap/>
            <w:vAlign w:val="bottom"/>
            <w:hideMark/>
          </w:tcPr>
          <w:p w14:paraId="7EA47A47"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(1)</w:t>
            </w:r>
          </w:p>
        </w:tc>
        <w:tc>
          <w:tcPr>
            <w:tcW w:w="1046" w:type="dxa"/>
            <w:shd w:val="clear" w:color="auto" w:fill="auto"/>
            <w:noWrap/>
            <w:vAlign w:val="center"/>
          </w:tcPr>
          <w:p w14:paraId="06F3FF37"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-0,5</w:t>
            </w:r>
          </w:p>
        </w:tc>
        <w:tc>
          <w:tcPr>
            <w:tcW w:w="992" w:type="dxa"/>
            <w:shd w:val="clear" w:color="auto" w:fill="auto"/>
            <w:noWrap/>
            <w:vAlign w:val="center"/>
          </w:tcPr>
          <w:p w14:paraId="5992998D"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-0,5</w:t>
            </w:r>
          </w:p>
        </w:tc>
        <w:tc>
          <w:tcPr>
            <w:tcW w:w="993" w:type="dxa"/>
            <w:shd w:val="clear" w:color="auto" w:fill="auto"/>
            <w:noWrap/>
            <w:vAlign w:val="center"/>
          </w:tcPr>
          <w:p w14:paraId="68199561"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-0,5</w:t>
            </w:r>
          </w:p>
        </w:tc>
      </w:tr>
      <w:tr w:rsidR="00AA4CC2" w:rsidRPr="00670F90" w14:paraId="30D6E443" w14:textId="77777777" w:rsidTr="008332B4">
        <w:trPr>
          <w:trHeight w:val="61"/>
          <w:jc w:val="center"/>
        </w:trPr>
        <w:tc>
          <w:tcPr>
            <w:tcW w:w="4531" w:type="dxa"/>
            <w:shd w:val="clear" w:color="auto" w:fill="auto"/>
            <w:noWrap/>
            <w:vAlign w:val="bottom"/>
            <w:hideMark/>
          </w:tcPr>
          <w:p w14:paraId="52B9D7AC" w14:textId="77777777" w:rsidR="00AA4CC2" w:rsidRPr="00670F90" w:rsidRDefault="00AA4CC2" w:rsidP="00163D32">
            <w:pPr>
              <w:spacing w:before="60" w:after="0"/>
              <w:ind w:firstLine="0"/>
              <w:jc w:val="left"/>
              <w:rPr>
                <w:rFonts w:eastAsia="Times New Roman" w:cs="Times New Roman"/>
                <w:noProof/>
                <w:color w:val="000000"/>
                <w:sz w:val="18"/>
                <w:szCs w:val="18"/>
                <w:lang w:eastAsia="lv-LV"/>
              </w:rPr>
            </w:pPr>
            <w:r w:rsidRPr="00670F90">
              <w:rPr>
                <w:rFonts w:eastAsia="Times New Roman" w:cs="Times New Roman"/>
                <w:noProof/>
                <w:color w:val="000000"/>
                <w:sz w:val="18"/>
                <w:szCs w:val="18"/>
                <w:lang w:eastAsia="lv-LV"/>
              </w:rPr>
              <w:t>Izlaižu starpība, % no potenciālā IKP</w:t>
            </w:r>
          </w:p>
        </w:tc>
        <w:tc>
          <w:tcPr>
            <w:tcW w:w="1364" w:type="dxa"/>
            <w:shd w:val="clear" w:color="auto" w:fill="auto"/>
            <w:noWrap/>
            <w:vAlign w:val="bottom"/>
            <w:hideMark/>
          </w:tcPr>
          <w:p w14:paraId="3E93CA4F"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(2)</w:t>
            </w:r>
          </w:p>
        </w:tc>
        <w:tc>
          <w:tcPr>
            <w:tcW w:w="1046" w:type="dxa"/>
            <w:shd w:val="clear" w:color="auto" w:fill="auto"/>
            <w:noWrap/>
            <w:vAlign w:val="center"/>
          </w:tcPr>
          <w:p w14:paraId="46C516F5"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-1,3</w:t>
            </w:r>
          </w:p>
        </w:tc>
        <w:tc>
          <w:tcPr>
            <w:tcW w:w="992" w:type="dxa"/>
            <w:shd w:val="clear" w:color="auto" w:fill="auto"/>
            <w:noWrap/>
            <w:vAlign w:val="center"/>
          </w:tcPr>
          <w:p w14:paraId="120EA22D"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-0,7</w:t>
            </w:r>
          </w:p>
        </w:tc>
        <w:tc>
          <w:tcPr>
            <w:tcW w:w="993" w:type="dxa"/>
            <w:shd w:val="clear" w:color="auto" w:fill="auto"/>
            <w:noWrap/>
            <w:vAlign w:val="center"/>
          </w:tcPr>
          <w:p w14:paraId="567064C6"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-0,01</w:t>
            </w:r>
          </w:p>
        </w:tc>
      </w:tr>
      <w:tr w:rsidR="00AA4CC2" w:rsidRPr="00670F90" w14:paraId="7070721B" w14:textId="77777777" w:rsidTr="008332B4">
        <w:trPr>
          <w:trHeight w:val="61"/>
          <w:jc w:val="center"/>
        </w:trPr>
        <w:tc>
          <w:tcPr>
            <w:tcW w:w="4531" w:type="dxa"/>
            <w:shd w:val="clear" w:color="auto" w:fill="auto"/>
            <w:noWrap/>
            <w:vAlign w:val="bottom"/>
            <w:hideMark/>
          </w:tcPr>
          <w:p w14:paraId="3EFF9A22" w14:textId="77777777" w:rsidR="00AA4CC2" w:rsidRPr="00670F90" w:rsidRDefault="00AA4CC2" w:rsidP="00163D32">
            <w:pPr>
              <w:spacing w:before="60" w:after="0"/>
              <w:ind w:firstLine="0"/>
              <w:jc w:val="left"/>
              <w:rPr>
                <w:rFonts w:eastAsia="Times New Roman" w:cs="Times New Roman"/>
                <w:noProof/>
                <w:color w:val="000000"/>
                <w:sz w:val="18"/>
                <w:szCs w:val="18"/>
                <w:lang w:eastAsia="lv-LV"/>
              </w:rPr>
            </w:pPr>
            <w:r w:rsidRPr="00670F90">
              <w:rPr>
                <w:rFonts w:eastAsia="Times New Roman" w:cs="Times New Roman"/>
                <w:noProof/>
                <w:color w:val="000000"/>
                <w:sz w:val="18"/>
                <w:szCs w:val="18"/>
                <w:lang w:eastAsia="lv-LV"/>
              </w:rPr>
              <w:t>Bilances cikliskā komponente, % no IKP</w:t>
            </w:r>
          </w:p>
        </w:tc>
        <w:tc>
          <w:tcPr>
            <w:tcW w:w="1364" w:type="dxa"/>
            <w:shd w:val="clear" w:color="auto" w:fill="auto"/>
            <w:noWrap/>
            <w:vAlign w:val="bottom"/>
            <w:hideMark/>
          </w:tcPr>
          <w:p w14:paraId="6EC8E23D"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(3)=0,378*(2)</w:t>
            </w:r>
          </w:p>
        </w:tc>
        <w:tc>
          <w:tcPr>
            <w:tcW w:w="1046" w:type="dxa"/>
            <w:shd w:val="clear" w:color="auto" w:fill="auto"/>
            <w:noWrap/>
            <w:vAlign w:val="center"/>
          </w:tcPr>
          <w:p w14:paraId="2B9C40D6"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-0,5</w:t>
            </w:r>
          </w:p>
        </w:tc>
        <w:tc>
          <w:tcPr>
            <w:tcW w:w="992" w:type="dxa"/>
            <w:shd w:val="clear" w:color="auto" w:fill="auto"/>
            <w:noWrap/>
            <w:vAlign w:val="center"/>
          </w:tcPr>
          <w:p w14:paraId="24702331"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-0,2</w:t>
            </w:r>
          </w:p>
        </w:tc>
        <w:tc>
          <w:tcPr>
            <w:tcW w:w="993" w:type="dxa"/>
            <w:shd w:val="clear" w:color="auto" w:fill="auto"/>
            <w:noWrap/>
            <w:vAlign w:val="center"/>
          </w:tcPr>
          <w:p w14:paraId="7D02D348"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r>
      <w:tr w:rsidR="00AA4CC2" w:rsidRPr="00670F90" w14:paraId="558B760D" w14:textId="77777777" w:rsidTr="008332B4">
        <w:trPr>
          <w:trHeight w:val="61"/>
          <w:jc w:val="center"/>
        </w:trPr>
        <w:tc>
          <w:tcPr>
            <w:tcW w:w="4531" w:type="dxa"/>
            <w:shd w:val="clear" w:color="auto" w:fill="auto"/>
            <w:noWrap/>
            <w:vAlign w:val="bottom"/>
            <w:hideMark/>
          </w:tcPr>
          <w:p w14:paraId="24D666E1" w14:textId="77777777" w:rsidR="00AA4CC2" w:rsidRPr="00670F90" w:rsidRDefault="00AA4CC2" w:rsidP="00163D32">
            <w:pPr>
              <w:spacing w:before="60" w:after="0"/>
              <w:ind w:firstLine="0"/>
              <w:jc w:val="left"/>
              <w:rPr>
                <w:rFonts w:eastAsia="Times New Roman" w:cs="Times New Roman"/>
                <w:noProof/>
                <w:color w:val="000000"/>
                <w:sz w:val="18"/>
                <w:szCs w:val="18"/>
                <w:lang w:eastAsia="lv-LV"/>
              </w:rPr>
            </w:pPr>
            <w:r w:rsidRPr="00670F90">
              <w:rPr>
                <w:rFonts w:eastAsia="Times New Roman" w:cs="Times New Roman"/>
                <w:i/>
                <w:iCs/>
                <w:noProof/>
                <w:color w:val="000000"/>
                <w:sz w:val="18"/>
                <w:szCs w:val="18"/>
                <w:lang w:eastAsia="lv-LV"/>
              </w:rPr>
              <w:t>One-off</w:t>
            </w:r>
            <w:r w:rsidRPr="00670F90">
              <w:rPr>
                <w:rFonts w:eastAsia="Times New Roman" w:cs="Times New Roman"/>
                <w:noProof/>
                <w:color w:val="000000"/>
                <w:sz w:val="18"/>
                <w:szCs w:val="18"/>
                <w:lang w:eastAsia="lv-LV"/>
              </w:rPr>
              <w:t xml:space="preserve"> un citi īslaicīgie pasākumi, % no IKP, tai skaitā</w:t>
            </w:r>
          </w:p>
        </w:tc>
        <w:tc>
          <w:tcPr>
            <w:tcW w:w="1364" w:type="dxa"/>
            <w:shd w:val="clear" w:color="auto" w:fill="auto"/>
            <w:noWrap/>
            <w:vAlign w:val="bottom"/>
            <w:hideMark/>
          </w:tcPr>
          <w:p w14:paraId="50357CF6"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(4)</w:t>
            </w:r>
          </w:p>
        </w:tc>
        <w:tc>
          <w:tcPr>
            <w:tcW w:w="1046" w:type="dxa"/>
            <w:shd w:val="clear" w:color="auto" w:fill="auto"/>
            <w:noWrap/>
            <w:vAlign w:val="center"/>
          </w:tcPr>
          <w:p w14:paraId="2F07BE30"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-1,7</w:t>
            </w:r>
          </w:p>
        </w:tc>
        <w:tc>
          <w:tcPr>
            <w:tcW w:w="992" w:type="dxa"/>
            <w:shd w:val="clear" w:color="auto" w:fill="auto"/>
            <w:noWrap/>
            <w:vAlign w:val="center"/>
          </w:tcPr>
          <w:p w14:paraId="57180297"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-1,6</w:t>
            </w:r>
          </w:p>
        </w:tc>
        <w:tc>
          <w:tcPr>
            <w:tcW w:w="993" w:type="dxa"/>
            <w:shd w:val="clear" w:color="auto" w:fill="auto"/>
            <w:noWrap/>
            <w:vAlign w:val="center"/>
          </w:tcPr>
          <w:p w14:paraId="4F283BD0"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-0,8</w:t>
            </w:r>
          </w:p>
        </w:tc>
      </w:tr>
      <w:tr w:rsidR="00AA4CC2" w:rsidRPr="00670F90" w14:paraId="7650B0B1" w14:textId="77777777" w:rsidTr="008332B4">
        <w:trPr>
          <w:trHeight w:val="61"/>
          <w:jc w:val="center"/>
        </w:trPr>
        <w:tc>
          <w:tcPr>
            <w:tcW w:w="4531" w:type="dxa"/>
            <w:shd w:val="clear" w:color="auto" w:fill="auto"/>
            <w:noWrap/>
            <w:vAlign w:val="bottom"/>
            <w:hideMark/>
          </w:tcPr>
          <w:p w14:paraId="623CA23E" w14:textId="77777777" w:rsidR="00AA4CC2" w:rsidRPr="00670F90" w:rsidRDefault="00AA4CC2" w:rsidP="00163D32">
            <w:pPr>
              <w:spacing w:before="60" w:after="0"/>
              <w:ind w:firstLineChars="200" w:firstLine="360"/>
              <w:jc w:val="left"/>
              <w:rPr>
                <w:rFonts w:eastAsia="Times New Roman" w:cs="Times New Roman"/>
                <w:noProof/>
                <w:color w:val="000000"/>
                <w:sz w:val="18"/>
                <w:szCs w:val="18"/>
                <w:lang w:eastAsia="lv-LV"/>
              </w:rPr>
            </w:pPr>
            <w:r w:rsidRPr="00670F90">
              <w:rPr>
                <w:rFonts w:eastAsia="Times New Roman" w:cs="Times New Roman"/>
                <w:noProof/>
                <w:color w:val="000000"/>
                <w:sz w:val="18"/>
                <w:szCs w:val="18"/>
                <w:lang w:eastAsia="lv-LV"/>
              </w:rPr>
              <w:lastRenderedPageBreak/>
              <w:t>Covid-19 pandēmijas mazināšanas pasākumi</w:t>
            </w:r>
          </w:p>
        </w:tc>
        <w:tc>
          <w:tcPr>
            <w:tcW w:w="1364" w:type="dxa"/>
            <w:shd w:val="clear" w:color="auto" w:fill="auto"/>
            <w:noWrap/>
            <w:vAlign w:val="bottom"/>
            <w:hideMark/>
          </w:tcPr>
          <w:p w14:paraId="4B291657"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 </w:t>
            </w:r>
          </w:p>
        </w:tc>
        <w:tc>
          <w:tcPr>
            <w:tcW w:w="1046" w:type="dxa"/>
            <w:shd w:val="clear" w:color="auto" w:fill="auto"/>
            <w:noWrap/>
            <w:vAlign w:val="center"/>
          </w:tcPr>
          <w:p w14:paraId="024ADE14"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-0,02</w:t>
            </w:r>
          </w:p>
        </w:tc>
        <w:tc>
          <w:tcPr>
            <w:tcW w:w="992" w:type="dxa"/>
            <w:shd w:val="clear" w:color="auto" w:fill="auto"/>
            <w:noWrap/>
            <w:vAlign w:val="center"/>
          </w:tcPr>
          <w:p w14:paraId="0D3649E9"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-0,01</w:t>
            </w:r>
          </w:p>
        </w:tc>
        <w:tc>
          <w:tcPr>
            <w:tcW w:w="993" w:type="dxa"/>
            <w:shd w:val="clear" w:color="auto" w:fill="auto"/>
            <w:noWrap/>
            <w:vAlign w:val="center"/>
          </w:tcPr>
          <w:p w14:paraId="76BE1C4D"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-0,01</w:t>
            </w:r>
          </w:p>
        </w:tc>
      </w:tr>
      <w:tr w:rsidR="00AA4CC2" w:rsidRPr="00670F90" w14:paraId="03140371" w14:textId="77777777" w:rsidTr="008332B4">
        <w:trPr>
          <w:trHeight w:val="61"/>
          <w:jc w:val="center"/>
        </w:trPr>
        <w:tc>
          <w:tcPr>
            <w:tcW w:w="4531" w:type="dxa"/>
            <w:shd w:val="clear" w:color="auto" w:fill="auto"/>
            <w:noWrap/>
            <w:vAlign w:val="bottom"/>
            <w:hideMark/>
          </w:tcPr>
          <w:p w14:paraId="10977B9A" w14:textId="77777777" w:rsidR="00AA4CC2" w:rsidRPr="00670F90" w:rsidRDefault="00AA4CC2" w:rsidP="00163D32">
            <w:pPr>
              <w:spacing w:before="60" w:after="0"/>
              <w:ind w:firstLineChars="200" w:firstLine="360"/>
              <w:jc w:val="left"/>
              <w:rPr>
                <w:rFonts w:eastAsia="Times New Roman" w:cs="Times New Roman"/>
                <w:noProof/>
                <w:color w:val="000000"/>
                <w:sz w:val="18"/>
                <w:szCs w:val="18"/>
                <w:lang w:eastAsia="lv-LV"/>
              </w:rPr>
            </w:pPr>
            <w:r>
              <w:rPr>
                <w:rFonts w:eastAsia="Times New Roman" w:cs="Times New Roman"/>
                <w:noProof/>
                <w:color w:val="000000"/>
                <w:sz w:val="18"/>
                <w:szCs w:val="18"/>
                <w:lang w:eastAsia="lv-LV"/>
              </w:rPr>
              <w:t>e</w:t>
            </w:r>
            <w:r w:rsidRPr="00670F90">
              <w:rPr>
                <w:rFonts w:eastAsia="Times New Roman" w:cs="Times New Roman"/>
                <w:noProof/>
                <w:color w:val="000000"/>
                <w:sz w:val="18"/>
                <w:szCs w:val="18"/>
                <w:lang w:eastAsia="lv-LV"/>
              </w:rPr>
              <w:t>nerģijas cenas pieauguma mazināšanas pasākumi</w:t>
            </w:r>
          </w:p>
        </w:tc>
        <w:tc>
          <w:tcPr>
            <w:tcW w:w="1364" w:type="dxa"/>
            <w:shd w:val="clear" w:color="auto" w:fill="auto"/>
            <w:noWrap/>
            <w:vAlign w:val="bottom"/>
            <w:hideMark/>
          </w:tcPr>
          <w:p w14:paraId="1E6D7BD1"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 </w:t>
            </w:r>
          </w:p>
        </w:tc>
        <w:tc>
          <w:tcPr>
            <w:tcW w:w="1046" w:type="dxa"/>
            <w:shd w:val="clear" w:color="auto" w:fill="auto"/>
            <w:noWrap/>
            <w:vAlign w:val="center"/>
          </w:tcPr>
          <w:p w14:paraId="6933D598"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c>
          <w:tcPr>
            <w:tcW w:w="992" w:type="dxa"/>
            <w:shd w:val="clear" w:color="auto" w:fill="auto"/>
            <w:noWrap/>
            <w:vAlign w:val="center"/>
          </w:tcPr>
          <w:p w14:paraId="04960BCD"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c>
          <w:tcPr>
            <w:tcW w:w="993" w:type="dxa"/>
            <w:shd w:val="clear" w:color="auto" w:fill="auto"/>
            <w:noWrap/>
            <w:vAlign w:val="center"/>
          </w:tcPr>
          <w:p w14:paraId="0B4F7A50"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r>
      <w:tr w:rsidR="00AA4CC2" w:rsidRPr="00670F90" w14:paraId="3E0697D3" w14:textId="77777777" w:rsidTr="008332B4">
        <w:trPr>
          <w:trHeight w:val="61"/>
          <w:jc w:val="center"/>
        </w:trPr>
        <w:tc>
          <w:tcPr>
            <w:tcW w:w="4531" w:type="dxa"/>
            <w:shd w:val="clear" w:color="auto" w:fill="auto"/>
            <w:noWrap/>
            <w:vAlign w:val="bottom"/>
            <w:hideMark/>
          </w:tcPr>
          <w:p w14:paraId="31D4B841" w14:textId="77777777" w:rsidR="00AA4CC2" w:rsidRPr="00670F90" w:rsidRDefault="00AA4CC2" w:rsidP="00163D32">
            <w:pPr>
              <w:spacing w:before="60" w:after="0"/>
              <w:ind w:firstLineChars="200" w:firstLine="360"/>
              <w:jc w:val="left"/>
              <w:rPr>
                <w:rFonts w:eastAsia="Times New Roman" w:cs="Times New Roman"/>
                <w:noProof/>
                <w:color w:val="000000"/>
                <w:sz w:val="18"/>
                <w:szCs w:val="18"/>
                <w:lang w:eastAsia="lv-LV"/>
              </w:rPr>
            </w:pPr>
            <w:r>
              <w:rPr>
                <w:rFonts w:eastAsia="Times New Roman" w:cs="Times New Roman"/>
                <w:noProof/>
                <w:color w:val="000000"/>
                <w:sz w:val="18"/>
                <w:szCs w:val="18"/>
                <w:lang w:eastAsia="lv-LV"/>
              </w:rPr>
              <w:t>a</w:t>
            </w:r>
            <w:r w:rsidRPr="00670F90">
              <w:rPr>
                <w:rFonts w:eastAsia="Times New Roman" w:cs="Times New Roman"/>
                <w:noProof/>
                <w:color w:val="000000"/>
                <w:sz w:val="18"/>
                <w:szCs w:val="18"/>
                <w:lang w:eastAsia="lv-LV"/>
              </w:rPr>
              <w:t>izsardzības un iekšējās drošības finansējums</w:t>
            </w:r>
          </w:p>
        </w:tc>
        <w:tc>
          <w:tcPr>
            <w:tcW w:w="1364" w:type="dxa"/>
            <w:shd w:val="clear" w:color="auto" w:fill="auto"/>
            <w:noWrap/>
            <w:vAlign w:val="bottom"/>
            <w:hideMark/>
          </w:tcPr>
          <w:p w14:paraId="48AD63EA"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r w:rsidRPr="00670F90">
              <w:rPr>
                <w:rFonts w:eastAsia="Times New Roman" w:cs="Times New Roman"/>
                <w:color w:val="000000"/>
                <w:sz w:val="18"/>
                <w:szCs w:val="18"/>
                <w:lang w:eastAsia="lv-LV"/>
              </w:rPr>
              <w:t> </w:t>
            </w:r>
          </w:p>
        </w:tc>
        <w:tc>
          <w:tcPr>
            <w:tcW w:w="1046" w:type="dxa"/>
            <w:shd w:val="clear" w:color="auto" w:fill="auto"/>
            <w:noWrap/>
            <w:vAlign w:val="center"/>
          </w:tcPr>
          <w:p w14:paraId="3EDEF1BB"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-0,8</w:t>
            </w:r>
          </w:p>
        </w:tc>
        <w:tc>
          <w:tcPr>
            <w:tcW w:w="992" w:type="dxa"/>
            <w:shd w:val="clear" w:color="auto" w:fill="auto"/>
            <w:noWrap/>
            <w:vAlign w:val="center"/>
          </w:tcPr>
          <w:p w14:paraId="09EC7817"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-0,8</w:t>
            </w:r>
          </w:p>
        </w:tc>
        <w:tc>
          <w:tcPr>
            <w:tcW w:w="993" w:type="dxa"/>
            <w:shd w:val="clear" w:color="auto" w:fill="auto"/>
            <w:noWrap/>
            <w:vAlign w:val="center"/>
          </w:tcPr>
          <w:p w14:paraId="4FC7C613"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-0,7</w:t>
            </w:r>
          </w:p>
        </w:tc>
      </w:tr>
      <w:tr w:rsidR="00AA4CC2" w:rsidRPr="00670F90" w14:paraId="5123C86B" w14:textId="77777777" w:rsidTr="008332B4">
        <w:trPr>
          <w:trHeight w:val="61"/>
          <w:jc w:val="center"/>
        </w:trPr>
        <w:tc>
          <w:tcPr>
            <w:tcW w:w="4531" w:type="dxa"/>
            <w:shd w:val="clear" w:color="auto" w:fill="auto"/>
            <w:noWrap/>
            <w:vAlign w:val="bottom"/>
          </w:tcPr>
          <w:p w14:paraId="1DFB5A16" w14:textId="77777777" w:rsidR="00AA4CC2" w:rsidRDefault="00AA4CC2" w:rsidP="00163D32">
            <w:pPr>
              <w:spacing w:before="60" w:after="0"/>
              <w:ind w:firstLineChars="200" w:firstLine="360"/>
              <w:jc w:val="left"/>
              <w:rPr>
                <w:rFonts w:eastAsia="Times New Roman" w:cs="Times New Roman"/>
                <w:noProof/>
                <w:color w:val="000000"/>
                <w:sz w:val="18"/>
                <w:szCs w:val="18"/>
                <w:lang w:eastAsia="lv-LV"/>
              </w:rPr>
            </w:pPr>
            <w:r w:rsidRPr="00255D47">
              <w:rPr>
                <w:rFonts w:eastAsia="Times New Roman" w:cs="Times New Roman"/>
                <w:noProof/>
                <w:color w:val="000000"/>
                <w:sz w:val="18"/>
                <w:szCs w:val="18"/>
                <w:lang w:eastAsia="lv-LV"/>
              </w:rPr>
              <w:t>atbalsts bēgļiem no Ukrainas</w:t>
            </w:r>
          </w:p>
        </w:tc>
        <w:tc>
          <w:tcPr>
            <w:tcW w:w="1364" w:type="dxa"/>
            <w:shd w:val="clear" w:color="auto" w:fill="auto"/>
            <w:noWrap/>
            <w:vAlign w:val="bottom"/>
          </w:tcPr>
          <w:p w14:paraId="4EBBCF10"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p>
        </w:tc>
        <w:tc>
          <w:tcPr>
            <w:tcW w:w="1046" w:type="dxa"/>
            <w:shd w:val="clear" w:color="auto" w:fill="auto"/>
            <w:noWrap/>
            <w:vAlign w:val="center"/>
          </w:tcPr>
          <w:p w14:paraId="1603872F"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c>
          <w:tcPr>
            <w:tcW w:w="992" w:type="dxa"/>
            <w:shd w:val="clear" w:color="auto" w:fill="auto"/>
            <w:noWrap/>
            <w:vAlign w:val="center"/>
          </w:tcPr>
          <w:p w14:paraId="2065DEE8"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c>
          <w:tcPr>
            <w:tcW w:w="993" w:type="dxa"/>
            <w:shd w:val="clear" w:color="auto" w:fill="auto"/>
            <w:noWrap/>
            <w:vAlign w:val="center"/>
          </w:tcPr>
          <w:p w14:paraId="7F253308"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r>
      <w:tr w:rsidR="00AA4CC2" w:rsidRPr="00670F90" w14:paraId="055AD84C" w14:textId="77777777" w:rsidTr="008332B4">
        <w:trPr>
          <w:trHeight w:val="61"/>
          <w:jc w:val="center"/>
        </w:trPr>
        <w:tc>
          <w:tcPr>
            <w:tcW w:w="4531" w:type="dxa"/>
            <w:shd w:val="clear" w:color="auto" w:fill="auto"/>
            <w:noWrap/>
            <w:vAlign w:val="bottom"/>
          </w:tcPr>
          <w:p w14:paraId="64CC9D4A" w14:textId="77777777" w:rsidR="00AA4CC2" w:rsidRDefault="00AA4CC2" w:rsidP="00163D32">
            <w:pPr>
              <w:spacing w:before="60" w:after="0"/>
              <w:ind w:firstLineChars="200" w:firstLine="360"/>
              <w:jc w:val="left"/>
              <w:rPr>
                <w:rFonts w:eastAsia="Times New Roman" w:cs="Times New Roman"/>
                <w:noProof/>
                <w:color w:val="000000"/>
                <w:sz w:val="18"/>
                <w:szCs w:val="18"/>
                <w:lang w:eastAsia="lv-LV"/>
              </w:rPr>
            </w:pPr>
            <w:r w:rsidRPr="00E301C4">
              <w:rPr>
                <w:rFonts w:eastAsia="Times New Roman" w:cs="Times New Roman"/>
                <w:noProof/>
                <w:color w:val="000000"/>
                <w:sz w:val="18"/>
                <w:szCs w:val="18"/>
                <w:lang w:eastAsia="lv-LV"/>
              </w:rPr>
              <w:t>vienreizējie izdevumi valsts aizsardzībai un iekšējai drošībai</w:t>
            </w:r>
          </w:p>
        </w:tc>
        <w:tc>
          <w:tcPr>
            <w:tcW w:w="1364" w:type="dxa"/>
            <w:shd w:val="clear" w:color="auto" w:fill="auto"/>
            <w:noWrap/>
            <w:vAlign w:val="bottom"/>
          </w:tcPr>
          <w:p w14:paraId="18BB19B8" w14:textId="77777777" w:rsidR="00AA4CC2" w:rsidRPr="00670F90" w:rsidRDefault="00AA4CC2" w:rsidP="00163D32">
            <w:pPr>
              <w:spacing w:before="60" w:after="0"/>
              <w:ind w:firstLine="0"/>
              <w:jc w:val="left"/>
              <w:rPr>
                <w:rFonts w:eastAsia="Times New Roman" w:cs="Times New Roman"/>
                <w:color w:val="000000"/>
                <w:sz w:val="18"/>
                <w:szCs w:val="18"/>
                <w:lang w:eastAsia="lv-LV"/>
              </w:rPr>
            </w:pPr>
          </w:p>
        </w:tc>
        <w:tc>
          <w:tcPr>
            <w:tcW w:w="1046" w:type="dxa"/>
            <w:shd w:val="clear" w:color="auto" w:fill="auto"/>
            <w:noWrap/>
            <w:vAlign w:val="center"/>
          </w:tcPr>
          <w:p w14:paraId="5CD668A8"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-0,9</w:t>
            </w:r>
          </w:p>
        </w:tc>
        <w:tc>
          <w:tcPr>
            <w:tcW w:w="992" w:type="dxa"/>
            <w:shd w:val="clear" w:color="auto" w:fill="auto"/>
            <w:noWrap/>
            <w:vAlign w:val="center"/>
          </w:tcPr>
          <w:p w14:paraId="2879D371"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-0,8</w:t>
            </w:r>
          </w:p>
        </w:tc>
        <w:tc>
          <w:tcPr>
            <w:tcW w:w="993" w:type="dxa"/>
            <w:shd w:val="clear" w:color="auto" w:fill="auto"/>
            <w:noWrap/>
            <w:vAlign w:val="center"/>
          </w:tcPr>
          <w:p w14:paraId="64B16ACB" w14:textId="77777777" w:rsidR="00AA4CC2" w:rsidRPr="00670F90" w:rsidRDefault="00AA4CC2" w:rsidP="00163D32">
            <w:pPr>
              <w:spacing w:before="60" w:after="0"/>
              <w:ind w:firstLine="0"/>
              <w:jc w:val="center"/>
              <w:rPr>
                <w:rFonts w:eastAsia="Times New Roman" w:cs="Times New Roman"/>
                <w:color w:val="000000"/>
                <w:sz w:val="18"/>
                <w:szCs w:val="18"/>
                <w:lang w:eastAsia="lv-LV"/>
              </w:rPr>
            </w:pPr>
            <w:r>
              <w:rPr>
                <w:sz w:val="20"/>
                <w:szCs w:val="20"/>
              </w:rPr>
              <w:t>-0,05</w:t>
            </w:r>
          </w:p>
        </w:tc>
      </w:tr>
      <w:tr w:rsidR="00AA4CC2" w:rsidRPr="00670F90" w14:paraId="5222323A" w14:textId="77777777" w:rsidTr="00BE6193">
        <w:trPr>
          <w:trHeight w:val="61"/>
          <w:jc w:val="center"/>
        </w:trPr>
        <w:tc>
          <w:tcPr>
            <w:tcW w:w="4531" w:type="dxa"/>
            <w:shd w:val="clear" w:color="auto" w:fill="BDD6EE" w:themeFill="accent1" w:themeFillTint="66"/>
            <w:noWrap/>
            <w:vAlign w:val="bottom"/>
            <w:hideMark/>
          </w:tcPr>
          <w:p w14:paraId="09289A54" w14:textId="77777777" w:rsidR="00AA4CC2" w:rsidRPr="00670F90" w:rsidRDefault="00AA4CC2" w:rsidP="00163D32">
            <w:pPr>
              <w:spacing w:before="60" w:after="0"/>
              <w:ind w:firstLine="0"/>
              <w:jc w:val="left"/>
              <w:rPr>
                <w:rFonts w:eastAsia="Times New Roman" w:cs="Times New Roman"/>
                <w:b/>
                <w:bCs/>
                <w:color w:val="000000"/>
                <w:sz w:val="18"/>
                <w:szCs w:val="18"/>
                <w:lang w:eastAsia="lv-LV"/>
              </w:rPr>
            </w:pPr>
            <w:r>
              <w:rPr>
                <w:rFonts w:eastAsia="Times New Roman" w:cs="Times New Roman"/>
                <w:b/>
                <w:bCs/>
                <w:color w:val="000000"/>
                <w:sz w:val="18"/>
                <w:szCs w:val="18"/>
                <w:lang w:eastAsia="lv-LV"/>
              </w:rPr>
              <w:t>V</w:t>
            </w:r>
            <w:r w:rsidRPr="00670F90">
              <w:rPr>
                <w:rFonts w:eastAsia="Times New Roman" w:cs="Times New Roman"/>
                <w:b/>
                <w:bCs/>
                <w:color w:val="000000"/>
                <w:sz w:val="18"/>
                <w:szCs w:val="18"/>
                <w:lang w:eastAsia="lv-LV"/>
              </w:rPr>
              <w:t>ispārējās valdības bilance, % no IKP</w:t>
            </w:r>
          </w:p>
        </w:tc>
        <w:tc>
          <w:tcPr>
            <w:tcW w:w="1364" w:type="dxa"/>
            <w:shd w:val="clear" w:color="auto" w:fill="BDD6EE" w:themeFill="accent1" w:themeFillTint="66"/>
            <w:noWrap/>
            <w:vAlign w:val="bottom"/>
            <w:hideMark/>
          </w:tcPr>
          <w:p w14:paraId="75B53D43" w14:textId="77777777" w:rsidR="00AA4CC2" w:rsidRPr="00670F90" w:rsidRDefault="00AA4CC2" w:rsidP="00163D32">
            <w:pPr>
              <w:spacing w:before="60" w:after="0"/>
              <w:ind w:firstLine="0"/>
              <w:jc w:val="left"/>
              <w:rPr>
                <w:rFonts w:eastAsia="Times New Roman" w:cs="Times New Roman"/>
                <w:b/>
                <w:bCs/>
                <w:color w:val="000000"/>
                <w:sz w:val="18"/>
                <w:szCs w:val="18"/>
                <w:lang w:eastAsia="lv-LV"/>
              </w:rPr>
            </w:pPr>
            <w:r w:rsidRPr="00670F90">
              <w:rPr>
                <w:rFonts w:eastAsia="Times New Roman" w:cs="Times New Roman"/>
                <w:b/>
                <w:bCs/>
                <w:color w:val="000000"/>
                <w:sz w:val="18"/>
                <w:szCs w:val="18"/>
                <w:lang w:eastAsia="lv-LV"/>
              </w:rPr>
              <w:t>(5)=(1)+(3)+(4)</w:t>
            </w:r>
          </w:p>
        </w:tc>
        <w:tc>
          <w:tcPr>
            <w:tcW w:w="1046" w:type="dxa"/>
            <w:shd w:val="clear" w:color="auto" w:fill="BDD6EE" w:themeFill="accent1" w:themeFillTint="66"/>
            <w:noWrap/>
            <w:vAlign w:val="center"/>
          </w:tcPr>
          <w:p w14:paraId="44FC2EBF"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Pr>
                <w:b/>
                <w:bCs/>
                <w:sz w:val="20"/>
                <w:szCs w:val="20"/>
              </w:rPr>
              <w:t>-2,6</w:t>
            </w:r>
          </w:p>
        </w:tc>
        <w:tc>
          <w:tcPr>
            <w:tcW w:w="992" w:type="dxa"/>
            <w:shd w:val="clear" w:color="auto" w:fill="BDD6EE" w:themeFill="accent1" w:themeFillTint="66"/>
            <w:noWrap/>
            <w:vAlign w:val="center"/>
          </w:tcPr>
          <w:p w14:paraId="199A3586"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Pr>
                <w:b/>
                <w:bCs/>
                <w:sz w:val="20"/>
                <w:szCs w:val="20"/>
              </w:rPr>
              <w:t>-2,3</w:t>
            </w:r>
          </w:p>
        </w:tc>
        <w:tc>
          <w:tcPr>
            <w:tcW w:w="993" w:type="dxa"/>
            <w:shd w:val="clear" w:color="auto" w:fill="BDD6EE" w:themeFill="accent1" w:themeFillTint="66"/>
            <w:noWrap/>
            <w:vAlign w:val="center"/>
          </w:tcPr>
          <w:p w14:paraId="4C040AE1" w14:textId="77777777" w:rsidR="00AA4CC2" w:rsidRPr="00670F90" w:rsidRDefault="00AA4CC2" w:rsidP="00163D32">
            <w:pPr>
              <w:spacing w:before="60" w:after="0"/>
              <w:ind w:firstLine="0"/>
              <w:jc w:val="center"/>
              <w:rPr>
                <w:rFonts w:eastAsia="Times New Roman" w:cs="Times New Roman"/>
                <w:b/>
                <w:bCs/>
                <w:color w:val="000000"/>
                <w:sz w:val="18"/>
                <w:szCs w:val="18"/>
                <w:lang w:eastAsia="lv-LV"/>
              </w:rPr>
            </w:pPr>
            <w:r>
              <w:rPr>
                <w:b/>
                <w:bCs/>
                <w:sz w:val="20"/>
                <w:szCs w:val="20"/>
              </w:rPr>
              <w:t>-1,3</w:t>
            </w:r>
          </w:p>
        </w:tc>
      </w:tr>
    </w:tbl>
    <w:p w14:paraId="650E2E5A" w14:textId="77777777" w:rsidR="00B14F2A" w:rsidRDefault="00B14F2A" w:rsidP="00B14F2A">
      <w:pPr>
        <w:spacing w:before="0" w:after="0"/>
        <w:ind w:firstLine="0"/>
        <w:jc w:val="left"/>
        <w:rPr>
          <w:b/>
          <w:bCs/>
          <w:szCs w:val="20"/>
        </w:rPr>
      </w:pPr>
    </w:p>
    <w:p w14:paraId="60C239D7" w14:textId="15D69B3D" w:rsidR="00AA4CC2" w:rsidRPr="0049438C" w:rsidRDefault="00AA4CC2" w:rsidP="00B14F2A">
      <w:pPr>
        <w:jc w:val="left"/>
        <w:rPr>
          <w:b/>
          <w:bCs/>
          <w:szCs w:val="20"/>
        </w:rPr>
      </w:pPr>
      <w:r w:rsidRPr="00B26DBF">
        <w:rPr>
          <w:b/>
          <w:bCs/>
          <w:szCs w:val="20"/>
        </w:rPr>
        <w:t>Fiskālā telpa 202</w:t>
      </w:r>
      <w:r>
        <w:rPr>
          <w:b/>
          <w:bCs/>
          <w:szCs w:val="20"/>
        </w:rPr>
        <w:t>4</w:t>
      </w:r>
      <w:r w:rsidRPr="00B26DBF">
        <w:rPr>
          <w:b/>
          <w:bCs/>
          <w:szCs w:val="20"/>
        </w:rPr>
        <w:t>.</w:t>
      </w:r>
      <w:r>
        <w:rPr>
          <w:b/>
          <w:bCs/>
          <w:szCs w:val="20"/>
        </w:rPr>
        <w:t> </w:t>
      </w:r>
      <w:r w:rsidRPr="00B26DBF">
        <w:rPr>
          <w:b/>
          <w:bCs/>
          <w:szCs w:val="20"/>
        </w:rPr>
        <w:t>gadam un turpmākajiem gadiem</w:t>
      </w:r>
    </w:p>
    <w:p w14:paraId="1631D1E3" w14:textId="77777777" w:rsidR="00AA4CC2" w:rsidRPr="004B6B5C" w:rsidRDefault="00AA4CC2" w:rsidP="00AA4CC2">
      <w:pPr>
        <w:rPr>
          <w:szCs w:val="20"/>
        </w:rPr>
      </w:pPr>
      <w:r w:rsidRPr="004B6B5C">
        <w:rPr>
          <w:szCs w:val="20"/>
        </w:rPr>
        <w:t>Ņemot vērā iepriekš definētos fiskālos nosacījumus</w:t>
      </w:r>
      <w:r>
        <w:rPr>
          <w:szCs w:val="20"/>
        </w:rPr>
        <w:t xml:space="preserve"> un iepriekš norādītos strukturālās bilances mērķus</w:t>
      </w:r>
      <w:r w:rsidRPr="004B6B5C">
        <w:rPr>
          <w:szCs w:val="20"/>
        </w:rPr>
        <w:t xml:space="preserve">, </w:t>
      </w:r>
      <w:r>
        <w:rPr>
          <w:szCs w:val="20"/>
        </w:rPr>
        <w:t xml:space="preserve">tiek noteikta </w:t>
      </w:r>
      <w:r w:rsidRPr="004B6B5C">
        <w:rPr>
          <w:szCs w:val="20"/>
        </w:rPr>
        <w:t>fiskālā telpa 202</w:t>
      </w:r>
      <w:r>
        <w:rPr>
          <w:szCs w:val="20"/>
        </w:rPr>
        <w:t>4</w:t>
      </w:r>
      <w:r w:rsidRPr="004B6B5C">
        <w:rPr>
          <w:szCs w:val="20"/>
        </w:rPr>
        <w:t>.</w:t>
      </w:r>
      <w:r>
        <w:rPr>
          <w:szCs w:val="20"/>
        </w:rPr>
        <w:t> </w:t>
      </w:r>
      <w:r w:rsidRPr="004B6B5C">
        <w:rPr>
          <w:szCs w:val="20"/>
        </w:rPr>
        <w:t>gadam un turpmākajiem gadiem.</w:t>
      </w:r>
    </w:p>
    <w:p w14:paraId="104DB0B5" w14:textId="41C76667" w:rsidR="00AA4CC2" w:rsidRPr="00F87F48" w:rsidRDefault="00AA4CC2" w:rsidP="00B14F2A">
      <w:pPr>
        <w:widowControl w:val="0"/>
        <w:ind w:left="720" w:hanging="720"/>
        <w:jc w:val="center"/>
        <w:rPr>
          <w:rFonts w:eastAsia="Times New Roman" w:cs="Times New Roman"/>
          <w:b/>
          <w:szCs w:val="24"/>
        </w:rPr>
      </w:pPr>
      <w:r w:rsidRPr="001262AC">
        <w:rPr>
          <w:rFonts w:eastAsia="Times New Roman" w:cs="Times New Roman"/>
          <w:b/>
          <w:szCs w:val="24"/>
        </w:rPr>
        <w:t>1</w:t>
      </w:r>
      <w:r w:rsidR="001262AC" w:rsidRPr="001262AC">
        <w:rPr>
          <w:rFonts w:eastAsia="Times New Roman" w:cs="Times New Roman"/>
          <w:b/>
          <w:szCs w:val="24"/>
        </w:rPr>
        <w:t>3</w:t>
      </w:r>
      <w:r w:rsidRPr="001262AC">
        <w:rPr>
          <w:rFonts w:eastAsia="Times New Roman" w:cs="Times New Roman"/>
          <w:b/>
          <w:szCs w:val="24"/>
        </w:rPr>
        <w:t>. tabula. Fiskālā</w:t>
      </w:r>
      <w:r w:rsidRPr="00F87F48">
        <w:rPr>
          <w:rFonts w:eastAsia="Times New Roman" w:cs="Times New Roman"/>
          <w:b/>
          <w:szCs w:val="24"/>
        </w:rPr>
        <w:t xml:space="preserve"> telpa</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1443"/>
        <w:gridCol w:w="872"/>
        <w:gridCol w:w="877"/>
        <w:gridCol w:w="881"/>
      </w:tblGrid>
      <w:tr w:rsidR="00AA4CC2" w:rsidRPr="00F87F48" w14:paraId="125ACC1C" w14:textId="77777777" w:rsidTr="00BE6193">
        <w:trPr>
          <w:trHeight w:val="323"/>
          <w:jc w:val="center"/>
        </w:trPr>
        <w:tc>
          <w:tcPr>
            <w:tcW w:w="5273" w:type="dxa"/>
            <w:shd w:val="clear" w:color="auto" w:fill="BDD6EE" w:themeFill="accent1" w:themeFillTint="66"/>
            <w:vAlign w:val="bottom"/>
            <w:hideMark/>
          </w:tcPr>
          <w:p w14:paraId="0F80CEEC"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 </w:t>
            </w:r>
          </w:p>
        </w:tc>
        <w:tc>
          <w:tcPr>
            <w:tcW w:w="1443" w:type="dxa"/>
            <w:shd w:val="clear" w:color="auto" w:fill="BDD6EE" w:themeFill="accent1" w:themeFillTint="66"/>
            <w:noWrap/>
            <w:vAlign w:val="bottom"/>
            <w:hideMark/>
          </w:tcPr>
          <w:p w14:paraId="5B8EEBEE"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 </w:t>
            </w:r>
          </w:p>
        </w:tc>
        <w:tc>
          <w:tcPr>
            <w:tcW w:w="872" w:type="dxa"/>
            <w:shd w:val="clear" w:color="auto" w:fill="BDD6EE" w:themeFill="accent1" w:themeFillTint="66"/>
            <w:noWrap/>
            <w:vAlign w:val="bottom"/>
            <w:hideMark/>
          </w:tcPr>
          <w:p w14:paraId="14FDEC25" w14:textId="77777777" w:rsidR="00AA4CC2" w:rsidRPr="00F87F48" w:rsidRDefault="00AA4CC2" w:rsidP="00163D32">
            <w:pPr>
              <w:spacing w:before="60" w:after="0"/>
              <w:ind w:firstLine="0"/>
              <w:jc w:val="center"/>
              <w:rPr>
                <w:rFonts w:eastAsia="Times New Roman" w:cs="Times New Roman"/>
                <w:b/>
                <w:bCs/>
                <w:color w:val="000000"/>
                <w:sz w:val="18"/>
                <w:szCs w:val="18"/>
                <w:lang w:eastAsia="lv-LV"/>
              </w:rPr>
            </w:pPr>
            <w:r w:rsidRPr="00F87F48">
              <w:rPr>
                <w:rFonts w:eastAsia="Times New Roman" w:cs="Times New Roman"/>
                <w:b/>
                <w:bCs/>
                <w:color w:val="000000"/>
                <w:sz w:val="18"/>
                <w:szCs w:val="18"/>
                <w:lang w:eastAsia="lv-LV"/>
              </w:rPr>
              <w:t>202</w:t>
            </w:r>
            <w:r>
              <w:rPr>
                <w:rFonts w:eastAsia="Times New Roman" w:cs="Times New Roman"/>
                <w:b/>
                <w:bCs/>
                <w:color w:val="000000"/>
                <w:sz w:val="18"/>
                <w:szCs w:val="18"/>
                <w:lang w:eastAsia="lv-LV"/>
              </w:rPr>
              <w:t>4</w:t>
            </w:r>
          </w:p>
        </w:tc>
        <w:tc>
          <w:tcPr>
            <w:tcW w:w="877" w:type="dxa"/>
            <w:shd w:val="clear" w:color="auto" w:fill="BDD6EE" w:themeFill="accent1" w:themeFillTint="66"/>
            <w:noWrap/>
            <w:vAlign w:val="bottom"/>
            <w:hideMark/>
          </w:tcPr>
          <w:p w14:paraId="6C590362" w14:textId="77777777" w:rsidR="00AA4CC2" w:rsidRPr="00F87F48" w:rsidRDefault="00AA4CC2" w:rsidP="00163D32">
            <w:pPr>
              <w:spacing w:before="60" w:after="0"/>
              <w:ind w:firstLine="0"/>
              <w:jc w:val="center"/>
              <w:rPr>
                <w:rFonts w:eastAsia="Times New Roman" w:cs="Times New Roman"/>
                <w:b/>
                <w:bCs/>
                <w:color w:val="000000"/>
                <w:sz w:val="18"/>
                <w:szCs w:val="18"/>
                <w:lang w:eastAsia="lv-LV"/>
              </w:rPr>
            </w:pPr>
            <w:r w:rsidRPr="00F87F48">
              <w:rPr>
                <w:rFonts w:eastAsia="Times New Roman" w:cs="Times New Roman"/>
                <w:b/>
                <w:bCs/>
                <w:color w:val="000000"/>
                <w:sz w:val="18"/>
                <w:szCs w:val="18"/>
                <w:lang w:eastAsia="lv-LV"/>
              </w:rPr>
              <w:t>202</w:t>
            </w:r>
            <w:r>
              <w:rPr>
                <w:rFonts w:eastAsia="Times New Roman" w:cs="Times New Roman"/>
                <w:b/>
                <w:bCs/>
                <w:color w:val="000000"/>
                <w:sz w:val="18"/>
                <w:szCs w:val="18"/>
                <w:lang w:eastAsia="lv-LV"/>
              </w:rPr>
              <w:t>5</w:t>
            </w:r>
          </w:p>
        </w:tc>
        <w:tc>
          <w:tcPr>
            <w:tcW w:w="881" w:type="dxa"/>
            <w:shd w:val="clear" w:color="auto" w:fill="BDD6EE" w:themeFill="accent1" w:themeFillTint="66"/>
            <w:noWrap/>
            <w:vAlign w:val="bottom"/>
            <w:hideMark/>
          </w:tcPr>
          <w:p w14:paraId="2DE3AC6E" w14:textId="77777777" w:rsidR="00AA4CC2" w:rsidRPr="00F87F48" w:rsidRDefault="00AA4CC2" w:rsidP="00163D32">
            <w:pPr>
              <w:spacing w:before="60" w:after="0"/>
              <w:ind w:firstLine="0"/>
              <w:jc w:val="center"/>
              <w:rPr>
                <w:rFonts w:eastAsia="Times New Roman" w:cs="Times New Roman"/>
                <w:b/>
                <w:bCs/>
                <w:color w:val="000000"/>
                <w:sz w:val="18"/>
                <w:szCs w:val="18"/>
                <w:lang w:eastAsia="lv-LV"/>
              </w:rPr>
            </w:pPr>
            <w:r w:rsidRPr="00F87F48">
              <w:rPr>
                <w:rFonts w:eastAsia="Times New Roman" w:cs="Times New Roman"/>
                <w:b/>
                <w:bCs/>
                <w:color w:val="000000"/>
                <w:sz w:val="18"/>
                <w:szCs w:val="18"/>
                <w:lang w:eastAsia="lv-LV"/>
              </w:rPr>
              <w:t>202</w:t>
            </w:r>
            <w:r>
              <w:rPr>
                <w:rFonts w:eastAsia="Times New Roman" w:cs="Times New Roman"/>
                <w:b/>
                <w:bCs/>
                <w:color w:val="000000"/>
                <w:sz w:val="18"/>
                <w:szCs w:val="18"/>
                <w:lang w:eastAsia="lv-LV"/>
              </w:rPr>
              <w:t>6</w:t>
            </w:r>
          </w:p>
        </w:tc>
      </w:tr>
      <w:tr w:rsidR="00AA4CC2" w:rsidRPr="00F87F48" w14:paraId="12800988" w14:textId="77777777" w:rsidTr="008332B4">
        <w:trPr>
          <w:trHeight w:val="190"/>
          <w:jc w:val="center"/>
        </w:trPr>
        <w:tc>
          <w:tcPr>
            <w:tcW w:w="5273" w:type="dxa"/>
            <w:shd w:val="clear" w:color="auto" w:fill="auto"/>
            <w:vAlign w:val="center"/>
            <w:hideMark/>
          </w:tcPr>
          <w:p w14:paraId="405500F9"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Pr>
                <w:rFonts w:eastAsia="Times New Roman" w:cs="Times New Roman"/>
                <w:color w:val="000000"/>
                <w:sz w:val="18"/>
                <w:szCs w:val="18"/>
                <w:lang w:eastAsia="lv-LV"/>
              </w:rPr>
              <w:t>V</w:t>
            </w:r>
            <w:r w:rsidRPr="00F87F48">
              <w:rPr>
                <w:rFonts w:eastAsia="Times New Roman" w:cs="Times New Roman"/>
                <w:color w:val="000000"/>
                <w:sz w:val="18"/>
                <w:szCs w:val="18"/>
                <w:lang w:eastAsia="lv-LV"/>
              </w:rPr>
              <w:t>ispārējās valdības nominālās bilances prognoze pie nemainīgas politikas, % no IKP</w:t>
            </w:r>
          </w:p>
        </w:tc>
        <w:tc>
          <w:tcPr>
            <w:tcW w:w="1443" w:type="dxa"/>
            <w:shd w:val="clear" w:color="auto" w:fill="auto"/>
            <w:noWrap/>
            <w:vAlign w:val="center"/>
            <w:hideMark/>
          </w:tcPr>
          <w:p w14:paraId="18133025"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(1)</w:t>
            </w:r>
          </w:p>
        </w:tc>
        <w:tc>
          <w:tcPr>
            <w:tcW w:w="872" w:type="dxa"/>
            <w:shd w:val="clear" w:color="auto" w:fill="auto"/>
            <w:noWrap/>
            <w:vAlign w:val="center"/>
          </w:tcPr>
          <w:p w14:paraId="332AAD32"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-2,2</w:t>
            </w:r>
          </w:p>
        </w:tc>
        <w:tc>
          <w:tcPr>
            <w:tcW w:w="877" w:type="dxa"/>
            <w:shd w:val="clear" w:color="auto" w:fill="auto"/>
            <w:noWrap/>
            <w:vAlign w:val="center"/>
          </w:tcPr>
          <w:p w14:paraId="07432205"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-1,3</w:t>
            </w:r>
          </w:p>
        </w:tc>
        <w:tc>
          <w:tcPr>
            <w:tcW w:w="881" w:type="dxa"/>
            <w:shd w:val="clear" w:color="auto" w:fill="auto"/>
            <w:noWrap/>
            <w:vAlign w:val="center"/>
          </w:tcPr>
          <w:p w14:paraId="357CDEE7"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0,1</w:t>
            </w:r>
          </w:p>
        </w:tc>
      </w:tr>
      <w:tr w:rsidR="00AA4CC2" w:rsidRPr="00F87F48" w14:paraId="506DC65C" w14:textId="77777777" w:rsidTr="008332B4">
        <w:trPr>
          <w:trHeight w:val="54"/>
          <w:jc w:val="center"/>
        </w:trPr>
        <w:tc>
          <w:tcPr>
            <w:tcW w:w="5273" w:type="dxa"/>
            <w:shd w:val="clear" w:color="auto" w:fill="auto"/>
            <w:vAlign w:val="center"/>
            <w:hideMark/>
          </w:tcPr>
          <w:p w14:paraId="54FA5011"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Izlaižu starpība, % no potenciālā IKP</w:t>
            </w:r>
          </w:p>
        </w:tc>
        <w:tc>
          <w:tcPr>
            <w:tcW w:w="1443" w:type="dxa"/>
            <w:shd w:val="clear" w:color="auto" w:fill="auto"/>
            <w:noWrap/>
            <w:vAlign w:val="center"/>
            <w:hideMark/>
          </w:tcPr>
          <w:p w14:paraId="21DE75B8"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(2)</w:t>
            </w:r>
          </w:p>
        </w:tc>
        <w:tc>
          <w:tcPr>
            <w:tcW w:w="872" w:type="dxa"/>
            <w:shd w:val="clear" w:color="auto" w:fill="auto"/>
            <w:noWrap/>
            <w:vAlign w:val="center"/>
          </w:tcPr>
          <w:p w14:paraId="6E56C9A4"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color w:val="000000"/>
                <w:sz w:val="20"/>
                <w:szCs w:val="20"/>
              </w:rPr>
              <w:t>-1,3</w:t>
            </w:r>
          </w:p>
        </w:tc>
        <w:tc>
          <w:tcPr>
            <w:tcW w:w="877" w:type="dxa"/>
            <w:shd w:val="clear" w:color="auto" w:fill="auto"/>
            <w:noWrap/>
            <w:vAlign w:val="center"/>
          </w:tcPr>
          <w:p w14:paraId="12828274"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color w:val="000000"/>
                <w:sz w:val="20"/>
                <w:szCs w:val="20"/>
              </w:rPr>
              <w:t>-0,7</w:t>
            </w:r>
          </w:p>
        </w:tc>
        <w:tc>
          <w:tcPr>
            <w:tcW w:w="881" w:type="dxa"/>
            <w:shd w:val="clear" w:color="auto" w:fill="auto"/>
            <w:noWrap/>
            <w:vAlign w:val="center"/>
          </w:tcPr>
          <w:p w14:paraId="33D368F1"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color w:val="000000"/>
                <w:sz w:val="20"/>
                <w:szCs w:val="20"/>
              </w:rPr>
              <w:t>-0,01</w:t>
            </w:r>
          </w:p>
        </w:tc>
      </w:tr>
      <w:tr w:rsidR="00AA4CC2" w:rsidRPr="00F87F48" w14:paraId="0789C761" w14:textId="77777777" w:rsidTr="008332B4">
        <w:trPr>
          <w:trHeight w:val="54"/>
          <w:jc w:val="center"/>
        </w:trPr>
        <w:tc>
          <w:tcPr>
            <w:tcW w:w="5273" w:type="dxa"/>
            <w:shd w:val="clear" w:color="auto" w:fill="auto"/>
            <w:vAlign w:val="center"/>
            <w:hideMark/>
          </w:tcPr>
          <w:p w14:paraId="1E5F84FA"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Bilances cikliskā komponente, % no IKP</w:t>
            </w:r>
          </w:p>
        </w:tc>
        <w:tc>
          <w:tcPr>
            <w:tcW w:w="1443" w:type="dxa"/>
            <w:shd w:val="clear" w:color="auto" w:fill="auto"/>
            <w:noWrap/>
            <w:vAlign w:val="center"/>
            <w:hideMark/>
          </w:tcPr>
          <w:p w14:paraId="517D1E38"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(3)=0,378*(2)</w:t>
            </w:r>
          </w:p>
        </w:tc>
        <w:tc>
          <w:tcPr>
            <w:tcW w:w="872" w:type="dxa"/>
            <w:shd w:val="clear" w:color="auto" w:fill="auto"/>
            <w:noWrap/>
            <w:vAlign w:val="center"/>
          </w:tcPr>
          <w:p w14:paraId="47FD3B69"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color w:val="000000"/>
                <w:sz w:val="20"/>
                <w:szCs w:val="20"/>
              </w:rPr>
              <w:t>-0,5</w:t>
            </w:r>
          </w:p>
        </w:tc>
        <w:tc>
          <w:tcPr>
            <w:tcW w:w="877" w:type="dxa"/>
            <w:shd w:val="clear" w:color="auto" w:fill="auto"/>
            <w:noWrap/>
            <w:vAlign w:val="center"/>
          </w:tcPr>
          <w:p w14:paraId="58DD08A7"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color w:val="000000"/>
                <w:sz w:val="20"/>
                <w:szCs w:val="20"/>
              </w:rPr>
              <w:t>-0,2</w:t>
            </w:r>
          </w:p>
        </w:tc>
        <w:tc>
          <w:tcPr>
            <w:tcW w:w="881" w:type="dxa"/>
            <w:shd w:val="clear" w:color="auto" w:fill="auto"/>
            <w:noWrap/>
            <w:vAlign w:val="center"/>
          </w:tcPr>
          <w:p w14:paraId="32A1E2E2"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color w:val="000000"/>
                <w:sz w:val="20"/>
                <w:szCs w:val="20"/>
              </w:rPr>
              <w:t>0,0</w:t>
            </w:r>
          </w:p>
        </w:tc>
      </w:tr>
      <w:tr w:rsidR="00AA4CC2" w:rsidRPr="00F87F48" w14:paraId="36A38301" w14:textId="77777777" w:rsidTr="008332B4">
        <w:trPr>
          <w:trHeight w:val="231"/>
          <w:jc w:val="center"/>
        </w:trPr>
        <w:tc>
          <w:tcPr>
            <w:tcW w:w="5273" w:type="dxa"/>
            <w:shd w:val="clear" w:color="auto" w:fill="auto"/>
            <w:vAlign w:val="center"/>
            <w:hideMark/>
          </w:tcPr>
          <w:p w14:paraId="4BB28E75"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i/>
                <w:iCs/>
                <w:noProof/>
                <w:color w:val="000000"/>
                <w:sz w:val="18"/>
                <w:szCs w:val="18"/>
                <w:lang w:eastAsia="lv-LV"/>
              </w:rPr>
              <w:t>One-off</w:t>
            </w:r>
            <w:r w:rsidRPr="00F87F48">
              <w:rPr>
                <w:rFonts w:eastAsia="Times New Roman" w:cs="Times New Roman"/>
                <w:noProof/>
                <w:color w:val="000000"/>
                <w:sz w:val="18"/>
                <w:szCs w:val="18"/>
                <w:lang w:eastAsia="lv-LV"/>
              </w:rPr>
              <w:t xml:space="preserve"> un</w:t>
            </w:r>
            <w:r w:rsidRPr="00F87F48">
              <w:rPr>
                <w:rFonts w:eastAsia="Times New Roman" w:cs="Times New Roman"/>
                <w:color w:val="000000"/>
                <w:sz w:val="18"/>
                <w:szCs w:val="18"/>
                <w:lang w:eastAsia="lv-LV"/>
              </w:rPr>
              <w:t xml:space="preserve"> citi īslaicīgie pasākumi, kas iekļauti nemainīgas politikas scenārijā % no IKP, tai skaitā</w:t>
            </w:r>
          </w:p>
        </w:tc>
        <w:tc>
          <w:tcPr>
            <w:tcW w:w="1443" w:type="dxa"/>
            <w:shd w:val="clear" w:color="auto" w:fill="auto"/>
            <w:noWrap/>
            <w:vAlign w:val="center"/>
            <w:hideMark/>
          </w:tcPr>
          <w:p w14:paraId="1C0FFD84"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(4)</w:t>
            </w:r>
          </w:p>
        </w:tc>
        <w:tc>
          <w:tcPr>
            <w:tcW w:w="872" w:type="dxa"/>
            <w:shd w:val="clear" w:color="auto" w:fill="auto"/>
            <w:noWrap/>
            <w:vAlign w:val="center"/>
          </w:tcPr>
          <w:p w14:paraId="2C7D70B8"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-1,7</w:t>
            </w:r>
          </w:p>
        </w:tc>
        <w:tc>
          <w:tcPr>
            <w:tcW w:w="877" w:type="dxa"/>
            <w:shd w:val="clear" w:color="auto" w:fill="auto"/>
            <w:noWrap/>
            <w:vAlign w:val="center"/>
          </w:tcPr>
          <w:p w14:paraId="635A0C6C"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-1,6</w:t>
            </w:r>
          </w:p>
        </w:tc>
        <w:tc>
          <w:tcPr>
            <w:tcW w:w="881" w:type="dxa"/>
            <w:shd w:val="clear" w:color="auto" w:fill="auto"/>
            <w:noWrap/>
            <w:vAlign w:val="center"/>
          </w:tcPr>
          <w:p w14:paraId="109B7350"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-0,8</w:t>
            </w:r>
          </w:p>
        </w:tc>
      </w:tr>
      <w:tr w:rsidR="00AA4CC2" w:rsidRPr="00F87F48" w14:paraId="7502AC5A" w14:textId="77777777" w:rsidTr="008332B4">
        <w:trPr>
          <w:trHeight w:val="54"/>
          <w:jc w:val="center"/>
        </w:trPr>
        <w:tc>
          <w:tcPr>
            <w:tcW w:w="5273" w:type="dxa"/>
            <w:shd w:val="clear" w:color="auto" w:fill="auto"/>
            <w:vAlign w:val="bottom"/>
            <w:hideMark/>
          </w:tcPr>
          <w:p w14:paraId="39E58705" w14:textId="77777777" w:rsidR="00AA4CC2" w:rsidRPr="00F87F48" w:rsidRDefault="00AA4CC2" w:rsidP="00163D32">
            <w:pPr>
              <w:spacing w:before="60" w:after="0"/>
              <w:ind w:firstLineChars="200" w:firstLine="36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Covid-19 pandēmijas mazināšanas pasākumi</w:t>
            </w:r>
          </w:p>
        </w:tc>
        <w:tc>
          <w:tcPr>
            <w:tcW w:w="1443" w:type="dxa"/>
            <w:shd w:val="clear" w:color="auto" w:fill="auto"/>
            <w:noWrap/>
            <w:vAlign w:val="center"/>
            <w:hideMark/>
          </w:tcPr>
          <w:p w14:paraId="3579937F"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 </w:t>
            </w:r>
          </w:p>
        </w:tc>
        <w:tc>
          <w:tcPr>
            <w:tcW w:w="872" w:type="dxa"/>
            <w:shd w:val="clear" w:color="auto" w:fill="auto"/>
            <w:noWrap/>
            <w:vAlign w:val="center"/>
          </w:tcPr>
          <w:p w14:paraId="141C5052"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-0,02</w:t>
            </w:r>
          </w:p>
        </w:tc>
        <w:tc>
          <w:tcPr>
            <w:tcW w:w="877" w:type="dxa"/>
            <w:shd w:val="clear" w:color="auto" w:fill="auto"/>
            <w:noWrap/>
            <w:vAlign w:val="center"/>
          </w:tcPr>
          <w:p w14:paraId="1D4223D2"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-0,01</w:t>
            </w:r>
          </w:p>
        </w:tc>
        <w:tc>
          <w:tcPr>
            <w:tcW w:w="881" w:type="dxa"/>
            <w:shd w:val="clear" w:color="auto" w:fill="auto"/>
            <w:noWrap/>
            <w:vAlign w:val="center"/>
          </w:tcPr>
          <w:p w14:paraId="0D64F474"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-0,01</w:t>
            </w:r>
          </w:p>
        </w:tc>
      </w:tr>
      <w:tr w:rsidR="00AA4CC2" w:rsidRPr="00F87F48" w14:paraId="44ECA007" w14:textId="77777777" w:rsidTr="008332B4">
        <w:trPr>
          <w:trHeight w:val="54"/>
          <w:jc w:val="center"/>
        </w:trPr>
        <w:tc>
          <w:tcPr>
            <w:tcW w:w="5273" w:type="dxa"/>
            <w:shd w:val="clear" w:color="auto" w:fill="auto"/>
            <w:vAlign w:val="bottom"/>
            <w:hideMark/>
          </w:tcPr>
          <w:p w14:paraId="029AEAF7" w14:textId="77777777" w:rsidR="00AA4CC2" w:rsidRPr="00F87F48" w:rsidRDefault="00AA4CC2" w:rsidP="00163D32">
            <w:pPr>
              <w:spacing w:before="60" w:after="0"/>
              <w:ind w:firstLineChars="200" w:firstLine="360"/>
              <w:jc w:val="left"/>
              <w:rPr>
                <w:rFonts w:eastAsia="Times New Roman" w:cs="Times New Roman"/>
                <w:color w:val="000000"/>
                <w:sz w:val="18"/>
                <w:szCs w:val="18"/>
                <w:lang w:eastAsia="lv-LV"/>
              </w:rPr>
            </w:pPr>
            <w:r>
              <w:rPr>
                <w:rFonts w:eastAsia="Times New Roman" w:cs="Times New Roman"/>
                <w:color w:val="000000"/>
                <w:sz w:val="18"/>
                <w:szCs w:val="18"/>
                <w:lang w:eastAsia="lv-LV"/>
              </w:rPr>
              <w:t>e</w:t>
            </w:r>
            <w:r w:rsidRPr="00F87F48">
              <w:rPr>
                <w:rFonts w:eastAsia="Times New Roman" w:cs="Times New Roman"/>
                <w:color w:val="000000"/>
                <w:sz w:val="18"/>
                <w:szCs w:val="18"/>
                <w:lang w:eastAsia="lv-LV"/>
              </w:rPr>
              <w:t>nerģijas cenas pieauguma mazināšanas pasākumi</w:t>
            </w:r>
          </w:p>
        </w:tc>
        <w:tc>
          <w:tcPr>
            <w:tcW w:w="1443" w:type="dxa"/>
            <w:shd w:val="clear" w:color="auto" w:fill="auto"/>
            <w:noWrap/>
            <w:vAlign w:val="center"/>
            <w:hideMark/>
          </w:tcPr>
          <w:p w14:paraId="0C34B95C"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 </w:t>
            </w:r>
          </w:p>
        </w:tc>
        <w:tc>
          <w:tcPr>
            <w:tcW w:w="872" w:type="dxa"/>
            <w:shd w:val="clear" w:color="auto" w:fill="auto"/>
            <w:noWrap/>
            <w:vAlign w:val="center"/>
          </w:tcPr>
          <w:p w14:paraId="5DB7B7AB"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c>
          <w:tcPr>
            <w:tcW w:w="877" w:type="dxa"/>
            <w:shd w:val="clear" w:color="auto" w:fill="auto"/>
            <w:noWrap/>
            <w:vAlign w:val="center"/>
          </w:tcPr>
          <w:p w14:paraId="6C0E0342"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c>
          <w:tcPr>
            <w:tcW w:w="881" w:type="dxa"/>
            <w:shd w:val="clear" w:color="auto" w:fill="auto"/>
            <w:noWrap/>
            <w:vAlign w:val="center"/>
          </w:tcPr>
          <w:p w14:paraId="709FFE53"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r>
      <w:tr w:rsidR="00AA4CC2" w:rsidRPr="00F87F48" w14:paraId="7EA05C15" w14:textId="77777777" w:rsidTr="008332B4">
        <w:trPr>
          <w:trHeight w:val="54"/>
          <w:jc w:val="center"/>
        </w:trPr>
        <w:tc>
          <w:tcPr>
            <w:tcW w:w="5273" w:type="dxa"/>
            <w:shd w:val="clear" w:color="auto" w:fill="auto"/>
            <w:vAlign w:val="bottom"/>
            <w:hideMark/>
          </w:tcPr>
          <w:p w14:paraId="44C3F958" w14:textId="77777777" w:rsidR="00AA4CC2" w:rsidRPr="00F87F48" w:rsidRDefault="00AA4CC2" w:rsidP="00163D32">
            <w:pPr>
              <w:spacing w:before="60" w:after="0"/>
              <w:ind w:firstLineChars="200" w:firstLine="360"/>
              <w:jc w:val="left"/>
              <w:rPr>
                <w:rFonts w:eastAsia="Times New Roman" w:cs="Times New Roman"/>
                <w:color w:val="000000"/>
                <w:sz w:val="18"/>
                <w:szCs w:val="18"/>
                <w:lang w:eastAsia="lv-LV"/>
              </w:rPr>
            </w:pPr>
            <w:r>
              <w:rPr>
                <w:rFonts w:eastAsia="Times New Roman" w:cs="Times New Roman"/>
                <w:color w:val="000000"/>
                <w:sz w:val="18"/>
                <w:szCs w:val="18"/>
                <w:lang w:eastAsia="lv-LV"/>
              </w:rPr>
              <w:t>a</w:t>
            </w:r>
            <w:r w:rsidRPr="00F87F48">
              <w:rPr>
                <w:rFonts w:eastAsia="Times New Roman" w:cs="Times New Roman"/>
                <w:color w:val="000000"/>
                <w:sz w:val="18"/>
                <w:szCs w:val="18"/>
                <w:lang w:eastAsia="lv-LV"/>
              </w:rPr>
              <w:t>izsardzības un iekšējās drošības finansējums</w:t>
            </w:r>
          </w:p>
        </w:tc>
        <w:tc>
          <w:tcPr>
            <w:tcW w:w="1443" w:type="dxa"/>
            <w:shd w:val="clear" w:color="auto" w:fill="auto"/>
            <w:noWrap/>
            <w:vAlign w:val="center"/>
            <w:hideMark/>
          </w:tcPr>
          <w:p w14:paraId="2D4185C7"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 </w:t>
            </w:r>
          </w:p>
        </w:tc>
        <w:tc>
          <w:tcPr>
            <w:tcW w:w="872" w:type="dxa"/>
            <w:shd w:val="clear" w:color="auto" w:fill="auto"/>
            <w:noWrap/>
            <w:vAlign w:val="center"/>
          </w:tcPr>
          <w:p w14:paraId="45B5F0D8"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-0,8</w:t>
            </w:r>
          </w:p>
        </w:tc>
        <w:tc>
          <w:tcPr>
            <w:tcW w:w="877" w:type="dxa"/>
            <w:shd w:val="clear" w:color="auto" w:fill="auto"/>
            <w:noWrap/>
            <w:vAlign w:val="center"/>
          </w:tcPr>
          <w:p w14:paraId="6FE5683B"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-0,8</w:t>
            </w:r>
          </w:p>
        </w:tc>
        <w:tc>
          <w:tcPr>
            <w:tcW w:w="881" w:type="dxa"/>
            <w:shd w:val="clear" w:color="auto" w:fill="auto"/>
            <w:noWrap/>
            <w:vAlign w:val="center"/>
          </w:tcPr>
          <w:p w14:paraId="4EDC9080"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-0,7</w:t>
            </w:r>
          </w:p>
        </w:tc>
      </w:tr>
      <w:tr w:rsidR="00AA4CC2" w:rsidRPr="00F87F48" w14:paraId="1482E078" w14:textId="77777777" w:rsidTr="008332B4">
        <w:trPr>
          <w:trHeight w:val="54"/>
          <w:jc w:val="center"/>
        </w:trPr>
        <w:tc>
          <w:tcPr>
            <w:tcW w:w="5273" w:type="dxa"/>
            <w:shd w:val="clear" w:color="auto" w:fill="auto"/>
            <w:vAlign w:val="bottom"/>
          </w:tcPr>
          <w:p w14:paraId="68F98CCF" w14:textId="77777777" w:rsidR="00AA4CC2" w:rsidRDefault="00AA4CC2" w:rsidP="00163D32">
            <w:pPr>
              <w:spacing w:before="60" w:after="0"/>
              <w:ind w:firstLineChars="200" w:firstLine="360"/>
              <w:jc w:val="left"/>
              <w:rPr>
                <w:rFonts w:eastAsia="Times New Roman" w:cs="Times New Roman"/>
                <w:color w:val="000000"/>
                <w:sz w:val="18"/>
                <w:szCs w:val="18"/>
                <w:lang w:eastAsia="lv-LV"/>
              </w:rPr>
            </w:pPr>
            <w:r w:rsidRPr="00255D47">
              <w:rPr>
                <w:rFonts w:eastAsia="Times New Roman" w:cs="Times New Roman"/>
                <w:color w:val="000000"/>
                <w:sz w:val="18"/>
                <w:szCs w:val="18"/>
                <w:lang w:eastAsia="lv-LV"/>
              </w:rPr>
              <w:t>atbalsts bēgļiem no Ukrainas</w:t>
            </w:r>
          </w:p>
        </w:tc>
        <w:tc>
          <w:tcPr>
            <w:tcW w:w="1443" w:type="dxa"/>
            <w:shd w:val="clear" w:color="auto" w:fill="auto"/>
            <w:noWrap/>
            <w:vAlign w:val="center"/>
          </w:tcPr>
          <w:p w14:paraId="489BD2B7"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p>
        </w:tc>
        <w:tc>
          <w:tcPr>
            <w:tcW w:w="872" w:type="dxa"/>
            <w:shd w:val="clear" w:color="auto" w:fill="auto"/>
            <w:noWrap/>
            <w:vAlign w:val="center"/>
          </w:tcPr>
          <w:p w14:paraId="1CEF9771"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c>
          <w:tcPr>
            <w:tcW w:w="877" w:type="dxa"/>
            <w:shd w:val="clear" w:color="auto" w:fill="auto"/>
            <w:noWrap/>
            <w:vAlign w:val="center"/>
          </w:tcPr>
          <w:p w14:paraId="2E917F2D"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c>
          <w:tcPr>
            <w:tcW w:w="881" w:type="dxa"/>
            <w:shd w:val="clear" w:color="auto" w:fill="auto"/>
            <w:noWrap/>
            <w:vAlign w:val="center"/>
          </w:tcPr>
          <w:p w14:paraId="1EC8B2DF"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0,0</w:t>
            </w:r>
          </w:p>
        </w:tc>
      </w:tr>
      <w:tr w:rsidR="00AA4CC2" w:rsidRPr="00F87F48" w14:paraId="11ABAE16" w14:textId="77777777" w:rsidTr="008332B4">
        <w:trPr>
          <w:trHeight w:val="54"/>
          <w:jc w:val="center"/>
        </w:trPr>
        <w:tc>
          <w:tcPr>
            <w:tcW w:w="5273" w:type="dxa"/>
            <w:shd w:val="clear" w:color="auto" w:fill="auto"/>
            <w:vAlign w:val="bottom"/>
          </w:tcPr>
          <w:p w14:paraId="7BEA0BB2" w14:textId="77777777" w:rsidR="00AA4CC2" w:rsidRDefault="00AA4CC2" w:rsidP="00163D32">
            <w:pPr>
              <w:spacing w:before="60" w:after="0"/>
              <w:ind w:firstLineChars="200" w:firstLine="360"/>
              <w:jc w:val="left"/>
              <w:rPr>
                <w:rFonts w:eastAsia="Times New Roman" w:cs="Times New Roman"/>
                <w:color w:val="000000"/>
                <w:sz w:val="18"/>
                <w:szCs w:val="18"/>
                <w:lang w:eastAsia="lv-LV"/>
              </w:rPr>
            </w:pPr>
            <w:r w:rsidRPr="00E301C4">
              <w:rPr>
                <w:rFonts w:eastAsia="Times New Roman" w:cs="Times New Roman"/>
                <w:color w:val="000000"/>
                <w:sz w:val="18"/>
                <w:szCs w:val="18"/>
                <w:lang w:eastAsia="lv-LV"/>
              </w:rPr>
              <w:t>vienreizējie izdevumi valsts aizsardzībai un iekšējai drošībai</w:t>
            </w:r>
          </w:p>
        </w:tc>
        <w:tc>
          <w:tcPr>
            <w:tcW w:w="1443" w:type="dxa"/>
            <w:shd w:val="clear" w:color="auto" w:fill="auto"/>
            <w:noWrap/>
            <w:vAlign w:val="center"/>
          </w:tcPr>
          <w:p w14:paraId="5CCF9D07"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p>
        </w:tc>
        <w:tc>
          <w:tcPr>
            <w:tcW w:w="872" w:type="dxa"/>
            <w:shd w:val="clear" w:color="auto" w:fill="auto"/>
            <w:noWrap/>
            <w:vAlign w:val="center"/>
          </w:tcPr>
          <w:p w14:paraId="23C80F01"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-0,9</w:t>
            </w:r>
          </w:p>
        </w:tc>
        <w:tc>
          <w:tcPr>
            <w:tcW w:w="877" w:type="dxa"/>
            <w:shd w:val="clear" w:color="auto" w:fill="auto"/>
            <w:noWrap/>
            <w:vAlign w:val="center"/>
          </w:tcPr>
          <w:p w14:paraId="4CF45DB3"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-0,8</w:t>
            </w:r>
          </w:p>
        </w:tc>
        <w:tc>
          <w:tcPr>
            <w:tcW w:w="881" w:type="dxa"/>
            <w:shd w:val="clear" w:color="auto" w:fill="auto"/>
            <w:noWrap/>
            <w:vAlign w:val="center"/>
          </w:tcPr>
          <w:p w14:paraId="55BB68AE"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-0,05</w:t>
            </w:r>
          </w:p>
        </w:tc>
      </w:tr>
      <w:tr w:rsidR="00AA4CC2" w:rsidRPr="00F87F48" w14:paraId="5C5D5474" w14:textId="77777777" w:rsidTr="008332B4">
        <w:trPr>
          <w:trHeight w:val="187"/>
          <w:jc w:val="center"/>
        </w:trPr>
        <w:tc>
          <w:tcPr>
            <w:tcW w:w="5273" w:type="dxa"/>
            <w:shd w:val="clear" w:color="auto" w:fill="auto"/>
            <w:vAlign w:val="center"/>
            <w:hideMark/>
          </w:tcPr>
          <w:p w14:paraId="0242316D"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Pr>
                <w:rFonts w:eastAsia="Times New Roman" w:cs="Times New Roman"/>
                <w:color w:val="000000"/>
                <w:sz w:val="18"/>
                <w:szCs w:val="18"/>
                <w:lang w:eastAsia="lv-LV"/>
              </w:rPr>
              <w:t>V</w:t>
            </w:r>
            <w:r w:rsidRPr="00F87F48">
              <w:rPr>
                <w:rFonts w:eastAsia="Times New Roman" w:cs="Times New Roman"/>
                <w:color w:val="000000"/>
                <w:sz w:val="18"/>
                <w:szCs w:val="18"/>
                <w:lang w:eastAsia="lv-LV"/>
              </w:rPr>
              <w:t>ispārējās valdības budžeta strukturālās bilances prognozes nemainīgas politikas scenārijā, % no IKP</w:t>
            </w:r>
          </w:p>
        </w:tc>
        <w:tc>
          <w:tcPr>
            <w:tcW w:w="1443" w:type="dxa"/>
            <w:shd w:val="clear" w:color="auto" w:fill="auto"/>
            <w:noWrap/>
            <w:vAlign w:val="center"/>
            <w:hideMark/>
          </w:tcPr>
          <w:p w14:paraId="406ED540"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(5)=(1)-(3)-(4)</w:t>
            </w:r>
          </w:p>
        </w:tc>
        <w:tc>
          <w:tcPr>
            <w:tcW w:w="872" w:type="dxa"/>
            <w:shd w:val="clear" w:color="auto" w:fill="auto"/>
            <w:noWrap/>
            <w:vAlign w:val="center"/>
          </w:tcPr>
          <w:p w14:paraId="76F7C9FF"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-0,1</w:t>
            </w:r>
          </w:p>
        </w:tc>
        <w:tc>
          <w:tcPr>
            <w:tcW w:w="877" w:type="dxa"/>
            <w:shd w:val="clear" w:color="auto" w:fill="auto"/>
            <w:noWrap/>
            <w:vAlign w:val="center"/>
          </w:tcPr>
          <w:p w14:paraId="1B0D3300"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0,5</w:t>
            </w:r>
          </w:p>
        </w:tc>
        <w:tc>
          <w:tcPr>
            <w:tcW w:w="881" w:type="dxa"/>
            <w:shd w:val="clear" w:color="auto" w:fill="auto"/>
            <w:noWrap/>
            <w:vAlign w:val="center"/>
          </w:tcPr>
          <w:p w14:paraId="646A481C"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0,9</w:t>
            </w:r>
          </w:p>
        </w:tc>
      </w:tr>
      <w:tr w:rsidR="00AA4CC2" w:rsidRPr="00F87F48" w14:paraId="02D78F6C" w14:textId="77777777" w:rsidTr="008332B4">
        <w:trPr>
          <w:trHeight w:val="54"/>
          <w:jc w:val="center"/>
        </w:trPr>
        <w:tc>
          <w:tcPr>
            <w:tcW w:w="5273" w:type="dxa"/>
            <w:shd w:val="clear" w:color="auto" w:fill="auto"/>
            <w:vAlign w:val="center"/>
            <w:hideMark/>
          </w:tcPr>
          <w:p w14:paraId="037DD0C5"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Pr>
                <w:rFonts w:eastAsia="Times New Roman" w:cs="Times New Roman"/>
                <w:color w:val="000000"/>
                <w:sz w:val="18"/>
                <w:szCs w:val="18"/>
                <w:lang w:eastAsia="lv-LV"/>
              </w:rPr>
              <w:t>V</w:t>
            </w:r>
            <w:r w:rsidRPr="00F87F48">
              <w:rPr>
                <w:rFonts w:eastAsia="Times New Roman" w:cs="Times New Roman"/>
                <w:color w:val="000000"/>
                <w:sz w:val="18"/>
                <w:szCs w:val="18"/>
                <w:lang w:eastAsia="lv-LV"/>
              </w:rPr>
              <w:t>ispārējās valdības budžeta strukturālās bilances mērķi, % no IKP</w:t>
            </w:r>
          </w:p>
        </w:tc>
        <w:tc>
          <w:tcPr>
            <w:tcW w:w="1443" w:type="dxa"/>
            <w:shd w:val="clear" w:color="auto" w:fill="auto"/>
            <w:noWrap/>
            <w:vAlign w:val="center"/>
            <w:hideMark/>
          </w:tcPr>
          <w:p w14:paraId="0CBEB4E4"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(6)</w:t>
            </w:r>
          </w:p>
        </w:tc>
        <w:tc>
          <w:tcPr>
            <w:tcW w:w="872" w:type="dxa"/>
            <w:shd w:val="clear" w:color="auto" w:fill="auto"/>
            <w:noWrap/>
            <w:vAlign w:val="center"/>
          </w:tcPr>
          <w:p w14:paraId="0B2E3F76"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-0,5</w:t>
            </w:r>
          </w:p>
        </w:tc>
        <w:tc>
          <w:tcPr>
            <w:tcW w:w="877" w:type="dxa"/>
            <w:shd w:val="clear" w:color="auto" w:fill="auto"/>
            <w:noWrap/>
            <w:vAlign w:val="center"/>
          </w:tcPr>
          <w:p w14:paraId="084540ED"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-0,5</w:t>
            </w:r>
          </w:p>
        </w:tc>
        <w:tc>
          <w:tcPr>
            <w:tcW w:w="881" w:type="dxa"/>
            <w:shd w:val="clear" w:color="auto" w:fill="auto"/>
            <w:noWrap/>
            <w:vAlign w:val="center"/>
          </w:tcPr>
          <w:p w14:paraId="63D87A45"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-0,5</w:t>
            </w:r>
          </w:p>
        </w:tc>
      </w:tr>
      <w:tr w:rsidR="00AA4CC2" w:rsidRPr="00F87F48" w14:paraId="2ED0D8F2" w14:textId="77777777" w:rsidTr="008332B4">
        <w:trPr>
          <w:trHeight w:val="54"/>
          <w:jc w:val="center"/>
        </w:trPr>
        <w:tc>
          <w:tcPr>
            <w:tcW w:w="5273" w:type="dxa"/>
            <w:shd w:val="clear" w:color="auto" w:fill="auto"/>
            <w:vAlign w:val="center"/>
            <w:hideMark/>
          </w:tcPr>
          <w:p w14:paraId="22A5DA5C"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Pr>
                <w:rFonts w:eastAsia="Times New Roman" w:cs="Times New Roman"/>
                <w:color w:val="000000"/>
                <w:sz w:val="18"/>
                <w:szCs w:val="18"/>
                <w:lang w:eastAsia="lv-LV"/>
              </w:rPr>
              <w:t>F</w:t>
            </w:r>
            <w:r w:rsidRPr="00F87F48">
              <w:rPr>
                <w:rFonts w:eastAsia="Times New Roman" w:cs="Times New Roman"/>
                <w:color w:val="000000"/>
                <w:sz w:val="18"/>
                <w:szCs w:val="18"/>
                <w:lang w:eastAsia="lv-LV"/>
              </w:rPr>
              <w:t>iskālā nodrošinājuma rezerve, % no IKP</w:t>
            </w:r>
          </w:p>
        </w:tc>
        <w:tc>
          <w:tcPr>
            <w:tcW w:w="1443" w:type="dxa"/>
            <w:shd w:val="clear" w:color="auto" w:fill="auto"/>
            <w:noWrap/>
            <w:vAlign w:val="center"/>
            <w:hideMark/>
          </w:tcPr>
          <w:p w14:paraId="4FB6B0C6" w14:textId="77777777" w:rsidR="00AA4CC2" w:rsidRPr="00F87F48" w:rsidRDefault="00AA4CC2" w:rsidP="00163D32">
            <w:pPr>
              <w:spacing w:before="60" w:after="0"/>
              <w:ind w:firstLine="0"/>
              <w:jc w:val="left"/>
              <w:rPr>
                <w:rFonts w:eastAsia="Times New Roman" w:cs="Times New Roman"/>
                <w:color w:val="000000"/>
                <w:sz w:val="18"/>
                <w:szCs w:val="18"/>
                <w:lang w:eastAsia="lv-LV"/>
              </w:rPr>
            </w:pPr>
            <w:r w:rsidRPr="00F87F48">
              <w:rPr>
                <w:rFonts w:eastAsia="Times New Roman" w:cs="Times New Roman"/>
                <w:color w:val="000000"/>
                <w:sz w:val="18"/>
                <w:szCs w:val="18"/>
                <w:lang w:eastAsia="lv-LV"/>
              </w:rPr>
              <w:t>(7)</w:t>
            </w:r>
          </w:p>
        </w:tc>
        <w:tc>
          <w:tcPr>
            <w:tcW w:w="872" w:type="dxa"/>
            <w:shd w:val="clear" w:color="auto" w:fill="auto"/>
            <w:noWrap/>
            <w:vAlign w:val="center"/>
          </w:tcPr>
          <w:p w14:paraId="2EA872FF"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0,1</w:t>
            </w:r>
          </w:p>
        </w:tc>
        <w:tc>
          <w:tcPr>
            <w:tcW w:w="877" w:type="dxa"/>
            <w:shd w:val="clear" w:color="auto" w:fill="auto"/>
            <w:noWrap/>
            <w:vAlign w:val="center"/>
          </w:tcPr>
          <w:p w14:paraId="0F507D07"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0,1</w:t>
            </w:r>
          </w:p>
        </w:tc>
        <w:tc>
          <w:tcPr>
            <w:tcW w:w="881" w:type="dxa"/>
            <w:shd w:val="clear" w:color="auto" w:fill="auto"/>
            <w:noWrap/>
            <w:vAlign w:val="center"/>
          </w:tcPr>
          <w:p w14:paraId="1DD92799" w14:textId="77777777" w:rsidR="00AA4CC2" w:rsidRPr="00F87F48" w:rsidRDefault="00AA4CC2" w:rsidP="00163D32">
            <w:pPr>
              <w:spacing w:before="60" w:after="0"/>
              <w:ind w:firstLine="0"/>
              <w:jc w:val="center"/>
              <w:rPr>
                <w:rFonts w:eastAsia="Times New Roman" w:cs="Times New Roman"/>
                <w:color w:val="000000"/>
                <w:sz w:val="18"/>
                <w:szCs w:val="18"/>
                <w:lang w:eastAsia="lv-LV"/>
              </w:rPr>
            </w:pPr>
            <w:r>
              <w:rPr>
                <w:sz w:val="20"/>
                <w:szCs w:val="20"/>
              </w:rPr>
              <w:t>0,1</w:t>
            </w:r>
          </w:p>
        </w:tc>
      </w:tr>
      <w:tr w:rsidR="00AA4CC2" w:rsidRPr="00F87F48" w14:paraId="0DC22027" w14:textId="77777777" w:rsidTr="00BE6193">
        <w:trPr>
          <w:trHeight w:val="54"/>
          <w:jc w:val="center"/>
        </w:trPr>
        <w:tc>
          <w:tcPr>
            <w:tcW w:w="5273" w:type="dxa"/>
            <w:shd w:val="clear" w:color="auto" w:fill="BDD6EE" w:themeFill="accent1" w:themeFillTint="66"/>
            <w:vAlign w:val="center"/>
            <w:hideMark/>
          </w:tcPr>
          <w:p w14:paraId="1D1F96E1" w14:textId="77777777" w:rsidR="00AA4CC2" w:rsidRPr="00F87F48" w:rsidRDefault="00AA4CC2" w:rsidP="00163D32">
            <w:pPr>
              <w:spacing w:before="60" w:after="0"/>
              <w:ind w:firstLine="0"/>
              <w:jc w:val="left"/>
              <w:rPr>
                <w:rFonts w:eastAsia="Times New Roman" w:cs="Times New Roman"/>
                <w:b/>
                <w:bCs/>
                <w:noProof/>
                <w:color w:val="000000"/>
                <w:sz w:val="18"/>
                <w:szCs w:val="18"/>
                <w:lang w:eastAsia="lv-LV"/>
              </w:rPr>
            </w:pPr>
            <w:r>
              <w:rPr>
                <w:rFonts w:eastAsia="Times New Roman" w:cs="Times New Roman"/>
                <w:b/>
                <w:bCs/>
                <w:noProof/>
                <w:color w:val="000000"/>
                <w:sz w:val="18"/>
                <w:szCs w:val="18"/>
                <w:lang w:eastAsia="lv-LV"/>
              </w:rPr>
              <w:t>F</w:t>
            </w:r>
            <w:r w:rsidRPr="00F87F48">
              <w:rPr>
                <w:rFonts w:eastAsia="Times New Roman" w:cs="Times New Roman"/>
                <w:b/>
                <w:bCs/>
                <w:noProof/>
                <w:color w:val="000000"/>
                <w:sz w:val="18"/>
                <w:szCs w:val="18"/>
                <w:lang w:eastAsia="lv-LV"/>
              </w:rPr>
              <w:t>iskālā telpa, % no IKP</w:t>
            </w:r>
          </w:p>
        </w:tc>
        <w:tc>
          <w:tcPr>
            <w:tcW w:w="1443" w:type="dxa"/>
            <w:shd w:val="clear" w:color="auto" w:fill="BDD6EE" w:themeFill="accent1" w:themeFillTint="66"/>
            <w:noWrap/>
            <w:vAlign w:val="center"/>
            <w:hideMark/>
          </w:tcPr>
          <w:p w14:paraId="5FEBFCD8" w14:textId="77777777" w:rsidR="00AA4CC2" w:rsidRPr="00F87F48" w:rsidRDefault="00AA4CC2" w:rsidP="00163D32">
            <w:pPr>
              <w:spacing w:before="60" w:after="0"/>
              <w:ind w:firstLine="0"/>
              <w:jc w:val="left"/>
              <w:rPr>
                <w:rFonts w:eastAsia="Times New Roman" w:cs="Times New Roman"/>
                <w:b/>
                <w:bCs/>
                <w:color w:val="000000"/>
                <w:sz w:val="18"/>
                <w:szCs w:val="18"/>
                <w:lang w:eastAsia="lv-LV"/>
              </w:rPr>
            </w:pPr>
            <w:r w:rsidRPr="00F87F48">
              <w:rPr>
                <w:rFonts w:eastAsia="Times New Roman" w:cs="Times New Roman"/>
                <w:b/>
                <w:bCs/>
                <w:color w:val="000000"/>
                <w:sz w:val="18"/>
                <w:szCs w:val="18"/>
                <w:lang w:eastAsia="lv-LV"/>
              </w:rPr>
              <w:t>(8)=(5)-(6)-(7)</w:t>
            </w:r>
          </w:p>
        </w:tc>
        <w:tc>
          <w:tcPr>
            <w:tcW w:w="872" w:type="dxa"/>
            <w:shd w:val="clear" w:color="auto" w:fill="BDD6EE" w:themeFill="accent1" w:themeFillTint="66"/>
            <w:noWrap/>
            <w:vAlign w:val="center"/>
          </w:tcPr>
          <w:p w14:paraId="7B4FD2C4" w14:textId="77777777" w:rsidR="00AA4CC2" w:rsidRPr="00DD38C1" w:rsidRDefault="00AA4CC2" w:rsidP="00163D32">
            <w:pPr>
              <w:spacing w:before="60" w:after="0"/>
              <w:ind w:firstLine="0"/>
              <w:jc w:val="center"/>
              <w:rPr>
                <w:rFonts w:eastAsia="Times New Roman" w:cs="Times New Roman"/>
                <w:b/>
                <w:bCs/>
                <w:color w:val="000000"/>
                <w:sz w:val="20"/>
                <w:szCs w:val="20"/>
                <w:lang w:eastAsia="lv-LV"/>
              </w:rPr>
            </w:pPr>
            <w:r w:rsidRPr="00E301C4">
              <w:rPr>
                <w:b/>
                <w:bCs/>
                <w:sz w:val="20"/>
                <w:szCs w:val="20"/>
              </w:rPr>
              <w:t>0,32</w:t>
            </w:r>
          </w:p>
        </w:tc>
        <w:tc>
          <w:tcPr>
            <w:tcW w:w="877" w:type="dxa"/>
            <w:shd w:val="clear" w:color="auto" w:fill="BDD6EE" w:themeFill="accent1" w:themeFillTint="66"/>
            <w:noWrap/>
            <w:vAlign w:val="center"/>
          </w:tcPr>
          <w:p w14:paraId="4055A369" w14:textId="77777777" w:rsidR="00AA4CC2" w:rsidRPr="00DD38C1" w:rsidRDefault="00AA4CC2" w:rsidP="00163D32">
            <w:pPr>
              <w:spacing w:before="60" w:after="0"/>
              <w:ind w:firstLine="0"/>
              <w:jc w:val="center"/>
              <w:rPr>
                <w:rFonts w:eastAsia="Times New Roman" w:cs="Times New Roman"/>
                <w:b/>
                <w:bCs/>
                <w:color w:val="000000"/>
                <w:sz w:val="20"/>
                <w:szCs w:val="20"/>
                <w:lang w:eastAsia="lv-LV"/>
              </w:rPr>
            </w:pPr>
            <w:r w:rsidRPr="00E301C4">
              <w:rPr>
                <w:b/>
                <w:bCs/>
                <w:sz w:val="20"/>
                <w:szCs w:val="20"/>
              </w:rPr>
              <w:t>0,93</w:t>
            </w:r>
          </w:p>
        </w:tc>
        <w:tc>
          <w:tcPr>
            <w:tcW w:w="881" w:type="dxa"/>
            <w:shd w:val="clear" w:color="auto" w:fill="BDD6EE" w:themeFill="accent1" w:themeFillTint="66"/>
            <w:noWrap/>
            <w:vAlign w:val="center"/>
          </w:tcPr>
          <w:p w14:paraId="306AD6E0" w14:textId="77777777" w:rsidR="00AA4CC2" w:rsidRPr="00DD38C1" w:rsidRDefault="00AA4CC2" w:rsidP="00163D32">
            <w:pPr>
              <w:spacing w:before="60" w:after="0"/>
              <w:ind w:firstLine="0"/>
              <w:jc w:val="center"/>
              <w:rPr>
                <w:rFonts w:eastAsia="Times New Roman" w:cs="Times New Roman"/>
                <w:b/>
                <w:bCs/>
                <w:color w:val="000000"/>
                <w:sz w:val="20"/>
                <w:szCs w:val="20"/>
                <w:lang w:eastAsia="lv-LV"/>
              </w:rPr>
            </w:pPr>
            <w:r w:rsidRPr="00E301C4">
              <w:rPr>
                <w:b/>
                <w:bCs/>
                <w:sz w:val="20"/>
                <w:szCs w:val="20"/>
              </w:rPr>
              <w:t>1,33</w:t>
            </w:r>
          </w:p>
        </w:tc>
      </w:tr>
      <w:tr w:rsidR="00AA4CC2" w:rsidRPr="00BE6193" w14:paraId="5609EBED" w14:textId="77777777" w:rsidTr="00BE6193">
        <w:trPr>
          <w:trHeight w:val="54"/>
          <w:jc w:val="center"/>
        </w:trPr>
        <w:tc>
          <w:tcPr>
            <w:tcW w:w="5273" w:type="dxa"/>
            <w:shd w:val="clear" w:color="auto" w:fill="BDD6EE" w:themeFill="accent1" w:themeFillTint="66"/>
            <w:vAlign w:val="center"/>
          </w:tcPr>
          <w:p w14:paraId="6B58244C" w14:textId="77777777" w:rsidR="00AA4CC2" w:rsidRPr="00BE6193" w:rsidRDefault="00AA4CC2" w:rsidP="00163D32">
            <w:pPr>
              <w:spacing w:before="60" w:after="0"/>
              <w:ind w:firstLine="0"/>
              <w:jc w:val="left"/>
              <w:rPr>
                <w:rFonts w:eastAsia="Times New Roman" w:cs="Times New Roman"/>
                <w:b/>
                <w:bCs/>
                <w:noProof/>
                <w:color w:val="000000"/>
                <w:sz w:val="20"/>
                <w:szCs w:val="20"/>
                <w:lang w:eastAsia="lv-LV"/>
              </w:rPr>
            </w:pPr>
            <w:r w:rsidRPr="00BE6193">
              <w:rPr>
                <w:rFonts w:eastAsia="Times New Roman" w:cs="Times New Roman"/>
                <w:b/>
                <w:bCs/>
                <w:noProof/>
                <w:color w:val="000000"/>
                <w:sz w:val="20"/>
                <w:szCs w:val="20"/>
                <w:lang w:eastAsia="lv-LV"/>
              </w:rPr>
              <w:t xml:space="preserve">Fiskālā telpa, milj. </w:t>
            </w:r>
            <w:r w:rsidRPr="00BE6193">
              <w:rPr>
                <w:rFonts w:eastAsia="Times New Roman" w:cs="Times New Roman"/>
                <w:b/>
                <w:bCs/>
                <w:i/>
                <w:iCs/>
                <w:noProof/>
                <w:color w:val="000000"/>
                <w:sz w:val="20"/>
                <w:szCs w:val="20"/>
                <w:lang w:eastAsia="lv-LV"/>
              </w:rPr>
              <w:t>euro</w:t>
            </w:r>
          </w:p>
        </w:tc>
        <w:tc>
          <w:tcPr>
            <w:tcW w:w="1443" w:type="dxa"/>
            <w:shd w:val="clear" w:color="auto" w:fill="BDD6EE" w:themeFill="accent1" w:themeFillTint="66"/>
            <w:noWrap/>
            <w:vAlign w:val="center"/>
          </w:tcPr>
          <w:p w14:paraId="2F75774A" w14:textId="77777777" w:rsidR="00AA4CC2" w:rsidRPr="00BE6193" w:rsidRDefault="00AA4CC2" w:rsidP="00163D32">
            <w:pPr>
              <w:spacing w:before="60" w:after="0"/>
              <w:ind w:firstLine="0"/>
              <w:jc w:val="left"/>
              <w:rPr>
                <w:rFonts w:eastAsia="Times New Roman" w:cs="Times New Roman"/>
                <w:b/>
                <w:bCs/>
                <w:color w:val="000000"/>
                <w:sz w:val="20"/>
                <w:szCs w:val="20"/>
                <w:lang w:eastAsia="lv-LV"/>
              </w:rPr>
            </w:pPr>
          </w:p>
        </w:tc>
        <w:tc>
          <w:tcPr>
            <w:tcW w:w="872" w:type="dxa"/>
            <w:shd w:val="clear" w:color="auto" w:fill="BDD6EE" w:themeFill="accent1" w:themeFillTint="66"/>
            <w:noWrap/>
            <w:vAlign w:val="center"/>
          </w:tcPr>
          <w:p w14:paraId="486E1924" w14:textId="77777777" w:rsidR="00AA4CC2" w:rsidRPr="00BE6193" w:rsidRDefault="00AA4CC2" w:rsidP="00163D32">
            <w:pPr>
              <w:spacing w:before="60" w:after="0"/>
              <w:ind w:firstLine="0"/>
              <w:jc w:val="center"/>
              <w:rPr>
                <w:rFonts w:eastAsia="Times New Roman" w:cs="Times New Roman"/>
                <w:b/>
                <w:bCs/>
                <w:color w:val="000000"/>
                <w:sz w:val="20"/>
                <w:szCs w:val="20"/>
                <w:lang w:eastAsia="lv-LV"/>
              </w:rPr>
            </w:pPr>
            <w:r w:rsidRPr="00BE6193">
              <w:rPr>
                <w:b/>
                <w:bCs/>
                <w:color w:val="000000"/>
                <w:sz w:val="20"/>
                <w:szCs w:val="20"/>
              </w:rPr>
              <w:t>148,4</w:t>
            </w:r>
          </w:p>
        </w:tc>
        <w:tc>
          <w:tcPr>
            <w:tcW w:w="877" w:type="dxa"/>
            <w:shd w:val="clear" w:color="auto" w:fill="BDD6EE" w:themeFill="accent1" w:themeFillTint="66"/>
            <w:noWrap/>
            <w:vAlign w:val="center"/>
          </w:tcPr>
          <w:p w14:paraId="42C749F4" w14:textId="77777777" w:rsidR="00AA4CC2" w:rsidRPr="00BE6193" w:rsidRDefault="00AA4CC2" w:rsidP="00163D32">
            <w:pPr>
              <w:spacing w:before="60" w:after="0"/>
              <w:ind w:firstLine="0"/>
              <w:jc w:val="center"/>
              <w:rPr>
                <w:rFonts w:eastAsia="Times New Roman" w:cs="Times New Roman"/>
                <w:b/>
                <w:bCs/>
                <w:color w:val="000000"/>
                <w:sz w:val="20"/>
                <w:szCs w:val="20"/>
                <w:lang w:eastAsia="lv-LV"/>
              </w:rPr>
            </w:pPr>
            <w:r w:rsidRPr="00BE6193">
              <w:rPr>
                <w:b/>
                <w:bCs/>
                <w:color w:val="000000"/>
                <w:sz w:val="20"/>
                <w:szCs w:val="20"/>
              </w:rPr>
              <w:t>450,3</w:t>
            </w:r>
          </w:p>
        </w:tc>
        <w:tc>
          <w:tcPr>
            <w:tcW w:w="881" w:type="dxa"/>
            <w:shd w:val="clear" w:color="auto" w:fill="BDD6EE" w:themeFill="accent1" w:themeFillTint="66"/>
            <w:noWrap/>
            <w:vAlign w:val="center"/>
          </w:tcPr>
          <w:p w14:paraId="726CE13E" w14:textId="77777777" w:rsidR="00AA4CC2" w:rsidRPr="00BE6193" w:rsidRDefault="00AA4CC2" w:rsidP="00163D32">
            <w:pPr>
              <w:spacing w:before="60" w:after="0"/>
              <w:ind w:firstLine="0"/>
              <w:jc w:val="center"/>
              <w:rPr>
                <w:rFonts w:eastAsia="Times New Roman" w:cs="Times New Roman"/>
                <w:b/>
                <w:bCs/>
                <w:color w:val="000000"/>
                <w:sz w:val="20"/>
                <w:szCs w:val="20"/>
                <w:lang w:eastAsia="lv-LV"/>
              </w:rPr>
            </w:pPr>
            <w:r w:rsidRPr="00BE6193">
              <w:rPr>
                <w:b/>
                <w:bCs/>
                <w:color w:val="000000"/>
                <w:sz w:val="20"/>
                <w:szCs w:val="20"/>
              </w:rPr>
              <w:t>684,3</w:t>
            </w:r>
          </w:p>
        </w:tc>
      </w:tr>
    </w:tbl>
    <w:p w14:paraId="0944F64C" w14:textId="396B7D19" w:rsidR="00B15B93" w:rsidRDefault="00AA4CC2" w:rsidP="001262AC">
      <w:pPr>
        <w:rPr>
          <w:szCs w:val="20"/>
          <w:highlight w:val="yellow"/>
        </w:rPr>
      </w:pPr>
      <w:r>
        <w:rPr>
          <w:szCs w:val="20"/>
        </w:rPr>
        <w:t xml:space="preserve">2024. gadā fiskālās telpas apjoms ir  </w:t>
      </w:r>
      <w:r>
        <w:rPr>
          <w:noProof/>
          <w:szCs w:val="20"/>
        </w:rPr>
        <w:t xml:space="preserve">148,4 milj.  </w:t>
      </w:r>
      <w:r w:rsidRPr="00F87F48">
        <w:rPr>
          <w:i/>
          <w:iCs/>
          <w:noProof/>
          <w:szCs w:val="20"/>
        </w:rPr>
        <w:t>euro</w:t>
      </w:r>
      <w:r>
        <w:rPr>
          <w:noProof/>
          <w:szCs w:val="20"/>
        </w:rPr>
        <w:t xml:space="preserve">, 2025. gadā  450,3 milj. </w:t>
      </w:r>
      <w:r w:rsidRPr="00F87F48">
        <w:rPr>
          <w:i/>
          <w:iCs/>
          <w:noProof/>
          <w:szCs w:val="20"/>
        </w:rPr>
        <w:t>euro</w:t>
      </w:r>
      <w:r>
        <w:rPr>
          <w:noProof/>
          <w:szCs w:val="20"/>
        </w:rPr>
        <w:t xml:space="preserve"> un 2026. gadā  684,3 milj. </w:t>
      </w:r>
      <w:r w:rsidRPr="00F87F48">
        <w:rPr>
          <w:i/>
          <w:iCs/>
          <w:noProof/>
          <w:szCs w:val="20"/>
        </w:rPr>
        <w:t>euro</w:t>
      </w:r>
      <w:r w:rsidR="009A32C3">
        <w:rPr>
          <w:i/>
          <w:iCs/>
          <w:noProof/>
          <w:szCs w:val="20"/>
        </w:rPr>
        <w:t xml:space="preserve"> </w:t>
      </w:r>
      <w:r w:rsidR="009A32C3" w:rsidRPr="009A32C3">
        <w:rPr>
          <w:noProof/>
          <w:szCs w:val="20"/>
        </w:rPr>
        <w:t>(skat. 13. tabulu)</w:t>
      </w:r>
      <w:r w:rsidRPr="009A32C3">
        <w:rPr>
          <w:noProof/>
          <w:szCs w:val="20"/>
        </w:rPr>
        <w:t>.</w:t>
      </w:r>
      <w:r>
        <w:rPr>
          <w:noProof/>
          <w:szCs w:val="20"/>
        </w:rPr>
        <w:t xml:space="preserve"> Saskaņā ar fiskālās politikas stratēģiju, ārpus fiskālās telpas ir iespējams finansēt vienreizējos no kara Ukrainā izrietošos valsts iekšējās un ārējās drošības pasākumus, atbalstu Ukrainai un tās civiliedzīvotājiem Latvijā, kā arī, nepieciešamības gadījumā -  </w:t>
      </w:r>
      <w:r w:rsidRPr="00266EF8">
        <w:rPr>
          <w:szCs w:val="20"/>
        </w:rPr>
        <w:t>enerģijas cenu būtiskā pieauguma kompensācij</w:t>
      </w:r>
      <w:r>
        <w:rPr>
          <w:szCs w:val="20"/>
        </w:rPr>
        <w:t>u.</w:t>
      </w:r>
      <w:r>
        <w:rPr>
          <w:noProof/>
          <w:szCs w:val="20"/>
        </w:rPr>
        <w:t xml:space="preserve"> </w:t>
      </w:r>
      <w:r w:rsidR="00B15B93">
        <w:rPr>
          <w:szCs w:val="20"/>
          <w:highlight w:val="yellow"/>
        </w:rPr>
        <w:br w:type="page"/>
      </w:r>
    </w:p>
    <w:p w14:paraId="5486715C" w14:textId="77777777" w:rsidR="00E96CDD" w:rsidRPr="00BA20B8" w:rsidRDefault="00043218" w:rsidP="00A83AAD">
      <w:pPr>
        <w:pStyle w:val="Heading1"/>
        <w:ind w:left="360"/>
        <w:rPr>
          <w:sz w:val="28"/>
          <w:szCs w:val="28"/>
        </w:rPr>
      </w:pPr>
      <w:bookmarkStart w:id="17" w:name="_Toc142344007"/>
      <w:r w:rsidRPr="00BA20B8">
        <w:rPr>
          <w:sz w:val="28"/>
          <w:szCs w:val="28"/>
        </w:rPr>
        <w:lastRenderedPageBreak/>
        <w:t>Turpmākā rīcība</w:t>
      </w:r>
      <w:bookmarkEnd w:id="14"/>
      <w:bookmarkEnd w:id="17"/>
    </w:p>
    <w:p w14:paraId="1F7C64E4" w14:textId="77777777" w:rsidR="00A840E6" w:rsidRDefault="00A840E6" w:rsidP="00AD19DB">
      <w:pPr>
        <w:spacing w:before="60" w:after="60"/>
        <w:rPr>
          <w:szCs w:val="24"/>
        </w:rPr>
      </w:pPr>
    </w:p>
    <w:p w14:paraId="44B7C4A4" w14:textId="1FD4D0CC" w:rsidR="005F7872" w:rsidRPr="00BA20B8" w:rsidRDefault="00C33828" w:rsidP="00AD19DB">
      <w:pPr>
        <w:spacing w:before="60" w:after="60"/>
        <w:rPr>
          <w:szCs w:val="24"/>
        </w:rPr>
      </w:pPr>
      <w:r w:rsidRPr="00BA20B8">
        <w:rPr>
          <w:szCs w:val="24"/>
        </w:rPr>
        <w:t xml:space="preserve">Lai turpinātu </w:t>
      </w:r>
      <w:r w:rsidR="00622435" w:rsidRPr="00BA20B8">
        <w:rPr>
          <w:szCs w:val="24"/>
        </w:rPr>
        <w:t xml:space="preserve">likumprojekta </w:t>
      </w:r>
      <w:r w:rsidR="006B3507" w:rsidRPr="00BA20B8">
        <w:rPr>
          <w:szCs w:val="24"/>
        </w:rPr>
        <w:t>“</w:t>
      </w:r>
      <w:r w:rsidR="00400ECC" w:rsidRPr="00400ECC">
        <w:rPr>
          <w:szCs w:val="24"/>
        </w:rPr>
        <w:t>Par valsts budžetu 202</w:t>
      </w:r>
      <w:r w:rsidR="00B15B93">
        <w:rPr>
          <w:szCs w:val="24"/>
        </w:rPr>
        <w:t>4</w:t>
      </w:r>
      <w:r w:rsidR="00400ECC" w:rsidRPr="00400ECC">
        <w:rPr>
          <w:szCs w:val="24"/>
        </w:rPr>
        <w:t>.gadam un budžeta ietvaru</w:t>
      </w:r>
      <w:r w:rsidR="00A02B60">
        <w:rPr>
          <w:szCs w:val="24"/>
        </w:rPr>
        <w:t xml:space="preserve"> 202</w:t>
      </w:r>
      <w:r w:rsidR="00B15B93">
        <w:rPr>
          <w:szCs w:val="24"/>
        </w:rPr>
        <w:t>4</w:t>
      </w:r>
      <w:r w:rsidR="00A02B60">
        <w:rPr>
          <w:szCs w:val="24"/>
        </w:rPr>
        <w:t>.,</w:t>
      </w:r>
      <w:r w:rsidR="00400ECC" w:rsidRPr="00400ECC">
        <w:rPr>
          <w:szCs w:val="24"/>
        </w:rPr>
        <w:t xml:space="preserve"> 202</w:t>
      </w:r>
      <w:r w:rsidR="00B15B93">
        <w:rPr>
          <w:szCs w:val="24"/>
        </w:rPr>
        <w:t>5</w:t>
      </w:r>
      <w:r w:rsidR="00400ECC" w:rsidRPr="00400ECC">
        <w:rPr>
          <w:szCs w:val="24"/>
        </w:rPr>
        <w:t>. un 202</w:t>
      </w:r>
      <w:r w:rsidR="00B15B93">
        <w:rPr>
          <w:szCs w:val="24"/>
        </w:rPr>
        <w:t>6</w:t>
      </w:r>
      <w:r w:rsidR="00400ECC" w:rsidRPr="00400ECC">
        <w:rPr>
          <w:szCs w:val="24"/>
        </w:rPr>
        <w:t>. gadam</w:t>
      </w:r>
      <w:r w:rsidR="00400ECC">
        <w:rPr>
          <w:szCs w:val="24"/>
        </w:rPr>
        <w:t>”</w:t>
      </w:r>
      <w:r w:rsidR="00400ECC" w:rsidRPr="00400ECC">
        <w:rPr>
          <w:szCs w:val="24"/>
        </w:rPr>
        <w:t xml:space="preserve"> </w:t>
      </w:r>
      <w:r w:rsidR="00400ECC" w:rsidRPr="00BA20B8">
        <w:rPr>
          <w:szCs w:val="24"/>
        </w:rPr>
        <w:t xml:space="preserve">sagatavošanu, </w:t>
      </w:r>
      <w:r w:rsidR="00400ECC" w:rsidRPr="00400ECC">
        <w:rPr>
          <w:szCs w:val="24"/>
        </w:rPr>
        <w:t>nepieciešams:</w:t>
      </w:r>
    </w:p>
    <w:p w14:paraId="7BEC8FE3" w14:textId="377B16BF" w:rsidR="00E84F3D" w:rsidRPr="00281595" w:rsidRDefault="00E84F3D" w:rsidP="00E84F3D">
      <w:pPr>
        <w:pStyle w:val="ListParagraph"/>
        <w:numPr>
          <w:ilvl w:val="0"/>
          <w:numId w:val="3"/>
        </w:numPr>
        <w:tabs>
          <w:tab w:val="left" w:pos="1134"/>
        </w:tabs>
        <w:spacing w:before="0"/>
        <w:ind w:left="714" w:hanging="357"/>
        <w:contextualSpacing w:val="0"/>
      </w:pPr>
      <w:r w:rsidRPr="00281595">
        <w:t>Pieņemt zināšanai iesniegto informatīvo ziņojumu</w:t>
      </w:r>
      <w:r w:rsidR="002603F6">
        <w:t>.</w:t>
      </w:r>
    </w:p>
    <w:p w14:paraId="0E77AE18" w14:textId="1267015D" w:rsidR="00EE5E38" w:rsidRPr="00F00849" w:rsidRDefault="00EE5E38" w:rsidP="00EE5E38">
      <w:pPr>
        <w:pStyle w:val="ListParagraph"/>
        <w:numPr>
          <w:ilvl w:val="0"/>
          <w:numId w:val="3"/>
        </w:numPr>
        <w:tabs>
          <w:tab w:val="left" w:pos="1134"/>
        </w:tabs>
        <w:spacing w:before="0"/>
        <w:ind w:left="714" w:hanging="357"/>
        <w:contextualSpacing w:val="0"/>
        <w:rPr>
          <w:noProof/>
        </w:rPr>
      </w:pPr>
      <w:r w:rsidRPr="009F1A5C">
        <w:rPr>
          <w:noProof/>
        </w:rPr>
        <w:t>Pieņemt zināšanai, ka vispārējās valdības budžeta bilances prognožu pamatā ir Finanšu ministrijas izstrādātās un Fiskālās disciplīnas padomes 2023.</w:t>
      </w:r>
      <w:r w:rsidR="00EB0A50">
        <w:rPr>
          <w:noProof/>
        </w:rPr>
        <w:t> </w:t>
      </w:r>
      <w:r w:rsidRPr="009F1A5C">
        <w:rPr>
          <w:noProof/>
        </w:rPr>
        <w:t>gada 13.</w:t>
      </w:r>
      <w:r w:rsidR="00EB0A50">
        <w:rPr>
          <w:noProof/>
        </w:rPr>
        <w:t> </w:t>
      </w:r>
      <w:r w:rsidRPr="009F1A5C">
        <w:rPr>
          <w:noProof/>
        </w:rPr>
        <w:t>jūnijā apstiprinātās makroekonomisko rādītāju prognozes: iekšzemes kopprodukta pieaugums salīdzināmās cenās 2023. gadā 1,0%, 2024. gadā 2,5%, 2025. gadā 2,9% un 2026. gadā 2,9%; iekšzemes kopprodukta pieaugums faktiskajās cenās 2023. gadā 11,0%, 2024.</w:t>
      </w:r>
      <w:r w:rsidR="00EB0A50">
        <w:rPr>
          <w:noProof/>
        </w:rPr>
        <w:t> </w:t>
      </w:r>
      <w:r w:rsidRPr="009F1A5C">
        <w:rPr>
          <w:noProof/>
        </w:rPr>
        <w:t>gadā 5,5%, 2025.</w:t>
      </w:r>
      <w:r w:rsidR="00EB0A50">
        <w:rPr>
          <w:noProof/>
        </w:rPr>
        <w:t> </w:t>
      </w:r>
      <w:r w:rsidRPr="009F1A5C">
        <w:rPr>
          <w:noProof/>
        </w:rPr>
        <w:t>gadā 6,2% un 2026.</w:t>
      </w:r>
      <w:r w:rsidR="00EB0A50">
        <w:rPr>
          <w:noProof/>
        </w:rPr>
        <w:t> </w:t>
      </w:r>
      <w:r w:rsidRPr="009F1A5C">
        <w:rPr>
          <w:noProof/>
        </w:rPr>
        <w:t>gadā 5,8%; nominālais iekšzemes kopprodukts 2023. gadā 43</w:t>
      </w:r>
      <w:r w:rsidR="00BE6193">
        <w:rPr>
          <w:noProof/>
        </w:rPr>
        <w:t> </w:t>
      </w:r>
      <w:r w:rsidRPr="009F1A5C">
        <w:rPr>
          <w:noProof/>
        </w:rPr>
        <w:t xml:space="preserve">368 milj. </w:t>
      </w:r>
      <w:r w:rsidRPr="00875C23">
        <w:rPr>
          <w:i/>
          <w:iCs/>
          <w:noProof/>
        </w:rPr>
        <w:t>euro</w:t>
      </w:r>
      <w:r w:rsidRPr="009F1A5C">
        <w:rPr>
          <w:noProof/>
        </w:rPr>
        <w:t>, 2024. gadā 45</w:t>
      </w:r>
      <w:r w:rsidR="00BE6193">
        <w:rPr>
          <w:noProof/>
        </w:rPr>
        <w:t> </w:t>
      </w:r>
      <w:r w:rsidRPr="009F1A5C">
        <w:rPr>
          <w:noProof/>
        </w:rPr>
        <w:t>750 milj.</w:t>
      </w:r>
      <w:r w:rsidRPr="00875C23">
        <w:rPr>
          <w:i/>
          <w:iCs/>
          <w:noProof/>
        </w:rPr>
        <w:t xml:space="preserve"> euro</w:t>
      </w:r>
      <w:r w:rsidRPr="009F1A5C">
        <w:rPr>
          <w:noProof/>
        </w:rPr>
        <w:t>, 2025. gadā 48</w:t>
      </w:r>
      <w:r w:rsidR="00BE6193">
        <w:rPr>
          <w:noProof/>
        </w:rPr>
        <w:t> </w:t>
      </w:r>
      <w:r w:rsidRPr="009F1A5C">
        <w:rPr>
          <w:noProof/>
        </w:rPr>
        <w:t xml:space="preserve">577 milj. </w:t>
      </w:r>
      <w:r w:rsidRPr="00875C23">
        <w:rPr>
          <w:i/>
          <w:iCs/>
          <w:noProof/>
        </w:rPr>
        <w:t>euro</w:t>
      </w:r>
      <w:r w:rsidRPr="009F1A5C">
        <w:rPr>
          <w:noProof/>
        </w:rPr>
        <w:t xml:space="preserve"> un 2026. gadā 51</w:t>
      </w:r>
      <w:r w:rsidR="00BE6193">
        <w:rPr>
          <w:noProof/>
        </w:rPr>
        <w:t> </w:t>
      </w:r>
      <w:r w:rsidRPr="009F1A5C">
        <w:rPr>
          <w:noProof/>
        </w:rPr>
        <w:t xml:space="preserve">375 milj. </w:t>
      </w:r>
      <w:r w:rsidRPr="00875C23">
        <w:rPr>
          <w:i/>
          <w:iCs/>
          <w:noProof/>
        </w:rPr>
        <w:t>euro</w:t>
      </w:r>
      <w:r w:rsidRPr="009F1A5C">
        <w:rPr>
          <w:noProof/>
        </w:rPr>
        <w:t xml:space="preserve">; patēriņa cenu izmaiņas salīdzinājumā ar </w:t>
      </w:r>
      <w:r w:rsidRPr="00F00849">
        <w:rPr>
          <w:noProof/>
        </w:rPr>
        <w:t>iepriekšējo gadu 2023. gadā 10,0%, 2024. gadā 2,2%, 2025. gadā 2,5% un 2026. gadā 2,3%; nodarbinātības izmaiņas 2023. gadā 0,1%, 2024. gadā 0,0%, 2025.</w:t>
      </w:r>
      <w:r w:rsidR="00EB0A50">
        <w:rPr>
          <w:noProof/>
        </w:rPr>
        <w:t> </w:t>
      </w:r>
      <w:r w:rsidRPr="00F00849">
        <w:rPr>
          <w:noProof/>
        </w:rPr>
        <w:t>gadā -0,3% un 2026. gadā  -0,6%.</w:t>
      </w:r>
    </w:p>
    <w:p w14:paraId="487AA579" w14:textId="77777777" w:rsidR="00EE5E38" w:rsidRPr="00F00849" w:rsidRDefault="00EE5E38" w:rsidP="00EE5E38">
      <w:pPr>
        <w:pStyle w:val="ListParagraph"/>
        <w:numPr>
          <w:ilvl w:val="0"/>
          <w:numId w:val="3"/>
        </w:numPr>
        <w:tabs>
          <w:tab w:val="left" w:pos="1134"/>
        </w:tabs>
        <w:spacing w:before="0"/>
        <w:ind w:left="714" w:hanging="357"/>
        <w:contextualSpacing w:val="0"/>
      </w:pPr>
      <w:r w:rsidRPr="00F00849">
        <w:t xml:space="preserve">Pieņemt </w:t>
      </w:r>
      <w:r w:rsidRPr="00F00849">
        <w:rPr>
          <w:noProof/>
        </w:rPr>
        <w:t xml:space="preserve">zināšanai, ka vispārējās valdības budžeta bilance pie nemainīgas politikas tiek prognozēta 2024. gadā  -1 016,2 milj. </w:t>
      </w:r>
      <w:r w:rsidRPr="00875C23">
        <w:rPr>
          <w:i/>
          <w:iCs/>
          <w:noProof/>
        </w:rPr>
        <w:t>euro</w:t>
      </w:r>
      <w:r w:rsidRPr="00F00849">
        <w:rPr>
          <w:noProof/>
        </w:rPr>
        <w:t xml:space="preserve"> jeb -2,2% no IKP, 2025. gadā ir -640,2 milj. </w:t>
      </w:r>
      <w:r w:rsidRPr="00875C23">
        <w:rPr>
          <w:i/>
          <w:iCs/>
          <w:noProof/>
        </w:rPr>
        <w:t>euro</w:t>
      </w:r>
      <w:r w:rsidRPr="00F00849">
        <w:rPr>
          <w:noProof/>
        </w:rPr>
        <w:t xml:space="preserve"> jeb -1,3% no IKP un 2026. gadā ir 71,2 milj. </w:t>
      </w:r>
      <w:r w:rsidRPr="00875C23">
        <w:rPr>
          <w:i/>
          <w:iCs/>
          <w:noProof/>
        </w:rPr>
        <w:t>euro</w:t>
      </w:r>
      <w:r w:rsidRPr="00F00849">
        <w:rPr>
          <w:noProof/>
        </w:rPr>
        <w:t xml:space="preserve"> jeb 0,1%</w:t>
      </w:r>
      <w:r w:rsidRPr="00F00849">
        <w:t xml:space="preserve"> no IKP.</w:t>
      </w:r>
    </w:p>
    <w:p w14:paraId="2E06EF4D" w14:textId="7A950708" w:rsidR="00C415D5" w:rsidRDefault="00EE5E38" w:rsidP="00C415D5">
      <w:pPr>
        <w:pStyle w:val="ListParagraph"/>
        <w:numPr>
          <w:ilvl w:val="0"/>
          <w:numId w:val="3"/>
        </w:numPr>
        <w:ind w:left="714" w:hanging="357"/>
        <w:contextualSpacing w:val="0"/>
      </w:pPr>
      <w:r w:rsidRPr="009F1A5C">
        <w:t>Pieņemt zināšanai Finanšu ministrijas izstrādāto makroekonomiskās attīstības pesimistisko scenāriju, kas paredz iekšzemes kopprodukta pieaugumu salīdzināmās cenās 2023. gadā -0,4%, 2024. gadā 0,3%, 2025. gadā 1,8% un 2026. gadā 2,9%</w:t>
      </w:r>
      <w:r w:rsidR="00EB0A50">
        <w:t xml:space="preserve">, un optimistisko scenāriju, kas paredz </w:t>
      </w:r>
      <w:r w:rsidR="00EB0A50" w:rsidRPr="009F1A5C">
        <w:t xml:space="preserve">iekšzemes kopprodukta pieaugumu salīdzināmās cenās 2023. gadā </w:t>
      </w:r>
      <w:r w:rsidR="00EB0A50">
        <w:t>1</w:t>
      </w:r>
      <w:r w:rsidR="00EB0A50" w:rsidRPr="009F1A5C">
        <w:t xml:space="preserve">,4%, 2024. gadā </w:t>
      </w:r>
      <w:r w:rsidR="00EB0A50">
        <w:t>3</w:t>
      </w:r>
      <w:r w:rsidR="00EB0A50" w:rsidRPr="009F1A5C">
        <w:t>,</w:t>
      </w:r>
      <w:r w:rsidR="00EB0A50">
        <w:t>2</w:t>
      </w:r>
      <w:r w:rsidR="00EB0A50" w:rsidRPr="009F1A5C">
        <w:t>%, 2025. gadā</w:t>
      </w:r>
      <w:r w:rsidR="00EB0A50">
        <w:t xml:space="preserve"> 2</w:t>
      </w:r>
      <w:r w:rsidR="00EB0A50" w:rsidRPr="009F1A5C">
        <w:t>,</w:t>
      </w:r>
      <w:r w:rsidR="00EB0A50">
        <w:t>9</w:t>
      </w:r>
      <w:r w:rsidR="00EB0A50" w:rsidRPr="009F1A5C">
        <w:t>% un 2026. gadā 2,9%</w:t>
      </w:r>
      <w:r w:rsidR="00EB0A50">
        <w:t>.</w:t>
      </w:r>
    </w:p>
    <w:p w14:paraId="3CB25669" w14:textId="6657F101" w:rsidR="001262AC" w:rsidRPr="001262AC" w:rsidRDefault="001262AC" w:rsidP="00C415D5">
      <w:pPr>
        <w:pStyle w:val="ListParagraph"/>
        <w:numPr>
          <w:ilvl w:val="0"/>
          <w:numId w:val="3"/>
        </w:numPr>
        <w:ind w:left="714" w:hanging="357"/>
        <w:contextualSpacing w:val="0"/>
      </w:pPr>
      <w:r w:rsidRPr="001262AC">
        <w:t xml:space="preserve">Pieņemt zināšanai, ka fiskālā telpa 2024. gadā ir 148,4 </w:t>
      </w:r>
      <w:r w:rsidRPr="001262AC">
        <w:rPr>
          <w:noProof/>
        </w:rPr>
        <w:t xml:space="preserve">milj. </w:t>
      </w:r>
      <w:r w:rsidRPr="001262AC">
        <w:rPr>
          <w:i/>
          <w:iCs/>
          <w:noProof/>
        </w:rPr>
        <w:t>euro</w:t>
      </w:r>
      <w:r w:rsidRPr="001262AC">
        <w:rPr>
          <w:noProof/>
        </w:rPr>
        <w:t xml:space="preserve">, 2025. gadā ir 450,3 milj. </w:t>
      </w:r>
      <w:r w:rsidRPr="001262AC">
        <w:rPr>
          <w:i/>
          <w:iCs/>
          <w:noProof/>
        </w:rPr>
        <w:t>euro</w:t>
      </w:r>
      <w:r w:rsidRPr="001262AC">
        <w:rPr>
          <w:noProof/>
        </w:rPr>
        <w:t xml:space="preserve"> un 2026. gadā ir 684,3 milj. </w:t>
      </w:r>
      <w:r w:rsidRPr="001262AC">
        <w:rPr>
          <w:i/>
          <w:iCs/>
          <w:noProof/>
        </w:rPr>
        <w:t>euro</w:t>
      </w:r>
      <w:r w:rsidRPr="001262AC">
        <w:rPr>
          <w:noProof/>
        </w:rPr>
        <w:t>, neskaitot vienreizējos</w:t>
      </w:r>
      <w:r w:rsidRPr="001262AC">
        <w:t xml:space="preserve"> pasākumus.</w:t>
      </w:r>
    </w:p>
    <w:p w14:paraId="3C23F2B7" w14:textId="77777777" w:rsidR="006E144E" w:rsidRPr="0019427C" w:rsidRDefault="006E144E" w:rsidP="006E144E">
      <w:pPr>
        <w:pStyle w:val="ListParagraph"/>
        <w:numPr>
          <w:ilvl w:val="0"/>
          <w:numId w:val="3"/>
        </w:numPr>
        <w:tabs>
          <w:tab w:val="left" w:pos="1134"/>
        </w:tabs>
        <w:spacing w:before="0"/>
        <w:ind w:left="714" w:hanging="357"/>
        <w:contextualSpacing w:val="0"/>
        <w:rPr>
          <w:noProof/>
          <w:lang w:val="en-US"/>
        </w:rPr>
      </w:pPr>
      <w:r w:rsidRPr="0019427C">
        <w:rPr>
          <w:noProof/>
          <w:lang w:val="en-US"/>
        </w:rPr>
        <w:t xml:space="preserve">Finanšu ministrijai turpināt strādāt pie valsts budžeta ieņēmumus palielinošiem un izdevumus samazinošiem pasākumiem, sadarbībā ar nozaru ministrijām aktualizējot valsts budžeta izdevumu prognozi Eiropas Savienības ārvalstu finanšu palīdzības līdzfinansēto projektu un pasākumu īstenošanai </w:t>
      </w:r>
      <w:r w:rsidRPr="0099427F">
        <w:rPr>
          <w:szCs w:val="24"/>
        </w:rPr>
        <w:t>2024., 2025. un 2026.gadā</w:t>
      </w:r>
      <w:r w:rsidRPr="0019427C">
        <w:rPr>
          <w:noProof/>
          <w:lang w:val="en-US"/>
        </w:rPr>
        <w:t>.</w:t>
      </w:r>
    </w:p>
    <w:p w14:paraId="62736B4C" w14:textId="77777777" w:rsidR="00C415D5" w:rsidRDefault="00C415D5" w:rsidP="00622435">
      <w:pPr>
        <w:tabs>
          <w:tab w:val="left" w:pos="709"/>
          <w:tab w:val="left" w:pos="6946"/>
        </w:tabs>
        <w:spacing w:before="0" w:after="0"/>
        <w:ind w:firstLine="0"/>
        <w:jc w:val="left"/>
        <w:rPr>
          <w:bCs/>
          <w:szCs w:val="24"/>
          <w:highlight w:val="yellow"/>
        </w:rPr>
      </w:pPr>
    </w:p>
    <w:p w14:paraId="589F3450" w14:textId="77777777" w:rsidR="000D4ED5" w:rsidRPr="00BA20B8" w:rsidRDefault="000D4ED5" w:rsidP="00622435">
      <w:pPr>
        <w:tabs>
          <w:tab w:val="left" w:pos="709"/>
          <w:tab w:val="left" w:pos="6946"/>
        </w:tabs>
        <w:spacing w:before="0" w:after="0"/>
        <w:ind w:firstLine="0"/>
        <w:jc w:val="left"/>
        <w:rPr>
          <w:bCs/>
          <w:szCs w:val="24"/>
          <w:highlight w:val="yellow"/>
        </w:rPr>
      </w:pPr>
    </w:p>
    <w:p w14:paraId="5352D5C7" w14:textId="4309F9D6" w:rsidR="007343B2" w:rsidRPr="00E716C6" w:rsidRDefault="00B7536F" w:rsidP="004805D0">
      <w:pPr>
        <w:tabs>
          <w:tab w:val="left" w:pos="709"/>
          <w:tab w:val="left" w:pos="6946"/>
        </w:tabs>
        <w:spacing w:before="0" w:after="0"/>
        <w:ind w:firstLine="0"/>
        <w:jc w:val="left"/>
        <w:rPr>
          <w:rFonts w:cs="Times New Roman"/>
          <w:szCs w:val="24"/>
        </w:rPr>
      </w:pPr>
      <w:r w:rsidRPr="00E716C6">
        <w:rPr>
          <w:bCs/>
          <w:szCs w:val="24"/>
        </w:rPr>
        <w:tab/>
      </w:r>
      <w:r w:rsidR="00E96CDD" w:rsidRPr="00E716C6">
        <w:rPr>
          <w:bCs/>
          <w:szCs w:val="24"/>
        </w:rPr>
        <w:t>Finanšu ministrs</w:t>
      </w:r>
      <w:r w:rsidR="00622435" w:rsidRPr="00E716C6">
        <w:rPr>
          <w:bCs/>
          <w:szCs w:val="24"/>
        </w:rPr>
        <w:tab/>
      </w:r>
      <w:r w:rsidR="00622435" w:rsidRPr="00E716C6">
        <w:rPr>
          <w:bCs/>
          <w:szCs w:val="24"/>
        </w:rPr>
        <w:tab/>
      </w:r>
      <w:r w:rsidR="00171158">
        <w:rPr>
          <w:bCs/>
          <w:szCs w:val="24"/>
        </w:rPr>
        <w:t>A</w:t>
      </w:r>
      <w:r w:rsidR="00C832FF" w:rsidRPr="00E716C6">
        <w:rPr>
          <w:bCs/>
          <w:szCs w:val="24"/>
        </w:rPr>
        <w:t>.</w:t>
      </w:r>
      <w:r w:rsidR="00ED378F" w:rsidRPr="00E716C6">
        <w:rPr>
          <w:bCs/>
          <w:szCs w:val="24"/>
        </w:rPr>
        <w:t xml:space="preserve"> </w:t>
      </w:r>
      <w:r w:rsidR="00171158">
        <w:rPr>
          <w:bCs/>
          <w:szCs w:val="24"/>
        </w:rPr>
        <w:t>Ašeradens</w:t>
      </w:r>
    </w:p>
    <w:p w14:paraId="69462C29" w14:textId="4BE0BE06" w:rsidR="00400397" w:rsidRDefault="00400397" w:rsidP="00BA20B8">
      <w:pPr>
        <w:spacing w:before="0" w:after="0"/>
        <w:ind w:firstLine="0"/>
        <w:rPr>
          <w:rFonts w:cs="Times New Roman"/>
          <w:sz w:val="16"/>
          <w:szCs w:val="16"/>
          <w:highlight w:val="yellow"/>
        </w:rPr>
      </w:pPr>
    </w:p>
    <w:p w14:paraId="07E6C44D" w14:textId="77777777" w:rsidR="000D4ED5" w:rsidRPr="00334E30" w:rsidRDefault="000D4ED5" w:rsidP="00BA20B8">
      <w:pPr>
        <w:spacing w:before="0" w:after="0"/>
        <w:ind w:firstLine="0"/>
        <w:rPr>
          <w:rFonts w:cs="Times New Roman"/>
          <w:sz w:val="16"/>
          <w:szCs w:val="16"/>
          <w:highlight w:val="yellow"/>
        </w:rPr>
      </w:pPr>
    </w:p>
    <w:p w14:paraId="4D9383D7" w14:textId="2FE7BB61" w:rsidR="000D4ED5" w:rsidRDefault="000D4ED5" w:rsidP="004805D0">
      <w:pPr>
        <w:spacing w:before="0" w:after="0"/>
        <w:ind w:firstLine="0"/>
        <w:rPr>
          <w:rFonts w:cs="Times New Roman"/>
          <w:sz w:val="16"/>
          <w:szCs w:val="16"/>
          <w:highlight w:val="yellow"/>
        </w:rPr>
      </w:pPr>
    </w:p>
    <w:p w14:paraId="02B42D68" w14:textId="77777777" w:rsidR="00C415D5" w:rsidRDefault="00C415D5" w:rsidP="004805D0">
      <w:pPr>
        <w:spacing w:before="0" w:after="0"/>
        <w:ind w:firstLine="0"/>
        <w:rPr>
          <w:rFonts w:cs="Times New Roman"/>
          <w:sz w:val="16"/>
          <w:szCs w:val="16"/>
          <w:highlight w:val="yellow"/>
        </w:rPr>
      </w:pPr>
    </w:p>
    <w:p w14:paraId="3D48B73E" w14:textId="77777777" w:rsidR="00C415D5" w:rsidRDefault="00C415D5" w:rsidP="004805D0">
      <w:pPr>
        <w:spacing w:before="0" w:after="0"/>
        <w:ind w:firstLine="0"/>
        <w:rPr>
          <w:rFonts w:cs="Times New Roman"/>
          <w:sz w:val="16"/>
          <w:szCs w:val="16"/>
          <w:highlight w:val="yellow"/>
        </w:rPr>
      </w:pPr>
    </w:p>
    <w:p w14:paraId="10351588" w14:textId="77777777" w:rsidR="00C415D5" w:rsidRDefault="00C415D5" w:rsidP="004805D0">
      <w:pPr>
        <w:spacing w:before="0" w:after="0"/>
        <w:ind w:firstLine="0"/>
        <w:rPr>
          <w:rFonts w:cs="Times New Roman"/>
          <w:sz w:val="16"/>
          <w:szCs w:val="16"/>
          <w:highlight w:val="yellow"/>
        </w:rPr>
      </w:pPr>
    </w:p>
    <w:p w14:paraId="120714EB" w14:textId="77777777" w:rsidR="00C415D5" w:rsidRDefault="00C415D5" w:rsidP="00C415D5">
      <w:pPr>
        <w:spacing w:before="0" w:after="0"/>
        <w:ind w:firstLine="0"/>
        <w:rPr>
          <w:rFonts w:cs="Times New Roman"/>
          <w:sz w:val="14"/>
          <w:szCs w:val="14"/>
        </w:rPr>
      </w:pPr>
    </w:p>
    <w:p w14:paraId="4DDD84F6" w14:textId="77777777" w:rsidR="00F06325" w:rsidRDefault="00F06325" w:rsidP="00C415D5">
      <w:pPr>
        <w:spacing w:before="0" w:after="0"/>
        <w:ind w:firstLine="0"/>
        <w:rPr>
          <w:rFonts w:cs="Times New Roman"/>
          <w:sz w:val="14"/>
          <w:szCs w:val="14"/>
        </w:rPr>
      </w:pPr>
    </w:p>
    <w:p w14:paraId="07023E2E" w14:textId="77777777" w:rsidR="00F06325" w:rsidRDefault="00F06325" w:rsidP="00C415D5">
      <w:pPr>
        <w:spacing w:before="0" w:after="0"/>
        <w:ind w:firstLine="0"/>
        <w:rPr>
          <w:rFonts w:cs="Times New Roman"/>
          <w:sz w:val="14"/>
          <w:szCs w:val="14"/>
        </w:rPr>
      </w:pPr>
    </w:p>
    <w:p w14:paraId="43901184" w14:textId="77777777" w:rsidR="00F06325" w:rsidRDefault="00F06325" w:rsidP="00C415D5">
      <w:pPr>
        <w:spacing w:before="0" w:after="0"/>
        <w:ind w:firstLine="0"/>
        <w:rPr>
          <w:rFonts w:cs="Times New Roman"/>
          <w:sz w:val="14"/>
          <w:szCs w:val="14"/>
        </w:rPr>
      </w:pPr>
    </w:p>
    <w:p w14:paraId="2E6CF535" w14:textId="77777777" w:rsidR="00BE6193" w:rsidRDefault="00BE6193" w:rsidP="00C415D5">
      <w:pPr>
        <w:spacing w:before="0" w:after="0"/>
        <w:ind w:firstLine="0"/>
        <w:rPr>
          <w:rFonts w:cs="Times New Roman"/>
          <w:sz w:val="14"/>
          <w:szCs w:val="14"/>
        </w:rPr>
      </w:pPr>
    </w:p>
    <w:p w14:paraId="37306643" w14:textId="77777777" w:rsidR="00BE6193" w:rsidRDefault="00BE6193" w:rsidP="00C415D5">
      <w:pPr>
        <w:spacing w:before="0" w:after="0"/>
        <w:ind w:firstLine="0"/>
        <w:rPr>
          <w:rFonts w:cs="Times New Roman"/>
          <w:sz w:val="14"/>
          <w:szCs w:val="14"/>
        </w:rPr>
      </w:pPr>
    </w:p>
    <w:p w14:paraId="21BE94E0" w14:textId="77777777" w:rsidR="001262AC" w:rsidRDefault="001262AC" w:rsidP="00C415D5">
      <w:pPr>
        <w:spacing w:before="0" w:after="0"/>
        <w:ind w:firstLine="0"/>
        <w:rPr>
          <w:rFonts w:cs="Times New Roman"/>
          <w:sz w:val="14"/>
          <w:szCs w:val="14"/>
        </w:rPr>
      </w:pPr>
    </w:p>
    <w:p w14:paraId="7F0EF6EF" w14:textId="77777777" w:rsidR="00F06325" w:rsidRDefault="00F06325" w:rsidP="00C415D5">
      <w:pPr>
        <w:spacing w:before="0" w:after="0"/>
        <w:ind w:firstLine="0"/>
        <w:rPr>
          <w:rFonts w:cs="Times New Roman"/>
          <w:sz w:val="14"/>
          <w:szCs w:val="14"/>
        </w:rPr>
      </w:pPr>
    </w:p>
    <w:p w14:paraId="1097CF0A" w14:textId="77777777" w:rsidR="00F06325" w:rsidRPr="00C415D5" w:rsidRDefault="00F06325" w:rsidP="00C415D5">
      <w:pPr>
        <w:spacing w:before="0" w:after="0"/>
        <w:ind w:firstLine="0"/>
        <w:rPr>
          <w:rFonts w:cs="Times New Roman"/>
          <w:sz w:val="14"/>
          <w:szCs w:val="14"/>
        </w:rPr>
      </w:pPr>
    </w:p>
    <w:p w14:paraId="34BA233C" w14:textId="77777777" w:rsidR="00C415D5" w:rsidRPr="00875C23" w:rsidRDefault="00C415D5" w:rsidP="00C415D5">
      <w:pPr>
        <w:spacing w:before="0" w:after="0"/>
        <w:ind w:firstLine="0"/>
        <w:rPr>
          <w:rFonts w:cs="Times New Roman"/>
          <w:sz w:val="16"/>
          <w:szCs w:val="16"/>
        </w:rPr>
      </w:pPr>
      <w:r w:rsidRPr="00875C23">
        <w:rPr>
          <w:rFonts w:cs="Times New Roman"/>
          <w:sz w:val="16"/>
          <w:szCs w:val="16"/>
        </w:rPr>
        <w:t>Gavrovska 26631915,</w:t>
      </w:r>
    </w:p>
    <w:p w14:paraId="63E6808C" w14:textId="77777777" w:rsidR="00C415D5" w:rsidRPr="00875C23" w:rsidRDefault="00C415D5" w:rsidP="00C415D5">
      <w:pPr>
        <w:spacing w:before="0" w:after="0"/>
        <w:ind w:firstLine="0"/>
        <w:rPr>
          <w:rFonts w:cs="Times New Roman"/>
          <w:sz w:val="16"/>
          <w:szCs w:val="16"/>
        </w:rPr>
      </w:pPr>
      <w:r w:rsidRPr="00875C23">
        <w:rPr>
          <w:rFonts w:cs="Times New Roman"/>
          <w:sz w:val="16"/>
          <w:szCs w:val="16"/>
        </w:rPr>
        <w:t>Kristine.Gavrovska@fm.gov.lv</w:t>
      </w:r>
    </w:p>
    <w:p w14:paraId="680C3DC5" w14:textId="38AA9DFC" w:rsidR="006A7261" w:rsidRDefault="006A7261" w:rsidP="004805D0">
      <w:pPr>
        <w:spacing w:before="0" w:after="0"/>
        <w:ind w:firstLine="0"/>
        <w:rPr>
          <w:rFonts w:cs="Times New Roman"/>
          <w:sz w:val="16"/>
          <w:szCs w:val="16"/>
          <w:highlight w:val="yellow"/>
        </w:rPr>
      </w:pPr>
    </w:p>
    <w:p w14:paraId="48F22248" w14:textId="77777777" w:rsidR="00B15B93" w:rsidRDefault="00B15B93" w:rsidP="004805D0">
      <w:pPr>
        <w:spacing w:before="0" w:after="0"/>
        <w:ind w:firstLine="0"/>
        <w:rPr>
          <w:rFonts w:cs="Times New Roman"/>
          <w:sz w:val="16"/>
          <w:szCs w:val="16"/>
        </w:rPr>
      </w:pPr>
    </w:p>
    <w:sectPr w:rsidR="00B15B93" w:rsidSect="00572A55">
      <w:headerReference w:type="default" r:id="rId11"/>
      <w:footerReference w:type="default" r:id="rId12"/>
      <w:headerReference w:type="first" r:id="rId13"/>
      <w:footerReference w:type="first" r:id="rId14"/>
      <w:pgSz w:w="11906" w:h="16838"/>
      <w:pgMar w:top="1134" w:right="1134" w:bottom="851" w:left="1701" w:header="709" w:footer="505"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20097" w14:textId="77777777" w:rsidR="00C60391" w:rsidRDefault="00C60391" w:rsidP="00043218">
      <w:pPr>
        <w:spacing w:before="0" w:after="0"/>
      </w:pPr>
      <w:r>
        <w:separator/>
      </w:r>
    </w:p>
  </w:endnote>
  <w:endnote w:type="continuationSeparator" w:id="0">
    <w:p w14:paraId="15C6B977" w14:textId="77777777" w:rsidR="00C60391" w:rsidRDefault="00C60391" w:rsidP="000432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 New Roman Baltic">
    <w:altName w:val="Times New Roman"/>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11A4" w14:textId="3D8AB350" w:rsidR="00C60391" w:rsidRDefault="00C60391" w:rsidP="005361F1">
    <w:pPr>
      <w:ind w:firstLine="0"/>
      <w:rPr>
        <w:sz w:val="22"/>
        <w:szCs w:val="32"/>
      </w:rPr>
    </w:pPr>
    <w:r w:rsidRPr="00EC6A33">
      <w:rPr>
        <w:sz w:val="22"/>
        <w:szCs w:val="32"/>
      </w:rPr>
      <w:fldChar w:fldCharType="begin"/>
    </w:r>
    <w:r w:rsidRPr="00EC6A33">
      <w:rPr>
        <w:sz w:val="22"/>
        <w:szCs w:val="32"/>
      </w:rPr>
      <w:instrText xml:space="preserve"> FILENAME   \* MERGEFORMAT </w:instrText>
    </w:r>
    <w:r w:rsidRPr="00EC6A33">
      <w:rPr>
        <w:sz w:val="22"/>
        <w:szCs w:val="32"/>
      </w:rPr>
      <w:fldChar w:fldCharType="separate"/>
    </w:r>
    <w:r w:rsidR="00B15B93">
      <w:rPr>
        <w:noProof/>
        <w:sz w:val="22"/>
        <w:szCs w:val="32"/>
      </w:rPr>
      <w:t>FMZin_10082023_Makro.docx</w:t>
    </w:r>
    <w:r w:rsidRPr="00EC6A33">
      <w:rPr>
        <w:sz w:val="22"/>
        <w:szCs w:val="32"/>
      </w:rPr>
      <w:fldChar w:fldCharType="end"/>
    </w:r>
  </w:p>
  <w:p w14:paraId="6BB27FF5" w14:textId="799BED4E" w:rsidR="00C60391" w:rsidRPr="00EC6A33" w:rsidRDefault="00C60391" w:rsidP="002D0A6E">
    <w:pPr>
      <w:ind w:firstLine="0"/>
      <w:jc w:val="center"/>
      <w:rPr>
        <w:sz w:val="22"/>
        <w:szCs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4637E" w14:textId="27549C35" w:rsidR="00E40863" w:rsidRDefault="00E40863" w:rsidP="00E40863">
    <w:pPr>
      <w:ind w:firstLine="0"/>
      <w:rPr>
        <w:sz w:val="22"/>
        <w:szCs w:val="32"/>
      </w:rPr>
    </w:pPr>
    <w:r w:rsidRPr="00EC6A33">
      <w:rPr>
        <w:sz w:val="22"/>
        <w:szCs w:val="32"/>
      </w:rPr>
      <w:fldChar w:fldCharType="begin"/>
    </w:r>
    <w:r w:rsidRPr="00EC6A33">
      <w:rPr>
        <w:sz w:val="22"/>
        <w:szCs w:val="32"/>
      </w:rPr>
      <w:instrText xml:space="preserve"> FILENAME   \* MERGEFORMAT </w:instrText>
    </w:r>
    <w:r w:rsidRPr="00EC6A33">
      <w:rPr>
        <w:sz w:val="22"/>
        <w:szCs w:val="32"/>
      </w:rPr>
      <w:fldChar w:fldCharType="separate"/>
    </w:r>
    <w:r w:rsidR="00B15B93">
      <w:rPr>
        <w:noProof/>
        <w:sz w:val="22"/>
        <w:szCs w:val="32"/>
      </w:rPr>
      <w:t>FMZin_10082023_Makro.docx</w:t>
    </w:r>
    <w:r w:rsidRPr="00EC6A33">
      <w:rPr>
        <w:sz w:val="22"/>
        <w:szCs w:val="32"/>
      </w:rPr>
      <w:fldChar w:fldCharType="end"/>
    </w:r>
  </w:p>
  <w:p w14:paraId="7848ECD0" w14:textId="1D87B0F2" w:rsidR="00C60391" w:rsidRPr="00EC6A33" w:rsidRDefault="00C60391" w:rsidP="002D0A6E">
    <w:pPr>
      <w:ind w:firstLine="0"/>
      <w:jc w:val="center"/>
      <w:rPr>
        <w:sz w:val="2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D4697" w14:textId="77777777" w:rsidR="00C60391" w:rsidRDefault="00C60391" w:rsidP="00043218">
      <w:pPr>
        <w:spacing w:before="0" w:after="0"/>
      </w:pPr>
      <w:r>
        <w:separator/>
      </w:r>
    </w:p>
  </w:footnote>
  <w:footnote w:type="continuationSeparator" w:id="0">
    <w:p w14:paraId="50FB5336" w14:textId="77777777" w:rsidR="00C60391" w:rsidRDefault="00C60391" w:rsidP="00043218">
      <w:pPr>
        <w:spacing w:before="0" w:after="0"/>
      </w:pPr>
      <w:r>
        <w:continuationSeparator/>
      </w:r>
    </w:p>
  </w:footnote>
  <w:footnote w:id="1">
    <w:p w14:paraId="291E7702" w14:textId="58E412D7" w:rsidR="00AA4CC2" w:rsidRDefault="00FB76EC" w:rsidP="00AA4CC2">
      <w:pPr>
        <w:pStyle w:val="FootnoteText"/>
        <w:spacing w:before="0" w:after="0"/>
        <w:ind w:firstLine="0"/>
      </w:pPr>
      <w:r w:rsidRPr="00FB76EC">
        <w:rPr>
          <w:rStyle w:val="FootnoteReference"/>
        </w:rPr>
        <w:t xml:space="preserve">1 </w:t>
      </w:r>
      <w:r w:rsidR="00AA4CC2">
        <w:t>P</w:t>
      </w:r>
      <w:r w:rsidR="00AA4CC2" w:rsidRPr="007707CD">
        <w:t>recizē</w:t>
      </w:r>
      <w:r w:rsidR="00AA4CC2">
        <w:t xml:space="preserve">jumi veikti ar </w:t>
      </w:r>
      <w:r w:rsidR="00AA4CC2" w:rsidRPr="007707CD">
        <w:t>Ministru kabineta sēdes protokol</w:t>
      </w:r>
      <w:r w:rsidR="00AA4CC2">
        <w:t>u</w:t>
      </w:r>
      <w:r w:rsidR="00AA4CC2" w:rsidRPr="007707CD">
        <w:t xml:space="preserve"> Nr.</w:t>
      </w:r>
      <w:r w:rsidR="00AA4CC2">
        <w:t xml:space="preserve"> </w:t>
      </w:r>
      <w:r w:rsidR="00AA4CC2" w:rsidRPr="007707CD">
        <w:t>52 4.§</w:t>
      </w:r>
      <w:r w:rsidR="00AA4CC2">
        <w:t xml:space="preserve"> un </w:t>
      </w:r>
      <w:r w:rsidR="00AA4CC2" w:rsidRPr="007707CD">
        <w:t>Ministru kabineta 2022.gada 22.</w:t>
      </w:r>
      <w:r w:rsidR="00AA4CC2">
        <w:t xml:space="preserve"> </w:t>
      </w:r>
      <w:r w:rsidR="00AA4CC2" w:rsidRPr="007707CD">
        <w:t>decembra sēdes protokol</w:t>
      </w:r>
      <w:r w:rsidR="00AA4CC2">
        <w:t>u</w:t>
      </w:r>
      <w:r w:rsidR="00AA4CC2" w:rsidRPr="007707CD">
        <w:t xml:space="preserve"> Nr.67, 1.§</w:t>
      </w:r>
      <w:r w:rsidR="001D18D2">
        <w:t>.</w:t>
      </w:r>
    </w:p>
  </w:footnote>
  <w:footnote w:id="2">
    <w:p w14:paraId="10C855A8" w14:textId="220FBF67" w:rsidR="00AA4CC2" w:rsidRDefault="00AA4CC2" w:rsidP="00AA4CC2">
      <w:pPr>
        <w:pStyle w:val="FootnoteText"/>
        <w:spacing w:before="0" w:after="0"/>
        <w:ind w:firstLine="0"/>
      </w:pPr>
      <w:r>
        <w:rPr>
          <w:rStyle w:val="FootnoteReference"/>
        </w:rPr>
        <w:footnoteRef/>
      </w:r>
      <w:r w:rsidR="001D18D2">
        <w:t xml:space="preserve"> </w:t>
      </w:r>
      <w:hyperlink r:id="rId1" w:history="1">
        <w:r w:rsidRPr="001D18D2">
          <w:rPr>
            <w:rStyle w:val="Hyperlink"/>
            <w:rFonts w:ascii="Times New Roman" w:hAnsi="Times New Roman"/>
          </w:rPr>
          <w:t>https://economy-finance.ec.europa.eu/system/files/2023-03/COM_2023_141_1_EN_ACT_part1_v4.pdf</w:t>
        </w:r>
      </w:hyperlink>
    </w:p>
  </w:footnote>
  <w:footnote w:id="3">
    <w:p w14:paraId="708ABDE8" w14:textId="77777777" w:rsidR="00AA4CC2" w:rsidRDefault="00AA4CC2" w:rsidP="00AA4CC2">
      <w:pPr>
        <w:pStyle w:val="FootnoteText"/>
        <w:spacing w:before="0" w:after="0"/>
        <w:ind w:firstLine="0"/>
      </w:pPr>
      <w:r>
        <w:rPr>
          <w:rStyle w:val="FootnoteReference"/>
        </w:rPr>
        <w:footnoteRef/>
      </w:r>
      <w:r>
        <w:t xml:space="preserve"> </w:t>
      </w:r>
      <w:hyperlink r:id="rId2" w:history="1">
        <w:r w:rsidRPr="00EB07BB">
          <w:rPr>
            <w:rStyle w:val="Hyperlink"/>
            <w:rFonts w:ascii="Times New Roman" w:hAnsi="Times New Roman"/>
          </w:rPr>
          <w:t>https://data.consilium.europa.eu/doc/document/ST-9839-2023-REV-1/lv/pdf</w:t>
        </w:r>
      </w:hyperlink>
      <w:r>
        <w:t xml:space="preserve"> </w:t>
      </w:r>
    </w:p>
  </w:footnote>
  <w:footnote w:id="4">
    <w:p w14:paraId="15A4701C" w14:textId="5CDB01E2" w:rsidR="00AA4CC2" w:rsidRDefault="001D18D2" w:rsidP="00AA4CC2">
      <w:pPr>
        <w:pStyle w:val="FootnoteText"/>
        <w:spacing w:before="0" w:after="0"/>
        <w:ind w:firstLine="0"/>
      </w:pPr>
      <w:r w:rsidRPr="001D18D2">
        <w:rPr>
          <w:vertAlign w:val="superscript"/>
        </w:rPr>
        <w:t>4</w:t>
      </w:r>
      <w:r w:rsidR="00AA4CC2">
        <w:t xml:space="preserve"> Pēc Eiropas Komisijas aprēķiniem </w:t>
      </w:r>
      <w:r w:rsidR="00AA4CC2" w:rsidRPr="00A945D6">
        <w:rPr>
          <w:bCs/>
          <w:szCs w:val="28"/>
        </w:rPr>
        <w:t>tas atbilstu ikgadējam strukturālās budžeta bilances uzlabojumam vismaz 0,5% apmērā no IKP 2024. gadā</w:t>
      </w:r>
      <w:r>
        <w:rPr>
          <w:bCs/>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767130"/>
      <w:docPartObj>
        <w:docPartGallery w:val="Page Numbers (Top of Page)"/>
        <w:docPartUnique/>
      </w:docPartObj>
    </w:sdtPr>
    <w:sdtEndPr>
      <w:rPr>
        <w:noProof/>
      </w:rPr>
    </w:sdtEndPr>
    <w:sdtContent>
      <w:p w14:paraId="4458F683" w14:textId="26E69F67" w:rsidR="00C60391" w:rsidRDefault="00C60391" w:rsidP="00DB13F3">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EAAA" w14:textId="39E83D62" w:rsidR="00C60391" w:rsidRDefault="00C60391" w:rsidP="002D0A6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9DE"/>
    <w:multiLevelType w:val="hybridMultilevel"/>
    <w:tmpl w:val="5C7ECEC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C670409"/>
    <w:multiLevelType w:val="hybridMultilevel"/>
    <w:tmpl w:val="FC2A863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0FD628C"/>
    <w:multiLevelType w:val="hybridMultilevel"/>
    <w:tmpl w:val="285A82DE"/>
    <w:lvl w:ilvl="0" w:tplc="A6D6E706">
      <w:start w:val="1"/>
      <w:numFmt w:val="decimal"/>
      <w:lvlText w:val="%1."/>
      <w:lvlJc w:val="left"/>
      <w:pPr>
        <w:ind w:left="720" w:hanging="360"/>
      </w:pPr>
      <w:rPr>
        <w:i w:val="0"/>
        <w:sz w:val="28"/>
        <w:szCs w:val="28"/>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10FACD0A">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7A3C4D"/>
    <w:multiLevelType w:val="hybridMultilevel"/>
    <w:tmpl w:val="283E3A8E"/>
    <w:lvl w:ilvl="0" w:tplc="552A82E2">
      <w:start w:val="1"/>
      <w:numFmt w:val="decimal"/>
      <w:lvlText w:val="%1."/>
      <w:lvlJc w:val="left"/>
      <w:pPr>
        <w:ind w:left="1440" w:hanging="360"/>
      </w:pPr>
      <w:rPr>
        <w:rFonts w:ascii="Times New Roman" w:hAnsi="Times New Roman" w:cs="Times New Roman" w:hint="default"/>
        <w:sz w:val="28"/>
        <w:szCs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68528B3"/>
    <w:multiLevelType w:val="hybridMultilevel"/>
    <w:tmpl w:val="2C7C1D46"/>
    <w:lvl w:ilvl="0" w:tplc="046E5138">
      <w:start w:val="4"/>
      <w:numFmt w:val="decimal"/>
      <w:lvlText w:val="%1."/>
      <w:lvlJc w:val="left"/>
      <w:pPr>
        <w:ind w:left="720" w:hanging="360"/>
      </w:pPr>
      <w:rPr>
        <w:rFonts w:hint="default"/>
        <w:i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525228"/>
    <w:multiLevelType w:val="hybridMultilevel"/>
    <w:tmpl w:val="29145A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BFD7CD0"/>
    <w:multiLevelType w:val="hybridMultilevel"/>
    <w:tmpl w:val="F09650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F792FC2"/>
    <w:multiLevelType w:val="multilevel"/>
    <w:tmpl w:val="B0123828"/>
    <w:lvl w:ilvl="0">
      <w:start w:val="1"/>
      <w:numFmt w:val="decimal"/>
      <w:pStyle w:val="Heading1"/>
      <w:lvlText w:val="%1."/>
      <w:lvlJc w:val="left"/>
      <w:pPr>
        <w:ind w:left="7306"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C1903D2"/>
    <w:multiLevelType w:val="hybridMultilevel"/>
    <w:tmpl w:val="82B01038"/>
    <w:lvl w:ilvl="0" w:tplc="C43E399A">
      <w:start w:val="1"/>
      <w:numFmt w:val="decimal"/>
      <w:pStyle w:val="Heading2"/>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772D9A"/>
    <w:multiLevelType w:val="hybridMultilevel"/>
    <w:tmpl w:val="AE8EF3E8"/>
    <w:lvl w:ilvl="0" w:tplc="FFFFFFFF">
      <w:start w:val="1"/>
      <w:numFmt w:val="decimal"/>
      <w:lvlText w:val="%1."/>
      <w:lvlJc w:val="left"/>
      <w:pPr>
        <w:ind w:left="720" w:hanging="360"/>
      </w:pPr>
      <w:rPr>
        <w:rFonts w:ascii="Times New Roman" w:hAnsi="Times New Roman" w:cs="Times New Roman"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207461"/>
    <w:multiLevelType w:val="hybridMultilevel"/>
    <w:tmpl w:val="FA24CD6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1" w15:restartNumberingAfterBreak="0">
    <w:nsid w:val="400C4580"/>
    <w:multiLevelType w:val="hybridMultilevel"/>
    <w:tmpl w:val="10DC4A30"/>
    <w:lvl w:ilvl="0" w:tplc="04260017">
      <w:start w:val="1"/>
      <w:numFmt w:val="lowerLetter"/>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E719B2"/>
    <w:multiLevelType w:val="hybridMultilevel"/>
    <w:tmpl w:val="C8FCE4B4"/>
    <w:lvl w:ilvl="0" w:tplc="04260001">
      <w:start w:val="1"/>
      <w:numFmt w:val="bullet"/>
      <w:lvlText w:val=""/>
      <w:lvlJc w:val="left"/>
      <w:pPr>
        <w:ind w:left="3076" w:hanging="360"/>
      </w:pPr>
      <w:rPr>
        <w:rFonts w:ascii="Symbol" w:hAnsi="Symbol" w:hint="default"/>
      </w:rPr>
    </w:lvl>
    <w:lvl w:ilvl="1" w:tplc="04260003">
      <w:start w:val="1"/>
      <w:numFmt w:val="bullet"/>
      <w:lvlText w:val="o"/>
      <w:lvlJc w:val="left"/>
      <w:pPr>
        <w:ind w:left="3796" w:hanging="360"/>
      </w:pPr>
      <w:rPr>
        <w:rFonts w:ascii="Courier New" w:hAnsi="Courier New" w:cs="Courier New" w:hint="default"/>
      </w:rPr>
    </w:lvl>
    <w:lvl w:ilvl="2" w:tplc="04260001">
      <w:start w:val="1"/>
      <w:numFmt w:val="bullet"/>
      <w:lvlText w:val=""/>
      <w:lvlJc w:val="left"/>
      <w:pPr>
        <w:ind w:left="4516" w:hanging="360"/>
      </w:pPr>
      <w:rPr>
        <w:rFonts w:ascii="Symbol" w:hAnsi="Symbol" w:hint="default"/>
      </w:rPr>
    </w:lvl>
    <w:lvl w:ilvl="3" w:tplc="04260001" w:tentative="1">
      <w:start w:val="1"/>
      <w:numFmt w:val="bullet"/>
      <w:lvlText w:val=""/>
      <w:lvlJc w:val="left"/>
      <w:pPr>
        <w:ind w:left="5236" w:hanging="360"/>
      </w:pPr>
      <w:rPr>
        <w:rFonts w:ascii="Symbol" w:hAnsi="Symbol" w:hint="default"/>
      </w:rPr>
    </w:lvl>
    <w:lvl w:ilvl="4" w:tplc="04260003" w:tentative="1">
      <w:start w:val="1"/>
      <w:numFmt w:val="bullet"/>
      <w:lvlText w:val="o"/>
      <w:lvlJc w:val="left"/>
      <w:pPr>
        <w:ind w:left="5956" w:hanging="360"/>
      </w:pPr>
      <w:rPr>
        <w:rFonts w:ascii="Courier New" w:hAnsi="Courier New" w:cs="Courier New" w:hint="default"/>
      </w:rPr>
    </w:lvl>
    <w:lvl w:ilvl="5" w:tplc="04260005" w:tentative="1">
      <w:start w:val="1"/>
      <w:numFmt w:val="bullet"/>
      <w:lvlText w:val=""/>
      <w:lvlJc w:val="left"/>
      <w:pPr>
        <w:ind w:left="6676" w:hanging="360"/>
      </w:pPr>
      <w:rPr>
        <w:rFonts w:ascii="Wingdings" w:hAnsi="Wingdings" w:hint="default"/>
      </w:rPr>
    </w:lvl>
    <w:lvl w:ilvl="6" w:tplc="04260001" w:tentative="1">
      <w:start w:val="1"/>
      <w:numFmt w:val="bullet"/>
      <w:lvlText w:val=""/>
      <w:lvlJc w:val="left"/>
      <w:pPr>
        <w:ind w:left="7396" w:hanging="360"/>
      </w:pPr>
      <w:rPr>
        <w:rFonts w:ascii="Symbol" w:hAnsi="Symbol" w:hint="default"/>
      </w:rPr>
    </w:lvl>
    <w:lvl w:ilvl="7" w:tplc="04260003" w:tentative="1">
      <w:start w:val="1"/>
      <w:numFmt w:val="bullet"/>
      <w:lvlText w:val="o"/>
      <w:lvlJc w:val="left"/>
      <w:pPr>
        <w:ind w:left="8116" w:hanging="360"/>
      </w:pPr>
      <w:rPr>
        <w:rFonts w:ascii="Courier New" w:hAnsi="Courier New" w:cs="Courier New" w:hint="default"/>
      </w:rPr>
    </w:lvl>
    <w:lvl w:ilvl="8" w:tplc="04260005" w:tentative="1">
      <w:start w:val="1"/>
      <w:numFmt w:val="bullet"/>
      <w:lvlText w:val=""/>
      <w:lvlJc w:val="left"/>
      <w:pPr>
        <w:ind w:left="8836" w:hanging="360"/>
      </w:pPr>
      <w:rPr>
        <w:rFonts w:ascii="Wingdings" w:hAnsi="Wingdings" w:hint="default"/>
      </w:rPr>
    </w:lvl>
  </w:abstractNum>
  <w:abstractNum w:abstractNumId="13" w15:restartNumberingAfterBreak="0">
    <w:nsid w:val="49824539"/>
    <w:multiLevelType w:val="hybridMultilevel"/>
    <w:tmpl w:val="3230C182"/>
    <w:lvl w:ilvl="0" w:tplc="A6D6E706">
      <w:start w:val="1"/>
      <w:numFmt w:val="decimal"/>
      <w:lvlText w:val="%1."/>
      <w:lvlJc w:val="left"/>
      <w:pPr>
        <w:ind w:left="720" w:hanging="360"/>
      </w:pPr>
      <w:rPr>
        <w:i w:val="0"/>
        <w:sz w:val="28"/>
        <w:szCs w:val="28"/>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10FACD0A">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F830B7E"/>
    <w:multiLevelType w:val="hybridMultilevel"/>
    <w:tmpl w:val="76F28026"/>
    <w:lvl w:ilvl="0" w:tplc="0C0218B2">
      <w:start w:val="1"/>
      <w:numFmt w:val="decimal"/>
      <w:lvlText w:val="%1."/>
      <w:lvlJc w:val="left"/>
      <w:pPr>
        <w:ind w:left="720" w:hanging="360"/>
      </w:pPr>
      <w:rPr>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10FACD0A">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7C4375"/>
    <w:multiLevelType w:val="hybridMultilevel"/>
    <w:tmpl w:val="2E8E69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9223162"/>
    <w:multiLevelType w:val="hybridMultilevel"/>
    <w:tmpl w:val="4F96C616"/>
    <w:lvl w:ilvl="0" w:tplc="0426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F284EC8"/>
    <w:multiLevelType w:val="hybridMultilevel"/>
    <w:tmpl w:val="AE8EF3E8"/>
    <w:lvl w:ilvl="0" w:tplc="9312905C">
      <w:start w:val="1"/>
      <w:numFmt w:val="decimal"/>
      <w:lvlText w:val="%1."/>
      <w:lvlJc w:val="left"/>
      <w:pPr>
        <w:ind w:left="927"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D47F11"/>
    <w:multiLevelType w:val="hybridMultilevel"/>
    <w:tmpl w:val="5B5C7660"/>
    <w:lvl w:ilvl="0" w:tplc="DBF274F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F124485"/>
    <w:multiLevelType w:val="hybridMultilevel"/>
    <w:tmpl w:val="AF84DB8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6FAF67E6"/>
    <w:multiLevelType w:val="hybridMultilevel"/>
    <w:tmpl w:val="FC70E250"/>
    <w:lvl w:ilvl="0" w:tplc="AB8A7336">
      <w:start w:val="1"/>
      <w:numFmt w:val="decimal"/>
      <w:lvlText w:val="%1)"/>
      <w:lvlJc w:val="left"/>
      <w:pPr>
        <w:ind w:left="720" w:hanging="360"/>
      </w:pPr>
      <w:rPr>
        <w:rFonts w:ascii="Times New Roman" w:eastAsiaTheme="minorHAnsi" w:hAnsi="Times New Roman" w:cstheme="minorBidi"/>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012FB7"/>
    <w:multiLevelType w:val="hybridMultilevel"/>
    <w:tmpl w:val="93AE1A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700C3D5B"/>
    <w:multiLevelType w:val="hybridMultilevel"/>
    <w:tmpl w:val="F35470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E6081F"/>
    <w:multiLevelType w:val="hybridMultilevel"/>
    <w:tmpl w:val="71F418D4"/>
    <w:lvl w:ilvl="0" w:tplc="04260001">
      <w:start w:val="1"/>
      <w:numFmt w:val="bullet"/>
      <w:lvlText w:val=""/>
      <w:lvlJc w:val="left"/>
      <w:pPr>
        <w:ind w:left="1440" w:hanging="360"/>
      </w:pPr>
      <w:rPr>
        <w:rFonts w:ascii="Symbol" w:hAnsi="Symbol" w:hint="default"/>
      </w:rPr>
    </w:lvl>
    <w:lvl w:ilvl="1" w:tplc="F7889D16">
      <w:numFmt w:val="bullet"/>
      <w:lvlText w:val="-"/>
      <w:lvlJc w:val="left"/>
      <w:pPr>
        <w:ind w:left="2160" w:hanging="360"/>
      </w:pPr>
      <w:rPr>
        <w:rFonts w:ascii="Times New Roman" w:eastAsiaTheme="minorEastAsia"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78D146FC"/>
    <w:multiLevelType w:val="hybridMultilevel"/>
    <w:tmpl w:val="CE74D1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7ECD4C3B"/>
    <w:multiLevelType w:val="hybridMultilevel"/>
    <w:tmpl w:val="85F0C990"/>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138646856">
    <w:abstractNumId w:val="7"/>
  </w:num>
  <w:num w:numId="2" w16cid:durableId="751511019">
    <w:abstractNumId w:val="8"/>
  </w:num>
  <w:num w:numId="3" w16cid:durableId="1429622086">
    <w:abstractNumId w:val="17"/>
  </w:num>
  <w:num w:numId="4" w16cid:durableId="1189029574">
    <w:abstractNumId w:val="22"/>
  </w:num>
  <w:num w:numId="5" w16cid:durableId="746607760">
    <w:abstractNumId w:val="16"/>
  </w:num>
  <w:num w:numId="6" w16cid:durableId="334921369">
    <w:abstractNumId w:val="11"/>
  </w:num>
  <w:num w:numId="7" w16cid:durableId="933636678">
    <w:abstractNumId w:val="18"/>
  </w:num>
  <w:num w:numId="8" w16cid:durableId="959261784">
    <w:abstractNumId w:val="20"/>
  </w:num>
  <w:num w:numId="9" w16cid:durableId="897863876">
    <w:abstractNumId w:val="9"/>
  </w:num>
  <w:num w:numId="10" w16cid:durableId="8651867">
    <w:abstractNumId w:val="15"/>
  </w:num>
  <w:num w:numId="11" w16cid:durableId="862790140">
    <w:abstractNumId w:val="14"/>
  </w:num>
  <w:num w:numId="12" w16cid:durableId="1911769045">
    <w:abstractNumId w:val="2"/>
  </w:num>
  <w:num w:numId="13" w16cid:durableId="62023939">
    <w:abstractNumId w:val="1"/>
  </w:num>
  <w:num w:numId="14" w16cid:durableId="1528441592">
    <w:abstractNumId w:val="12"/>
  </w:num>
  <w:num w:numId="15" w16cid:durableId="888688523">
    <w:abstractNumId w:val="19"/>
  </w:num>
  <w:num w:numId="16" w16cid:durableId="1052075197">
    <w:abstractNumId w:val="6"/>
  </w:num>
  <w:num w:numId="17" w16cid:durableId="2097242035">
    <w:abstractNumId w:val="21"/>
  </w:num>
  <w:num w:numId="18" w16cid:durableId="607199046">
    <w:abstractNumId w:val="10"/>
  </w:num>
  <w:num w:numId="19" w16cid:durableId="1769885508">
    <w:abstractNumId w:val="23"/>
  </w:num>
  <w:num w:numId="20" w16cid:durableId="412318209">
    <w:abstractNumId w:val="24"/>
  </w:num>
  <w:num w:numId="21" w16cid:durableId="1203635757">
    <w:abstractNumId w:val="3"/>
  </w:num>
  <w:num w:numId="22" w16cid:durableId="4612688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7191312">
    <w:abstractNumId w:val="13"/>
  </w:num>
  <w:num w:numId="24" w16cid:durableId="1539321995">
    <w:abstractNumId w:val="4"/>
  </w:num>
  <w:num w:numId="25" w16cid:durableId="12662278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9320957">
    <w:abstractNumId w:val="7"/>
    <w:lvlOverride w:ilvl="0">
      <w:startOverride w:val="6"/>
    </w:lvlOverride>
  </w:num>
  <w:num w:numId="27" w16cid:durableId="322972196">
    <w:abstractNumId w:val="0"/>
  </w:num>
  <w:num w:numId="28" w16cid:durableId="1114053543">
    <w:abstractNumId w:val="25"/>
  </w:num>
  <w:num w:numId="29" w16cid:durableId="1531794097">
    <w:abstractNumId w:val="5"/>
  </w:num>
  <w:num w:numId="30" w16cid:durableId="118760005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B95"/>
    <w:rsid w:val="00003DBC"/>
    <w:rsid w:val="00006604"/>
    <w:rsid w:val="0001357D"/>
    <w:rsid w:val="0001442E"/>
    <w:rsid w:val="00014584"/>
    <w:rsid w:val="00014BD8"/>
    <w:rsid w:val="00016BE0"/>
    <w:rsid w:val="00016DC5"/>
    <w:rsid w:val="0001729F"/>
    <w:rsid w:val="0001732F"/>
    <w:rsid w:val="00017C7B"/>
    <w:rsid w:val="0002163E"/>
    <w:rsid w:val="00021AC4"/>
    <w:rsid w:val="00021FDA"/>
    <w:rsid w:val="00023A74"/>
    <w:rsid w:val="00024979"/>
    <w:rsid w:val="0003089D"/>
    <w:rsid w:val="0003150A"/>
    <w:rsid w:val="0003311F"/>
    <w:rsid w:val="00033640"/>
    <w:rsid w:val="00033772"/>
    <w:rsid w:val="00033E8A"/>
    <w:rsid w:val="000348BA"/>
    <w:rsid w:val="000348D7"/>
    <w:rsid w:val="00035A91"/>
    <w:rsid w:val="00037B8E"/>
    <w:rsid w:val="00042CB7"/>
    <w:rsid w:val="00043218"/>
    <w:rsid w:val="00046225"/>
    <w:rsid w:val="000471E1"/>
    <w:rsid w:val="00047B17"/>
    <w:rsid w:val="00047DD8"/>
    <w:rsid w:val="00050670"/>
    <w:rsid w:val="00051B1E"/>
    <w:rsid w:val="00053507"/>
    <w:rsid w:val="00053525"/>
    <w:rsid w:val="0005447E"/>
    <w:rsid w:val="00054574"/>
    <w:rsid w:val="000546FB"/>
    <w:rsid w:val="000550FF"/>
    <w:rsid w:val="0005515D"/>
    <w:rsid w:val="000552D2"/>
    <w:rsid w:val="00055316"/>
    <w:rsid w:val="00056DDB"/>
    <w:rsid w:val="00060C0F"/>
    <w:rsid w:val="000619F5"/>
    <w:rsid w:val="00061D8D"/>
    <w:rsid w:val="00065587"/>
    <w:rsid w:val="000656C6"/>
    <w:rsid w:val="0006744D"/>
    <w:rsid w:val="000678EB"/>
    <w:rsid w:val="00071E47"/>
    <w:rsid w:val="00072CC4"/>
    <w:rsid w:val="0007311A"/>
    <w:rsid w:val="00073183"/>
    <w:rsid w:val="00073D49"/>
    <w:rsid w:val="00074F1B"/>
    <w:rsid w:val="00075306"/>
    <w:rsid w:val="000760D9"/>
    <w:rsid w:val="0007720E"/>
    <w:rsid w:val="00077A89"/>
    <w:rsid w:val="00083EB1"/>
    <w:rsid w:val="000840BA"/>
    <w:rsid w:val="000871CE"/>
    <w:rsid w:val="00091993"/>
    <w:rsid w:val="00092EE3"/>
    <w:rsid w:val="00093591"/>
    <w:rsid w:val="000977FC"/>
    <w:rsid w:val="000A1CF7"/>
    <w:rsid w:val="000A25F2"/>
    <w:rsid w:val="000A647B"/>
    <w:rsid w:val="000A6ED3"/>
    <w:rsid w:val="000B06BB"/>
    <w:rsid w:val="000B482E"/>
    <w:rsid w:val="000B7445"/>
    <w:rsid w:val="000C3C95"/>
    <w:rsid w:val="000C4A14"/>
    <w:rsid w:val="000C4B93"/>
    <w:rsid w:val="000C5374"/>
    <w:rsid w:val="000C7740"/>
    <w:rsid w:val="000D0C1F"/>
    <w:rsid w:val="000D2A10"/>
    <w:rsid w:val="000D2AEA"/>
    <w:rsid w:val="000D2B7A"/>
    <w:rsid w:val="000D3A42"/>
    <w:rsid w:val="000D3CBF"/>
    <w:rsid w:val="000D3F63"/>
    <w:rsid w:val="000D4788"/>
    <w:rsid w:val="000D4ED5"/>
    <w:rsid w:val="000D6CCD"/>
    <w:rsid w:val="000E0615"/>
    <w:rsid w:val="000E10A1"/>
    <w:rsid w:val="000E1CB3"/>
    <w:rsid w:val="000E22C0"/>
    <w:rsid w:val="000E296E"/>
    <w:rsid w:val="000E2E49"/>
    <w:rsid w:val="000E5004"/>
    <w:rsid w:val="000E6A0A"/>
    <w:rsid w:val="000E7920"/>
    <w:rsid w:val="000E7FD6"/>
    <w:rsid w:val="000F10E6"/>
    <w:rsid w:val="000F2299"/>
    <w:rsid w:val="000F43F3"/>
    <w:rsid w:val="000F5874"/>
    <w:rsid w:val="000F7313"/>
    <w:rsid w:val="000F7E92"/>
    <w:rsid w:val="00100AB4"/>
    <w:rsid w:val="0010112A"/>
    <w:rsid w:val="0010269F"/>
    <w:rsid w:val="001064EE"/>
    <w:rsid w:val="00106699"/>
    <w:rsid w:val="001072B4"/>
    <w:rsid w:val="00110606"/>
    <w:rsid w:val="00112AA4"/>
    <w:rsid w:val="00114A5D"/>
    <w:rsid w:val="00115AF7"/>
    <w:rsid w:val="00121499"/>
    <w:rsid w:val="0012254A"/>
    <w:rsid w:val="001229DC"/>
    <w:rsid w:val="00123CE6"/>
    <w:rsid w:val="00124751"/>
    <w:rsid w:val="00124F7A"/>
    <w:rsid w:val="001262AC"/>
    <w:rsid w:val="00130505"/>
    <w:rsid w:val="00131DB4"/>
    <w:rsid w:val="0013226B"/>
    <w:rsid w:val="00132748"/>
    <w:rsid w:val="0013467D"/>
    <w:rsid w:val="00137E2E"/>
    <w:rsid w:val="00140805"/>
    <w:rsid w:val="00140AD0"/>
    <w:rsid w:val="00140F9E"/>
    <w:rsid w:val="001413AF"/>
    <w:rsid w:val="001414A9"/>
    <w:rsid w:val="00146825"/>
    <w:rsid w:val="00146EDF"/>
    <w:rsid w:val="00153A21"/>
    <w:rsid w:val="00154E61"/>
    <w:rsid w:val="00154F10"/>
    <w:rsid w:val="001571F4"/>
    <w:rsid w:val="00160035"/>
    <w:rsid w:val="00161109"/>
    <w:rsid w:val="00163D32"/>
    <w:rsid w:val="0016466F"/>
    <w:rsid w:val="001655EA"/>
    <w:rsid w:val="00166041"/>
    <w:rsid w:val="00166054"/>
    <w:rsid w:val="00171158"/>
    <w:rsid w:val="001717F9"/>
    <w:rsid w:val="00172009"/>
    <w:rsid w:val="001720F0"/>
    <w:rsid w:val="001729AF"/>
    <w:rsid w:val="00173F0C"/>
    <w:rsid w:val="00174A9D"/>
    <w:rsid w:val="00175039"/>
    <w:rsid w:val="00180135"/>
    <w:rsid w:val="00183A5E"/>
    <w:rsid w:val="00185678"/>
    <w:rsid w:val="00186EDF"/>
    <w:rsid w:val="0018741F"/>
    <w:rsid w:val="001878AB"/>
    <w:rsid w:val="0019035F"/>
    <w:rsid w:val="00191556"/>
    <w:rsid w:val="00192862"/>
    <w:rsid w:val="00193284"/>
    <w:rsid w:val="00196533"/>
    <w:rsid w:val="0019794B"/>
    <w:rsid w:val="001A0AA2"/>
    <w:rsid w:val="001A2913"/>
    <w:rsid w:val="001A392D"/>
    <w:rsid w:val="001A52C5"/>
    <w:rsid w:val="001A6678"/>
    <w:rsid w:val="001A7AD7"/>
    <w:rsid w:val="001B01B7"/>
    <w:rsid w:val="001B1453"/>
    <w:rsid w:val="001B2316"/>
    <w:rsid w:val="001B26B6"/>
    <w:rsid w:val="001B2DF8"/>
    <w:rsid w:val="001B46AD"/>
    <w:rsid w:val="001B4BB8"/>
    <w:rsid w:val="001B6C13"/>
    <w:rsid w:val="001B75AC"/>
    <w:rsid w:val="001B7D68"/>
    <w:rsid w:val="001C4676"/>
    <w:rsid w:val="001C52BD"/>
    <w:rsid w:val="001C542A"/>
    <w:rsid w:val="001C6D6A"/>
    <w:rsid w:val="001C7C5B"/>
    <w:rsid w:val="001D18D2"/>
    <w:rsid w:val="001D3DFB"/>
    <w:rsid w:val="001D3FB0"/>
    <w:rsid w:val="001D4B70"/>
    <w:rsid w:val="001D5DE9"/>
    <w:rsid w:val="001D6310"/>
    <w:rsid w:val="001D6DA4"/>
    <w:rsid w:val="001E00F1"/>
    <w:rsid w:val="001E2CFA"/>
    <w:rsid w:val="001E3D6B"/>
    <w:rsid w:val="001E5FAE"/>
    <w:rsid w:val="001E697E"/>
    <w:rsid w:val="001F1561"/>
    <w:rsid w:val="001F16F5"/>
    <w:rsid w:val="001F1B5F"/>
    <w:rsid w:val="001F4187"/>
    <w:rsid w:val="001F43BC"/>
    <w:rsid w:val="001F4876"/>
    <w:rsid w:val="001F72BE"/>
    <w:rsid w:val="001F7F6A"/>
    <w:rsid w:val="00201B11"/>
    <w:rsid w:val="00202623"/>
    <w:rsid w:val="0020365C"/>
    <w:rsid w:val="00204BC4"/>
    <w:rsid w:val="00212036"/>
    <w:rsid w:val="0021237F"/>
    <w:rsid w:val="00213596"/>
    <w:rsid w:val="00215A7F"/>
    <w:rsid w:val="0021735A"/>
    <w:rsid w:val="002174D2"/>
    <w:rsid w:val="002203AA"/>
    <w:rsid w:val="0022193F"/>
    <w:rsid w:val="00223BAD"/>
    <w:rsid w:val="00225C99"/>
    <w:rsid w:val="0022712C"/>
    <w:rsid w:val="00230360"/>
    <w:rsid w:val="00230A10"/>
    <w:rsid w:val="0023182D"/>
    <w:rsid w:val="002327A1"/>
    <w:rsid w:val="00234FB7"/>
    <w:rsid w:val="00243912"/>
    <w:rsid w:val="00245196"/>
    <w:rsid w:val="002465EA"/>
    <w:rsid w:val="00251765"/>
    <w:rsid w:val="00255E5B"/>
    <w:rsid w:val="00256648"/>
    <w:rsid w:val="002603F6"/>
    <w:rsid w:val="00261FC9"/>
    <w:rsid w:val="00262536"/>
    <w:rsid w:val="0026255D"/>
    <w:rsid w:val="0026289D"/>
    <w:rsid w:val="00265550"/>
    <w:rsid w:val="002655BC"/>
    <w:rsid w:val="00267C4F"/>
    <w:rsid w:val="00270F88"/>
    <w:rsid w:val="002711AC"/>
    <w:rsid w:val="0027377E"/>
    <w:rsid w:val="00275ACB"/>
    <w:rsid w:val="00276CB6"/>
    <w:rsid w:val="002776D2"/>
    <w:rsid w:val="00280003"/>
    <w:rsid w:val="002801C0"/>
    <w:rsid w:val="00282A55"/>
    <w:rsid w:val="00292B51"/>
    <w:rsid w:val="0029392C"/>
    <w:rsid w:val="00293A73"/>
    <w:rsid w:val="002946A0"/>
    <w:rsid w:val="002A1232"/>
    <w:rsid w:val="002A23E0"/>
    <w:rsid w:val="002A25A9"/>
    <w:rsid w:val="002A3A8A"/>
    <w:rsid w:val="002A4C23"/>
    <w:rsid w:val="002B23A5"/>
    <w:rsid w:val="002B34A2"/>
    <w:rsid w:val="002B506F"/>
    <w:rsid w:val="002B5212"/>
    <w:rsid w:val="002B6A9A"/>
    <w:rsid w:val="002C066A"/>
    <w:rsid w:val="002C16E3"/>
    <w:rsid w:val="002C283C"/>
    <w:rsid w:val="002C56D8"/>
    <w:rsid w:val="002C7308"/>
    <w:rsid w:val="002C779D"/>
    <w:rsid w:val="002C7830"/>
    <w:rsid w:val="002D012B"/>
    <w:rsid w:val="002D0A6E"/>
    <w:rsid w:val="002D0B67"/>
    <w:rsid w:val="002D1426"/>
    <w:rsid w:val="002D2C99"/>
    <w:rsid w:val="002D57A0"/>
    <w:rsid w:val="002D6873"/>
    <w:rsid w:val="002D7D76"/>
    <w:rsid w:val="002E0577"/>
    <w:rsid w:val="002E3A00"/>
    <w:rsid w:val="002E643D"/>
    <w:rsid w:val="002E696E"/>
    <w:rsid w:val="002E768B"/>
    <w:rsid w:val="002E7BD2"/>
    <w:rsid w:val="002F1162"/>
    <w:rsid w:val="002F21EB"/>
    <w:rsid w:val="002F2BDC"/>
    <w:rsid w:val="002F55A6"/>
    <w:rsid w:val="002F637C"/>
    <w:rsid w:val="002F65E3"/>
    <w:rsid w:val="002F694F"/>
    <w:rsid w:val="002F6D54"/>
    <w:rsid w:val="002F7FFC"/>
    <w:rsid w:val="0030039E"/>
    <w:rsid w:val="003037CF"/>
    <w:rsid w:val="00306832"/>
    <w:rsid w:val="003068EF"/>
    <w:rsid w:val="00313214"/>
    <w:rsid w:val="00313290"/>
    <w:rsid w:val="00314AF1"/>
    <w:rsid w:val="003154E7"/>
    <w:rsid w:val="003155C1"/>
    <w:rsid w:val="00316ABD"/>
    <w:rsid w:val="0031754C"/>
    <w:rsid w:val="00317AFA"/>
    <w:rsid w:val="00321FB5"/>
    <w:rsid w:val="003220ED"/>
    <w:rsid w:val="003231B7"/>
    <w:rsid w:val="003238FD"/>
    <w:rsid w:val="00325942"/>
    <w:rsid w:val="00326BE8"/>
    <w:rsid w:val="00327D75"/>
    <w:rsid w:val="0033073D"/>
    <w:rsid w:val="0033160A"/>
    <w:rsid w:val="00333561"/>
    <w:rsid w:val="00334E30"/>
    <w:rsid w:val="00340C33"/>
    <w:rsid w:val="003421DE"/>
    <w:rsid w:val="00343B03"/>
    <w:rsid w:val="00345011"/>
    <w:rsid w:val="0034589E"/>
    <w:rsid w:val="00345965"/>
    <w:rsid w:val="00351742"/>
    <w:rsid w:val="00352A94"/>
    <w:rsid w:val="00352ED0"/>
    <w:rsid w:val="00353FA8"/>
    <w:rsid w:val="00354D1A"/>
    <w:rsid w:val="00357D09"/>
    <w:rsid w:val="00357F4D"/>
    <w:rsid w:val="00357F80"/>
    <w:rsid w:val="00360884"/>
    <w:rsid w:val="00361468"/>
    <w:rsid w:val="0036169F"/>
    <w:rsid w:val="003622F9"/>
    <w:rsid w:val="003627A0"/>
    <w:rsid w:val="0036353B"/>
    <w:rsid w:val="00364987"/>
    <w:rsid w:val="00364E24"/>
    <w:rsid w:val="003670DB"/>
    <w:rsid w:val="0036758B"/>
    <w:rsid w:val="0037113B"/>
    <w:rsid w:val="003714E5"/>
    <w:rsid w:val="0037413E"/>
    <w:rsid w:val="00374AAF"/>
    <w:rsid w:val="0037512D"/>
    <w:rsid w:val="00375F29"/>
    <w:rsid w:val="00377CA0"/>
    <w:rsid w:val="00381BDA"/>
    <w:rsid w:val="00382303"/>
    <w:rsid w:val="003827A0"/>
    <w:rsid w:val="003827A9"/>
    <w:rsid w:val="00383816"/>
    <w:rsid w:val="0038540C"/>
    <w:rsid w:val="00386517"/>
    <w:rsid w:val="00391D20"/>
    <w:rsid w:val="00393275"/>
    <w:rsid w:val="00393292"/>
    <w:rsid w:val="003939D9"/>
    <w:rsid w:val="0039478E"/>
    <w:rsid w:val="003952E5"/>
    <w:rsid w:val="003A0176"/>
    <w:rsid w:val="003A0ADE"/>
    <w:rsid w:val="003A1074"/>
    <w:rsid w:val="003A2018"/>
    <w:rsid w:val="003A4135"/>
    <w:rsid w:val="003A5AA7"/>
    <w:rsid w:val="003A5F20"/>
    <w:rsid w:val="003B0328"/>
    <w:rsid w:val="003B0442"/>
    <w:rsid w:val="003B1933"/>
    <w:rsid w:val="003B3630"/>
    <w:rsid w:val="003B55F5"/>
    <w:rsid w:val="003B5AA2"/>
    <w:rsid w:val="003C1802"/>
    <w:rsid w:val="003C2413"/>
    <w:rsid w:val="003C4F1A"/>
    <w:rsid w:val="003C74AA"/>
    <w:rsid w:val="003D6507"/>
    <w:rsid w:val="003E23DA"/>
    <w:rsid w:val="003E266E"/>
    <w:rsid w:val="003E2800"/>
    <w:rsid w:val="003E3163"/>
    <w:rsid w:val="003E3BBF"/>
    <w:rsid w:val="003E565F"/>
    <w:rsid w:val="003E5E45"/>
    <w:rsid w:val="003E7032"/>
    <w:rsid w:val="003E77CA"/>
    <w:rsid w:val="003F4251"/>
    <w:rsid w:val="003F4753"/>
    <w:rsid w:val="003F4D34"/>
    <w:rsid w:val="003F6C1B"/>
    <w:rsid w:val="00400397"/>
    <w:rsid w:val="00400ECC"/>
    <w:rsid w:val="00402385"/>
    <w:rsid w:val="004040ED"/>
    <w:rsid w:val="004058CC"/>
    <w:rsid w:val="00410426"/>
    <w:rsid w:val="004111D1"/>
    <w:rsid w:val="00411678"/>
    <w:rsid w:val="00412905"/>
    <w:rsid w:val="00413516"/>
    <w:rsid w:val="00413760"/>
    <w:rsid w:val="00414E6A"/>
    <w:rsid w:val="004161BA"/>
    <w:rsid w:val="004229DB"/>
    <w:rsid w:val="00422CD1"/>
    <w:rsid w:val="004248B6"/>
    <w:rsid w:val="00424AC6"/>
    <w:rsid w:val="004255AC"/>
    <w:rsid w:val="00426556"/>
    <w:rsid w:val="00427EBB"/>
    <w:rsid w:val="00433B1D"/>
    <w:rsid w:val="004350A4"/>
    <w:rsid w:val="0043608C"/>
    <w:rsid w:val="00436665"/>
    <w:rsid w:val="00441170"/>
    <w:rsid w:val="004414C2"/>
    <w:rsid w:val="00445456"/>
    <w:rsid w:val="00452536"/>
    <w:rsid w:val="004525D4"/>
    <w:rsid w:val="0045403A"/>
    <w:rsid w:val="00454159"/>
    <w:rsid w:val="0045554B"/>
    <w:rsid w:val="0045573A"/>
    <w:rsid w:val="00460582"/>
    <w:rsid w:val="00463080"/>
    <w:rsid w:val="0046451C"/>
    <w:rsid w:val="00464759"/>
    <w:rsid w:val="0046565F"/>
    <w:rsid w:val="00475274"/>
    <w:rsid w:val="00475EA0"/>
    <w:rsid w:val="004773A0"/>
    <w:rsid w:val="004805D0"/>
    <w:rsid w:val="004827CC"/>
    <w:rsid w:val="004828D5"/>
    <w:rsid w:val="00485EBB"/>
    <w:rsid w:val="00487989"/>
    <w:rsid w:val="0049001B"/>
    <w:rsid w:val="00491065"/>
    <w:rsid w:val="00493AD4"/>
    <w:rsid w:val="0049419C"/>
    <w:rsid w:val="0049438C"/>
    <w:rsid w:val="004943BC"/>
    <w:rsid w:val="0049539B"/>
    <w:rsid w:val="00495E5B"/>
    <w:rsid w:val="0049617E"/>
    <w:rsid w:val="004A68F9"/>
    <w:rsid w:val="004B112D"/>
    <w:rsid w:val="004B15F2"/>
    <w:rsid w:val="004B300C"/>
    <w:rsid w:val="004B30FC"/>
    <w:rsid w:val="004B43B5"/>
    <w:rsid w:val="004B5FDD"/>
    <w:rsid w:val="004B6B5C"/>
    <w:rsid w:val="004B6E65"/>
    <w:rsid w:val="004C14E6"/>
    <w:rsid w:val="004C1B95"/>
    <w:rsid w:val="004C1CAD"/>
    <w:rsid w:val="004C51D4"/>
    <w:rsid w:val="004C7A32"/>
    <w:rsid w:val="004D30DB"/>
    <w:rsid w:val="004D5E82"/>
    <w:rsid w:val="004D62CB"/>
    <w:rsid w:val="004D647E"/>
    <w:rsid w:val="004D68B8"/>
    <w:rsid w:val="004D720F"/>
    <w:rsid w:val="004F02B8"/>
    <w:rsid w:val="004F3062"/>
    <w:rsid w:val="004F482C"/>
    <w:rsid w:val="004F4F2F"/>
    <w:rsid w:val="004F5DAB"/>
    <w:rsid w:val="004F756F"/>
    <w:rsid w:val="004F7EC3"/>
    <w:rsid w:val="0050080F"/>
    <w:rsid w:val="00500AAB"/>
    <w:rsid w:val="005024B0"/>
    <w:rsid w:val="00511E4F"/>
    <w:rsid w:val="00512708"/>
    <w:rsid w:val="005159F7"/>
    <w:rsid w:val="00516562"/>
    <w:rsid w:val="00516C4B"/>
    <w:rsid w:val="0052013B"/>
    <w:rsid w:val="0052320A"/>
    <w:rsid w:val="0052535C"/>
    <w:rsid w:val="00526F27"/>
    <w:rsid w:val="00533284"/>
    <w:rsid w:val="005344EB"/>
    <w:rsid w:val="005345AD"/>
    <w:rsid w:val="005361F1"/>
    <w:rsid w:val="005402EA"/>
    <w:rsid w:val="00540841"/>
    <w:rsid w:val="00540DD8"/>
    <w:rsid w:val="00540E8C"/>
    <w:rsid w:val="00542A69"/>
    <w:rsid w:val="00542E18"/>
    <w:rsid w:val="00545E8E"/>
    <w:rsid w:val="00551416"/>
    <w:rsid w:val="00552758"/>
    <w:rsid w:val="00553194"/>
    <w:rsid w:val="00553819"/>
    <w:rsid w:val="00557C7F"/>
    <w:rsid w:val="00557F7C"/>
    <w:rsid w:val="00564ED8"/>
    <w:rsid w:val="00565001"/>
    <w:rsid w:val="0056659D"/>
    <w:rsid w:val="005700B6"/>
    <w:rsid w:val="005715AA"/>
    <w:rsid w:val="00571D85"/>
    <w:rsid w:val="00572A55"/>
    <w:rsid w:val="00572C1B"/>
    <w:rsid w:val="0057415A"/>
    <w:rsid w:val="00574301"/>
    <w:rsid w:val="005753C9"/>
    <w:rsid w:val="00575531"/>
    <w:rsid w:val="00576D1F"/>
    <w:rsid w:val="005778D4"/>
    <w:rsid w:val="00577BDD"/>
    <w:rsid w:val="005854EF"/>
    <w:rsid w:val="005865A6"/>
    <w:rsid w:val="00590F3A"/>
    <w:rsid w:val="005913C7"/>
    <w:rsid w:val="00591C1E"/>
    <w:rsid w:val="005922CA"/>
    <w:rsid w:val="005922DE"/>
    <w:rsid w:val="005929B5"/>
    <w:rsid w:val="00594018"/>
    <w:rsid w:val="00594E33"/>
    <w:rsid w:val="005954F3"/>
    <w:rsid w:val="00595DC7"/>
    <w:rsid w:val="00596949"/>
    <w:rsid w:val="005977A6"/>
    <w:rsid w:val="005A0525"/>
    <w:rsid w:val="005A0A50"/>
    <w:rsid w:val="005A2459"/>
    <w:rsid w:val="005A30DB"/>
    <w:rsid w:val="005A3253"/>
    <w:rsid w:val="005A7AFF"/>
    <w:rsid w:val="005B1259"/>
    <w:rsid w:val="005B1278"/>
    <w:rsid w:val="005B288E"/>
    <w:rsid w:val="005B3D38"/>
    <w:rsid w:val="005B3DA9"/>
    <w:rsid w:val="005B466B"/>
    <w:rsid w:val="005B63E4"/>
    <w:rsid w:val="005B72C2"/>
    <w:rsid w:val="005B7C71"/>
    <w:rsid w:val="005C0587"/>
    <w:rsid w:val="005C06ED"/>
    <w:rsid w:val="005C5C42"/>
    <w:rsid w:val="005C6D02"/>
    <w:rsid w:val="005D014F"/>
    <w:rsid w:val="005D0688"/>
    <w:rsid w:val="005D10EA"/>
    <w:rsid w:val="005D5E03"/>
    <w:rsid w:val="005E05F9"/>
    <w:rsid w:val="005E2A45"/>
    <w:rsid w:val="005E2D6D"/>
    <w:rsid w:val="005E2E80"/>
    <w:rsid w:val="005E369E"/>
    <w:rsid w:val="005E4570"/>
    <w:rsid w:val="005E5C2A"/>
    <w:rsid w:val="005E69B6"/>
    <w:rsid w:val="005E6FD6"/>
    <w:rsid w:val="005E777F"/>
    <w:rsid w:val="005E779E"/>
    <w:rsid w:val="005F19E0"/>
    <w:rsid w:val="005F1E51"/>
    <w:rsid w:val="005F2194"/>
    <w:rsid w:val="005F21D7"/>
    <w:rsid w:val="005F638E"/>
    <w:rsid w:val="005F67A6"/>
    <w:rsid w:val="005F7872"/>
    <w:rsid w:val="005F7C2B"/>
    <w:rsid w:val="00600564"/>
    <w:rsid w:val="00600D63"/>
    <w:rsid w:val="00603C53"/>
    <w:rsid w:val="0060460E"/>
    <w:rsid w:val="00604F9B"/>
    <w:rsid w:val="006128F1"/>
    <w:rsid w:val="0061348E"/>
    <w:rsid w:val="00613499"/>
    <w:rsid w:val="00613CB5"/>
    <w:rsid w:val="00614D67"/>
    <w:rsid w:val="00615057"/>
    <w:rsid w:val="006152E0"/>
    <w:rsid w:val="00617C79"/>
    <w:rsid w:val="00622435"/>
    <w:rsid w:val="00622C39"/>
    <w:rsid w:val="0062337F"/>
    <w:rsid w:val="0062445A"/>
    <w:rsid w:val="006249DA"/>
    <w:rsid w:val="00627462"/>
    <w:rsid w:val="006314B4"/>
    <w:rsid w:val="006336B6"/>
    <w:rsid w:val="0063475B"/>
    <w:rsid w:val="0063523F"/>
    <w:rsid w:val="00637198"/>
    <w:rsid w:val="006426B3"/>
    <w:rsid w:val="006432D9"/>
    <w:rsid w:val="006437F9"/>
    <w:rsid w:val="0064512A"/>
    <w:rsid w:val="00645EE7"/>
    <w:rsid w:val="00646260"/>
    <w:rsid w:val="00650798"/>
    <w:rsid w:val="00650F44"/>
    <w:rsid w:val="00655CC0"/>
    <w:rsid w:val="006574D7"/>
    <w:rsid w:val="006608DF"/>
    <w:rsid w:val="006626C7"/>
    <w:rsid w:val="0066332A"/>
    <w:rsid w:val="00666568"/>
    <w:rsid w:val="00667BD5"/>
    <w:rsid w:val="00670F90"/>
    <w:rsid w:val="00674703"/>
    <w:rsid w:val="00682304"/>
    <w:rsid w:val="0068270C"/>
    <w:rsid w:val="0068453F"/>
    <w:rsid w:val="00691E26"/>
    <w:rsid w:val="00694725"/>
    <w:rsid w:val="00696604"/>
    <w:rsid w:val="00696F50"/>
    <w:rsid w:val="00697B5F"/>
    <w:rsid w:val="006A0242"/>
    <w:rsid w:val="006A07BE"/>
    <w:rsid w:val="006A502B"/>
    <w:rsid w:val="006A5502"/>
    <w:rsid w:val="006A7261"/>
    <w:rsid w:val="006B0DF9"/>
    <w:rsid w:val="006B1B83"/>
    <w:rsid w:val="006B3507"/>
    <w:rsid w:val="006B5F40"/>
    <w:rsid w:val="006C2607"/>
    <w:rsid w:val="006C2C05"/>
    <w:rsid w:val="006C33AE"/>
    <w:rsid w:val="006C4857"/>
    <w:rsid w:val="006C6B7C"/>
    <w:rsid w:val="006D19C6"/>
    <w:rsid w:val="006D1BF5"/>
    <w:rsid w:val="006D21AE"/>
    <w:rsid w:val="006D2716"/>
    <w:rsid w:val="006D2DCA"/>
    <w:rsid w:val="006D4E3C"/>
    <w:rsid w:val="006D58B9"/>
    <w:rsid w:val="006D7BC2"/>
    <w:rsid w:val="006E0164"/>
    <w:rsid w:val="006E144E"/>
    <w:rsid w:val="006E189E"/>
    <w:rsid w:val="006E4106"/>
    <w:rsid w:val="006E4A17"/>
    <w:rsid w:val="006E6A20"/>
    <w:rsid w:val="006E72BA"/>
    <w:rsid w:val="006F0243"/>
    <w:rsid w:val="006F3CBF"/>
    <w:rsid w:val="006F3F0D"/>
    <w:rsid w:val="006F42CA"/>
    <w:rsid w:val="006F75FD"/>
    <w:rsid w:val="006F782A"/>
    <w:rsid w:val="006F7F16"/>
    <w:rsid w:val="00700009"/>
    <w:rsid w:val="00702E77"/>
    <w:rsid w:val="007071D4"/>
    <w:rsid w:val="007106BF"/>
    <w:rsid w:val="00711547"/>
    <w:rsid w:val="00712187"/>
    <w:rsid w:val="00713E33"/>
    <w:rsid w:val="007156B3"/>
    <w:rsid w:val="00715F59"/>
    <w:rsid w:val="00716B93"/>
    <w:rsid w:val="0071757C"/>
    <w:rsid w:val="00717822"/>
    <w:rsid w:val="00721B10"/>
    <w:rsid w:val="0072401C"/>
    <w:rsid w:val="007260A1"/>
    <w:rsid w:val="00731A84"/>
    <w:rsid w:val="0073260D"/>
    <w:rsid w:val="00733FE8"/>
    <w:rsid w:val="007343B2"/>
    <w:rsid w:val="00736AD3"/>
    <w:rsid w:val="00740A15"/>
    <w:rsid w:val="007417D0"/>
    <w:rsid w:val="00741EED"/>
    <w:rsid w:val="007422FA"/>
    <w:rsid w:val="007424CD"/>
    <w:rsid w:val="007447CC"/>
    <w:rsid w:val="007458A9"/>
    <w:rsid w:val="00757043"/>
    <w:rsid w:val="0076471E"/>
    <w:rsid w:val="00766ABC"/>
    <w:rsid w:val="00770348"/>
    <w:rsid w:val="007719B1"/>
    <w:rsid w:val="00771EE8"/>
    <w:rsid w:val="0077256E"/>
    <w:rsid w:val="00772992"/>
    <w:rsid w:val="00774B1C"/>
    <w:rsid w:val="00781E2C"/>
    <w:rsid w:val="007821C5"/>
    <w:rsid w:val="00783B0F"/>
    <w:rsid w:val="007840F5"/>
    <w:rsid w:val="007841BC"/>
    <w:rsid w:val="00784505"/>
    <w:rsid w:val="00784A7B"/>
    <w:rsid w:val="0078567C"/>
    <w:rsid w:val="007933A0"/>
    <w:rsid w:val="007949F5"/>
    <w:rsid w:val="00796636"/>
    <w:rsid w:val="007A10E2"/>
    <w:rsid w:val="007A2A39"/>
    <w:rsid w:val="007A324F"/>
    <w:rsid w:val="007A4AFA"/>
    <w:rsid w:val="007A5244"/>
    <w:rsid w:val="007A5AA9"/>
    <w:rsid w:val="007B1024"/>
    <w:rsid w:val="007B253E"/>
    <w:rsid w:val="007B2C65"/>
    <w:rsid w:val="007B2FBF"/>
    <w:rsid w:val="007B66FB"/>
    <w:rsid w:val="007B6871"/>
    <w:rsid w:val="007B6A8C"/>
    <w:rsid w:val="007C0D85"/>
    <w:rsid w:val="007C2042"/>
    <w:rsid w:val="007C2EB9"/>
    <w:rsid w:val="007C314C"/>
    <w:rsid w:val="007C32E3"/>
    <w:rsid w:val="007C4388"/>
    <w:rsid w:val="007C45DB"/>
    <w:rsid w:val="007C5CA4"/>
    <w:rsid w:val="007C6097"/>
    <w:rsid w:val="007C678C"/>
    <w:rsid w:val="007C6FA4"/>
    <w:rsid w:val="007D2774"/>
    <w:rsid w:val="007D76E2"/>
    <w:rsid w:val="007E0098"/>
    <w:rsid w:val="007E0A9F"/>
    <w:rsid w:val="007E0E15"/>
    <w:rsid w:val="007E2E4E"/>
    <w:rsid w:val="007E34B1"/>
    <w:rsid w:val="007E417B"/>
    <w:rsid w:val="007E42B5"/>
    <w:rsid w:val="007E641C"/>
    <w:rsid w:val="007E7B0D"/>
    <w:rsid w:val="007E7CBB"/>
    <w:rsid w:val="007F10B2"/>
    <w:rsid w:val="007F117D"/>
    <w:rsid w:val="007F2887"/>
    <w:rsid w:val="007F3EAB"/>
    <w:rsid w:val="007F60AA"/>
    <w:rsid w:val="007F72CF"/>
    <w:rsid w:val="007F75CA"/>
    <w:rsid w:val="00800CBC"/>
    <w:rsid w:val="00802324"/>
    <w:rsid w:val="00803E3E"/>
    <w:rsid w:val="008069AD"/>
    <w:rsid w:val="00807BF3"/>
    <w:rsid w:val="00812977"/>
    <w:rsid w:val="00813490"/>
    <w:rsid w:val="00813B15"/>
    <w:rsid w:val="0081448D"/>
    <w:rsid w:val="00814D12"/>
    <w:rsid w:val="00815EAE"/>
    <w:rsid w:val="00817795"/>
    <w:rsid w:val="008178D1"/>
    <w:rsid w:val="00822D29"/>
    <w:rsid w:val="00822F87"/>
    <w:rsid w:val="008230DE"/>
    <w:rsid w:val="0082556C"/>
    <w:rsid w:val="00831519"/>
    <w:rsid w:val="00831BB1"/>
    <w:rsid w:val="008328F2"/>
    <w:rsid w:val="00833245"/>
    <w:rsid w:val="00834C52"/>
    <w:rsid w:val="0083515C"/>
    <w:rsid w:val="00835622"/>
    <w:rsid w:val="008369EF"/>
    <w:rsid w:val="00840954"/>
    <w:rsid w:val="00840C5A"/>
    <w:rsid w:val="00840E03"/>
    <w:rsid w:val="008417FB"/>
    <w:rsid w:val="00843A04"/>
    <w:rsid w:val="00843A92"/>
    <w:rsid w:val="00843D60"/>
    <w:rsid w:val="00844932"/>
    <w:rsid w:val="0084619B"/>
    <w:rsid w:val="008478B8"/>
    <w:rsid w:val="008523F4"/>
    <w:rsid w:val="008528CD"/>
    <w:rsid w:val="008554DD"/>
    <w:rsid w:val="00855D8A"/>
    <w:rsid w:val="008573E9"/>
    <w:rsid w:val="00860E19"/>
    <w:rsid w:val="00862CE6"/>
    <w:rsid w:val="00863CF2"/>
    <w:rsid w:val="0086445A"/>
    <w:rsid w:val="00864A9B"/>
    <w:rsid w:val="008654AD"/>
    <w:rsid w:val="00865795"/>
    <w:rsid w:val="00867CCB"/>
    <w:rsid w:val="00870603"/>
    <w:rsid w:val="00874F32"/>
    <w:rsid w:val="00875C23"/>
    <w:rsid w:val="00880610"/>
    <w:rsid w:val="008813B8"/>
    <w:rsid w:val="008834DF"/>
    <w:rsid w:val="008838BD"/>
    <w:rsid w:val="00883DFA"/>
    <w:rsid w:val="00884F4A"/>
    <w:rsid w:val="00884FC9"/>
    <w:rsid w:val="008852F6"/>
    <w:rsid w:val="008863AC"/>
    <w:rsid w:val="0088711A"/>
    <w:rsid w:val="00890A5F"/>
    <w:rsid w:val="00891456"/>
    <w:rsid w:val="00891A7A"/>
    <w:rsid w:val="00892E9C"/>
    <w:rsid w:val="00894C1E"/>
    <w:rsid w:val="008962D9"/>
    <w:rsid w:val="008A064C"/>
    <w:rsid w:val="008A20AE"/>
    <w:rsid w:val="008A2933"/>
    <w:rsid w:val="008A406D"/>
    <w:rsid w:val="008A626C"/>
    <w:rsid w:val="008A7003"/>
    <w:rsid w:val="008B4EFE"/>
    <w:rsid w:val="008B508B"/>
    <w:rsid w:val="008B50D6"/>
    <w:rsid w:val="008B59AC"/>
    <w:rsid w:val="008C07C3"/>
    <w:rsid w:val="008C08A2"/>
    <w:rsid w:val="008C2A5C"/>
    <w:rsid w:val="008C4884"/>
    <w:rsid w:val="008C63F6"/>
    <w:rsid w:val="008D1B72"/>
    <w:rsid w:val="008D1C41"/>
    <w:rsid w:val="008D1D6B"/>
    <w:rsid w:val="008D34B7"/>
    <w:rsid w:val="008D47C3"/>
    <w:rsid w:val="008D4970"/>
    <w:rsid w:val="008D6EB0"/>
    <w:rsid w:val="008E0304"/>
    <w:rsid w:val="008E08C0"/>
    <w:rsid w:val="008E110E"/>
    <w:rsid w:val="008E5743"/>
    <w:rsid w:val="008E5D1D"/>
    <w:rsid w:val="008E6B68"/>
    <w:rsid w:val="008E7DDE"/>
    <w:rsid w:val="008F0C29"/>
    <w:rsid w:val="008F132B"/>
    <w:rsid w:val="008F1658"/>
    <w:rsid w:val="008F2113"/>
    <w:rsid w:val="008F6119"/>
    <w:rsid w:val="008F6FBD"/>
    <w:rsid w:val="009005A2"/>
    <w:rsid w:val="00902B01"/>
    <w:rsid w:val="00902E7C"/>
    <w:rsid w:val="00907163"/>
    <w:rsid w:val="00910211"/>
    <w:rsid w:val="00914406"/>
    <w:rsid w:val="00915391"/>
    <w:rsid w:val="009157CD"/>
    <w:rsid w:val="009160F9"/>
    <w:rsid w:val="00917F86"/>
    <w:rsid w:val="009244ED"/>
    <w:rsid w:val="0092615A"/>
    <w:rsid w:val="0093024E"/>
    <w:rsid w:val="009306F9"/>
    <w:rsid w:val="00931115"/>
    <w:rsid w:val="00937A76"/>
    <w:rsid w:val="00941065"/>
    <w:rsid w:val="0094183F"/>
    <w:rsid w:val="009433D8"/>
    <w:rsid w:val="00944AA2"/>
    <w:rsid w:val="009459DA"/>
    <w:rsid w:val="00945B5F"/>
    <w:rsid w:val="00945DF3"/>
    <w:rsid w:val="00945E3A"/>
    <w:rsid w:val="00945E68"/>
    <w:rsid w:val="009502FD"/>
    <w:rsid w:val="00950A78"/>
    <w:rsid w:val="00953C22"/>
    <w:rsid w:val="00953D7A"/>
    <w:rsid w:val="00960145"/>
    <w:rsid w:val="00963A08"/>
    <w:rsid w:val="0096417C"/>
    <w:rsid w:val="00964CAC"/>
    <w:rsid w:val="00965E15"/>
    <w:rsid w:val="0096612F"/>
    <w:rsid w:val="0097202C"/>
    <w:rsid w:val="009728D3"/>
    <w:rsid w:val="009735E6"/>
    <w:rsid w:val="00974B6B"/>
    <w:rsid w:val="00974C6A"/>
    <w:rsid w:val="00975F71"/>
    <w:rsid w:val="009812F0"/>
    <w:rsid w:val="00983904"/>
    <w:rsid w:val="00987EDF"/>
    <w:rsid w:val="0099160E"/>
    <w:rsid w:val="00991853"/>
    <w:rsid w:val="009919E6"/>
    <w:rsid w:val="009930F8"/>
    <w:rsid w:val="00994ABA"/>
    <w:rsid w:val="00994F25"/>
    <w:rsid w:val="00995488"/>
    <w:rsid w:val="00996134"/>
    <w:rsid w:val="0099717F"/>
    <w:rsid w:val="009A2E34"/>
    <w:rsid w:val="009A32C3"/>
    <w:rsid w:val="009A5249"/>
    <w:rsid w:val="009A6A99"/>
    <w:rsid w:val="009A7F95"/>
    <w:rsid w:val="009B0C41"/>
    <w:rsid w:val="009B1649"/>
    <w:rsid w:val="009B1C84"/>
    <w:rsid w:val="009B5BCA"/>
    <w:rsid w:val="009B7199"/>
    <w:rsid w:val="009B7B50"/>
    <w:rsid w:val="009C1108"/>
    <w:rsid w:val="009C1250"/>
    <w:rsid w:val="009C20A6"/>
    <w:rsid w:val="009C4DD4"/>
    <w:rsid w:val="009C4ECE"/>
    <w:rsid w:val="009C4FBA"/>
    <w:rsid w:val="009D121B"/>
    <w:rsid w:val="009D13E2"/>
    <w:rsid w:val="009D18DE"/>
    <w:rsid w:val="009D1E2E"/>
    <w:rsid w:val="009D2706"/>
    <w:rsid w:val="009D3AFD"/>
    <w:rsid w:val="009D459F"/>
    <w:rsid w:val="009D5506"/>
    <w:rsid w:val="009D6686"/>
    <w:rsid w:val="009D6A84"/>
    <w:rsid w:val="009D6FB1"/>
    <w:rsid w:val="009E1C32"/>
    <w:rsid w:val="009E57D7"/>
    <w:rsid w:val="009E7575"/>
    <w:rsid w:val="009F0FD7"/>
    <w:rsid w:val="009F3CED"/>
    <w:rsid w:val="009F3F7B"/>
    <w:rsid w:val="009F51AF"/>
    <w:rsid w:val="009F53E8"/>
    <w:rsid w:val="009F5663"/>
    <w:rsid w:val="009F6A7F"/>
    <w:rsid w:val="009F6D00"/>
    <w:rsid w:val="00A01C7C"/>
    <w:rsid w:val="00A02B60"/>
    <w:rsid w:val="00A0438C"/>
    <w:rsid w:val="00A04547"/>
    <w:rsid w:val="00A05835"/>
    <w:rsid w:val="00A0791E"/>
    <w:rsid w:val="00A1128A"/>
    <w:rsid w:val="00A12632"/>
    <w:rsid w:val="00A15E0B"/>
    <w:rsid w:val="00A175DC"/>
    <w:rsid w:val="00A2041D"/>
    <w:rsid w:val="00A2075F"/>
    <w:rsid w:val="00A21C1E"/>
    <w:rsid w:val="00A23EEF"/>
    <w:rsid w:val="00A25184"/>
    <w:rsid w:val="00A25912"/>
    <w:rsid w:val="00A27CDD"/>
    <w:rsid w:val="00A30566"/>
    <w:rsid w:val="00A32F1E"/>
    <w:rsid w:val="00A33F4E"/>
    <w:rsid w:val="00A34448"/>
    <w:rsid w:val="00A3556C"/>
    <w:rsid w:val="00A3684A"/>
    <w:rsid w:val="00A416F2"/>
    <w:rsid w:val="00A47392"/>
    <w:rsid w:val="00A4770E"/>
    <w:rsid w:val="00A51E64"/>
    <w:rsid w:val="00A5448F"/>
    <w:rsid w:val="00A54F38"/>
    <w:rsid w:val="00A61FA2"/>
    <w:rsid w:val="00A63CAE"/>
    <w:rsid w:val="00A648D3"/>
    <w:rsid w:val="00A64D14"/>
    <w:rsid w:val="00A66799"/>
    <w:rsid w:val="00A707EC"/>
    <w:rsid w:val="00A7263B"/>
    <w:rsid w:val="00A72D7A"/>
    <w:rsid w:val="00A73009"/>
    <w:rsid w:val="00A73B20"/>
    <w:rsid w:val="00A74D1D"/>
    <w:rsid w:val="00A75D55"/>
    <w:rsid w:val="00A7702F"/>
    <w:rsid w:val="00A83AAD"/>
    <w:rsid w:val="00A840E6"/>
    <w:rsid w:val="00A85876"/>
    <w:rsid w:val="00A86A32"/>
    <w:rsid w:val="00A86FF9"/>
    <w:rsid w:val="00A90872"/>
    <w:rsid w:val="00A96A0D"/>
    <w:rsid w:val="00A96F9C"/>
    <w:rsid w:val="00AA3BB4"/>
    <w:rsid w:val="00AA4CC2"/>
    <w:rsid w:val="00AA4E8A"/>
    <w:rsid w:val="00AA50C1"/>
    <w:rsid w:val="00AA57B4"/>
    <w:rsid w:val="00AB127D"/>
    <w:rsid w:val="00AB2128"/>
    <w:rsid w:val="00AB3B68"/>
    <w:rsid w:val="00AB555E"/>
    <w:rsid w:val="00AB5AEA"/>
    <w:rsid w:val="00AB6320"/>
    <w:rsid w:val="00AB7CF3"/>
    <w:rsid w:val="00AC042E"/>
    <w:rsid w:val="00AC2B6C"/>
    <w:rsid w:val="00AC5328"/>
    <w:rsid w:val="00AC55E4"/>
    <w:rsid w:val="00AC5F18"/>
    <w:rsid w:val="00AC6185"/>
    <w:rsid w:val="00AC7276"/>
    <w:rsid w:val="00AD19DB"/>
    <w:rsid w:val="00AD2E32"/>
    <w:rsid w:val="00AD4588"/>
    <w:rsid w:val="00AD6B0A"/>
    <w:rsid w:val="00AE03D8"/>
    <w:rsid w:val="00AE113E"/>
    <w:rsid w:val="00AE4C7E"/>
    <w:rsid w:val="00AE51FA"/>
    <w:rsid w:val="00AE543F"/>
    <w:rsid w:val="00AE6136"/>
    <w:rsid w:val="00AF2E30"/>
    <w:rsid w:val="00AF3171"/>
    <w:rsid w:val="00AF7289"/>
    <w:rsid w:val="00AF74C3"/>
    <w:rsid w:val="00B00457"/>
    <w:rsid w:val="00B008E5"/>
    <w:rsid w:val="00B042F9"/>
    <w:rsid w:val="00B07828"/>
    <w:rsid w:val="00B1196F"/>
    <w:rsid w:val="00B11A50"/>
    <w:rsid w:val="00B14F2A"/>
    <w:rsid w:val="00B1547D"/>
    <w:rsid w:val="00B15B93"/>
    <w:rsid w:val="00B16063"/>
    <w:rsid w:val="00B17B89"/>
    <w:rsid w:val="00B20253"/>
    <w:rsid w:val="00B20512"/>
    <w:rsid w:val="00B20883"/>
    <w:rsid w:val="00B21621"/>
    <w:rsid w:val="00B22397"/>
    <w:rsid w:val="00B23700"/>
    <w:rsid w:val="00B26DA4"/>
    <w:rsid w:val="00B26DBF"/>
    <w:rsid w:val="00B3179A"/>
    <w:rsid w:val="00B3512B"/>
    <w:rsid w:val="00B35D8C"/>
    <w:rsid w:val="00B40E3B"/>
    <w:rsid w:val="00B412A2"/>
    <w:rsid w:val="00B43CA5"/>
    <w:rsid w:val="00B43CE1"/>
    <w:rsid w:val="00B46534"/>
    <w:rsid w:val="00B47634"/>
    <w:rsid w:val="00B50620"/>
    <w:rsid w:val="00B5181E"/>
    <w:rsid w:val="00B51C01"/>
    <w:rsid w:val="00B535B1"/>
    <w:rsid w:val="00B56632"/>
    <w:rsid w:val="00B56C99"/>
    <w:rsid w:val="00B57FC2"/>
    <w:rsid w:val="00B61211"/>
    <w:rsid w:val="00B61511"/>
    <w:rsid w:val="00B62206"/>
    <w:rsid w:val="00B63881"/>
    <w:rsid w:val="00B63ACE"/>
    <w:rsid w:val="00B63F36"/>
    <w:rsid w:val="00B64AED"/>
    <w:rsid w:val="00B67358"/>
    <w:rsid w:val="00B705BA"/>
    <w:rsid w:val="00B70C8F"/>
    <w:rsid w:val="00B70CF8"/>
    <w:rsid w:val="00B7344B"/>
    <w:rsid w:val="00B73A11"/>
    <w:rsid w:val="00B7536F"/>
    <w:rsid w:val="00B77AEE"/>
    <w:rsid w:val="00B83965"/>
    <w:rsid w:val="00B85DA6"/>
    <w:rsid w:val="00B861B6"/>
    <w:rsid w:val="00B870EA"/>
    <w:rsid w:val="00B87BD6"/>
    <w:rsid w:val="00B90EA4"/>
    <w:rsid w:val="00B90F50"/>
    <w:rsid w:val="00B90F95"/>
    <w:rsid w:val="00B93FA6"/>
    <w:rsid w:val="00B9536B"/>
    <w:rsid w:val="00BA1885"/>
    <w:rsid w:val="00BA18D4"/>
    <w:rsid w:val="00BA20B8"/>
    <w:rsid w:val="00BA72FC"/>
    <w:rsid w:val="00BB0308"/>
    <w:rsid w:val="00BB5AE3"/>
    <w:rsid w:val="00BB6E0C"/>
    <w:rsid w:val="00BB7057"/>
    <w:rsid w:val="00BB729F"/>
    <w:rsid w:val="00BC41CB"/>
    <w:rsid w:val="00BC5A8C"/>
    <w:rsid w:val="00BC690A"/>
    <w:rsid w:val="00BC7260"/>
    <w:rsid w:val="00BC769E"/>
    <w:rsid w:val="00BC7A1F"/>
    <w:rsid w:val="00BC7EB5"/>
    <w:rsid w:val="00BD1200"/>
    <w:rsid w:val="00BD1670"/>
    <w:rsid w:val="00BD1B41"/>
    <w:rsid w:val="00BD2801"/>
    <w:rsid w:val="00BD40B2"/>
    <w:rsid w:val="00BD4DAA"/>
    <w:rsid w:val="00BD57BA"/>
    <w:rsid w:val="00BD5C8E"/>
    <w:rsid w:val="00BD5F81"/>
    <w:rsid w:val="00BD6FBB"/>
    <w:rsid w:val="00BD765D"/>
    <w:rsid w:val="00BE0CC6"/>
    <w:rsid w:val="00BE11FF"/>
    <w:rsid w:val="00BE446A"/>
    <w:rsid w:val="00BE56E3"/>
    <w:rsid w:val="00BE6193"/>
    <w:rsid w:val="00BE7BC1"/>
    <w:rsid w:val="00BF00F7"/>
    <w:rsid w:val="00BF0240"/>
    <w:rsid w:val="00BF14DB"/>
    <w:rsid w:val="00BF1F94"/>
    <w:rsid w:val="00BF4369"/>
    <w:rsid w:val="00BF4879"/>
    <w:rsid w:val="00BF50AA"/>
    <w:rsid w:val="00BF5E06"/>
    <w:rsid w:val="00BF6744"/>
    <w:rsid w:val="00C00369"/>
    <w:rsid w:val="00C011C5"/>
    <w:rsid w:val="00C012DA"/>
    <w:rsid w:val="00C0214A"/>
    <w:rsid w:val="00C030ED"/>
    <w:rsid w:val="00C0433D"/>
    <w:rsid w:val="00C1151A"/>
    <w:rsid w:val="00C11683"/>
    <w:rsid w:val="00C1285B"/>
    <w:rsid w:val="00C158D2"/>
    <w:rsid w:val="00C17F02"/>
    <w:rsid w:val="00C240DC"/>
    <w:rsid w:val="00C24BF5"/>
    <w:rsid w:val="00C25E44"/>
    <w:rsid w:val="00C264EB"/>
    <w:rsid w:val="00C26623"/>
    <w:rsid w:val="00C314EA"/>
    <w:rsid w:val="00C31E87"/>
    <w:rsid w:val="00C33828"/>
    <w:rsid w:val="00C338C8"/>
    <w:rsid w:val="00C34219"/>
    <w:rsid w:val="00C36121"/>
    <w:rsid w:val="00C37808"/>
    <w:rsid w:val="00C415D5"/>
    <w:rsid w:val="00C417A7"/>
    <w:rsid w:val="00C43D48"/>
    <w:rsid w:val="00C456BD"/>
    <w:rsid w:val="00C45C16"/>
    <w:rsid w:val="00C46348"/>
    <w:rsid w:val="00C46BBB"/>
    <w:rsid w:val="00C50325"/>
    <w:rsid w:val="00C51AF0"/>
    <w:rsid w:val="00C530BD"/>
    <w:rsid w:val="00C53A90"/>
    <w:rsid w:val="00C55657"/>
    <w:rsid w:val="00C57FA0"/>
    <w:rsid w:val="00C60391"/>
    <w:rsid w:val="00C60723"/>
    <w:rsid w:val="00C61C6C"/>
    <w:rsid w:val="00C63777"/>
    <w:rsid w:val="00C64DA8"/>
    <w:rsid w:val="00C64FC9"/>
    <w:rsid w:val="00C6797C"/>
    <w:rsid w:val="00C70259"/>
    <w:rsid w:val="00C72B0A"/>
    <w:rsid w:val="00C73888"/>
    <w:rsid w:val="00C7426B"/>
    <w:rsid w:val="00C745CA"/>
    <w:rsid w:val="00C755C1"/>
    <w:rsid w:val="00C75EFD"/>
    <w:rsid w:val="00C75F65"/>
    <w:rsid w:val="00C77954"/>
    <w:rsid w:val="00C77E0B"/>
    <w:rsid w:val="00C80A5F"/>
    <w:rsid w:val="00C82983"/>
    <w:rsid w:val="00C83279"/>
    <w:rsid w:val="00C832FF"/>
    <w:rsid w:val="00C84FF3"/>
    <w:rsid w:val="00C87137"/>
    <w:rsid w:val="00C91852"/>
    <w:rsid w:val="00C91CA1"/>
    <w:rsid w:val="00C920AC"/>
    <w:rsid w:val="00C92D5D"/>
    <w:rsid w:val="00C94C7B"/>
    <w:rsid w:val="00C9565F"/>
    <w:rsid w:val="00C956D7"/>
    <w:rsid w:val="00C970BA"/>
    <w:rsid w:val="00CA10B2"/>
    <w:rsid w:val="00CA2D3D"/>
    <w:rsid w:val="00CA30D2"/>
    <w:rsid w:val="00CA49B1"/>
    <w:rsid w:val="00CA648F"/>
    <w:rsid w:val="00CA7CBE"/>
    <w:rsid w:val="00CB000E"/>
    <w:rsid w:val="00CB301E"/>
    <w:rsid w:val="00CB5C81"/>
    <w:rsid w:val="00CC1DE8"/>
    <w:rsid w:val="00CC221B"/>
    <w:rsid w:val="00CC4153"/>
    <w:rsid w:val="00CC5D65"/>
    <w:rsid w:val="00CD1649"/>
    <w:rsid w:val="00CD2F78"/>
    <w:rsid w:val="00CD4822"/>
    <w:rsid w:val="00CD4F8D"/>
    <w:rsid w:val="00CD5528"/>
    <w:rsid w:val="00CD626F"/>
    <w:rsid w:val="00CE1CA8"/>
    <w:rsid w:val="00CE1FBD"/>
    <w:rsid w:val="00CE4C32"/>
    <w:rsid w:val="00CE5580"/>
    <w:rsid w:val="00CE6103"/>
    <w:rsid w:val="00CE6321"/>
    <w:rsid w:val="00CE6B38"/>
    <w:rsid w:val="00CF0E51"/>
    <w:rsid w:val="00CF1EF1"/>
    <w:rsid w:val="00CF25B6"/>
    <w:rsid w:val="00CF2834"/>
    <w:rsid w:val="00CF3406"/>
    <w:rsid w:val="00CF4097"/>
    <w:rsid w:val="00CF45C7"/>
    <w:rsid w:val="00CF4B49"/>
    <w:rsid w:val="00CF523E"/>
    <w:rsid w:val="00CF7F05"/>
    <w:rsid w:val="00D0291F"/>
    <w:rsid w:val="00D029A7"/>
    <w:rsid w:val="00D053A5"/>
    <w:rsid w:val="00D05E8B"/>
    <w:rsid w:val="00D072FE"/>
    <w:rsid w:val="00D14659"/>
    <w:rsid w:val="00D1498B"/>
    <w:rsid w:val="00D16868"/>
    <w:rsid w:val="00D20E96"/>
    <w:rsid w:val="00D21586"/>
    <w:rsid w:val="00D2329D"/>
    <w:rsid w:val="00D23CB7"/>
    <w:rsid w:val="00D24127"/>
    <w:rsid w:val="00D24589"/>
    <w:rsid w:val="00D25AC4"/>
    <w:rsid w:val="00D3036C"/>
    <w:rsid w:val="00D315CD"/>
    <w:rsid w:val="00D31602"/>
    <w:rsid w:val="00D33E06"/>
    <w:rsid w:val="00D350A9"/>
    <w:rsid w:val="00D4179B"/>
    <w:rsid w:val="00D4231E"/>
    <w:rsid w:val="00D42EA7"/>
    <w:rsid w:val="00D44744"/>
    <w:rsid w:val="00D455FB"/>
    <w:rsid w:val="00D45CC5"/>
    <w:rsid w:val="00D515BE"/>
    <w:rsid w:val="00D53FFE"/>
    <w:rsid w:val="00D61B82"/>
    <w:rsid w:val="00D61DE9"/>
    <w:rsid w:val="00D653F5"/>
    <w:rsid w:val="00D663D4"/>
    <w:rsid w:val="00D66569"/>
    <w:rsid w:val="00D66AD1"/>
    <w:rsid w:val="00D67F05"/>
    <w:rsid w:val="00D71818"/>
    <w:rsid w:val="00D73807"/>
    <w:rsid w:val="00D739DB"/>
    <w:rsid w:val="00D76DDA"/>
    <w:rsid w:val="00D814D0"/>
    <w:rsid w:val="00D84524"/>
    <w:rsid w:val="00D84CB3"/>
    <w:rsid w:val="00D8549C"/>
    <w:rsid w:val="00D86186"/>
    <w:rsid w:val="00D91682"/>
    <w:rsid w:val="00D93829"/>
    <w:rsid w:val="00D939A2"/>
    <w:rsid w:val="00D96D41"/>
    <w:rsid w:val="00DA3985"/>
    <w:rsid w:val="00DA79AD"/>
    <w:rsid w:val="00DA7EC7"/>
    <w:rsid w:val="00DB02E4"/>
    <w:rsid w:val="00DB073C"/>
    <w:rsid w:val="00DB13F3"/>
    <w:rsid w:val="00DB19CF"/>
    <w:rsid w:val="00DB3FBD"/>
    <w:rsid w:val="00DB539D"/>
    <w:rsid w:val="00DB710B"/>
    <w:rsid w:val="00DC0147"/>
    <w:rsid w:val="00DC01BB"/>
    <w:rsid w:val="00DC21A3"/>
    <w:rsid w:val="00DC2ECB"/>
    <w:rsid w:val="00DC2FD8"/>
    <w:rsid w:val="00DC4129"/>
    <w:rsid w:val="00DC61D9"/>
    <w:rsid w:val="00DD0F64"/>
    <w:rsid w:val="00DD260E"/>
    <w:rsid w:val="00DD3889"/>
    <w:rsid w:val="00DD3A90"/>
    <w:rsid w:val="00DD5336"/>
    <w:rsid w:val="00DD66E6"/>
    <w:rsid w:val="00DD7565"/>
    <w:rsid w:val="00DD7AC9"/>
    <w:rsid w:val="00DE0048"/>
    <w:rsid w:val="00DE100D"/>
    <w:rsid w:val="00DE3B2D"/>
    <w:rsid w:val="00DE6C2A"/>
    <w:rsid w:val="00DE794A"/>
    <w:rsid w:val="00DE7B05"/>
    <w:rsid w:val="00DF2698"/>
    <w:rsid w:val="00DF45A1"/>
    <w:rsid w:val="00E01F39"/>
    <w:rsid w:val="00E02680"/>
    <w:rsid w:val="00E02999"/>
    <w:rsid w:val="00E0497D"/>
    <w:rsid w:val="00E07751"/>
    <w:rsid w:val="00E115C6"/>
    <w:rsid w:val="00E12BF2"/>
    <w:rsid w:val="00E15707"/>
    <w:rsid w:val="00E16293"/>
    <w:rsid w:val="00E16932"/>
    <w:rsid w:val="00E20FC8"/>
    <w:rsid w:val="00E218EF"/>
    <w:rsid w:val="00E225B0"/>
    <w:rsid w:val="00E22FBA"/>
    <w:rsid w:val="00E23F13"/>
    <w:rsid w:val="00E246C9"/>
    <w:rsid w:val="00E2549F"/>
    <w:rsid w:val="00E312A3"/>
    <w:rsid w:val="00E35F81"/>
    <w:rsid w:val="00E36CC2"/>
    <w:rsid w:val="00E37CEC"/>
    <w:rsid w:val="00E37DCA"/>
    <w:rsid w:val="00E40863"/>
    <w:rsid w:val="00E408C9"/>
    <w:rsid w:val="00E423EE"/>
    <w:rsid w:val="00E4507C"/>
    <w:rsid w:val="00E45886"/>
    <w:rsid w:val="00E47E75"/>
    <w:rsid w:val="00E52188"/>
    <w:rsid w:val="00E54B33"/>
    <w:rsid w:val="00E54DED"/>
    <w:rsid w:val="00E5574C"/>
    <w:rsid w:val="00E56A61"/>
    <w:rsid w:val="00E600BE"/>
    <w:rsid w:val="00E64405"/>
    <w:rsid w:val="00E653CD"/>
    <w:rsid w:val="00E658DD"/>
    <w:rsid w:val="00E65B76"/>
    <w:rsid w:val="00E672D8"/>
    <w:rsid w:val="00E716C6"/>
    <w:rsid w:val="00E73124"/>
    <w:rsid w:val="00E73727"/>
    <w:rsid w:val="00E75332"/>
    <w:rsid w:val="00E7761A"/>
    <w:rsid w:val="00E803F0"/>
    <w:rsid w:val="00E805DA"/>
    <w:rsid w:val="00E80F34"/>
    <w:rsid w:val="00E84C40"/>
    <w:rsid w:val="00E84E68"/>
    <w:rsid w:val="00E84F3D"/>
    <w:rsid w:val="00E867D9"/>
    <w:rsid w:val="00E871CD"/>
    <w:rsid w:val="00E92BC1"/>
    <w:rsid w:val="00E937C6"/>
    <w:rsid w:val="00E95377"/>
    <w:rsid w:val="00E9597C"/>
    <w:rsid w:val="00E96403"/>
    <w:rsid w:val="00E967E2"/>
    <w:rsid w:val="00E96CDD"/>
    <w:rsid w:val="00E9769B"/>
    <w:rsid w:val="00E97C84"/>
    <w:rsid w:val="00EA0153"/>
    <w:rsid w:val="00EA015A"/>
    <w:rsid w:val="00EA126F"/>
    <w:rsid w:val="00EB0A50"/>
    <w:rsid w:val="00EB2218"/>
    <w:rsid w:val="00EB241E"/>
    <w:rsid w:val="00EB3674"/>
    <w:rsid w:val="00EB36B8"/>
    <w:rsid w:val="00EB6371"/>
    <w:rsid w:val="00EB6782"/>
    <w:rsid w:val="00EB7152"/>
    <w:rsid w:val="00EC075D"/>
    <w:rsid w:val="00EC1B76"/>
    <w:rsid w:val="00EC544D"/>
    <w:rsid w:val="00EC735C"/>
    <w:rsid w:val="00ED1E93"/>
    <w:rsid w:val="00ED378F"/>
    <w:rsid w:val="00ED3FF5"/>
    <w:rsid w:val="00ED7772"/>
    <w:rsid w:val="00EE1BEA"/>
    <w:rsid w:val="00EE5E38"/>
    <w:rsid w:val="00EE6B00"/>
    <w:rsid w:val="00EF1710"/>
    <w:rsid w:val="00EF1AB2"/>
    <w:rsid w:val="00EF56D4"/>
    <w:rsid w:val="00EF5BDA"/>
    <w:rsid w:val="00EF6F8C"/>
    <w:rsid w:val="00EF73A2"/>
    <w:rsid w:val="00F02C8F"/>
    <w:rsid w:val="00F02D39"/>
    <w:rsid w:val="00F0505E"/>
    <w:rsid w:val="00F06325"/>
    <w:rsid w:val="00F13A8F"/>
    <w:rsid w:val="00F159BA"/>
    <w:rsid w:val="00F16011"/>
    <w:rsid w:val="00F17120"/>
    <w:rsid w:val="00F17266"/>
    <w:rsid w:val="00F17BBE"/>
    <w:rsid w:val="00F20378"/>
    <w:rsid w:val="00F21891"/>
    <w:rsid w:val="00F21BC9"/>
    <w:rsid w:val="00F25226"/>
    <w:rsid w:val="00F258FE"/>
    <w:rsid w:val="00F25905"/>
    <w:rsid w:val="00F25B8A"/>
    <w:rsid w:val="00F2617A"/>
    <w:rsid w:val="00F26616"/>
    <w:rsid w:val="00F272E0"/>
    <w:rsid w:val="00F30679"/>
    <w:rsid w:val="00F36DD0"/>
    <w:rsid w:val="00F36FF6"/>
    <w:rsid w:val="00F40A32"/>
    <w:rsid w:val="00F41FE2"/>
    <w:rsid w:val="00F4443A"/>
    <w:rsid w:val="00F447DB"/>
    <w:rsid w:val="00F44836"/>
    <w:rsid w:val="00F44FB5"/>
    <w:rsid w:val="00F47596"/>
    <w:rsid w:val="00F50017"/>
    <w:rsid w:val="00F508F2"/>
    <w:rsid w:val="00F50F4C"/>
    <w:rsid w:val="00F5179E"/>
    <w:rsid w:val="00F51ED8"/>
    <w:rsid w:val="00F522CA"/>
    <w:rsid w:val="00F55244"/>
    <w:rsid w:val="00F55C45"/>
    <w:rsid w:val="00F569F6"/>
    <w:rsid w:val="00F5702E"/>
    <w:rsid w:val="00F61E10"/>
    <w:rsid w:val="00F6297B"/>
    <w:rsid w:val="00F656B9"/>
    <w:rsid w:val="00F65849"/>
    <w:rsid w:val="00F65F62"/>
    <w:rsid w:val="00F67BBB"/>
    <w:rsid w:val="00F70CA8"/>
    <w:rsid w:val="00F73E06"/>
    <w:rsid w:val="00F73FD2"/>
    <w:rsid w:val="00F76B06"/>
    <w:rsid w:val="00F8153B"/>
    <w:rsid w:val="00F8186D"/>
    <w:rsid w:val="00F82624"/>
    <w:rsid w:val="00F82C35"/>
    <w:rsid w:val="00F856A0"/>
    <w:rsid w:val="00F86E73"/>
    <w:rsid w:val="00F87F48"/>
    <w:rsid w:val="00F90AEB"/>
    <w:rsid w:val="00F92193"/>
    <w:rsid w:val="00F95886"/>
    <w:rsid w:val="00F9660E"/>
    <w:rsid w:val="00F968BD"/>
    <w:rsid w:val="00FA0FC1"/>
    <w:rsid w:val="00FA2AC6"/>
    <w:rsid w:val="00FA388D"/>
    <w:rsid w:val="00FA68BA"/>
    <w:rsid w:val="00FA7708"/>
    <w:rsid w:val="00FA77C4"/>
    <w:rsid w:val="00FB005A"/>
    <w:rsid w:val="00FB071C"/>
    <w:rsid w:val="00FB080C"/>
    <w:rsid w:val="00FB1FBF"/>
    <w:rsid w:val="00FB3148"/>
    <w:rsid w:val="00FB48BA"/>
    <w:rsid w:val="00FB4F3A"/>
    <w:rsid w:val="00FB51E2"/>
    <w:rsid w:val="00FB6DA3"/>
    <w:rsid w:val="00FB76EC"/>
    <w:rsid w:val="00FC2060"/>
    <w:rsid w:val="00FC3E8C"/>
    <w:rsid w:val="00FC686A"/>
    <w:rsid w:val="00FD2577"/>
    <w:rsid w:val="00FD2957"/>
    <w:rsid w:val="00FD2E6B"/>
    <w:rsid w:val="00FD48C9"/>
    <w:rsid w:val="00FD62A3"/>
    <w:rsid w:val="00FD62D8"/>
    <w:rsid w:val="00FD7CC9"/>
    <w:rsid w:val="00FE3024"/>
    <w:rsid w:val="00FE33EC"/>
    <w:rsid w:val="00FE4826"/>
    <w:rsid w:val="00FE4C87"/>
    <w:rsid w:val="00FE50AE"/>
    <w:rsid w:val="00FE5301"/>
    <w:rsid w:val="00FE7ABB"/>
    <w:rsid w:val="00FF34D8"/>
    <w:rsid w:val="00FF6011"/>
    <w:rsid w:val="00FF7D26"/>
    <w:rsid w:val="00FF7E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05EDA"/>
  <w15:docId w15:val="{9D278873-7330-4354-BF71-9C98E292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218"/>
    <w:pPr>
      <w:spacing w:before="120" w:after="120"/>
      <w:ind w:firstLine="720"/>
      <w:jc w:val="both"/>
    </w:pPr>
  </w:style>
  <w:style w:type="paragraph" w:styleId="Heading1">
    <w:name w:val="heading 1"/>
    <w:basedOn w:val="Normal"/>
    <w:next w:val="Normal"/>
    <w:link w:val="Heading1Char"/>
    <w:uiPriority w:val="9"/>
    <w:qFormat/>
    <w:rsid w:val="00043218"/>
    <w:pPr>
      <w:keepNext/>
      <w:keepLines/>
      <w:numPr>
        <w:numId w:val="1"/>
      </w:numPr>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nhideWhenUsed/>
    <w:qFormat/>
    <w:rsid w:val="00043218"/>
    <w:pPr>
      <w:keepNext/>
      <w:numPr>
        <w:numId w:val="2"/>
      </w:numPr>
      <w:spacing w:before="240" w:after="60"/>
      <w:jc w:val="center"/>
      <w:outlineLvl w:val="1"/>
    </w:pPr>
    <w:rPr>
      <w:rFonts w:eastAsia="Times New Roman" w:cs="Times New Roman"/>
      <w:b/>
      <w:bCs/>
      <w:iCs/>
      <w:szCs w:val="28"/>
    </w:rPr>
  </w:style>
  <w:style w:type="paragraph" w:styleId="Heading3">
    <w:name w:val="heading 3"/>
    <w:basedOn w:val="Normal"/>
    <w:next w:val="Normal"/>
    <w:link w:val="Heading3Char"/>
    <w:uiPriority w:val="9"/>
    <w:unhideWhenUsed/>
    <w:qFormat/>
    <w:rsid w:val="008F611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218"/>
    <w:rPr>
      <w:rFonts w:eastAsiaTheme="majorEastAsia" w:cstheme="majorBidi"/>
      <w:b/>
      <w:sz w:val="32"/>
      <w:szCs w:val="32"/>
    </w:rPr>
  </w:style>
  <w:style w:type="character" w:customStyle="1" w:styleId="Heading2Char">
    <w:name w:val="Heading 2 Char"/>
    <w:basedOn w:val="DefaultParagraphFont"/>
    <w:link w:val="Heading2"/>
    <w:rsid w:val="00043218"/>
    <w:rPr>
      <w:rFonts w:eastAsia="Times New Roman" w:cs="Times New Roman"/>
      <w:b/>
      <w:bCs/>
      <w:iCs/>
      <w:szCs w:val="28"/>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Akapit z listą BS"/>
    <w:basedOn w:val="Normal"/>
    <w:link w:val="ListParagraphChar"/>
    <w:uiPriority w:val="34"/>
    <w:qFormat/>
    <w:rsid w:val="00043218"/>
    <w:pPr>
      <w:ind w:left="720"/>
      <w:contextualSpacing/>
    </w:pPr>
  </w:style>
  <w:style w:type="paragraph" w:styleId="BalloonText">
    <w:name w:val="Balloon Text"/>
    <w:basedOn w:val="Normal"/>
    <w:link w:val="BalloonTextChar"/>
    <w:uiPriority w:val="99"/>
    <w:semiHidden/>
    <w:unhideWhenUsed/>
    <w:rsid w:val="00043218"/>
    <w:rPr>
      <w:rFonts w:ascii="Tahoma" w:hAnsi="Tahoma" w:cs="Tahoma"/>
      <w:sz w:val="16"/>
      <w:szCs w:val="16"/>
    </w:rPr>
  </w:style>
  <w:style w:type="character" w:customStyle="1" w:styleId="BalloonTextChar">
    <w:name w:val="Balloon Text Char"/>
    <w:basedOn w:val="DefaultParagraphFont"/>
    <w:link w:val="BalloonText"/>
    <w:uiPriority w:val="99"/>
    <w:semiHidden/>
    <w:rsid w:val="00043218"/>
    <w:rPr>
      <w:rFonts w:ascii="Tahoma" w:hAnsi="Tahoma" w:cs="Tahoma"/>
      <w:sz w:val="16"/>
      <w:szCs w:val="16"/>
    </w:rPr>
  </w:style>
  <w:style w:type="paragraph" w:styleId="BodyTextIndent">
    <w:name w:val="Body Text Indent"/>
    <w:basedOn w:val="Normal"/>
    <w:link w:val="BodyTextIndentChar"/>
    <w:rsid w:val="00043218"/>
    <w:pPr>
      <w:ind w:left="283"/>
    </w:pPr>
    <w:rPr>
      <w:rFonts w:eastAsia="Times New Roman" w:cs="Times New Roman"/>
      <w:szCs w:val="24"/>
      <w:lang w:eastAsia="lv-LV"/>
    </w:rPr>
  </w:style>
  <w:style w:type="character" w:customStyle="1" w:styleId="BodyTextIndentChar">
    <w:name w:val="Body Text Indent Char"/>
    <w:basedOn w:val="DefaultParagraphFont"/>
    <w:link w:val="BodyTextIndent"/>
    <w:rsid w:val="00043218"/>
    <w:rPr>
      <w:rFonts w:eastAsia="Times New Roman" w:cs="Times New Roman"/>
      <w:szCs w:val="24"/>
      <w:lang w:eastAsia="lv-LV"/>
    </w:rPr>
  </w:style>
  <w:style w:type="character" w:customStyle="1" w:styleId="spelle">
    <w:name w:val="spelle"/>
    <w:basedOn w:val="DefaultParagraphFont"/>
    <w:rsid w:val="00043218"/>
  </w:style>
  <w:style w:type="paragraph" w:styleId="FootnoteText">
    <w:name w:val="footnote text"/>
    <w:aliases w:val="Footnote,Fußnote,Fußnote Char Char Char,single space,ft Rakstz. Rakstz.,ft Rakstz.,ft,-E Fußnotentext,Fußnotentext Ursprung,Vēres teksts Char Char Char Char Char,Char Char Char Char Char Char Char Char Char Char Char Char,footnote tex"/>
    <w:basedOn w:val="Normal"/>
    <w:link w:val="FootnoteTextChar"/>
    <w:uiPriority w:val="99"/>
    <w:unhideWhenUsed/>
    <w:qFormat/>
    <w:rsid w:val="00043218"/>
    <w:rPr>
      <w:rFonts w:eastAsia="Times New Roman" w:cs="Times New Roman"/>
      <w:sz w:val="20"/>
      <w:szCs w:val="20"/>
    </w:rPr>
  </w:style>
  <w:style w:type="character" w:customStyle="1" w:styleId="FootnoteTextChar">
    <w:name w:val="Footnote Text Char"/>
    <w:aliases w:val="Footnote Char,Fußnote Char,Fußnote Char Char Char Char,single space Char,ft Rakstz. Rakstz. Char,ft Rakstz. Char,ft Char,-E Fußnotentext Char,Fußnotentext Ursprung Char,Vēres teksts Char Char Char Char Char Char,footnote tex Char"/>
    <w:basedOn w:val="DefaultParagraphFont"/>
    <w:link w:val="FootnoteText"/>
    <w:uiPriority w:val="99"/>
    <w:rsid w:val="00043218"/>
    <w:rPr>
      <w:rFonts w:eastAsia="Times New Roman" w:cs="Times New Roman"/>
      <w:sz w:val="20"/>
      <w:szCs w:val="20"/>
    </w:rPr>
  </w:style>
  <w:style w:type="character" w:styleId="FootnoteReference">
    <w:name w:val="footnote reference"/>
    <w:aliases w:val="Footnote Reference Number,Footnote symbol,Footnote Reference Superscript,ftref,Footnote Refernece,Odwołanie przypisu,BVI fnr,Footnotes refss,SUPERS,Ref,de nota al pie,-E Fußnotenzeichen,Footnote reference number,Times 10 Point,E,E FNZ"/>
    <w:basedOn w:val="DefaultParagraphFont"/>
    <w:link w:val="Char2"/>
    <w:uiPriority w:val="99"/>
    <w:unhideWhenUsed/>
    <w:qFormat/>
    <w:rsid w:val="00043218"/>
    <w:rPr>
      <w:vertAlign w:val="superscript"/>
    </w:rPr>
  </w:style>
  <w:style w:type="paragraph" w:styleId="Header">
    <w:name w:val="header"/>
    <w:basedOn w:val="Normal"/>
    <w:link w:val="HeaderChar"/>
    <w:uiPriority w:val="99"/>
    <w:unhideWhenUsed/>
    <w:rsid w:val="00043218"/>
    <w:pPr>
      <w:tabs>
        <w:tab w:val="center" w:pos="4153"/>
        <w:tab w:val="right" w:pos="8306"/>
      </w:tabs>
    </w:pPr>
  </w:style>
  <w:style w:type="character" w:customStyle="1" w:styleId="HeaderChar">
    <w:name w:val="Header Char"/>
    <w:basedOn w:val="DefaultParagraphFont"/>
    <w:link w:val="Header"/>
    <w:uiPriority w:val="99"/>
    <w:rsid w:val="00043218"/>
    <w:rPr>
      <w:sz w:val="28"/>
    </w:rPr>
  </w:style>
  <w:style w:type="paragraph" w:styleId="Footer">
    <w:name w:val="footer"/>
    <w:basedOn w:val="Normal"/>
    <w:link w:val="FooterChar"/>
    <w:uiPriority w:val="99"/>
    <w:unhideWhenUsed/>
    <w:rsid w:val="00043218"/>
    <w:pPr>
      <w:tabs>
        <w:tab w:val="center" w:pos="4153"/>
        <w:tab w:val="right" w:pos="8306"/>
      </w:tabs>
    </w:pPr>
  </w:style>
  <w:style w:type="character" w:customStyle="1" w:styleId="FooterChar">
    <w:name w:val="Footer Char"/>
    <w:basedOn w:val="DefaultParagraphFont"/>
    <w:link w:val="Footer"/>
    <w:uiPriority w:val="99"/>
    <w:rsid w:val="00043218"/>
    <w:rPr>
      <w:sz w:val="28"/>
    </w:rPr>
  </w:style>
  <w:style w:type="paragraph" w:customStyle="1" w:styleId="H1">
    <w:name w:val="H1"/>
    <w:rsid w:val="00043218"/>
    <w:pPr>
      <w:spacing w:before="120" w:after="120"/>
      <w:ind w:left="284" w:firstLine="720"/>
      <w:jc w:val="center"/>
      <w:outlineLvl w:val="0"/>
    </w:pPr>
    <w:rPr>
      <w:rFonts w:eastAsia="Times New Roman" w:cs="Times New Roman"/>
      <w:b/>
      <w:sz w:val="44"/>
      <w:szCs w:val="20"/>
    </w:rPr>
  </w:style>
  <w:style w:type="paragraph" w:customStyle="1" w:styleId="H2">
    <w:name w:val="H2"/>
    <w:rsid w:val="00043218"/>
    <w:pPr>
      <w:spacing w:before="120" w:after="120"/>
      <w:ind w:left="284" w:firstLine="720"/>
      <w:jc w:val="center"/>
      <w:outlineLvl w:val="1"/>
    </w:pPr>
    <w:rPr>
      <w:rFonts w:eastAsia="Times New Roman" w:cs="Times New Roman"/>
      <w:b/>
      <w:sz w:val="36"/>
      <w:szCs w:val="20"/>
    </w:rPr>
  </w:style>
  <w:style w:type="table" w:styleId="TableGrid">
    <w:name w:val="Table Grid"/>
    <w:basedOn w:val="TableNormal"/>
    <w:uiPriority w:val="39"/>
    <w:rsid w:val="00043218"/>
    <w:pPr>
      <w:spacing w:before="120" w:after="120"/>
      <w:ind w:left="284" w:firstLine="720"/>
      <w:jc w:val="both"/>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43218"/>
    <w:rPr>
      <w:rFonts w:ascii="Garamond" w:hAnsi="Garamond"/>
      <w:noProof w:val="0"/>
      <w:color w:val="0000FF"/>
      <w:u w:val="single"/>
      <w:lang w:val="lv-LV"/>
    </w:rPr>
  </w:style>
  <w:style w:type="paragraph" w:customStyle="1" w:styleId="Default">
    <w:name w:val="Default"/>
    <w:rsid w:val="00043218"/>
    <w:pPr>
      <w:autoSpaceDE w:val="0"/>
      <w:autoSpaceDN w:val="0"/>
      <w:adjustRightInd w:val="0"/>
      <w:spacing w:before="120" w:after="120"/>
      <w:ind w:left="284" w:firstLine="720"/>
      <w:jc w:val="both"/>
    </w:pPr>
    <w:rPr>
      <w:rFonts w:eastAsia="Times New Roman" w:cs="Times New Roman"/>
      <w:color w:val="000000"/>
      <w:szCs w:val="24"/>
      <w:lang w:eastAsia="lv-LV"/>
    </w:rPr>
  </w:style>
  <w:style w:type="paragraph" w:customStyle="1" w:styleId="teksts">
    <w:name w:val="teksts"/>
    <w:rsid w:val="00043218"/>
    <w:pPr>
      <w:spacing w:before="120" w:after="120"/>
      <w:ind w:left="284" w:firstLine="720"/>
      <w:jc w:val="both"/>
    </w:pPr>
    <w:rPr>
      <w:rFonts w:ascii="Garamond" w:eastAsia="Times New Roman" w:hAnsi="Garamond" w:cs="Times New Roman"/>
      <w:szCs w:val="20"/>
    </w:rPr>
  </w:style>
  <w:style w:type="paragraph" w:customStyle="1" w:styleId="CM1">
    <w:name w:val="CM1"/>
    <w:basedOn w:val="Default"/>
    <w:next w:val="Default"/>
    <w:uiPriority w:val="99"/>
    <w:rsid w:val="00043218"/>
    <w:rPr>
      <w:rFonts w:ascii="EUAlbertina" w:eastAsia="Calibri" w:hAnsi="EUAlbertina"/>
      <w:color w:val="auto"/>
      <w:lang w:val="en-GB" w:eastAsia="en-GB"/>
    </w:rPr>
  </w:style>
  <w:style w:type="character" w:styleId="CommentReference">
    <w:name w:val="annotation reference"/>
    <w:basedOn w:val="DefaultParagraphFont"/>
    <w:uiPriority w:val="99"/>
    <w:semiHidden/>
    <w:unhideWhenUsed/>
    <w:rsid w:val="00043218"/>
    <w:rPr>
      <w:sz w:val="16"/>
      <w:szCs w:val="16"/>
    </w:rPr>
  </w:style>
  <w:style w:type="paragraph" w:styleId="CommentText">
    <w:name w:val="annotation text"/>
    <w:basedOn w:val="Normal"/>
    <w:link w:val="CommentTextChar"/>
    <w:uiPriority w:val="99"/>
    <w:unhideWhenUsed/>
    <w:rsid w:val="00043218"/>
    <w:rPr>
      <w:sz w:val="20"/>
      <w:szCs w:val="20"/>
    </w:rPr>
  </w:style>
  <w:style w:type="character" w:customStyle="1" w:styleId="CommentTextChar">
    <w:name w:val="Comment Text Char"/>
    <w:basedOn w:val="DefaultParagraphFont"/>
    <w:link w:val="CommentText"/>
    <w:uiPriority w:val="99"/>
    <w:rsid w:val="00043218"/>
    <w:rPr>
      <w:sz w:val="20"/>
      <w:szCs w:val="20"/>
    </w:rPr>
  </w:style>
  <w:style w:type="paragraph" w:styleId="CommentSubject">
    <w:name w:val="annotation subject"/>
    <w:basedOn w:val="CommentText"/>
    <w:next w:val="CommentText"/>
    <w:link w:val="CommentSubjectChar"/>
    <w:uiPriority w:val="99"/>
    <w:semiHidden/>
    <w:unhideWhenUsed/>
    <w:rsid w:val="00043218"/>
    <w:rPr>
      <w:b/>
      <w:bCs/>
    </w:rPr>
  </w:style>
  <w:style w:type="character" w:customStyle="1" w:styleId="CommentSubjectChar">
    <w:name w:val="Comment Subject Char"/>
    <w:basedOn w:val="CommentTextChar"/>
    <w:link w:val="CommentSubject"/>
    <w:uiPriority w:val="99"/>
    <w:semiHidden/>
    <w:rsid w:val="00043218"/>
    <w:rPr>
      <w:b/>
      <w:bCs/>
      <w:sz w:val="20"/>
      <w:szCs w:val="20"/>
    </w:rPr>
  </w:style>
  <w:style w:type="paragraph" w:styleId="NormalWeb">
    <w:name w:val="Normal (Web)"/>
    <w:basedOn w:val="Normal"/>
    <w:uiPriority w:val="99"/>
    <w:unhideWhenUsed/>
    <w:rsid w:val="00043218"/>
    <w:pPr>
      <w:spacing w:before="100" w:beforeAutospacing="1" w:after="100" w:afterAutospacing="1"/>
    </w:pPr>
    <w:rPr>
      <w:rFonts w:eastAsia="Times New Roman" w:cs="Times New Roman"/>
      <w:szCs w:val="24"/>
      <w:lang w:eastAsia="lv-LV"/>
    </w:rPr>
  </w:style>
  <w:style w:type="paragraph" w:styleId="TOC2">
    <w:name w:val="toc 2"/>
    <w:basedOn w:val="Normal"/>
    <w:next w:val="Normal"/>
    <w:autoRedefine/>
    <w:uiPriority w:val="39"/>
    <w:unhideWhenUsed/>
    <w:rsid w:val="00043218"/>
    <w:pPr>
      <w:tabs>
        <w:tab w:val="right" w:pos="1701"/>
        <w:tab w:val="right" w:leader="dot" w:pos="9061"/>
      </w:tabs>
      <w:ind w:left="1134" w:firstLine="0"/>
    </w:pPr>
  </w:style>
  <w:style w:type="paragraph" w:styleId="TOC1">
    <w:name w:val="toc 1"/>
    <w:basedOn w:val="Normal"/>
    <w:next w:val="Normal"/>
    <w:autoRedefine/>
    <w:uiPriority w:val="39"/>
    <w:unhideWhenUsed/>
    <w:rsid w:val="00571D85"/>
    <w:pPr>
      <w:tabs>
        <w:tab w:val="right" w:pos="1134"/>
        <w:tab w:val="right" w:leader="dot" w:pos="9061"/>
      </w:tabs>
      <w:spacing w:after="100"/>
      <w:ind w:firstLine="0"/>
    </w:pPr>
  </w:style>
  <w:style w:type="paragraph" w:styleId="NoSpacing">
    <w:name w:val="No Spacing"/>
    <w:link w:val="NoSpacingChar"/>
    <w:uiPriority w:val="1"/>
    <w:qFormat/>
    <w:rsid w:val="00043218"/>
    <w:pPr>
      <w:ind w:firstLine="567"/>
      <w:jc w:val="both"/>
    </w:pPr>
    <w:rPr>
      <w:rFonts w:eastAsia="Times New Roman" w:cs="Times New Roman"/>
      <w:szCs w:val="20"/>
    </w:rPr>
  </w:style>
  <w:style w:type="character" w:customStyle="1" w:styleId="NoSpacingChar">
    <w:name w:val="No Spacing Char"/>
    <w:basedOn w:val="DefaultParagraphFont"/>
    <w:link w:val="NoSpacing"/>
    <w:uiPriority w:val="1"/>
    <w:rsid w:val="00043218"/>
    <w:rPr>
      <w:rFonts w:eastAsia="Times New Roman" w:cs="Times New Roman"/>
      <w:szCs w:val="20"/>
    </w:rPr>
  </w:style>
  <w:style w:type="paragraph" w:styleId="BodyText2">
    <w:name w:val="Body Text 2"/>
    <w:basedOn w:val="Normal"/>
    <w:link w:val="BodyText2Char"/>
    <w:uiPriority w:val="99"/>
    <w:semiHidden/>
    <w:unhideWhenUsed/>
    <w:rsid w:val="00043218"/>
    <w:pPr>
      <w:spacing w:line="480" w:lineRule="auto"/>
    </w:pPr>
  </w:style>
  <w:style w:type="character" w:customStyle="1" w:styleId="BodyText2Char">
    <w:name w:val="Body Text 2 Char"/>
    <w:basedOn w:val="DefaultParagraphFont"/>
    <w:link w:val="BodyText2"/>
    <w:uiPriority w:val="99"/>
    <w:semiHidden/>
    <w:rsid w:val="00043218"/>
    <w:rPr>
      <w:sz w:val="28"/>
    </w:rPr>
  </w:style>
  <w:style w:type="character" w:styleId="Strong">
    <w:name w:val="Strong"/>
    <w:uiPriority w:val="22"/>
    <w:qFormat/>
    <w:rsid w:val="006C6B7C"/>
    <w:rPr>
      <w:b/>
      <w:bCs/>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A0ADE"/>
    <w:rPr>
      <w:sz w:val="28"/>
    </w:rPr>
  </w:style>
  <w:style w:type="character" w:customStyle="1" w:styleId="Heading3Char">
    <w:name w:val="Heading 3 Char"/>
    <w:basedOn w:val="DefaultParagraphFont"/>
    <w:link w:val="Heading3"/>
    <w:uiPriority w:val="9"/>
    <w:rsid w:val="008F6119"/>
    <w:rPr>
      <w:rFonts w:asciiTheme="majorHAnsi" w:eastAsiaTheme="majorEastAsia" w:hAnsiTheme="majorHAnsi" w:cstheme="majorBidi"/>
      <w:color w:val="1F4D78" w:themeColor="accent1" w:themeShade="7F"/>
      <w:szCs w:val="24"/>
    </w:rPr>
  </w:style>
  <w:style w:type="table" w:customStyle="1" w:styleId="GridTable6Colorful-Accent11">
    <w:name w:val="Grid Table 6 Colorful - Accent 11"/>
    <w:basedOn w:val="TableNormal"/>
    <w:uiPriority w:val="51"/>
    <w:rsid w:val="008F2113"/>
    <w:rPr>
      <w:rFonts w:asciiTheme="minorHAnsi" w:eastAsiaTheme="minorEastAsia" w:hAnsiTheme="minorHAnsi"/>
      <w:color w:val="2E74B5" w:themeColor="accent1" w:themeShade="BF"/>
      <w:sz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
    <w:name w:val="Table Grid1"/>
    <w:basedOn w:val="TableNormal"/>
    <w:next w:val="TableGrid"/>
    <w:uiPriority w:val="39"/>
    <w:rsid w:val="00FA77C4"/>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4B6B5C"/>
    <w:pPr>
      <w:spacing w:before="100" w:beforeAutospacing="1" w:after="100" w:afterAutospacing="1"/>
      <w:ind w:firstLine="0"/>
      <w:jc w:val="left"/>
    </w:pPr>
    <w:rPr>
      <w:rFonts w:eastAsia="Times New Roman" w:cs="Times New Roman"/>
      <w:szCs w:val="24"/>
      <w:lang w:eastAsia="lv-LV"/>
    </w:rPr>
  </w:style>
  <w:style w:type="table" w:customStyle="1" w:styleId="TableGrid2">
    <w:name w:val="Table Grid2"/>
    <w:basedOn w:val="TableNormal"/>
    <w:next w:val="TableGrid"/>
    <w:uiPriority w:val="39"/>
    <w:rsid w:val="008B59AC"/>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Revision">
    <w:name w:val="Revision"/>
    <w:hidden/>
    <w:uiPriority w:val="99"/>
    <w:semiHidden/>
    <w:rsid w:val="008B59AC"/>
    <w:rPr>
      <w:sz w:val="28"/>
    </w:rPr>
  </w:style>
  <w:style w:type="paragraph" w:customStyle="1" w:styleId="Char2">
    <w:name w:val="Char2"/>
    <w:aliases w:val="Char Char Char Char"/>
    <w:basedOn w:val="Normal"/>
    <w:next w:val="Normal"/>
    <w:link w:val="FootnoteReference"/>
    <w:uiPriority w:val="99"/>
    <w:rsid w:val="008B59AC"/>
    <w:pPr>
      <w:spacing w:before="0" w:after="160" w:line="240" w:lineRule="exact"/>
      <w:ind w:firstLine="0"/>
      <w:textAlignment w:val="baseline"/>
    </w:pPr>
    <w:rPr>
      <w:vertAlign w:val="superscript"/>
    </w:rPr>
  </w:style>
  <w:style w:type="table" w:styleId="ListTable2-Accent1">
    <w:name w:val="List Table 2 Accent 1"/>
    <w:basedOn w:val="TableNormal"/>
    <w:uiPriority w:val="47"/>
    <w:rsid w:val="008B59AC"/>
    <w:rPr>
      <w:rFonts w:asciiTheme="minorHAnsi" w:eastAsiaTheme="minorEastAsia" w:hAnsiTheme="minorHAnsi"/>
      <w:sz w:val="22"/>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v2131">
    <w:name w:val="tv2131"/>
    <w:basedOn w:val="Normal"/>
    <w:rsid w:val="008E7DDE"/>
    <w:pPr>
      <w:spacing w:before="0" w:after="0" w:line="360" w:lineRule="auto"/>
      <w:ind w:firstLine="300"/>
      <w:jc w:val="left"/>
    </w:pPr>
    <w:rPr>
      <w:rFonts w:eastAsia="Times New Roman" w:cs="Times New Roman"/>
      <w:color w:val="414142"/>
      <w:sz w:val="20"/>
      <w:szCs w:val="20"/>
      <w:lang w:eastAsia="lv-LV"/>
    </w:rPr>
  </w:style>
  <w:style w:type="paragraph" w:customStyle="1" w:styleId="Tabulasvirsraksts">
    <w:name w:val="Tabulas virsraksts"/>
    <w:basedOn w:val="Normal"/>
    <w:link w:val="TabulasvirsrakstsChar"/>
    <w:qFormat/>
    <w:rsid w:val="00FA2AC6"/>
    <w:pPr>
      <w:ind w:firstLine="0"/>
      <w:jc w:val="center"/>
    </w:pPr>
    <w:rPr>
      <w:rFonts w:eastAsia="Times New Roman" w:cs="Times New Roman"/>
      <w:b/>
      <w:iCs/>
      <w:szCs w:val="24"/>
    </w:rPr>
  </w:style>
  <w:style w:type="character" w:customStyle="1" w:styleId="TabulasvirsrakstsChar">
    <w:name w:val="Tabulas virsraksts Char"/>
    <w:basedOn w:val="DefaultParagraphFont"/>
    <w:link w:val="Tabulasvirsraksts"/>
    <w:rsid w:val="00FA2AC6"/>
    <w:rPr>
      <w:rFonts w:eastAsia="Times New Roman" w:cs="Times New Roman"/>
      <w:b/>
      <w:iCs/>
      <w:szCs w:val="24"/>
    </w:rPr>
  </w:style>
  <w:style w:type="paragraph" w:customStyle="1" w:styleId="H4">
    <w:name w:val="H4"/>
    <w:uiPriority w:val="99"/>
    <w:rsid w:val="00565001"/>
    <w:pPr>
      <w:spacing w:before="120" w:after="120"/>
      <w:ind w:left="567"/>
      <w:outlineLvl w:val="3"/>
    </w:pPr>
    <w:rPr>
      <w:rFonts w:ascii="Calibri" w:eastAsia="Times New Roman" w:hAnsi="Calibri" w:cs="Times New Roman"/>
      <w:b/>
      <w:sz w:val="28"/>
      <w:szCs w:val="20"/>
    </w:rPr>
  </w:style>
  <w:style w:type="table" w:customStyle="1" w:styleId="GridTable6Colorful-Accent1131">
    <w:name w:val="Grid Table 6 Colorful - Accent 1131"/>
    <w:basedOn w:val="TableNormal"/>
    <w:uiPriority w:val="51"/>
    <w:rsid w:val="00AA4CC2"/>
    <w:rPr>
      <w:rFonts w:ascii="Calibri" w:eastAsia="Times New Roman" w:hAnsi="Calibri"/>
      <w:color w:val="2E74B5"/>
      <w:sz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UnresolvedMention">
    <w:name w:val="Unresolved Mention"/>
    <w:basedOn w:val="DefaultParagraphFont"/>
    <w:uiPriority w:val="99"/>
    <w:semiHidden/>
    <w:unhideWhenUsed/>
    <w:rsid w:val="001D1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0046">
      <w:bodyDiv w:val="1"/>
      <w:marLeft w:val="0"/>
      <w:marRight w:val="0"/>
      <w:marTop w:val="0"/>
      <w:marBottom w:val="0"/>
      <w:divBdr>
        <w:top w:val="none" w:sz="0" w:space="0" w:color="auto"/>
        <w:left w:val="none" w:sz="0" w:space="0" w:color="auto"/>
        <w:bottom w:val="none" w:sz="0" w:space="0" w:color="auto"/>
        <w:right w:val="none" w:sz="0" w:space="0" w:color="auto"/>
      </w:divBdr>
      <w:divsChild>
        <w:div w:id="56322290">
          <w:marLeft w:val="547"/>
          <w:marRight w:val="0"/>
          <w:marTop w:val="0"/>
          <w:marBottom w:val="0"/>
          <w:divBdr>
            <w:top w:val="none" w:sz="0" w:space="0" w:color="auto"/>
            <w:left w:val="none" w:sz="0" w:space="0" w:color="auto"/>
            <w:bottom w:val="none" w:sz="0" w:space="0" w:color="auto"/>
            <w:right w:val="none" w:sz="0" w:space="0" w:color="auto"/>
          </w:divBdr>
        </w:div>
        <w:div w:id="729618049">
          <w:marLeft w:val="547"/>
          <w:marRight w:val="0"/>
          <w:marTop w:val="0"/>
          <w:marBottom w:val="0"/>
          <w:divBdr>
            <w:top w:val="none" w:sz="0" w:space="0" w:color="auto"/>
            <w:left w:val="none" w:sz="0" w:space="0" w:color="auto"/>
            <w:bottom w:val="none" w:sz="0" w:space="0" w:color="auto"/>
            <w:right w:val="none" w:sz="0" w:space="0" w:color="auto"/>
          </w:divBdr>
        </w:div>
        <w:div w:id="1444423293">
          <w:marLeft w:val="547"/>
          <w:marRight w:val="0"/>
          <w:marTop w:val="0"/>
          <w:marBottom w:val="0"/>
          <w:divBdr>
            <w:top w:val="none" w:sz="0" w:space="0" w:color="auto"/>
            <w:left w:val="none" w:sz="0" w:space="0" w:color="auto"/>
            <w:bottom w:val="none" w:sz="0" w:space="0" w:color="auto"/>
            <w:right w:val="none" w:sz="0" w:space="0" w:color="auto"/>
          </w:divBdr>
        </w:div>
        <w:div w:id="1444642798">
          <w:marLeft w:val="547"/>
          <w:marRight w:val="0"/>
          <w:marTop w:val="0"/>
          <w:marBottom w:val="0"/>
          <w:divBdr>
            <w:top w:val="none" w:sz="0" w:space="0" w:color="auto"/>
            <w:left w:val="none" w:sz="0" w:space="0" w:color="auto"/>
            <w:bottom w:val="none" w:sz="0" w:space="0" w:color="auto"/>
            <w:right w:val="none" w:sz="0" w:space="0" w:color="auto"/>
          </w:divBdr>
        </w:div>
        <w:div w:id="2097483203">
          <w:marLeft w:val="547"/>
          <w:marRight w:val="0"/>
          <w:marTop w:val="0"/>
          <w:marBottom w:val="0"/>
          <w:divBdr>
            <w:top w:val="none" w:sz="0" w:space="0" w:color="auto"/>
            <w:left w:val="none" w:sz="0" w:space="0" w:color="auto"/>
            <w:bottom w:val="none" w:sz="0" w:space="0" w:color="auto"/>
            <w:right w:val="none" w:sz="0" w:space="0" w:color="auto"/>
          </w:divBdr>
        </w:div>
      </w:divsChild>
    </w:div>
    <w:div w:id="104889721">
      <w:bodyDiv w:val="1"/>
      <w:marLeft w:val="0"/>
      <w:marRight w:val="0"/>
      <w:marTop w:val="0"/>
      <w:marBottom w:val="0"/>
      <w:divBdr>
        <w:top w:val="none" w:sz="0" w:space="0" w:color="auto"/>
        <w:left w:val="none" w:sz="0" w:space="0" w:color="auto"/>
        <w:bottom w:val="none" w:sz="0" w:space="0" w:color="auto"/>
        <w:right w:val="none" w:sz="0" w:space="0" w:color="auto"/>
      </w:divBdr>
    </w:div>
    <w:div w:id="246424023">
      <w:bodyDiv w:val="1"/>
      <w:marLeft w:val="0"/>
      <w:marRight w:val="0"/>
      <w:marTop w:val="0"/>
      <w:marBottom w:val="0"/>
      <w:divBdr>
        <w:top w:val="none" w:sz="0" w:space="0" w:color="auto"/>
        <w:left w:val="none" w:sz="0" w:space="0" w:color="auto"/>
        <w:bottom w:val="none" w:sz="0" w:space="0" w:color="auto"/>
        <w:right w:val="none" w:sz="0" w:space="0" w:color="auto"/>
      </w:divBdr>
    </w:div>
    <w:div w:id="450705694">
      <w:bodyDiv w:val="1"/>
      <w:marLeft w:val="0"/>
      <w:marRight w:val="0"/>
      <w:marTop w:val="0"/>
      <w:marBottom w:val="0"/>
      <w:divBdr>
        <w:top w:val="none" w:sz="0" w:space="0" w:color="auto"/>
        <w:left w:val="none" w:sz="0" w:space="0" w:color="auto"/>
        <w:bottom w:val="none" w:sz="0" w:space="0" w:color="auto"/>
        <w:right w:val="none" w:sz="0" w:space="0" w:color="auto"/>
      </w:divBdr>
    </w:div>
    <w:div w:id="628122438">
      <w:bodyDiv w:val="1"/>
      <w:marLeft w:val="0"/>
      <w:marRight w:val="0"/>
      <w:marTop w:val="0"/>
      <w:marBottom w:val="0"/>
      <w:divBdr>
        <w:top w:val="none" w:sz="0" w:space="0" w:color="auto"/>
        <w:left w:val="none" w:sz="0" w:space="0" w:color="auto"/>
        <w:bottom w:val="none" w:sz="0" w:space="0" w:color="auto"/>
        <w:right w:val="none" w:sz="0" w:space="0" w:color="auto"/>
      </w:divBdr>
    </w:div>
    <w:div w:id="714161117">
      <w:bodyDiv w:val="1"/>
      <w:marLeft w:val="0"/>
      <w:marRight w:val="0"/>
      <w:marTop w:val="0"/>
      <w:marBottom w:val="0"/>
      <w:divBdr>
        <w:top w:val="none" w:sz="0" w:space="0" w:color="auto"/>
        <w:left w:val="none" w:sz="0" w:space="0" w:color="auto"/>
        <w:bottom w:val="none" w:sz="0" w:space="0" w:color="auto"/>
        <w:right w:val="none" w:sz="0" w:space="0" w:color="auto"/>
      </w:divBdr>
    </w:div>
    <w:div w:id="863059061">
      <w:bodyDiv w:val="1"/>
      <w:marLeft w:val="0"/>
      <w:marRight w:val="0"/>
      <w:marTop w:val="0"/>
      <w:marBottom w:val="0"/>
      <w:divBdr>
        <w:top w:val="none" w:sz="0" w:space="0" w:color="auto"/>
        <w:left w:val="none" w:sz="0" w:space="0" w:color="auto"/>
        <w:bottom w:val="none" w:sz="0" w:space="0" w:color="auto"/>
        <w:right w:val="none" w:sz="0" w:space="0" w:color="auto"/>
      </w:divBdr>
    </w:div>
    <w:div w:id="940918600">
      <w:bodyDiv w:val="1"/>
      <w:marLeft w:val="0"/>
      <w:marRight w:val="0"/>
      <w:marTop w:val="0"/>
      <w:marBottom w:val="0"/>
      <w:divBdr>
        <w:top w:val="none" w:sz="0" w:space="0" w:color="auto"/>
        <w:left w:val="none" w:sz="0" w:space="0" w:color="auto"/>
        <w:bottom w:val="none" w:sz="0" w:space="0" w:color="auto"/>
        <w:right w:val="none" w:sz="0" w:space="0" w:color="auto"/>
      </w:divBdr>
    </w:div>
    <w:div w:id="1120608448">
      <w:bodyDiv w:val="1"/>
      <w:marLeft w:val="0"/>
      <w:marRight w:val="0"/>
      <w:marTop w:val="0"/>
      <w:marBottom w:val="0"/>
      <w:divBdr>
        <w:top w:val="none" w:sz="0" w:space="0" w:color="auto"/>
        <w:left w:val="none" w:sz="0" w:space="0" w:color="auto"/>
        <w:bottom w:val="none" w:sz="0" w:space="0" w:color="auto"/>
        <w:right w:val="none" w:sz="0" w:space="0" w:color="auto"/>
      </w:divBdr>
    </w:div>
    <w:div w:id="1176923717">
      <w:bodyDiv w:val="1"/>
      <w:marLeft w:val="0"/>
      <w:marRight w:val="0"/>
      <w:marTop w:val="0"/>
      <w:marBottom w:val="0"/>
      <w:divBdr>
        <w:top w:val="none" w:sz="0" w:space="0" w:color="auto"/>
        <w:left w:val="none" w:sz="0" w:space="0" w:color="auto"/>
        <w:bottom w:val="none" w:sz="0" w:space="0" w:color="auto"/>
        <w:right w:val="none" w:sz="0" w:space="0" w:color="auto"/>
      </w:divBdr>
      <w:divsChild>
        <w:div w:id="786043279">
          <w:marLeft w:val="547"/>
          <w:marRight w:val="0"/>
          <w:marTop w:val="0"/>
          <w:marBottom w:val="0"/>
          <w:divBdr>
            <w:top w:val="none" w:sz="0" w:space="0" w:color="auto"/>
            <w:left w:val="none" w:sz="0" w:space="0" w:color="auto"/>
            <w:bottom w:val="none" w:sz="0" w:space="0" w:color="auto"/>
            <w:right w:val="none" w:sz="0" w:space="0" w:color="auto"/>
          </w:divBdr>
        </w:div>
        <w:div w:id="1671986151">
          <w:marLeft w:val="547"/>
          <w:marRight w:val="0"/>
          <w:marTop w:val="0"/>
          <w:marBottom w:val="0"/>
          <w:divBdr>
            <w:top w:val="none" w:sz="0" w:space="0" w:color="auto"/>
            <w:left w:val="none" w:sz="0" w:space="0" w:color="auto"/>
            <w:bottom w:val="none" w:sz="0" w:space="0" w:color="auto"/>
            <w:right w:val="none" w:sz="0" w:space="0" w:color="auto"/>
          </w:divBdr>
        </w:div>
        <w:div w:id="1878930635">
          <w:marLeft w:val="547"/>
          <w:marRight w:val="0"/>
          <w:marTop w:val="0"/>
          <w:marBottom w:val="0"/>
          <w:divBdr>
            <w:top w:val="none" w:sz="0" w:space="0" w:color="auto"/>
            <w:left w:val="none" w:sz="0" w:space="0" w:color="auto"/>
            <w:bottom w:val="none" w:sz="0" w:space="0" w:color="auto"/>
            <w:right w:val="none" w:sz="0" w:space="0" w:color="auto"/>
          </w:divBdr>
        </w:div>
        <w:div w:id="1174105188">
          <w:marLeft w:val="547"/>
          <w:marRight w:val="0"/>
          <w:marTop w:val="0"/>
          <w:marBottom w:val="0"/>
          <w:divBdr>
            <w:top w:val="none" w:sz="0" w:space="0" w:color="auto"/>
            <w:left w:val="none" w:sz="0" w:space="0" w:color="auto"/>
            <w:bottom w:val="none" w:sz="0" w:space="0" w:color="auto"/>
            <w:right w:val="none" w:sz="0" w:space="0" w:color="auto"/>
          </w:divBdr>
        </w:div>
        <w:div w:id="1506481869">
          <w:marLeft w:val="547"/>
          <w:marRight w:val="0"/>
          <w:marTop w:val="0"/>
          <w:marBottom w:val="0"/>
          <w:divBdr>
            <w:top w:val="none" w:sz="0" w:space="0" w:color="auto"/>
            <w:left w:val="none" w:sz="0" w:space="0" w:color="auto"/>
            <w:bottom w:val="none" w:sz="0" w:space="0" w:color="auto"/>
            <w:right w:val="none" w:sz="0" w:space="0" w:color="auto"/>
          </w:divBdr>
        </w:div>
      </w:divsChild>
    </w:div>
    <w:div w:id="1197162254">
      <w:bodyDiv w:val="1"/>
      <w:marLeft w:val="0"/>
      <w:marRight w:val="0"/>
      <w:marTop w:val="0"/>
      <w:marBottom w:val="0"/>
      <w:divBdr>
        <w:top w:val="none" w:sz="0" w:space="0" w:color="auto"/>
        <w:left w:val="none" w:sz="0" w:space="0" w:color="auto"/>
        <w:bottom w:val="none" w:sz="0" w:space="0" w:color="auto"/>
        <w:right w:val="none" w:sz="0" w:space="0" w:color="auto"/>
      </w:divBdr>
    </w:div>
    <w:div w:id="1249849514">
      <w:bodyDiv w:val="1"/>
      <w:marLeft w:val="0"/>
      <w:marRight w:val="0"/>
      <w:marTop w:val="0"/>
      <w:marBottom w:val="0"/>
      <w:divBdr>
        <w:top w:val="none" w:sz="0" w:space="0" w:color="auto"/>
        <w:left w:val="none" w:sz="0" w:space="0" w:color="auto"/>
        <w:bottom w:val="none" w:sz="0" w:space="0" w:color="auto"/>
        <w:right w:val="none" w:sz="0" w:space="0" w:color="auto"/>
      </w:divBdr>
    </w:div>
    <w:div w:id="1375305263">
      <w:bodyDiv w:val="1"/>
      <w:marLeft w:val="0"/>
      <w:marRight w:val="0"/>
      <w:marTop w:val="0"/>
      <w:marBottom w:val="0"/>
      <w:divBdr>
        <w:top w:val="none" w:sz="0" w:space="0" w:color="auto"/>
        <w:left w:val="none" w:sz="0" w:space="0" w:color="auto"/>
        <w:bottom w:val="none" w:sz="0" w:space="0" w:color="auto"/>
        <w:right w:val="none" w:sz="0" w:space="0" w:color="auto"/>
      </w:divBdr>
    </w:div>
    <w:div w:id="1382442991">
      <w:bodyDiv w:val="1"/>
      <w:marLeft w:val="0"/>
      <w:marRight w:val="0"/>
      <w:marTop w:val="0"/>
      <w:marBottom w:val="0"/>
      <w:divBdr>
        <w:top w:val="none" w:sz="0" w:space="0" w:color="auto"/>
        <w:left w:val="none" w:sz="0" w:space="0" w:color="auto"/>
        <w:bottom w:val="none" w:sz="0" w:space="0" w:color="auto"/>
        <w:right w:val="none" w:sz="0" w:space="0" w:color="auto"/>
      </w:divBdr>
    </w:div>
    <w:div w:id="1553039012">
      <w:bodyDiv w:val="1"/>
      <w:marLeft w:val="0"/>
      <w:marRight w:val="0"/>
      <w:marTop w:val="0"/>
      <w:marBottom w:val="0"/>
      <w:divBdr>
        <w:top w:val="none" w:sz="0" w:space="0" w:color="auto"/>
        <w:left w:val="none" w:sz="0" w:space="0" w:color="auto"/>
        <w:bottom w:val="none" w:sz="0" w:space="0" w:color="auto"/>
        <w:right w:val="none" w:sz="0" w:space="0" w:color="auto"/>
      </w:divBdr>
    </w:div>
    <w:div w:id="1608191670">
      <w:bodyDiv w:val="1"/>
      <w:marLeft w:val="0"/>
      <w:marRight w:val="0"/>
      <w:marTop w:val="0"/>
      <w:marBottom w:val="0"/>
      <w:divBdr>
        <w:top w:val="none" w:sz="0" w:space="0" w:color="auto"/>
        <w:left w:val="none" w:sz="0" w:space="0" w:color="auto"/>
        <w:bottom w:val="none" w:sz="0" w:space="0" w:color="auto"/>
        <w:right w:val="none" w:sz="0" w:space="0" w:color="auto"/>
      </w:divBdr>
    </w:div>
    <w:div w:id="1715545142">
      <w:bodyDiv w:val="1"/>
      <w:marLeft w:val="0"/>
      <w:marRight w:val="0"/>
      <w:marTop w:val="0"/>
      <w:marBottom w:val="0"/>
      <w:divBdr>
        <w:top w:val="none" w:sz="0" w:space="0" w:color="auto"/>
        <w:left w:val="none" w:sz="0" w:space="0" w:color="auto"/>
        <w:bottom w:val="none" w:sz="0" w:space="0" w:color="auto"/>
        <w:right w:val="none" w:sz="0" w:space="0" w:color="auto"/>
      </w:divBdr>
    </w:div>
    <w:div w:id="1837649734">
      <w:bodyDiv w:val="1"/>
      <w:marLeft w:val="0"/>
      <w:marRight w:val="0"/>
      <w:marTop w:val="0"/>
      <w:marBottom w:val="0"/>
      <w:divBdr>
        <w:top w:val="none" w:sz="0" w:space="0" w:color="auto"/>
        <w:left w:val="none" w:sz="0" w:space="0" w:color="auto"/>
        <w:bottom w:val="none" w:sz="0" w:space="0" w:color="auto"/>
        <w:right w:val="none" w:sz="0" w:space="0" w:color="auto"/>
      </w:divBdr>
    </w:div>
    <w:div w:id="1873104415">
      <w:bodyDiv w:val="1"/>
      <w:marLeft w:val="0"/>
      <w:marRight w:val="0"/>
      <w:marTop w:val="0"/>
      <w:marBottom w:val="0"/>
      <w:divBdr>
        <w:top w:val="none" w:sz="0" w:space="0" w:color="auto"/>
        <w:left w:val="none" w:sz="0" w:space="0" w:color="auto"/>
        <w:bottom w:val="none" w:sz="0" w:space="0" w:color="auto"/>
        <w:right w:val="none" w:sz="0" w:space="0" w:color="auto"/>
      </w:divBdr>
    </w:div>
    <w:div w:id="1891457403">
      <w:bodyDiv w:val="1"/>
      <w:marLeft w:val="0"/>
      <w:marRight w:val="0"/>
      <w:marTop w:val="0"/>
      <w:marBottom w:val="0"/>
      <w:divBdr>
        <w:top w:val="none" w:sz="0" w:space="0" w:color="auto"/>
        <w:left w:val="none" w:sz="0" w:space="0" w:color="auto"/>
        <w:bottom w:val="none" w:sz="0" w:space="0" w:color="auto"/>
        <w:right w:val="none" w:sz="0" w:space="0" w:color="auto"/>
      </w:divBdr>
    </w:div>
    <w:div w:id="2040934782">
      <w:bodyDiv w:val="1"/>
      <w:marLeft w:val="0"/>
      <w:marRight w:val="0"/>
      <w:marTop w:val="0"/>
      <w:marBottom w:val="0"/>
      <w:divBdr>
        <w:top w:val="none" w:sz="0" w:space="0" w:color="auto"/>
        <w:left w:val="none" w:sz="0" w:space="0" w:color="auto"/>
        <w:bottom w:val="none" w:sz="0" w:space="0" w:color="auto"/>
        <w:right w:val="none" w:sz="0" w:space="0" w:color="auto"/>
      </w:divBdr>
    </w:div>
    <w:div w:id="204940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ata.consilium.europa.eu/doc/document/ST-9839-2023-REV-1/lv/pdf" TargetMode="External"/><Relationship Id="rId1" Type="http://schemas.openxmlformats.org/officeDocument/2006/relationships/hyperlink" Target="https://economy-finance.ec.europa.eu/system/files/2023-03/COM_2023_141_1_EN_ACT_part1_v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05C71-7E6C-4712-B4D0-3CBD36A26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937</TotalTime>
  <Pages>35</Pages>
  <Words>64921</Words>
  <Characters>37005</Characters>
  <Application>Microsoft Office Word</Application>
  <DocSecurity>0</DocSecurity>
  <Lines>308</Lines>
  <Paragraphs>203</Paragraphs>
  <ScaleCrop>false</ScaleCrop>
  <HeadingPairs>
    <vt:vector size="2" baseType="variant">
      <vt:variant>
        <vt:lpstr>Title</vt:lpstr>
      </vt:variant>
      <vt:variant>
        <vt:i4>1</vt:i4>
      </vt:variant>
    </vt:vector>
  </HeadingPairs>
  <TitlesOfParts>
    <vt:vector size="1" baseType="lpstr">
      <vt:lpstr>„Par makroekonomisko rādītāju, ieņēmumu un vispārējās valdības budžeta bilances prognozēm 2024.-2026.gadā”</vt:lpstr>
    </vt:vector>
  </TitlesOfParts>
  <Company>Finanšu ministrija</Company>
  <LinksUpToDate>false</LinksUpToDate>
  <CharactersWithSpaces>101723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makroekonomisko rādītāju, ieņēmumu un vispārējās valdības budžeta bilances prognozēm 2024.-2026.gadā”</dc:title>
  <dc:subject>Informatīvais ziņojums</dc:subject>
  <dc:creator>Kristīne Gvarovska</dc:creator>
  <cp:keywords/>
  <dc:description>Kristīne Gavrovska_x000d_
26631915, Kristīne.Gavrovska@fm.gov.lv</dc:description>
  <cp:lastModifiedBy>Kristīne Gavrovska</cp:lastModifiedBy>
  <cp:revision>115</cp:revision>
  <cp:lastPrinted>2019-08-14T12:23:00Z</cp:lastPrinted>
  <dcterms:created xsi:type="dcterms:W3CDTF">2022-12-17T21:04:00Z</dcterms:created>
  <dcterms:modified xsi:type="dcterms:W3CDTF">2023-08-10T12:38:00Z</dcterms:modified>
</cp:coreProperties>
</file>