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04FE9" w14:textId="77777777" w:rsidR="007C0700" w:rsidRPr="007F1C12" w:rsidRDefault="007C0700" w:rsidP="007C0700">
      <w:pPr>
        <w:spacing w:line="240" w:lineRule="auto"/>
        <w:jc w:val="center"/>
        <w:rPr>
          <w:rFonts w:ascii="Times New Roman" w:eastAsia="Times New Roman" w:hAnsi="Times New Roman" w:cs="Times New Roman"/>
          <w:b/>
          <w:sz w:val="32"/>
          <w:szCs w:val="32"/>
        </w:rPr>
      </w:pPr>
      <w:bookmarkStart w:id="0" w:name="_heading=h.gjdgxs" w:colFirst="0" w:colLast="0"/>
      <w:bookmarkEnd w:id="0"/>
      <w:r w:rsidRPr="007F1C12">
        <w:rPr>
          <w:rFonts w:ascii="Times New Roman" w:eastAsia="Times New Roman" w:hAnsi="Times New Roman" w:cs="Times New Roman"/>
          <w:b/>
          <w:sz w:val="32"/>
          <w:szCs w:val="32"/>
        </w:rPr>
        <w:t>Informatīvais ziņojums</w:t>
      </w:r>
    </w:p>
    <w:p w14:paraId="0BAEE3A0" w14:textId="7AB86147" w:rsidR="007A71E9" w:rsidRPr="007F1C12" w:rsidRDefault="007C0700" w:rsidP="009C1760">
      <w:pPr>
        <w:jc w:val="center"/>
        <w:rPr>
          <w:rFonts w:ascii="Times New Roman" w:hAnsi="Times New Roman" w:cs="Times New Roman"/>
          <w:b/>
          <w:bCs/>
          <w:sz w:val="28"/>
          <w:szCs w:val="28"/>
        </w:rPr>
      </w:pPr>
      <w:r w:rsidRPr="007F1C12">
        <w:rPr>
          <w:rFonts w:ascii="Times New Roman" w:hAnsi="Times New Roman" w:cs="Times New Roman"/>
          <w:b/>
          <w:bCs/>
          <w:sz w:val="28"/>
          <w:szCs w:val="28"/>
        </w:rPr>
        <w:t>“P</w:t>
      </w:r>
      <w:r w:rsidR="009C1760" w:rsidRPr="007F1C12">
        <w:rPr>
          <w:rFonts w:ascii="Times New Roman" w:hAnsi="Times New Roman" w:cs="Times New Roman"/>
          <w:b/>
          <w:bCs/>
          <w:sz w:val="28"/>
          <w:szCs w:val="28"/>
        </w:rPr>
        <w:t xml:space="preserve">ar izdevumu pārstrukturizēšanu vakcinācijas </w:t>
      </w:r>
      <w:r w:rsidR="007519A8" w:rsidRPr="007F1C12">
        <w:rPr>
          <w:rFonts w:ascii="Times New Roman" w:hAnsi="Times New Roman" w:cs="Times New Roman"/>
          <w:b/>
          <w:bCs/>
          <w:sz w:val="28"/>
          <w:szCs w:val="28"/>
        </w:rPr>
        <w:t xml:space="preserve">pret Covid-19 </w:t>
      </w:r>
      <w:r w:rsidR="009C1760" w:rsidRPr="007F1C12">
        <w:rPr>
          <w:rFonts w:ascii="Times New Roman" w:hAnsi="Times New Roman" w:cs="Times New Roman"/>
          <w:b/>
          <w:bCs/>
          <w:sz w:val="28"/>
          <w:szCs w:val="28"/>
        </w:rPr>
        <w:t xml:space="preserve">pakalpojuma pieejamības </w:t>
      </w:r>
      <w:r w:rsidR="00C42E1F" w:rsidRPr="007F1C12">
        <w:rPr>
          <w:rFonts w:ascii="Times New Roman" w:hAnsi="Times New Roman" w:cs="Times New Roman"/>
          <w:b/>
          <w:bCs/>
          <w:sz w:val="28"/>
          <w:szCs w:val="28"/>
        </w:rPr>
        <w:t>nodrošināšanai</w:t>
      </w:r>
      <w:r w:rsidRPr="007F1C12">
        <w:rPr>
          <w:rFonts w:ascii="Times New Roman" w:hAnsi="Times New Roman" w:cs="Times New Roman"/>
          <w:b/>
          <w:bCs/>
          <w:sz w:val="28"/>
          <w:szCs w:val="28"/>
        </w:rPr>
        <w:t>”</w:t>
      </w:r>
    </w:p>
    <w:p w14:paraId="4F0600D4" w14:textId="262B058D" w:rsidR="007C0700" w:rsidRPr="007F1C12" w:rsidRDefault="007C0700" w:rsidP="007C0700">
      <w:pPr>
        <w:jc w:val="center"/>
        <w:rPr>
          <w:rFonts w:ascii="Times New Roman" w:hAnsi="Times New Roman" w:cs="Times New Roman"/>
          <w:b/>
          <w:bCs/>
          <w:sz w:val="28"/>
          <w:szCs w:val="28"/>
        </w:rPr>
      </w:pPr>
      <w:r w:rsidRPr="007F1C12">
        <w:rPr>
          <w:rFonts w:ascii="Times New Roman" w:hAnsi="Times New Roman" w:cs="Times New Roman"/>
          <w:b/>
          <w:bCs/>
          <w:sz w:val="28"/>
          <w:szCs w:val="28"/>
        </w:rPr>
        <w:br/>
        <w:t>I Situācijas apraksts</w:t>
      </w:r>
      <w:r w:rsidRPr="007F1C12">
        <w:rPr>
          <w:rFonts w:ascii="Times New Roman" w:hAnsi="Times New Roman" w:cs="Times New Roman"/>
          <w:b/>
          <w:bCs/>
          <w:sz w:val="28"/>
          <w:szCs w:val="28"/>
        </w:rPr>
        <w:br/>
      </w:r>
    </w:p>
    <w:p w14:paraId="3D2B4953" w14:textId="5ABE4A59" w:rsidR="00317C72" w:rsidRPr="007F1C12" w:rsidRDefault="00C42E1F" w:rsidP="007519A8">
      <w:pPr>
        <w:jc w:val="both"/>
        <w:rPr>
          <w:rFonts w:ascii="Times New Roman" w:hAnsi="Times New Roman" w:cs="Times New Roman"/>
          <w:sz w:val="24"/>
          <w:szCs w:val="24"/>
        </w:rPr>
      </w:pPr>
      <w:r w:rsidRPr="007F1C12">
        <w:rPr>
          <w:rFonts w:ascii="Times New Roman" w:hAnsi="Times New Roman" w:cs="Times New Roman"/>
          <w:sz w:val="24"/>
          <w:szCs w:val="24"/>
        </w:rPr>
        <w:t xml:space="preserve">Lai nodrošinātu, ka </w:t>
      </w:r>
      <w:r w:rsidR="007519A8" w:rsidRPr="007F1C12">
        <w:rPr>
          <w:rFonts w:ascii="Times New Roman" w:hAnsi="Times New Roman" w:cs="Times New Roman"/>
          <w:sz w:val="24"/>
          <w:szCs w:val="24"/>
        </w:rPr>
        <w:t>vakcinācijas pakalpojumi ir pieejami visiem iedzīvotājiem, jo īpaši attālos valsts reģionos</w:t>
      </w:r>
      <w:r w:rsidR="007C0700" w:rsidRPr="007F1C12">
        <w:rPr>
          <w:rFonts w:ascii="Times New Roman" w:hAnsi="Times New Roman" w:cs="Times New Roman"/>
          <w:sz w:val="24"/>
          <w:szCs w:val="24"/>
        </w:rPr>
        <w:t xml:space="preserve"> un īstenojot pieeju “vakcinācija pēc iespējas tuvāk iedzīvotāju ikdienas dzīves gaitām”</w:t>
      </w:r>
      <w:r w:rsidR="007519A8" w:rsidRPr="007F1C12">
        <w:rPr>
          <w:rFonts w:ascii="Times New Roman" w:hAnsi="Times New Roman" w:cs="Times New Roman"/>
          <w:sz w:val="24"/>
          <w:szCs w:val="24"/>
        </w:rPr>
        <w:t xml:space="preserve">, Nacionālais veselības dienests kopā ar pašvaldībām un vakcinācijas pakalpojuma sniedzējiem organizē vienas dienas izbraukuma vakcināciju. Vienas dienas izbraukuma vakcinācija tiek organizēta </w:t>
      </w:r>
      <w:r w:rsidR="00317C72" w:rsidRPr="007F1C12">
        <w:rPr>
          <w:rFonts w:ascii="Times New Roman" w:hAnsi="Times New Roman" w:cs="Times New Roman"/>
          <w:sz w:val="24"/>
          <w:szCs w:val="24"/>
        </w:rPr>
        <w:t>šādos</w:t>
      </w:r>
      <w:r w:rsidR="007519A8" w:rsidRPr="007F1C12">
        <w:rPr>
          <w:rFonts w:ascii="Times New Roman" w:hAnsi="Times New Roman" w:cs="Times New Roman"/>
          <w:sz w:val="24"/>
          <w:szCs w:val="24"/>
        </w:rPr>
        <w:t xml:space="preserve"> veidos: </w:t>
      </w:r>
    </w:p>
    <w:p w14:paraId="244B1847" w14:textId="77777777" w:rsidR="00317C72" w:rsidRPr="007F1C12" w:rsidRDefault="007519A8" w:rsidP="00317C72">
      <w:pPr>
        <w:ind w:firstLine="720"/>
        <w:jc w:val="both"/>
        <w:rPr>
          <w:rFonts w:ascii="Times New Roman" w:hAnsi="Times New Roman" w:cs="Times New Roman"/>
          <w:sz w:val="24"/>
          <w:szCs w:val="24"/>
        </w:rPr>
      </w:pPr>
      <w:r w:rsidRPr="007F1C12">
        <w:rPr>
          <w:rFonts w:ascii="Times New Roman" w:hAnsi="Times New Roman" w:cs="Times New Roman"/>
          <w:sz w:val="24"/>
          <w:szCs w:val="24"/>
        </w:rPr>
        <w:t xml:space="preserve">1) vakcinācija notiek pašvaldības piešķirtās telpās konkrētā laika posmā un uz šo vakcināciju atsevišķos gadījumos ir iespēja iepriekš pierakstīties, bet biežāk iedzīvotāji izmanto dzīvās rindas principu; </w:t>
      </w:r>
    </w:p>
    <w:p w14:paraId="19931D2D" w14:textId="40A8BC42" w:rsidR="00C42E1F" w:rsidRPr="007F1C12" w:rsidRDefault="007519A8" w:rsidP="00317C72">
      <w:pPr>
        <w:ind w:firstLine="720"/>
        <w:jc w:val="both"/>
        <w:rPr>
          <w:rFonts w:ascii="Times New Roman" w:hAnsi="Times New Roman" w:cs="Times New Roman"/>
          <w:sz w:val="24"/>
          <w:szCs w:val="24"/>
        </w:rPr>
      </w:pPr>
      <w:r w:rsidRPr="007F1C12">
        <w:rPr>
          <w:rFonts w:ascii="Times New Roman" w:hAnsi="Times New Roman" w:cs="Times New Roman"/>
          <w:sz w:val="24"/>
          <w:szCs w:val="24"/>
        </w:rPr>
        <w:t xml:space="preserve">2) vakcinācija tiek organizēta pa viensētām pēc ar pašvaldību iepriekš izplānota maršruta. </w:t>
      </w:r>
    </w:p>
    <w:p w14:paraId="66C13B73" w14:textId="43A40EA2" w:rsidR="006C7A56" w:rsidRPr="007F1C12" w:rsidRDefault="007519A8" w:rsidP="00317C72">
      <w:pPr>
        <w:jc w:val="both"/>
        <w:rPr>
          <w:rFonts w:ascii="Times New Roman" w:hAnsi="Times New Roman" w:cs="Times New Roman"/>
          <w:sz w:val="24"/>
          <w:szCs w:val="24"/>
        </w:rPr>
      </w:pPr>
      <w:r w:rsidRPr="007F1C12">
        <w:rPr>
          <w:rFonts w:ascii="Times New Roman" w:hAnsi="Times New Roman" w:cs="Times New Roman"/>
          <w:sz w:val="24"/>
          <w:szCs w:val="24"/>
        </w:rPr>
        <w:t>Pašreizējā epidemioloģisk</w:t>
      </w:r>
      <w:r w:rsidR="00317C72" w:rsidRPr="007F1C12">
        <w:rPr>
          <w:rFonts w:ascii="Times New Roman" w:hAnsi="Times New Roman" w:cs="Times New Roman"/>
          <w:sz w:val="24"/>
          <w:szCs w:val="24"/>
        </w:rPr>
        <w:t xml:space="preserve">ajā </w:t>
      </w:r>
      <w:r w:rsidRPr="007F1C12">
        <w:rPr>
          <w:rFonts w:ascii="Times New Roman" w:hAnsi="Times New Roman" w:cs="Times New Roman"/>
          <w:sz w:val="24"/>
          <w:szCs w:val="24"/>
        </w:rPr>
        <w:t xml:space="preserve">situācijā, kad ir vērojama strauja Covid-19 infekcijas omikrona varianta izplatība un dienā tiek atklāti ~ 10 000 jauni inficēšanās gadījumi, vakcinācijas temps kopumā ir krities. </w:t>
      </w:r>
      <w:r w:rsidR="006C7A56" w:rsidRPr="007F1C12">
        <w:rPr>
          <w:rFonts w:ascii="Times New Roman" w:hAnsi="Times New Roman" w:cs="Times New Roman"/>
          <w:sz w:val="24"/>
          <w:szCs w:val="24"/>
        </w:rPr>
        <w:t xml:space="preserve">Nedēļā no </w:t>
      </w:r>
      <w:r w:rsidR="00341213" w:rsidRPr="007F1C12">
        <w:rPr>
          <w:rFonts w:ascii="Times New Roman" w:hAnsi="Times New Roman" w:cs="Times New Roman"/>
          <w:sz w:val="24"/>
          <w:szCs w:val="24"/>
        </w:rPr>
        <w:t>7.februāra līdz 13.debruārim</w:t>
      </w:r>
      <w:r w:rsidR="006C7A56" w:rsidRPr="007F1C12">
        <w:rPr>
          <w:rFonts w:ascii="Times New Roman" w:hAnsi="Times New Roman" w:cs="Times New Roman"/>
          <w:sz w:val="24"/>
          <w:szCs w:val="24"/>
        </w:rPr>
        <w:t xml:space="preserve"> </w:t>
      </w:r>
      <w:r w:rsidR="00341213" w:rsidRPr="007F1C12">
        <w:rPr>
          <w:rFonts w:ascii="Times New Roman" w:hAnsi="Times New Roman" w:cs="Times New Roman"/>
          <w:sz w:val="24"/>
          <w:szCs w:val="24"/>
        </w:rPr>
        <w:t xml:space="preserve">vakcinācijas faktu skaits ir nokrities līdz nepilniem 20 000, bet nākamajā nedēļā no 14.februāra līdz 20.februārim vakcinācijas faktu skaits ir vēl zemāks – tikai 12 117 </w:t>
      </w:r>
      <w:r w:rsidR="006C7A56" w:rsidRPr="007F1C12">
        <w:rPr>
          <w:rFonts w:ascii="Times New Roman" w:hAnsi="Times New Roman" w:cs="Times New Roman"/>
          <w:sz w:val="24"/>
          <w:szCs w:val="24"/>
        </w:rPr>
        <w:t xml:space="preserve">(attēls Nr.1) </w:t>
      </w:r>
    </w:p>
    <w:p w14:paraId="51AEF59F" w14:textId="4F20BAE9" w:rsidR="006C7A56" w:rsidRPr="007F1C12" w:rsidRDefault="00341213" w:rsidP="00317C72">
      <w:pPr>
        <w:jc w:val="both"/>
        <w:rPr>
          <w:rFonts w:ascii="Times New Roman" w:hAnsi="Times New Roman" w:cs="Times New Roman"/>
          <w:sz w:val="24"/>
          <w:szCs w:val="24"/>
        </w:rPr>
      </w:pPr>
      <w:r w:rsidRPr="007F1C12">
        <w:rPr>
          <w:rFonts w:ascii="Times New Roman" w:hAnsi="Times New Roman" w:cs="Times New Roman"/>
          <w:noProof/>
          <w:sz w:val="24"/>
          <w:szCs w:val="24"/>
        </w:rPr>
        <w:drawing>
          <wp:inline distT="0" distB="0" distL="0" distR="0" wp14:anchorId="35AF676B" wp14:editId="07C3EF54">
            <wp:extent cx="5278120" cy="2986405"/>
            <wp:effectExtent l="0" t="0" r="0" b="4445"/>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8"/>
                    <a:stretch>
                      <a:fillRect/>
                    </a:stretch>
                  </pic:blipFill>
                  <pic:spPr>
                    <a:xfrm>
                      <a:off x="0" y="0"/>
                      <a:ext cx="5278120" cy="2986405"/>
                    </a:xfrm>
                    <a:prstGeom prst="rect">
                      <a:avLst/>
                    </a:prstGeom>
                  </pic:spPr>
                </pic:pic>
              </a:graphicData>
            </a:graphic>
          </wp:inline>
        </w:drawing>
      </w:r>
    </w:p>
    <w:p w14:paraId="3752BB3F" w14:textId="6FA96CDC" w:rsidR="006C7A56" w:rsidRPr="007F1C12" w:rsidRDefault="006C7A56" w:rsidP="00317C72">
      <w:pPr>
        <w:jc w:val="both"/>
        <w:rPr>
          <w:rFonts w:ascii="Times New Roman" w:hAnsi="Times New Roman" w:cs="Times New Roman"/>
          <w:i/>
          <w:iCs/>
          <w:sz w:val="24"/>
          <w:szCs w:val="24"/>
        </w:rPr>
      </w:pPr>
      <w:r w:rsidRPr="007F1C12">
        <w:rPr>
          <w:rFonts w:ascii="Times New Roman" w:hAnsi="Times New Roman" w:cs="Times New Roman"/>
          <w:i/>
          <w:iCs/>
          <w:sz w:val="24"/>
          <w:szCs w:val="24"/>
        </w:rPr>
        <w:t xml:space="preserve">Attēls Nr.1. </w:t>
      </w:r>
    </w:p>
    <w:p w14:paraId="4F09E279" w14:textId="009AE4F2" w:rsidR="004E6A2B" w:rsidRPr="007F1C12" w:rsidRDefault="006C7A56" w:rsidP="00317C72">
      <w:pPr>
        <w:jc w:val="both"/>
        <w:rPr>
          <w:rFonts w:ascii="Times New Roman" w:hAnsi="Times New Roman" w:cs="Times New Roman"/>
          <w:sz w:val="24"/>
          <w:szCs w:val="24"/>
        </w:rPr>
      </w:pPr>
      <w:r w:rsidRPr="007F1C12">
        <w:rPr>
          <w:rFonts w:ascii="Times New Roman" w:hAnsi="Times New Roman" w:cs="Times New Roman"/>
          <w:sz w:val="24"/>
          <w:szCs w:val="24"/>
        </w:rPr>
        <w:t>Nacionālais veselības dienests vakcinācijas pakalpojuma pieejamību plāno, ievērojot iedzīvotāju</w:t>
      </w:r>
      <w:r w:rsidR="00AB2857" w:rsidRPr="007F1C12">
        <w:rPr>
          <w:rFonts w:ascii="Times New Roman" w:hAnsi="Times New Roman" w:cs="Times New Roman"/>
          <w:sz w:val="24"/>
          <w:szCs w:val="24"/>
        </w:rPr>
        <w:t xml:space="preserve"> pieprasījumu pēc vakcinācijas</w:t>
      </w:r>
      <w:r w:rsidRPr="007F1C12">
        <w:rPr>
          <w:rFonts w:ascii="Times New Roman" w:hAnsi="Times New Roman" w:cs="Times New Roman"/>
          <w:sz w:val="24"/>
          <w:szCs w:val="24"/>
        </w:rPr>
        <w:t xml:space="preserve">. Neskatoties uz vakcinācijas tempa kritumu, </w:t>
      </w:r>
      <w:r w:rsidRPr="007F1C12">
        <w:rPr>
          <w:rFonts w:ascii="Times New Roman" w:hAnsi="Times New Roman" w:cs="Times New Roman"/>
          <w:sz w:val="24"/>
          <w:szCs w:val="24"/>
        </w:rPr>
        <w:lastRenderedPageBreak/>
        <w:t xml:space="preserve">iedzīvotājiem attālākos valsts reģionos ir nepieciešams saņemt balstvakcīnu vai pat primāro vakcināciju. </w:t>
      </w:r>
      <w:r w:rsidR="00383F88" w:rsidRPr="007F1C12">
        <w:rPr>
          <w:rFonts w:ascii="Times New Roman" w:hAnsi="Times New Roman" w:cs="Times New Roman"/>
          <w:sz w:val="24"/>
          <w:szCs w:val="24"/>
        </w:rPr>
        <w:t xml:space="preserve">Reģionos iedzīvotājiem nereti ir problemātiski nokļūt līdz vakcinācijas punktam, kā arī ģimenes ārsta pieejamība ir ierobežota ārstu noslodzes dēļ. </w:t>
      </w:r>
      <w:r w:rsidR="00AB2857" w:rsidRPr="007F1C12">
        <w:rPr>
          <w:rFonts w:ascii="Times New Roman" w:hAnsi="Times New Roman" w:cs="Times New Roman"/>
          <w:sz w:val="24"/>
          <w:szCs w:val="24"/>
        </w:rPr>
        <w:t xml:space="preserve">Tāpat, ievērojot to, ka no </w:t>
      </w:r>
      <w:r w:rsidR="00317C72" w:rsidRPr="007F1C12">
        <w:rPr>
          <w:rFonts w:ascii="Times New Roman" w:hAnsi="Times New Roman" w:cs="Times New Roman"/>
          <w:sz w:val="24"/>
          <w:szCs w:val="24"/>
        </w:rPr>
        <w:t xml:space="preserve">2022. gada </w:t>
      </w:r>
      <w:r w:rsidR="00D4121B" w:rsidRPr="007F1C12">
        <w:rPr>
          <w:rFonts w:ascii="Times New Roman" w:hAnsi="Times New Roman" w:cs="Times New Roman"/>
          <w:sz w:val="24"/>
          <w:szCs w:val="24"/>
        </w:rPr>
        <w:t>1.aprīļa</w:t>
      </w:r>
      <w:r w:rsidR="00AB2857" w:rsidRPr="007F1C12">
        <w:rPr>
          <w:rFonts w:ascii="Times New Roman" w:hAnsi="Times New Roman" w:cs="Times New Roman"/>
          <w:sz w:val="24"/>
          <w:szCs w:val="24"/>
        </w:rPr>
        <w:t xml:space="preserve"> ir noteikti digitālā vakcinācijas sertifikāta derīguma termiņi, vakcinācijas pakalpojuma pieejamība iedzīvotājiem ir kritiski nepieciešama. </w:t>
      </w:r>
      <w:r w:rsidR="00317C72" w:rsidRPr="007F1C12">
        <w:rPr>
          <w:rFonts w:ascii="Times New Roman" w:hAnsi="Times New Roman" w:cs="Times New Roman"/>
          <w:sz w:val="24"/>
          <w:szCs w:val="24"/>
        </w:rPr>
        <w:t xml:space="preserve">Taču situācijā, kad ir noorganizēta </w:t>
      </w:r>
      <w:r w:rsidR="00D4121B" w:rsidRPr="007F1C12">
        <w:rPr>
          <w:rFonts w:ascii="Times New Roman" w:hAnsi="Times New Roman" w:cs="Times New Roman"/>
          <w:sz w:val="24"/>
          <w:szCs w:val="24"/>
        </w:rPr>
        <w:t xml:space="preserve">vienas dienas </w:t>
      </w:r>
      <w:r w:rsidR="00317C72" w:rsidRPr="007F1C12">
        <w:rPr>
          <w:rFonts w:ascii="Times New Roman" w:hAnsi="Times New Roman" w:cs="Times New Roman"/>
          <w:sz w:val="24"/>
          <w:szCs w:val="24"/>
        </w:rPr>
        <w:t>izbraukuma vakcinācija</w:t>
      </w:r>
      <w:r w:rsidR="00D4121B" w:rsidRPr="007F1C12">
        <w:rPr>
          <w:rFonts w:ascii="Times New Roman" w:hAnsi="Times New Roman" w:cs="Times New Roman"/>
          <w:sz w:val="24"/>
          <w:szCs w:val="24"/>
        </w:rPr>
        <w:t xml:space="preserve"> (tiek organizēta ciešā sadarbībā ar konkrēto pašvaldību un vakcinācijas pakalpojuma sniedzējiem)</w:t>
      </w:r>
      <w:r w:rsidR="00317C72" w:rsidRPr="007F1C12">
        <w:rPr>
          <w:rFonts w:ascii="Times New Roman" w:hAnsi="Times New Roman" w:cs="Times New Roman"/>
          <w:sz w:val="24"/>
          <w:szCs w:val="24"/>
        </w:rPr>
        <w:t xml:space="preserve">, uz kuru nav iespējams prognozēt vakcinējamo personu skaitu un rezultātā pēc vakcinācijas ierodas neliels iedzīvotāju skaits, vakcinācijas pakalpojumu sniedzēji </w:t>
      </w:r>
      <w:r w:rsidR="004E6A2B" w:rsidRPr="007F1C12">
        <w:rPr>
          <w:rFonts w:ascii="Times New Roman" w:hAnsi="Times New Roman" w:cs="Times New Roman"/>
          <w:sz w:val="24"/>
          <w:szCs w:val="24"/>
        </w:rPr>
        <w:t xml:space="preserve">atsakās doties </w:t>
      </w:r>
      <w:r w:rsidR="00D4121B" w:rsidRPr="007F1C12">
        <w:rPr>
          <w:rFonts w:ascii="Times New Roman" w:hAnsi="Times New Roman" w:cs="Times New Roman"/>
          <w:sz w:val="24"/>
          <w:szCs w:val="24"/>
        </w:rPr>
        <w:t xml:space="preserve">šajos iepriekš izplānotajos </w:t>
      </w:r>
      <w:r w:rsidR="004E6A2B" w:rsidRPr="007F1C12">
        <w:rPr>
          <w:rFonts w:ascii="Times New Roman" w:hAnsi="Times New Roman" w:cs="Times New Roman"/>
          <w:sz w:val="24"/>
          <w:szCs w:val="24"/>
        </w:rPr>
        <w:t>izbraukumos</w:t>
      </w:r>
      <w:r w:rsidR="001A00D8" w:rsidRPr="007F1C12">
        <w:rPr>
          <w:rFonts w:ascii="Times New Roman" w:hAnsi="Times New Roman" w:cs="Times New Roman"/>
          <w:sz w:val="24"/>
          <w:szCs w:val="24"/>
        </w:rPr>
        <w:t>. R</w:t>
      </w:r>
      <w:r w:rsidR="004E6A2B" w:rsidRPr="007F1C12">
        <w:rPr>
          <w:rFonts w:ascii="Times New Roman" w:hAnsi="Times New Roman" w:cs="Times New Roman"/>
          <w:sz w:val="24"/>
          <w:szCs w:val="24"/>
        </w:rPr>
        <w:t>ezultātā Nacionālajam veselības dienestam rodas problēmas nodrošināt vakcinācijas pakalpojumu</w:t>
      </w:r>
      <w:r w:rsidR="00D4121B" w:rsidRPr="007F1C12">
        <w:rPr>
          <w:rFonts w:ascii="Times New Roman" w:hAnsi="Times New Roman" w:cs="Times New Roman"/>
          <w:sz w:val="24"/>
          <w:szCs w:val="24"/>
        </w:rPr>
        <w:t xml:space="preserve">, kā arī iedzīvotājam </w:t>
      </w:r>
      <w:r w:rsidR="001A00D8" w:rsidRPr="007F1C12">
        <w:rPr>
          <w:rFonts w:ascii="Times New Roman" w:hAnsi="Times New Roman" w:cs="Times New Roman"/>
          <w:sz w:val="24"/>
          <w:szCs w:val="24"/>
        </w:rPr>
        <w:t xml:space="preserve"> nav iespējams ērti un tuvu savai dzīvesvietai saņemt viņam</w:t>
      </w:r>
      <w:r w:rsidR="00D4121B" w:rsidRPr="007F1C12">
        <w:rPr>
          <w:rFonts w:ascii="Times New Roman" w:hAnsi="Times New Roman" w:cs="Times New Roman"/>
          <w:sz w:val="24"/>
          <w:szCs w:val="24"/>
        </w:rPr>
        <w:t xml:space="preserve"> pienākošos vakcīnu pret Covid-19</w:t>
      </w:r>
      <w:r w:rsidR="00317C72" w:rsidRPr="007F1C12">
        <w:rPr>
          <w:rFonts w:ascii="Times New Roman" w:hAnsi="Times New Roman" w:cs="Times New Roman"/>
          <w:sz w:val="24"/>
          <w:szCs w:val="24"/>
        </w:rPr>
        <w:t xml:space="preserve">. </w:t>
      </w:r>
    </w:p>
    <w:p w14:paraId="097D227E" w14:textId="64D01303" w:rsidR="00ED1CA9" w:rsidRPr="007F1C12" w:rsidRDefault="00ED1CA9" w:rsidP="00317C72">
      <w:pPr>
        <w:jc w:val="both"/>
        <w:rPr>
          <w:rFonts w:ascii="Times New Roman" w:hAnsi="Times New Roman" w:cs="Times New Roman"/>
          <w:sz w:val="24"/>
          <w:szCs w:val="24"/>
        </w:rPr>
      </w:pPr>
      <w:r w:rsidRPr="007F1C12">
        <w:rPr>
          <w:rFonts w:ascii="Times New Roman" w:hAnsi="Times New Roman" w:cs="Times New Roman"/>
          <w:sz w:val="24"/>
          <w:szCs w:val="24"/>
        </w:rPr>
        <w:t xml:space="preserve">Kā liecina Nacionālā veselības dienesta apkopotā informācija par </w:t>
      </w:r>
      <w:r w:rsidR="00D4121B" w:rsidRPr="007F1C12">
        <w:rPr>
          <w:rFonts w:ascii="Times New Roman" w:hAnsi="Times New Roman" w:cs="Times New Roman"/>
          <w:sz w:val="24"/>
          <w:szCs w:val="24"/>
        </w:rPr>
        <w:t xml:space="preserve">notikušajiem vienas dienas </w:t>
      </w:r>
      <w:r w:rsidRPr="007F1C12">
        <w:rPr>
          <w:rFonts w:ascii="Times New Roman" w:hAnsi="Times New Roman" w:cs="Times New Roman"/>
          <w:sz w:val="24"/>
          <w:szCs w:val="24"/>
        </w:rPr>
        <w:t>izbraukum</w:t>
      </w:r>
      <w:r w:rsidR="00D4121B" w:rsidRPr="007F1C12">
        <w:rPr>
          <w:rFonts w:ascii="Times New Roman" w:hAnsi="Times New Roman" w:cs="Times New Roman"/>
          <w:sz w:val="24"/>
          <w:szCs w:val="24"/>
        </w:rPr>
        <w:t>u vakcinēšanos</w:t>
      </w:r>
      <w:r w:rsidRPr="007F1C12">
        <w:rPr>
          <w:rFonts w:ascii="Times New Roman" w:hAnsi="Times New Roman" w:cs="Times New Roman"/>
          <w:sz w:val="24"/>
          <w:szCs w:val="24"/>
        </w:rPr>
        <w:t xml:space="preserve">, vakcinēto personu skaits salīdzinot 2022. gada janvāri ar 2021. gada decembri ir strauji krities (attēls Nr. </w:t>
      </w:r>
      <w:r w:rsidR="00383F88" w:rsidRPr="007F1C12">
        <w:rPr>
          <w:rFonts w:ascii="Times New Roman" w:hAnsi="Times New Roman" w:cs="Times New Roman"/>
          <w:sz w:val="24"/>
          <w:szCs w:val="24"/>
        </w:rPr>
        <w:t>2</w:t>
      </w:r>
      <w:r w:rsidRPr="007F1C12">
        <w:rPr>
          <w:rFonts w:ascii="Times New Roman" w:hAnsi="Times New Roman" w:cs="Times New Roman"/>
          <w:sz w:val="24"/>
          <w:szCs w:val="24"/>
        </w:rPr>
        <w:t xml:space="preserve"> un attēls Nr. </w:t>
      </w:r>
      <w:r w:rsidR="00383F88" w:rsidRPr="007F1C12">
        <w:rPr>
          <w:rFonts w:ascii="Times New Roman" w:hAnsi="Times New Roman" w:cs="Times New Roman"/>
          <w:sz w:val="24"/>
          <w:szCs w:val="24"/>
        </w:rPr>
        <w:t>3</w:t>
      </w:r>
      <w:r w:rsidRPr="007F1C12">
        <w:rPr>
          <w:rFonts w:ascii="Times New Roman" w:hAnsi="Times New Roman" w:cs="Times New Roman"/>
          <w:sz w:val="24"/>
          <w:szCs w:val="24"/>
        </w:rPr>
        <w:t>)</w:t>
      </w:r>
      <w:r w:rsidR="00D9502B" w:rsidRPr="007F1C12">
        <w:rPr>
          <w:rFonts w:ascii="Times New Roman" w:hAnsi="Times New Roman" w:cs="Times New Roman"/>
          <w:sz w:val="24"/>
          <w:szCs w:val="24"/>
        </w:rPr>
        <w:t xml:space="preserve">. </w:t>
      </w:r>
    </w:p>
    <w:p w14:paraId="5704B312" w14:textId="5F9416C7" w:rsidR="00ED1CA9" w:rsidRPr="007F1C12" w:rsidRDefault="00ED1CA9" w:rsidP="00317C72">
      <w:pPr>
        <w:jc w:val="both"/>
        <w:rPr>
          <w:rFonts w:ascii="Times New Roman" w:hAnsi="Times New Roman" w:cs="Times New Roman"/>
          <w:sz w:val="24"/>
          <w:szCs w:val="24"/>
        </w:rPr>
      </w:pPr>
      <w:r w:rsidRPr="007F1C12">
        <w:rPr>
          <w:noProof/>
        </w:rPr>
        <w:drawing>
          <wp:inline distT="0" distB="0" distL="0" distR="0" wp14:anchorId="4F3ABED0" wp14:editId="7C90BB25">
            <wp:extent cx="5278120" cy="1658018"/>
            <wp:effectExtent l="0" t="0" r="17780" b="18415"/>
            <wp:docPr id="1" name="Chart 1">
              <a:extLst xmlns:a="http://schemas.openxmlformats.org/drawingml/2006/main">
                <a:ext uri="{FF2B5EF4-FFF2-40B4-BE49-F238E27FC236}">
                  <a16:creationId xmlns:a16="http://schemas.microsoft.com/office/drawing/2014/main" id="{DF8C6C9D-671F-4F2F-BA8A-2ACF809274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89F0DC" w14:textId="5A2F5482" w:rsidR="00ED1CA9" w:rsidRPr="007F1C12" w:rsidRDefault="00ED1CA9" w:rsidP="00317C72">
      <w:pPr>
        <w:jc w:val="both"/>
        <w:rPr>
          <w:rFonts w:ascii="Times New Roman" w:hAnsi="Times New Roman" w:cs="Times New Roman"/>
          <w:i/>
          <w:iCs/>
          <w:sz w:val="24"/>
          <w:szCs w:val="24"/>
        </w:rPr>
      </w:pPr>
      <w:r w:rsidRPr="007F1C12">
        <w:rPr>
          <w:rFonts w:ascii="Times New Roman" w:hAnsi="Times New Roman" w:cs="Times New Roman"/>
          <w:i/>
          <w:iCs/>
          <w:sz w:val="24"/>
          <w:szCs w:val="24"/>
        </w:rPr>
        <w:t xml:space="preserve">Attēls Nr. </w:t>
      </w:r>
      <w:r w:rsidR="00383F88" w:rsidRPr="007F1C12">
        <w:rPr>
          <w:rFonts w:ascii="Times New Roman" w:hAnsi="Times New Roman" w:cs="Times New Roman"/>
          <w:i/>
          <w:iCs/>
          <w:sz w:val="24"/>
          <w:szCs w:val="24"/>
        </w:rPr>
        <w:t>2</w:t>
      </w:r>
    </w:p>
    <w:p w14:paraId="07D309C2" w14:textId="77ECDCD9" w:rsidR="00ED1CA9" w:rsidRPr="007F1C12" w:rsidRDefault="00ED1CA9" w:rsidP="00317C72">
      <w:pPr>
        <w:jc w:val="both"/>
        <w:rPr>
          <w:rFonts w:ascii="Times New Roman" w:hAnsi="Times New Roman" w:cs="Times New Roman"/>
          <w:sz w:val="24"/>
          <w:szCs w:val="24"/>
        </w:rPr>
      </w:pPr>
      <w:r w:rsidRPr="007F1C12">
        <w:rPr>
          <w:noProof/>
        </w:rPr>
        <w:drawing>
          <wp:inline distT="0" distB="0" distL="0" distR="0" wp14:anchorId="54E171EF" wp14:editId="7BE7AC1E">
            <wp:extent cx="5278120" cy="1905188"/>
            <wp:effectExtent l="0" t="0" r="17780" b="0"/>
            <wp:docPr id="3" name="Chart 3">
              <a:extLst xmlns:a="http://schemas.openxmlformats.org/drawingml/2006/main">
                <a:ext uri="{FF2B5EF4-FFF2-40B4-BE49-F238E27FC236}">
                  <a16:creationId xmlns:a16="http://schemas.microsoft.com/office/drawing/2014/main" id="{3D8A889D-74EF-4FFA-9AA2-0B70649FF5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9AF251" w14:textId="310616EA" w:rsidR="00ED1CA9" w:rsidRPr="007F1C12" w:rsidRDefault="00ED1CA9" w:rsidP="00317C72">
      <w:pPr>
        <w:jc w:val="both"/>
        <w:rPr>
          <w:rFonts w:ascii="Times New Roman" w:hAnsi="Times New Roman" w:cs="Times New Roman"/>
          <w:i/>
          <w:iCs/>
          <w:sz w:val="24"/>
          <w:szCs w:val="24"/>
        </w:rPr>
      </w:pPr>
      <w:r w:rsidRPr="007F1C12">
        <w:rPr>
          <w:rFonts w:ascii="Times New Roman" w:hAnsi="Times New Roman" w:cs="Times New Roman"/>
          <w:i/>
          <w:iCs/>
          <w:sz w:val="24"/>
          <w:szCs w:val="24"/>
        </w:rPr>
        <w:t xml:space="preserve">Attēls Nr. </w:t>
      </w:r>
      <w:r w:rsidR="00383F88" w:rsidRPr="007F1C12">
        <w:rPr>
          <w:rFonts w:ascii="Times New Roman" w:hAnsi="Times New Roman" w:cs="Times New Roman"/>
          <w:i/>
          <w:iCs/>
          <w:sz w:val="24"/>
          <w:szCs w:val="24"/>
        </w:rPr>
        <w:t>3</w:t>
      </w:r>
    </w:p>
    <w:p w14:paraId="3C870EC8" w14:textId="4ED9BC8E" w:rsidR="00B14E61" w:rsidRPr="007F1C12" w:rsidRDefault="001D43BF" w:rsidP="00D9502B">
      <w:pPr>
        <w:jc w:val="both"/>
        <w:rPr>
          <w:rFonts w:ascii="Times New Roman" w:hAnsi="Times New Roman" w:cs="Times New Roman"/>
          <w:sz w:val="24"/>
          <w:szCs w:val="24"/>
        </w:rPr>
      </w:pPr>
      <w:r w:rsidRPr="007F1C12">
        <w:rPr>
          <w:rFonts w:ascii="Times New Roman" w:hAnsi="Times New Roman" w:cs="Times New Roman"/>
          <w:sz w:val="24"/>
          <w:szCs w:val="24"/>
        </w:rPr>
        <w:t xml:space="preserve">Vakcinācijas pieejamība visos valsts attālākajos valsts reģionos ir nepieciešama, lai samazinātu saslimušo personu skaitu, kuriem saslimšana ar Covid-19 norit smagi vai vidēji smagi un kuru ārstēšanās notiek stacionāros. Vidēji vienas personas vakcinācija pret Covid-19 nodokļu maksātājiem izmaksā krietni mazāk nekā vienas personas ārstēšanās stacionārā. Piemēram, vidēji vienas personas </w:t>
      </w:r>
      <w:r w:rsidR="00B14E61" w:rsidRPr="007F1C12">
        <w:rPr>
          <w:rFonts w:ascii="Times New Roman" w:hAnsi="Times New Roman" w:cs="Times New Roman"/>
          <w:sz w:val="24"/>
          <w:szCs w:val="24"/>
        </w:rPr>
        <w:t xml:space="preserve">vakcinācijas pret Covid-19 izmaksas ir </w:t>
      </w:r>
      <w:r w:rsidR="00B14E61" w:rsidRPr="007F1C12">
        <w:rPr>
          <w:rFonts w:ascii="Times New Roman" w:hAnsi="Times New Roman" w:cs="Times New Roman"/>
          <w:b/>
          <w:bCs/>
          <w:sz w:val="24"/>
          <w:szCs w:val="24"/>
        </w:rPr>
        <w:t xml:space="preserve">EUR </w:t>
      </w:r>
      <w:r w:rsidR="00C0522B" w:rsidRPr="007F1C12">
        <w:rPr>
          <w:rFonts w:ascii="Times New Roman" w:hAnsi="Times New Roman" w:cs="Times New Roman"/>
          <w:b/>
          <w:bCs/>
          <w:sz w:val="24"/>
          <w:szCs w:val="24"/>
        </w:rPr>
        <w:t>42,86</w:t>
      </w:r>
      <w:r w:rsidR="00B14E61" w:rsidRPr="007F1C12">
        <w:rPr>
          <w:rFonts w:ascii="Times New Roman" w:hAnsi="Times New Roman" w:cs="Times New Roman"/>
          <w:sz w:val="24"/>
          <w:szCs w:val="24"/>
        </w:rPr>
        <w:t xml:space="preserve">, kur ir iekļautas šādas izmaksas: </w:t>
      </w:r>
    </w:p>
    <w:p w14:paraId="7D1A6CBA" w14:textId="3E6DFC4B" w:rsidR="00383F88" w:rsidRPr="007F1C12" w:rsidRDefault="001D43BF" w:rsidP="00B14E61">
      <w:pPr>
        <w:pStyle w:val="ListParagraph"/>
        <w:numPr>
          <w:ilvl w:val="0"/>
          <w:numId w:val="3"/>
        </w:numPr>
        <w:jc w:val="both"/>
        <w:rPr>
          <w:rFonts w:ascii="Times New Roman" w:hAnsi="Times New Roman" w:cs="Times New Roman"/>
          <w:sz w:val="24"/>
          <w:szCs w:val="24"/>
        </w:rPr>
      </w:pPr>
      <w:r w:rsidRPr="007F1C12">
        <w:rPr>
          <w:rFonts w:ascii="Times New Roman" w:hAnsi="Times New Roman" w:cs="Times New Roman"/>
          <w:sz w:val="24"/>
          <w:szCs w:val="24"/>
        </w:rPr>
        <w:lastRenderedPageBreak/>
        <w:t xml:space="preserve">standarta </w:t>
      </w:r>
      <w:r w:rsidR="00B14E61" w:rsidRPr="007F1C12">
        <w:rPr>
          <w:rFonts w:ascii="Times New Roman" w:hAnsi="Times New Roman" w:cs="Times New Roman"/>
          <w:sz w:val="24"/>
          <w:szCs w:val="24"/>
        </w:rPr>
        <w:t>vakcinācijas</w:t>
      </w:r>
      <w:r w:rsidRPr="007F1C12">
        <w:rPr>
          <w:rFonts w:ascii="Times New Roman" w:hAnsi="Times New Roman" w:cs="Times New Roman"/>
          <w:sz w:val="24"/>
          <w:szCs w:val="24"/>
        </w:rPr>
        <w:t xml:space="preserve"> tarif</w:t>
      </w:r>
      <w:r w:rsidR="00B14E61" w:rsidRPr="007F1C12">
        <w:rPr>
          <w:rFonts w:ascii="Times New Roman" w:hAnsi="Times New Roman" w:cs="Times New Roman"/>
          <w:sz w:val="24"/>
          <w:szCs w:val="24"/>
        </w:rPr>
        <w:t>s</w:t>
      </w:r>
      <w:r w:rsidRPr="007F1C12">
        <w:rPr>
          <w:rFonts w:ascii="Times New Roman" w:hAnsi="Times New Roman" w:cs="Times New Roman"/>
          <w:sz w:val="24"/>
          <w:szCs w:val="24"/>
        </w:rPr>
        <w:t xml:space="preserve"> </w:t>
      </w:r>
      <w:r w:rsidR="00501DDF" w:rsidRPr="007F1C12">
        <w:rPr>
          <w:rFonts w:ascii="Times New Roman" w:hAnsi="Times New Roman" w:cs="Times New Roman"/>
          <w:sz w:val="24"/>
          <w:szCs w:val="24"/>
        </w:rPr>
        <w:t xml:space="preserve">izbraukumam virs 50 km </w:t>
      </w:r>
      <w:r w:rsidR="00B14E61" w:rsidRPr="007F1C12">
        <w:rPr>
          <w:rFonts w:ascii="Times New Roman" w:hAnsi="Times New Roman" w:cs="Times New Roman"/>
          <w:sz w:val="24"/>
          <w:szCs w:val="24"/>
        </w:rPr>
        <w:t xml:space="preserve">ar ārsta </w:t>
      </w:r>
      <w:proofErr w:type="spellStart"/>
      <w:r w:rsidR="00B14E61" w:rsidRPr="007F1C12">
        <w:rPr>
          <w:rFonts w:ascii="Times New Roman" w:hAnsi="Times New Roman" w:cs="Times New Roman"/>
          <w:sz w:val="24"/>
          <w:szCs w:val="24"/>
        </w:rPr>
        <w:t>pirmsvakcinācijas</w:t>
      </w:r>
      <w:proofErr w:type="spellEnd"/>
      <w:r w:rsidR="00B14E61" w:rsidRPr="007F1C12">
        <w:rPr>
          <w:rFonts w:ascii="Times New Roman" w:hAnsi="Times New Roman" w:cs="Times New Roman"/>
          <w:sz w:val="24"/>
          <w:szCs w:val="24"/>
        </w:rPr>
        <w:t xml:space="preserve"> apskati – </w:t>
      </w:r>
      <w:r w:rsidR="00B14E61" w:rsidRPr="007F1C12">
        <w:rPr>
          <w:rFonts w:ascii="Times New Roman" w:hAnsi="Times New Roman" w:cs="Times New Roman"/>
          <w:b/>
          <w:bCs/>
          <w:sz w:val="24"/>
          <w:szCs w:val="24"/>
        </w:rPr>
        <w:t xml:space="preserve">EUR </w:t>
      </w:r>
      <w:r w:rsidR="00501DDF" w:rsidRPr="007F1C12">
        <w:rPr>
          <w:rFonts w:ascii="Times New Roman" w:hAnsi="Times New Roman" w:cs="Times New Roman"/>
          <w:b/>
          <w:bCs/>
          <w:sz w:val="24"/>
          <w:szCs w:val="24"/>
        </w:rPr>
        <w:t>13,54</w:t>
      </w:r>
      <w:r w:rsidR="00B14E61" w:rsidRPr="007F1C12">
        <w:rPr>
          <w:rFonts w:ascii="Times New Roman" w:hAnsi="Times New Roman" w:cs="Times New Roman"/>
          <w:sz w:val="24"/>
          <w:szCs w:val="24"/>
        </w:rPr>
        <w:t xml:space="preserve">; </w:t>
      </w:r>
    </w:p>
    <w:p w14:paraId="0C9F15BB" w14:textId="35E21256" w:rsidR="00B14E61" w:rsidRPr="007F1C12" w:rsidRDefault="00B14E61" w:rsidP="001A00D8">
      <w:pPr>
        <w:pStyle w:val="ListParagraph"/>
        <w:numPr>
          <w:ilvl w:val="0"/>
          <w:numId w:val="3"/>
        </w:numPr>
        <w:jc w:val="both"/>
        <w:rPr>
          <w:rFonts w:ascii="Times New Roman" w:hAnsi="Times New Roman" w:cs="Times New Roman"/>
          <w:sz w:val="24"/>
          <w:szCs w:val="24"/>
        </w:rPr>
      </w:pPr>
      <w:r w:rsidRPr="007F1C12">
        <w:rPr>
          <w:rFonts w:ascii="Times New Roman" w:hAnsi="Times New Roman" w:cs="Times New Roman"/>
          <w:sz w:val="24"/>
          <w:szCs w:val="24"/>
        </w:rPr>
        <w:t xml:space="preserve">vakcīnu iegāde, uzglabāšana un loģistika – </w:t>
      </w:r>
      <w:r w:rsidRPr="007F1C12">
        <w:rPr>
          <w:rFonts w:ascii="Times New Roman" w:hAnsi="Times New Roman" w:cs="Times New Roman"/>
          <w:b/>
          <w:bCs/>
          <w:sz w:val="24"/>
          <w:szCs w:val="24"/>
        </w:rPr>
        <w:t xml:space="preserve">EUR </w:t>
      </w:r>
      <w:r w:rsidR="00C0522B" w:rsidRPr="007F1C12">
        <w:rPr>
          <w:rFonts w:ascii="Times New Roman" w:hAnsi="Times New Roman" w:cs="Times New Roman"/>
          <w:b/>
          <w:bCs/>
          <w:sz w:val="24"/>
          <w:szCs w:val="24"/>
        </w:rPr>
        <w:t>29,32</w:t>
      </w:r>
      <w:r w:rsidR="00C0522B" w:rsidRPr="007F1C12">
        <w:rPr>
          <w:rFonts w:ascii="Times New Roman" w:hAnsi="Times New Roman" w:cs="Times New Roman"/>
          <w:sz w:val="24"/>
          <w:szCs w:val="24"/>
        </w:rPr>
        <w:t>.</w:t>
      </w:r>
      <w:r w:rsidRPr="007F1C12">
        <w:rPr>
          <w:rFonts w:ascii="Times New Roman" w:hAnsi="Times New Roman" w:cs="Times New Roman"/>
          <w:sz w:val="24"/>
          <w:szCs w:val="24"/>
        </w:rPr>
        <w:t xml:space="preserve"> </w:t>
      </w:r>
    </w:p>
    <w:p w14:paraId="6F14F3BE" w14:textId="38A929DA" w:rsidR="00683407" w:rsidRPr="007F1C12" w:rsidRDefault="00683407" w:rsidP="00683407">
      <w:pPr>
        <w:jc w:val="both"/>
        <w:rPr>
          <w:rFonts w:ascii="Times New Roman" w:hAnsi="Times New Roman" w:cs="Times New Roman"/>
          <w:sz w:val="24"/>
          <w:szCs w:val="24"/>
        </w:rPr>
      </w:pPr>
      <w:r w:rsidRPr="007F1C12">
        <w:rPr>
          <w:rFonts w:ascii="Times New Roman" w:hAnsi="Times New Roman" w:cs="Times New Roman"/>
          <w:sz w:val="24"/>
          <w:szCs w:val="24"/>
        </w:rPr>
        <w:t xml:space="preserve">Turpretī </w:t>
      </w:r>
      <w:r w:rsidR="00AC076C" w:rsidRPr="007F1C12">
        <w:rPr>
          <w:rFonts w:ascii="Times New Roman" w:hAnsi="Times New Roman" w:cs="Times New Roman"/>
          <w:sz w:val="24"/>
          <w:szCs w:val="24"/>
        </w:rPr>
        <w:t xml:space="preserve">pašreizējā saslimšanas vilnī </w:t>
      </w:r>
      <w:r w:rsidRPr="007F1C12">
        <w:rPr>
          <w:rFonts w:ascii="Times New Roman" w:hAnsi="Times New Roman" w:cs="Times New Roman"/>
          <w:sz w:val="24"/>
          <w:szCs w:val="24"/>
        </w:rPr>
        <w:t xml:space="preserve">viena ar Covid-19 pacienta ar smagu slimības gaitu ārstēšanās stacionārā </w:t>
      </w:r>
      <w:r w:rsidR="00D225E8" w:rsidRPr="007F1C12">
        <w:rPr>
          <w:rFonts w:ascii="Times New Roman" w:hAnsi="Times New Roman" w:cs="Times New Roman"/>
          <w:sz w:val="24"/>
          <w:szCs w:val="24"/>
        </w:rPr>
        <w:t xml:space="preserve">gadījuma </w:t>
      </w:r>
      <w:r w:rsidRPr="007F1C12">
        <w:rPr>
          <w:rFonts w:ascii="Times New Roman" w:hAnsi="Times New Roman" w:cs="Times New Roman"/>
          <w:sz w:val="24"/>
          <w:szCs w:val="24"/>
        </w:rPr>
        <w:t>vidēj</w:t>
      </w:r>
      <w:r w:rsidR="00D225E8" w:rsidRPr="007F1C12">
        <w:rPr>
          <w:rFonts w:ascii="Times New Roman" w:hAnsi="Times New Roman" w:cs="Times New Roman"/>
          <w:sz w:val="24"/>
          <w:szCs w:val="24"/>
        </w:rPr>
        <w:t xml:space="preserve">ās izmaksas </w:t>
      </w:r>
      <w:r w:rsidRPr="007F1C12">
        <w:rPr>
          <w:rFonts w:ascii="Times New Roman" w:hAnsi="Times New Roman" w:cs="Times New Roman"/>
          <w:sz w:val="24"/>
          <w:szCs w:val="24"/>
        </w:rPr>
        <w:t>ir EUR 2 225,12, pieskaitot pacienta veselības izlabošanai nepieciešamo medikamentu (</w:t>
      </w:r>
      <w:proofErr w:type="spellStart"/>
      <w:r w:rsidRPr="007F1C12">
        <w:rPr>
          <w:rFonts w:ascii="Times New Roman" w:hAnsi="Times New Roman" w:cs="Times New Roman"/>
          <w:i/>
          <w:iCs/>
          <w:sz w:val="24"/>
          <w:szCs w:val="24"/>
        </w:rPr>
        <w:t>Remdesivir</w:t>
      </w:r>
      <w:proofErr w:type="spellEnd"/>
      <w:r w:rsidRPr="007F1C12">
        <w:rPr>
          <w:rFonts w:ascii="Times New Roman" w:hAnsi="Times New Roman" w:cs="Times New Roman"/>
          <w:sz w:val="24"/>
          <w:szCs w:val="24"/>
        </w:rPr>
        <w:t xml:space="preserve">, </w:t>
      </w:r>
      <w:r w:rsidRPr="007F1C12">
        <w:rPr>
          <w:rFonts w:ascii="Times New Roman" w:hAnsi="Times New Roman" w:cs="Times New Roman"/>
          <w:i/>
          <w:iCs/>
          <w:sz w:val="24"/>
          <w:szCs w:val="24"/>
        </w:rPr>
        <w:t>Tocilizumab</w:t>
      </w:r>
      <w:r w:rsidRPr="007F1C12">
        <w:rPr>
          <w:rFonts w:ascii="Times New Roman" w:hAnsi="Times New Roman" w:cs="Times New Roman"/>
          <w:sz w:val="24"/>
          <w:szCs w:val="24"/>
        </w:rPr>
        <w:t xml:space="preserve">, antivielu kokteiļiem) izmaksas, kopējās vienas personas ārstēšanās izmaksas pieaug līdz EUR 4 225,12. </w:t>
      </w:r>
    </w:p>
    <w:p w14:paraId="27C3B0B8" w14:textId="0E82E777" w:rsidR="00403193" w:rsidRPr="007F1C12" w:rsidRDefault="00683407" w:rsidP="00CD5611">
      <w:pPr>
        <w:jc w:val="both"/>
        <w:rPr>
          <w:rFonts w:ascii="Times New Roman" w:hAnsi="Times New Roman" w:cs="Times New Roman"/>
          <w:sz w:val="24"/>
          <w:szCs w:val="24"/>
        </w:rPr>
      </w:pPr>
      <w:r w:rsidRPr="007F1C12">
        <w:rPr>
          <w:rFonts w:ascii="Times New Roman" w:hAnsi="Times New Roman" w:cs="Times New Roman"/>
          <w:sz w:val="24"/>
          <w:szCs w:val="24"/>
        </w:rPr>
        <w:t xml:space="preserve">Saskaņā ar Sabiedrības veselības kontroles centra </w:t>
      </w:r>
      <w:r w:rsidR="00403193" w:rsidRPr="007F1C12">
        <w:rPr>
          <w:rFonts w:ascii="Times New Roman" w:hAnsi="Times New Roman" w:cs="Times New Roman"/>
          <w:sz w:val="24"/>
          <w:szCs w:val="24"/>
        </w:rPr>
        <w:t xml:space="preserve">un Nacionālā veselības dienesta </w:t>
      </w:r>
      <w:r w:rsidRPr="007F1C12">
        <w:rPr>
          <w:rFonts w:ascii="Times New Roman" w:hAnsi="Times New Roman" w:cs="Times New Roman"/>
          <w:sz w:val="24"/>
          <w:szCs w:val="24"/>
        </w:rPr>
        <w:t xml:space="preserve">apkopotajiem datiem, </w:t>
      </w:r>
      <w:r w:rsidR="001B2D49" w:rsidRPr="007F1C12">
        <w:rPr>
          <w:rFonts w:ascii="Times New Roman" w:hAnsi="Times New Roman" w:cs="Times New Roman"/>
          <w:sz w:val="24"/>
          <w:szCs w:val="24"/>
        </w:rPr>
        <w:t xml:space="preserve">nevakcinētas un daļēji vakcinētas personas </w:t>
      </w:r>
      <w:r w:rsidR="00CD5611" w:rsidRPr="007F1C12">
        <w:rPr>
          <w:rFonts w:ascii="Times New Roman" w:hAnsi="Times New Roman" w:cs="Times New Roman"/>
          <w:sz w:val="24"/>
          <w:szCs w:val="24"/>
        </w:rPr>
        <w:t xml:space="preserve">ar Covid-19 infekciju tiek </w:t>
      </w:r>
      <w:r w:rsidR="00002180" w:rsidRPr="007F1C12">
        <w:rPr>
          <w:rFonts w:ascii="Times New Roman" w:hAnsi="Times New Roman" w:cs="Times New Roman"/>
          <w:sz w:val="24"/>
          <w:szCs w:val="24"/>
        </w:rPr>
        <w:t>stacionēti</w:t>
      </w:r>
      <w:r w:rsidR="00CD5611" w:rsidRPr="007F1C12">
        <w:rPr>
          <w:rFonts w:ascii="Times New Roman" w:hAnsi="Times New Roman" w:cs="Times New Roman"/>
          <w:sz w:val="24"/>
          <w:szCs w:val="24"/>
        </w:rPr>
        <w:t xml:space="preserve"> 2,2 reizes biežāk nekā personas nekā pilnībā vakcinētas personas, rēķinot uz 100 000 iedzīvotāju. </w:t>
      </w:r>
      <w:r w:rsidR="00403193" w:rsidRPr="007F1C12">
        <w:rPr>
          <w:rFonts w:ascii="Times New Roman" w:hAnsi="Times New Roman" w:cs="Times New Roman"/>
          <w:sz w:val="24"/>
          <w:szCs w:val="24"/>
        </w:rPr>
        <w:t xml:space="preserve">Piemēram, nedēļā no 2022. gada 31.janvāra stacionārā ar Covid-19 infekciju tika ievietotas 228 (57,1%) nevakcinētas vai vakcinācijas procesu uzsākušas personas, tikai 29 (7,27%) personas, kas ir pilnībā vakcinētas personas (saņemta arī </w:t>
      </w:r>
      <w:proofErr w:type="spellStart"/>
      <w:r w:rsidR="00403193" w:rsidRPr="007F1C12">
        <w:rPr>
          <w:rFonts w:ascii="Times New Roman" w:hAnsi="Times New Roman" w:cs="Times New Roman"/>
          <w:sz w:val="24"/>
          <w:szCs w:val="24"/>
        </w:rPr>
        <w:t>balstvakcinācija</w:t>
      </w:r>
      <w:proofErr w:type="spellEnd"/>
      <w:r w:rsidR="00403193" w:rsidRPr="007F1C12">
        <w:rPr>
          <w:rFonts w:ascii="Times New Roman" w:hAnsi="Times New Roman" w:cs="Times New Roman"/>
          <w:sz w:val="24"/>
          <w:szCs w:val="24"/>
        </w:rPr>
        <w:t xml:space="preserve">). Sīkāka informācija par stacionēto Covid-19 (ar </w:t>
      </w:r>
      <w:proofErr w:type="spellStart"/>
      <w:r w:rsidR="00403193" w:rsidRPr="007F1C12">
        <w:rPr>
          <w:rFonts w:ascii="Times New Roman" w:hAnsi="Times New Roman" w:cs="Times New Roman"/>
          <w:sz w:val="24"/>
          <w:szCs w:val="24"/>
        </w:rPr>
        <w:t>pamatdiagnozi</w:t>
      </w:r>
      <w:proofErr w:type="spellEnd"/>
      <w:r w:rsidR="00403193" w:rsidRPr="007F1C12">
        <w:rPr>
          <w:rFonts w:ascii="Times New Roman" w:hAnsi="Times New Roman" w:cs="Times New Roman"/>
          <w:sz w:val="24"/>
          <w:szCs w:val="24"/>
        </w:rPr>
        <w:t xml:space="preserve"> Covid-19) pacientu īpatsvars pēc vakcinācijas statusa nedēļā aplūkojams attēlā Nr. 4. </w:t>
      </w:r>
    </w:p>
    <w:p w14:paraId="3C06CC34" w14:textId="77777777" w:rsidR="00403193" w:rsidRPr="007F1C12" w:rsidRDefault="00403193" w:rsidP="00D9502B">
      <w:pPr>
        <w:jc w:val="both"/>
        <w:rPr>
          <w:rFonts w:ascii="Times New Roman" w:hAnsi="Times New Roman" w:cs="Times New Roman"/>
          <w:sz w:val="24"/>
          <w:szCs w:val="24"/>
        </w:rPr>
      </w:pPr>
    </w:p>
    <w:p w14:paraId="6D7E6BF3" w14:textId="4C322D75" w:rsidR="00383F88" w:rsidRPr="007F1C12" w:rsidRDefault="00403193" w:rsidP="00D9502B">
      <w:pPr>
        <w:jc w:val="both"/>
        <w:rPr>
          <w:rFonts w:ascii="Times New Roman" w:hAnsi="Times New Roman" w:cs="Times New Roman"/>
          <w:sz w:val="24"/>
          <w:szCs w:val="24"/>
        </w:rPr>
      </w:pPr>
      <w:r w:rsidRPr="007F1C12">
        <w:rPr>
          <w:rFonts w:ascii="Times New Roman" w:hAnsi="Times New Roman" w:cs="Times New Roman"/>
          <w:noProof/>
          <w:sz w:val="24"/>
          <w:szCs w:val="24"/>
        </w:rPr>
        <w:drawing>
          <wp:inline distT="0" distB="0" distL="0" distR="0" wp14:anchorId="2234F4B7" wp14:editId="48566DCD">
            <wp:extent cx="5750580" cy="2882900"/>
            <wp:effectExtent l="0" t="0" r="254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1"/>
                    <a:stretch>
                      <a:fillRect/>
                    </a:stretch>
                  </pic:blipFill>
                  <pic:spPr>
                    <a:xfrm>
                      <a:off x="0" y="0"/>
                      <a:ext cx="5751502" cy="2883362"/>
                    </a:xfrm>
                    <a:prstGeom prst="rect">
                      <a:avLst/>
                    </a:prstGeom>
                  </pic:spPr>
                </pic:pic>
              </a:graphicData>
            </a:graphic>
          </wp:inline>
        </w:drawing>
      </w:r>
    </w:p>
    <w:p w14:paraId="726C184F" w14:textId="7D7587DB" w:rsidR="00383F88" w:rsidRPr="007F1C12" w:rsidRDefault="00403193" w:rsidP="00D9502B">
      <w:pPr>
        <w:jc w:val="both"/>
        <w:rPr>
          <w:rFonts w:ascii="Times New Roman" w:hAnsi="Times New Roman" w:cs="Times New Roman"/>
          <w:sz w:val="24"/>
          <w:szCs w:val="24"/>
        </w:rPr>
      </w:pPr>
      <w:r w:rsidRPr="007F1C12">
        <w:rPr>
          <w:rFonts w:ascii="Times New Roman" w:hAnsi="Times New Roman" w:cs="Times New Roman"/>
          <w:i/>
          <w:iCs/>
          <w:sz w:val="24"/>
          <w:szCs w:val="24"/>
        </w:rPr>
        <w:t xml:space="preserve">Attēls Nr. 4. </w:t>
      </w:r>
    </w:p>
    <w:p w14:paraId="2EB86F4A" w14:textId="77777777" w:rsidR="00383F88" w:rsidRPr="007F1C12" w:rsidRDefault="00383F88" w:rsidP="00D9502B">
      <w:pPr>
        <w:jc w:val="both"/>
        <w:rPr>
          <w:rFonts w:ascii="Times New Roman" w:hAnsi="Times New Roman" w:cs="Times New Roman"/>
          <w:sz w:val="24"/>
          <w:szCs w:val="24"/>
        </w:rPr>
      </w:pPr>
    </w:p>
    <w:p w14:paraId="15BD103D" w14:textId="371BFF02" w:rsidR="00383F88" w:rsidRPr="007F1C12" w:rsidRDefault="00383F88" w:rsidP="00383F88">
      <w:pPr>
        <w:pStyle w:val="ListParagraph"/>
        <w:spacing w:line="240" w:lineRule="auto"/>
        <w:jc w:val="center"/>
        <w:rPr>
          <w:rFonts w:ascii="Times New Roman" w:eastAsia="Times New Roman" w:hAnsi="Times New Roman" w:cs="Times New Roman"/>
          <w:b/>
          <w:sz w:val="28"/>
          <w:szCs w:val="28"/>
        </w:rPr>
      </w:pPr>
      <w:r w:rsidRPr="007F1C12">
        <w:rPr>
          <w:rFonts w:ascii="Times New Roman" w:eastAsia="Times New Roman" w:hAnsi="Times New Roman" w:cs="Times New Roman"/>
          <w:b/>
          <w:sz w:val="28"/>
          <w:szCs w:val="28"/>
        </w:rPr>
        <w:t>II Priekšlikums turpmākajai rīcībai</w:t>
      </w:r>
    </w:p>
    <w:p w14:paraId="4812B782" w14:textId="1116D085" w:rsidR="00502ED2" w:rsidRPr="007F1C12" w:rsidRDefault="00502ED2" w:rsidP="00383F88">
      <w:pPr>
        <w:pStyle w:val="ListParagraph"/>
        <w:spacing w:line="240" w:lineRule="auto"/>
        <w:jc w:val="center"/>
        <w:rPr>
          <w:rFonts w:ascii="Times New Roman" w:eastAsia="Times New Roman" w:hAnsi="Times New Roman" w:cs="Times New Roman"/>
          <w:b/>
          <w:sz w:val="28"/>
          <w:szCs w:val="28"/>
        </w:rPr>
      </w:pPr>
    </w:p>
    <w:p w14:paraId="3FAFF291" w14:textId="4C168D8A" w:rsidR="00502ED2" w:rsidRPr="007F1C12" w:rsidRDefault="00502ED2" w:rsidP="00502ED2">
      <w:pPr>
        <w:spacing w:after="120" w:line="240" w:lineRule="auto"/>
        <w:jc w:val="both"/>
        <w:rPr>
          <w:rFonts w:ascii="Times New Roman" w:eastAsia="Times New Roman" w:hAnsi="Times New Roman" w:cs="Times New Roman"/>
          <w:b/>
          <w:sz w:val="24"/>
          <w:szCs w:val="24"/>
        </w:rPr>
      </w:pPr>
      <w:r w:rsidRPr="007F1C12">
        <w:rPr>
          <w:rFonts w:ascii="Times New Roman" w:eastAsia="Times New Roman" w:hAnsi="Times New Roman" w:cs="Times New Roman"/>
          <w:b/>
          <w:sz w:val="24"/>
          <w:szCs w:val="24"/>
        </w:rPr>
        <w:t xml:space="preserve">Priekšlikuma īstenošanas laiks: </w:t>
      </w:r>
      <w:r w:rsidRPr="007F1C12">
        <w:rPr>
          <w:rFonts w:ascii="Times New Roman" w:eastAsia="Times New Roman" w:hAnsi="Times New Roman" w:cs="Times New Roman"/>
          <w:sz w:val="24"/>
          <w:szCs w:val="24"/>
        </w:rPr>
        <w:t xml:space="preserve">no 2022. gada </w:t>
      </w:r>
      <w:r w:rsidR="00362C7F">
        <w:rPr>
          <w:rFonts w:ascii="Times New Roman" w:eastAsia="Times New Roman" w:hAnsi="Times New Roman" w:cs="Times New Roman"/>
          <w:sz w:val="24"/>
          <w:szCs w:val="24"/>
        </w:rPr>
        <w:t>1. aprīļa</w:t>
      </w:r>
      <w:r w:rsidRPr="007F1C12">
        <w:rPr>
          <w:rFonts w:ascii="Times New Roman" w:eastAsia="Times New Roman" w:hAnsi="Times New Roman" w:cs="Times New Roman"/>
          <w:sz w:val="24"/>
          <w:szCs w:val="24"/>
        </w:rPr>
        <w:t xml:space="preserve"> līdz 2022. gada </w:t>
      </w:r>
      <w:r w:rsidR="00362C7F">
        <w:rPr>
          <w:rFonts w:ascii="Times New Roman" w:eastAsia="Times New Roman" w:hAnsi="Times New Roman" w:cs="Times New Roman"/>
          <w:sz w:val="24"/>
          <w:szCs w:val="24"/>
        </w:rPr>
        <w:t>31. decembrim</w:t>
      </w:r>
      <w:r w:rsidRPr="007F1C12">
        <w:rPr>
          <w:rFonts w:ascii="Times New Roman" w:eastAsia="Times New Roman" w:hAnsi="Times New Roman" w:cs="Times New Roman"/>
          <w:sz w:val="24"/>
          <w:szCs w:val="24"/>
        </w:rPr>
        <w:t xml:space="preserve"> </w:t>
      </w:r>
    </w:p>
    <w:p w14:paraId="5BF97526" w14:textId="182C36D0" w:rsidR="00502ED2" w:rsidRPr="007F1C12" w:rsidRDefault="00EE478B" w:rsidP="00502ED2">
      <w:pPr>
        <w:spacing w:after="120" w:line="240" w:lineRule="auto"/>
        <w:jc w:val="both"/>
        <w:rPr>
          <w:rFonts w:ascii="Times New Roman" w:eastAsia="Times New Roman" w:hAnsi="Times New Roman" w:cs="Times New Roman"/>
          <w:sz w:val="24"/>
          <w:szCs w:val="24"/>
        </w:rPr>
      </w:pPr>
      <w:r w:rsidRPr="007F1C12">
        <w:rPr>
          <w:rFonts w:ascii="Times New Roman" w:eastAsia="Times New Roman" w:hAnsi="Times New Roman" w:cs="Times New Roman"/>
          <w:b/>
          <w:sz w:val="24"/>
          <w:szCs w:val="24"/>
        </w:rPr>
        <w:t xml:space="preserve">Jaunā </w:t>
      </w:r>
      <w:r w:rsidR="00502ED2" w:rsidRPr="007F1C12">
        <w:rPr>
          <w:rFonts w:ascii="Times New Roman" w:eastAsia="Times New Roman" w:hAnsi="Times New Roman" w:cs="Times New Roman"/>
          <w:b/>
          <w:sz w:val="24"/>
          <w:szCs w:val="24"/>
        </w:rPr>
        <w:t xml:space="preserve">maksājuma saņēmēji: </w:t>
      </w:r>
      <w:r w:rsidR="00502ED2" w:rsidRPr="007F1C12">
        <w:rPr>
          <w:rFonts w:ascii="Times New Roman" w:eastAsia="Times New Roman" w:hAnsi="Times New Roman" w:cs="Times New Roman"/>
          <w:sz w:val="24"/>
          <w:szCs w:val="24"/>
        </w:rPr>
        <w:t>ārstniecības iestādes, kas nodrošina izbraukuma vakcināciju pret Covid-19.</w:t>
      </w:r>
    </w:p>
    <w:p w14:paraId="20EACC42" w14:textId="3BDA9A1E" w:rsidR="004D3143" w:rsidRPr="007F1C12" w:rsidRDefault="00317C72" w:rsidP="001A00D8">
      <w:pPr>
        <w:ind w:firstLine="720"/>
        <w:jc w:val="both"/>
        <w:rPr>
          <w:rFonts w:ascii="Times New Roman" w:hAnsi="Times New Roman" w:cs="Times New Roman"/>
          <w:sz w:val="24"/>
          <w:szCs w:val="24"/>
        </w:rPr>
      </w:pPr>
      <w:r w:rsidRPr="007F1C12">
        <w:rPr>
          <w:rFonts w:ascii="Times New Roman" w:hAnsi="Times New Roman" w:cs="Times New Roman"/>
          <w:sz w:val="24"/>
          <w:szCs w:val="24"/>
        </w:rPr>
        <w:lastRenderedPageBreak/>
        <w:t xml:space="preserve">Lai risinātu </w:t>
      </w:r>
      <w:r w:rsidR="00383F88" w:rsidRPr="007F1C12">
        <w:rPr>
          <w:rFonts w:ascii="Times New Roman" w:hAnsi="Times New Roman" w:cs="Times New Roman"/>
          <w:sz w:val="24"/>
          <w:szCs w:val="24"/>
        </w:rPr>
        <w:t xml:space="preserve">iepriekš aprakstīto </w:t>
      </w:r>
      <w:r w:rsidRPr="007F1C12">
        <w:rPr>
          <w:rFonts w:ascii="Times New Roman" w:hAnsi="Times New Roman" w:cs="Times New Roman"/>
          <w:sz w:val="24"/>
          <w:szCs w:val="24"/>
        </w:rPr>
        <w:t>situāciju un ievērojot to, ka vakcinācijas pakalpojums ir nepieciešams arī attālos valsts reģionos, ko nav iespējams nodrošināt, ja vakcinācijas pakalpojuma sniedzējs atsakās</w:t>
      </w:r>
      <w:r w:rsidR="001A281A" w:rsidRPr="007F1C12">
        <w:rPr>
          <w:rFonts w:ascii="Times New Roman" w:hAnsi="Times New Roman" w:cs="Times New Roman"/>
          <w:sz w:val="24"/>
          <w:szCs w:val="24"/>
        </w:rPr>
        <w:t xml:space="preserve"> doties </w:t>
      </w:r>
      <w:r w:rsidR="00D4121B" w:rsidRPr="007F1C12">
        <w:rPr>
          <w:rFonts w:ascii="Times New Roman" w:hAnsi="Times New Roman" w:cs="Times New Roman"/>
          <w:sz w:val="24"/>
          <w:szCs w:val="24"/>
        </w:rPr>
        <w:t xml:space="preserve">vienas dienas vakcinācijas </w:t>
      </w:r>
      <w:r w:rsidR="001A281A" w:rsidRPr="007F1C12">
        <w:rPr>
          <w:rFonts w:ascii="Times New Roman" w:hAnsi="Times New Roman" w:cs="Times New Roman"/>
          <w:sz w:val="24"/>
          <w:szCs w:val="24"/>
        </w:rPr>
        <w:t>izbraukumā</w:t>
      </w:r>
      <w:r w:rsidRPr="007F1C12">
        <w:rPr>
          <w:rFonts w:ascii="Times New Roman" w:hAnsi="Times New Roman" w:cs="Times New Roman"/>
          <w:sz w:val="24"/>
          <w:szCs w:val="24"/>
        </w:rPr>
        <w:t>, Nacionālais veselības dienests esošo finanšu līdzekļu ietvaros ir rad</w:t>
      </w:r>
      <w:r w:rsidR="00F96D37" w:rsidRPr="007F1C12">
        <w:rPr>
          <w:rFonts w:ascii="Times New Roman" w:hAnsi="Times New Roman" w:cs="Times New Roman"/>
          <w:sz w:val="24"/>
          <w:szCs w:val="24"/>
        </w:rPr>
        <w:t>is</w:t>
      </w:r>
      <w:r w:rsidRPr="007F1C12">
        <w:rPr>
          <w:rFonts w:ascii="Times New Roman" w:hAnsi="Times New Roman" w:cs="Times New Roman"/>
          <w:sz w:val="24"/>
          <w:szCs w:val="24"/>
        </w:rPr>
        <w:t xml:space="preserve"> iespēju pārstrukturizēt par vakcinācijas ievadēm plānotos izdevumus</w:t>
      </w:r>
      <w:r w:rsidR="00E0177B" w:rsidRPr="007F1C12">
        <w:rPr>
          <w:rFonts w:ascii="Times New Roman" w:hAnsi="Times New Roman" w:cs="Times New Roman"/>
          <w:sz w:val="24"/>
          <w:szCs w:val="24"/>
        </w:rPr>
        <w:t>, izbraukuma vakcinācijas veicējiem nosakot jaunu</w:t>
      </w:r>
      <w:r w:rsidR="00F96D37" w:rsidRPr="007F1C12">
        <w:rPr>
          <w:rFonts w:ascii="Times New Roman" w:hAnsi="Times New Roman" w:cs="Times New Roman"/>
          <w:sz w:val="24"/>
          <w:szCs w:val="24"/>
        </w:rPr>
        <w:t xml:space="preserve"> </w:t>
      </w:r>
      <w:r w:rsidR="00E0177B" w:rsidRPr="007F1C12">
        <w:rPr>
          <w:rFonts w:ascii="Times New Roman" w:hAnsi="Times New Roman" w:cs="Times New Roman"/>
          <w:sz w:val="24"/>
          <w:szCs w:val="24"/>
        </w:rPr>
        <w:t>maksājumu</w:t>
      </w:r>
      <w:r w:rsidR="00F96D37" w:rsidRPr="007F1C12">
        <w:rPr>
          <w:rFonts w:ascii="Times New Roman" w:hAnsi="Times New Roman" w:cs="Times New Roman"/>
          <w:sz w:val="24"/>
          <w:szCs w:val="24"/>
        </w:rPr>
        <w:t xml:space="preserve"> (manipulācija)</w:t>
      </w:r>
      <w:r w:rsidR="00E0177B" w:rsidRPr="007F1C12">
        <w:rPr>
          <w:rFonts w:ascii="Times New Roman" w:hAnsi="Times New Roman" w:cs="Times New Roman"/>
          <w:sz w:val="24"/>
          <w:szCs w:val="24"/>
        </w:rPr>
        <w:t xml:space="preserve">. </w:t>
      </w:r>
      <w:r w:rsidR="00E451FA" w:rsidRPr="007F1C12">
        <w:rPr>
          <w:rFonts w:ascii="Times New Roman" w:hAnsi="Times New Roman" w:cs="Times New Roman"/>
          <w:sz w:val="24"/>
          <w:szCs w:val="24"/>
        </w:rPr>
        <w:t>Maksājums (manipulācija) tiks piemērot</w:t>
      </w:r>
      <w:r w:rsidR="004B3472" w:rsidRPr="007F1C12">
        <w:rPr>
          <w:rFonts w:ascii="Times New Roman" w:hAnsi="Times New Roman" w:cs="Times New Roman"/>
          <w:sz w:val="24"/>
          <w:szCs w:val="24"/>
        </w:rPr>
        <w:t>s</w:t>
      </w:r>
      <w:r w:rsidR="00E451FA" w:rsidRPr="007F1C12">
        <w:rPr>
          <w:rFonts w:ascii="Times New Roman" w:hAnsi="Times New Roman" w:cs="Times New Roman"/>
          <w:sz w:val="24"/>
          <w:szCs w:val="24"/>
        </w:rPr>
        <w:t xml:space="preserve"> vienas dienas vakcinācijas izbraukumam, </w:t>
      </w:r>
      <w:r w:rsidR="004B3472" w:rsidRPr="007F1C12">
        <w:rPr>
          <w:rFonts w:ascii="Times New Roman" w:hAnsi="Times New Roman" w:cs="Times New Roman"/>
          <w:sz w:val="24"/>
          <w:szCs w:val="24"/>
        </w:rPr>
        <w:t xml:space="preserve">kas </w:t>
      </w:r>
      <w:r w:rsidR="00E451FA" w:rsidRPr="007F1C12">
        <w:rPr>
          <w:rFonts w:ascii="Times New Roman" w:hAnsi="Times New Roman" w:cs="Times New Roman"/>
          <w:sz w:val="24"/>
          <w:szCs w:val="24"/>
        </w:rPr>
        <w:t>notiek pašvaldības piešķirtās telpās konkrētā laika posmā un uz šo vakcināciju atsevišķos gadījumos personām ir iespēja iepriekš pierakstīties, bet biežāk iedzīvotāji izmanto dzīvās rindas principu</w:t>
      </w:r>
      <w:r w:rsidR="004D3143" w:rsidRPr="007F1C12">
        <w:rPr>
          <w:rFonts w:ascii="Times New Roman" w:hAnsi="Times New Roman" w:cs="Times New Roman"/>
          <w:sz w:val="24"/>
          <w:szCs w:val="24"/>
        </w:rPr>
        <w:t xml:space="preserve">. </w:t>
      </w:r>
      <w:r w:rsidR="004B3472" w:rsidRPr="007F1C12">
        <w:rPr>
          <w:rFonts w:ascii="Times New Roman" w:hAnsi="Times New Roman" w:cs="Times New Roman"/>
          <w:sz w:val="24"/>
          <w:szCs w:val="24"/>
        </w:rPr>
        <w:t xml:space="preserve">To apliecina arī </w:t>
      </w:r>
      <w:r w:rsidR="004D3143" w:rsidRPr="007F1C12">
        <w:rPr>
          <w:rFonts w:ascii="Times New Roman" w:hAnsi="Times New Roman" w:cs="Times New Roman"/>
          <w:sz w:val="24"/>
          <w:szCs w:val="24"/>
        </w:rPr>
        <w:t xml:space="preserve">līdzšinējā pieredze </w:t>
      </w:r>
      <w:r w:rsidR="004B3472" w:rsidRPr="007F1C12">
        <w:rPr>
          <w:rFonts w:ascii="Times New Roman" w:hAnsi="Times New Roman" w:cs="Times New Roman"/>
          <w:sz w:val="24"/>
          <w:szCs w:val="24"/>
        </w:rPr>
        <w:t xml:space="preserve">- </w:t>
      </w:r>
      <w:r w:rsidR="004D3143" w:rsidRPr="007F1C12">
        <w:rPr>
          <w:rFonts w:ascii="Times New Roman" w:hAnsi="Times New Roman" w:cs="Times New Roman"/>
          <w:sz w:val="24"/>
          <w:szCs w:val="24"/>
        </w:rPr>
        <w:t xml:space="preserve"> dzīvās rindas principu </w:t>
      </w:r>
      <w:r w:rsidR="004B3472" w:rsidRPr="007F1C12">
        <w:rPr>
          <w:rFonts w:ascii="Times New Roman" w:hAnsi="Times New Roman" w:cs="Times New Roman"/>
          <w:sz w:val="24"/>
          <w:szCs w:val="24"/>
        </w:rPr>
        <w:t xml:space="preserve">izmanto </w:t>
      </w:r>
      <w:r w:rsidR="004D3143" w:rsidRPr="007F1C12">
        <w:rPr>
          <w:rFonts w:ascii="Times New Roman" w:hAnsi="Times New Roman" w:cs="Times New Roman"/>
          <w:sz w:val="24"/>
          <w:szCs w:val="24"/>
        </w:rPr>
        <w:t xml:space="preserve">vismaz 95% no savakcinētajiem </w:t>
      </w:r>
      <w:r w:rsidR="004B3472" w:rsidRPr="007F1C12">
        <w:rPr>
          <w:rFonts w:ascii="Times New Roman" w:hAnsi="Times New Roman" w:cs="Times New Roman"/>
          <w:sz w:val="24"/>
          <w:szCs w:val="24"/>
        </w:rPr>
        <w:t xml:space="preserve"> un līdz ar to </w:t>
      </w:r>
      <w:r w:rsidR="004D3143" w:rsidRPr="007F1C12">
        <w:rPr>
          <w:rFonts w:ascii="Times New Roman" w:hAnsi="Times New Roman" w:cs="Times New Roman"/>
          <w:sz w:val="24"/>
          <w:szCs w:val="24"/>
        </w:rPr>
        <w:t xml:space="preserve">nav iespējams plānot izbraukumu </w:t>
      </w:r>
      <w:r w:rsidR="002379B3" w:rsidRPr="007F1C12">
        <w:rPr>
          <w:rFonts w:ascii="Times New Roman" w:hAnsi="Times New Roman" w:cs="Times New Roman"/>
          <w:sz w:val="24"/>
          <w:szCs w:val="24"/>
        </w:rPr>
        <w:t>saskaņā ar iepriekš</w:t>
      </w:r>
      <w:r w:rsidR="004D3143" w:rsidRPr="007F1C12">
        <w:rPr>
          <w:rFonts w:ascii="Times New Roman" w:hAnsi="Times New Roman" w:cs="Times New Roman"/>
          <w:sz w:val="24"/>
          <w:szCs w:val="24"/>
        </w:rPr>
        <w:t xml:space="preserve"> veiktajiem pierakstiem. </w:t>
      </w:r>
    </w:p>
    <w:p w14:paraId="4C574F75" w14:textId="41BD7E16" w:rsidR="0023277A" w:rsidRPr="007F1C12" w:rsidRDefault="0023277A" w:rsidP="0023277A">
      <w:pPr>
        <w:jc w:val="both"/>
        <w:rPr>
          <w:rFonts w:ascii="Times New Roman" w:hAnsi="Times New Roman" w:cs="Times New Roman"/>
          <w:sz w:val="24"/>
          <w:szCs w:val="24"/>
        </w:rPr>
      </w:pPr>
      <w:r w:rsidRPr="007F1C12">
        <w:rPr>
          <w:rFonts w:ascii="Times New Roman" w:hAnsi="Times New Roman" w:cs="Times New Roman"/>
          <w:sz w:val="24"/>
          <w:szCs w:val="24"/>
        </w:rPr>
        <w:t xml:space="preserve">Lai turpmāk nodrošinātu pēc iespējas lietderīgāku līdzekļu izlietojumu, Nacionālais veselības dienests sadarbībā ar pašvaldībām, kurās ir nepieciešami vienas dienas izbraukumi, vienosies par iepriekšējo vakcinējamo reģistrāciju. Pēc iepriekšējās reģistrācijas veikšanas, vienas dienas izbraukums tiks organizēts, ja konkrētajā pašvaldībā būs pieteikušies ne mazāk kā 10 vakcinējamie, atstājot vietu arī iedzīvotājiem saņemt vakcināciju pēc dzīvās rindas principa. Šādos gadījumos vakcinācijas pakalpojuma sniedzēja darba apmaksai tiktu izmantots maksājums  (manipulācija) par vienas dienas izbraukumu. </w:t>
      </w:r>
    </w:p>
    <w:p w14:paraId="5BBD9765" w14:textId="004E3FE9" w:rsidR="006427F4" w:rsidRPr="007F1C12" w:rsidRDefault="006427F4" w:rsidP="006427F4">
      <w:pPr>
        <w:jc w:val="both"/>
        <w:rPr>
          <w:rFonts w:ascii="Times New Roman" w:hAnsi="Times New Roman" w:cs="Times New Roman"/>
          <w:sz w:val="24"/>
          <w:szCs w:val="24"/>
        </w:rPr>
      </w:pPr>
      <w:r w:rsidRPr="007F1C12">
        <w:rPr>
          <w:rFonts w:ascii="Times New Roman" w:hAnsi="Times New Roman" w:cs="Times New Roman"/>
          <w:sz w:val="24"/>
          <w:szCs w:val="24"/>
        </w:rPr>
        <w:t xml:space="preserve">Maksājums (manipulācija) par vienas dienas izbraukumu tiek plānota vidēji kā astoņu stundu darba diena. </w:t>
      </w:r>
      <w:r w:rsidR="00362C7F">
        <w:rPr>
          <w:rFonts w:ascii="Times New Roman" w:hAnsi="Times New Roman" w:cs="Times New Roman"/>
          <w:sz w:val="24"/>
          <w:szCs w:val="24"/>
        </w:rPr>
        <w:t xml:space="preserve">Gadījumos, kad reģionā nav iespējams </w:t>
      </w:r>
      <w:r w:rsidRPr="007F1C12">
        <w:rPr>
          <w:rFonts w:ascii="Times New Roman" w:hAnsi="Times New Roman" w:cs="Times New Roman"/>
          <w:sz w:val="24"/>
          <w:szCs w:val="24"/>
        </w:rPr>
        <w:t xml:space="preserve">nodrošināt vakcinētājus, kas veiktu izbraukumus savos tuvākajos novados (darbinieku saslimstība un citi objektīvi iemesli), tad </w:t>
      </w:r>
      <w:r w:rsidR="00FF32F8">
        <w:rPr>
          <w:rFonts w:ascii="Times New Roman" w:hAnsi="Times New Roman" w:cs="Times New Roman"/>
          <w:sz w:val="24"/>
          <w:szCs w:val="24"/>
        </w:rPr>
        <w:t xml:space="preserve"> pakalpojuma sniegšanā tiek</w:t>
      </w:r>
      <w:r w:rsidR="00FC5A8A">
        <w:rPr>
          <w:rFonts w:ascii="Times New Roman" w:hAnsi="Times New Roman" w:cs="Times New Roman"/>
          <w:sz w:val="24"/>
          <w:szCs w:val="24"/>
        </w:rPr>
        <w:t xml:space="preserve"> </w:t>
      </w:r>
      <w:r w:rsidRPr="007F1C12">
        <w:rPr>
          <w:rFonts w:ascii="Times New Roman" w:hAnsi="Times New Roman" w:cs="Times New Roman"/>
          <w:sz w:val="24"/>
          <w:szCs w:val="24"/>
        </w:rPr>
        <w:t>piesaistīt</w:t>
      </w:r>
      <w:r w:rsidR="00FF32F8">
        <w:rPr>
          <w:rFonts w:ascii="Times New Roman" w:hAnsi="Times New Roman" w:cs="Times New Roman"/>
          <w:sz w:val="24"/>
          <w:szCs w:val="24"/>
        </w:rPr>
        <w:t>as</w:t>
      </w:r>
      <w:r w:rsidRPr="007F1C12">
        <w:rPr>
          <w:rFonts w:ascii="Times New Roman" w:hAnsi="Times New Roman" w:cs="Times New Roman"/>
          <w:sz w:val="24"/>
          <w:szCs w:val="24"/>
        </w:rPr>
        <w:t xml:space="preserve"> ārstniecības iestādes</w:t>
      </w:r>
      <w:r w:rsidR="00FF32F8">
        <w:rPr>
          <w:rFonts w:ascii="Times New Roman" w:hAnsi="Times New Roman" w:cs="Times New Roman"/>
          <w:sz w:val="24"/>
          <w:szCs w:val="24"/>
        </w:rPr>
        <w:t xml:space="preserve"> no citām pilsētām</w:t>
      </w:r>
      <w:r w:rsidRPr="007F1C12">
        <w:rPr>
          <w:rFonts w:ascii="Times New Roman" w:hAnsi="Times New Roman" w:cs="Times New Roman"/>
          <w:sz w:val="24"/>
          <w:szCs w:val="24"/>
        </w:rPr>
        <w:t>. Šādā situācijā vakcinācijas pakalpojuma sniedzējs pavada ilgāku laiku ceļā, kā tas ir vidēji rēķināts standarta esošajos manipulāciju tarifos. Dodoties garākos izbraukumos, nepieciešams segt lielākas gan degvielas, gan transporta amortizācijas izmaksas, kā arī ārstniecības personu un šoferu laiku ceļā.</w:t>
      </w:r>
    </w:p>
    <w:p w14:paraId="1365DC2E" w14:textId="77777777" w:rsidR="006427F4" w:rsidRPr="007F1C12" w:rsidRDefault="006427F4" w:rsidP="006427F4">
      <w:pPr>
        <w:jc w:val="both"/>
        <w:rPr>
          <w:rFonts w:ascii="Times New Roman" w:hAnsi="Times New Roman" w:cs="Times New Roman"/>
          <w:sz w:val="24"/>
          <w:szCs w:val="24"/>
        </w:rPr>
      </w:pPr>
      <w:r w:rsidRPr="007F1C12">
        <w:rPr>
          <w:rFonts w:ascii="Times New Roman" w:hAnsi="Times New Roman" w:cs="Times New Roman"/>
          <w:sz w:val="24"/>
          <w:szCs w:val="24"/>
        </w:rPr>
        <w:t>Maksājums iekļauj 4 (četru) stundu darba dienu, kā arī papildus izmaksas par pavadīto laiku ceļā (četras stundas), rēķinot, ka izbraukums ir vidēji vairāk nekā 100 km attālumā no ārstniecības iestādes. Kopējās izmaksas veido:</w:t>
      </w:r>
    </w:p>
    <w:p w14:paraId="45BC860F" w14:textId="77777777" w:rsidR="006427F4" w:rsidRPr="007F1C12" w:rsidRDefault="006427F4" w:rsidP="006427F4">
      <w:pPr>
        <w:pStyle w:val="ListParagraph"/>
        <w:numPr>
          <w:ilvl w:val="1"/>
          <w:numId w:val="1"/>
        </w:numPr>
        <w:spacing w:after="0" w:line="240" w:lineRule="auto"/>
        <w:contextualSpacing w:val="0"/>
        <w:rPr>
          <w:rFonts w:ascii="Times New Roman" w:eastAsia="Times New Roman" w:hAnsi="Times New Roman" w:cs="Times New Roman"/>
          <w:sz w:val="24"/>
          <w:szCs w:val="24"/>
        </w:rPr>
      </w:pPr>
      <w:r w:rsidRPr="007F1C12">
        <w:rPr>
          <w:rFonts w:ascii="Times New Roman" w:eastAsia="Times New Roman" w:hAnsi="Times New Roman" w:cs="Times New Roman"/>
          <w:sz w:val="24"/>
          <w:szCs w:val="24"/>
        </w:rPr>
        <w:t>4 (četras) stundas ārstniecības personām un  8 (astoņas) stundas šoferim laiks ceļā (D+S);</w:t>
      </w:r>
    </w:p>
    <w:p w14:paraId="6C6FD3E0" w14:textId="77777777" w:rsidR="006427F4" w:rsidRPr="007F1C12" w:rsidRDefault="006427F4" w:rsidP="006427F4">
      <w:pPr>
        <w:pStyle w:val="ListParagraph"/>
        <w:numPr>
          <w:ilvl w:val="1"/>
          <w:numId w:val="1"/>
        </w:numPr>
        <w:spacing w:after="0" w:line="240" w:lineRule="auto"/>
        <w:contextualSpacing w:val="0"/>
        <w:rPr>
          <w:rFonts w:ascii="Times New Roman" w:eastAsia="Times New Roman" w:hAnsi="Times New Roman" w:cs="Times New Roman"/>
          <w:sz w:val="24"/>
          <w:szCs w:val="24"/>
        </w:rPr>
      </w:pPr>
      <w:r w:rsidRPr="007F1C12">
        <w:rPr>
          <w:rFonts w:ascii="Times New Roman" w:hAnsi="Times New Roman" w:cs="Times New Roman"/>
          <w:sz w:val="24"/>
          <w:szCs w:val="24"/>
        </w:rPr>
        <w:t>Medicīnisko ierīču nolietojumu un transporta, degvielas izmaksas (N)</w:t>
      </w:r>
      <w:r w:rsidRPr="007F1C12">
        <w:rPr>
          <w:rFonts w:ascii="Times New Roman" w:eastAsia="Times New Roman" w:hAnsi="Times New Roman" w:cs="Times New Roman"/>
          <w:sz w:val="24"/>
          <w:szCs w:val="24"/>
        </w:rPr>
        <w:t>;</w:t>
      </w:r>
    </w:p>
    <w:p w14:paraId="19201DD5" w14:textId="35E41D23" w:rsidR="006427F4" w:rsidRPr="007F1C12" w:rsidRDefault="006427F4" w:rsidP="006427F4">
      <w:pPr>
        <w:pStyle w:val="ListParagraph"/>
        <w:numPr>
          <w:ilvl w:val="1"/>
          <w:numId w:val="1"/>
        </w:numPr>
        <w:spacing w:after="0" w:line="240" w:lineRule="auto"/>
        <w:contextualSpacing w:val="0"/>
        <w:rPr>
          <w:rFonts w:ascii="Times New Roman" w:eastAsia="Times New Roman" w:hAnsi="Times New Roman" w:cs="Times New Roman"/>
          <w:sz w:val="24"/>
          <w:szCs w:val="24"/>
        </w:rPr>
      </w:pPr>
      <w:r w:rsidRPr="007F1C12">
        <w:rPr>
          <w:rFonts w:ascii="Times New Roman" w:hAnsi="Times New Roman" w:cs="Times New Roman"/>
          <w:sz w:val="24"/>
          <w:szCs w:val="24"/>
        </w:rPr>
        <w:t>Pieskaitāmās un netiešās ražošanas izmaksas, kā arī motivācijas riska piemaksa  (U)</w:t>
      </w:r>
      <w:r w:rsidRPr="007F1C12">
        <w:rPr>
          <w:rFonts w:ascii="Times New Roman" w:eastAsia="Times New Roman" w:hAnsi="Times New Roman" w:cs="Times New Roman"/>
          <w:sz w:val="24"/>
          <w:szCs w:val="24"/>
        </w:rPr>
        <w:t>;</w:t>
      </w:r>
    </w:p>
    <w:p w14:paraId="002525C3" w14:textId="77777777" w:rsidR="006427F4" w:rsidRPr="007F1C12" w:rsidRDefault="006427F4" w:rsidP="006427F4">
      <w:pPr>
        <w:pStyle w:val="ListParagraph"/>
        <w:numPr>
          <w:ilvl w:val="1"/>
          <w:numId w:val="1"/>
        </w:numPr>
        <w:rPr>
          <w:rFonts w:ascii="Times New Roman" w:hAnsi="Times New Roman" w:cs="Times New Roman"/>
          <w:sz w:val="24"/>
          <w:szCs w:val="24"/>
        </w:rPr>
      </w:pPr>
      <w:r w:rsidRPr="007F1C12">
        <w:rPr>
          <w:rFonts w:ascii="Times New Roman" w:hAnsi="Times New Roman" w:cs="Times New Roman"/>
          <w:sz w:val="24"/>
          <w:szCs w:val="24"/>
        </w:rPr>
        <w:t>Administratīvie izdevumi (A);</w:t>
      </w:r>
    </w:p>
    <w:p w14:paraId="2C2651DA" w14:textId="0CDF1CAE" w:rsidR="006427F4" w:rsidRPr="007F1C12" w:rsidRDefault="006427F4" w:rsidP="006427F4">
      <w:pPr>
        <w:pStyle w:val="ListParagraph"/>
        <w:numPr>
          <w:ilvl w:val="1"/>
          <w:numId w:val="1"/>
        </w:numPr>
        <w:spacing w:after="0" w:line="240" w:lineRule="auto"/>
        <w:contextualSpacing w:val="0"/>
        <w:rPr>
          <w:rFonts w:ascii="Times New Roman" w:eastAsia="Times New Roman" w:hAnsi="Times New Roman" w:cs="Times New Roman"/>
          <w:sz w:val="24"/>
          <w:szCs w:val="24"/>
        </w:rPr>
      </w:pPr>
      <w:r w:rsidRPr="007F1C12">
        <w:rPr>
          <w:rFonts w:ascii="Times New Roman" w:hAnsi="Times New Roman" w:cs="Times New Roman"/>
          <w:sz w:val="24"/>
          <w:szCs w:val="24"/>
        </w:rPr>
        <w:t xml:space="preserve">Ārstniecības līdzekļi, kas nepieciešami vakcinācijas nodrošināšanai (vidēji uz 25 personām) (M). </w:t>
      </w:r>
      <w:r w:rsidR="00DC12E0">
        <w:rPr>
          <w:rStyle w:val="FootnoteReference"/>
          <w:rFonts w:ascii="Times New Roman" w:hAnsi="Times New Roman" w:cs="Times New Roman"/>
          <w:sz w:val="24"/>
          <w:szCs w:val="24"/>
        </w:rPr>
        <w:footnoteReference w:id="1"/>
      </w:r>
    </w:p>
    <w:p w14:paraId="551EF1E3" w14:textId="17ADC64E" w:rsidR="006427F4" w:rsidRPr="007F1C12" w:rsidRDefault="006427F4" w:rsidP="006427F4">
      <w:pPr>
        <w:jc w:val="both"/>
        <w:rPr>
          <w:rFonts w:ascii="Times New Roman" w:hAnsi="Times New Roman" w:cs="Times New Roman"/>
          <w:sz w:val="24"/>
          <w:szCs w:val="24"/>
        </w:rPr>
      </w:pPr>
      <w:r w:rsidRPr="007F1C12">
        <w:rPr>
          <w:rFonts w:ascii="Times New Roman" w:hAnsi="Times New Roman" w:cs="Times New Roman"/>
          <w:sz w:val="24"/>
          <w:szCs w:val="24"/>
        </w:rPr>
        <w:lastRenderedPageBreak/>
        <w:br/>
        <w:t xml:space="preserve">Maksājums par vienas dienas izbraukumu, kas tālāks par 100 km no ārstniecības iestādes, tiek rēķināts par indikatīvu 25 personu vakcināciju (šāds personu skaits noteikts, jo vidēji 4 stundu laikā viena brigāde izbraukuma vakcinācijas laikā var savakcinēt 25 personas). </w:t>
      </w:r>
      <w:r w:rsidR="00D110B2">
        <w:rPr>
          <w:rFonts w:ascii="Times New Roman" w:hAnsi="Times New Roman" w:cs="Times New Roman"/>
          <w:sz w:val="24"/>
          <w:szCs w:val="24"/>
        </w:rPr>
        <w:t xml:space="preserve">Pat, ja vakcinācijas izbraukumā netiek sasniegts prognozētais pacientu skaits, ārstniecības personas </w:t>
      </w:r>
      <w:r w:rsidR="006470FA">
        <w:rPr>
          <w:rFonts w:ascii="Times New Roman" w:hAnsi="Times New Roman" w:cs="Times New Roman"/>
          <w:sz w:val="24"/>
          <w:szCs w:val="24"/>
        </w:rPr>
        <w:t>pavada vismaz 4 stundas noteiktajā izbraukuma vietā, tādējādi tarifam ir jāsedz viss izbraukumā pavadītais laiks (D), jāsedz darba samaksas sociālais nodoklis (S), jāsedz izmaksas par auto nolietojumu, administratīvās izmaksas un citas izmaksas, kas nav tiešā veidā saistītas ar pacienu skaitu (N, U, A)</w:t>
      </w:r>
      <w:r w:rsidR="006C1A98">
        <w:rPr>
          <w:rFonts w:ascii="Times New Roman" w:hAnsi="Times New Roman" w:cs="Times New Roman"/>
          <w:sz w:val="24"/>
          <w:szCs w:val="24"/>
        </w:rPr>
        <w:t xml:space="preserve">. </w:t>
      </w:r>
      <w:r w:rsidR="006470FA">
        <w:rPr>
          <w:rFonts w:ascii="Times New Roman" w:hAnsi="Times New Roman" w:cs="Times New Roman"/>
          <w:sz w:val="24"/>
          <w:szCs w:val="24"/>
        </w:rPr>
        <w:t xml:space="preserve"> </w:t>
      </w:r>
      <w:r w:rsidR="006C1A98">
        <w:rPr>
          <w:rFonts w:ascii="Times New Roman" w:hAnsi="Times New Roman" w:cs="Times New Roman"/>
          <w:sz w:val="24"/>
          <w:szCs w:val="24"/>
        </w:rPr>
        <w:t xml:space="preserve">Maksājuma tarifā </w:t>
      </w:r>
      <w:r w:rsidR="006470FA">
        <w:rPr>
          <w:rFonts w:ascii="Times New Roman" w:hAnsi="Times New Roman" w:cs="Times New Roman"/>
          <w:sz w:val="24"/>
          <w:szCs w:val="24"/>
        </w:rPr>
        <w:t>iekļauti arī ārstniecības līdzekļi (M), kuru izlietojums nemainās pret vakcinējamo skaitu, piemēram, respirators ir jāmaina reizi 4 stundās neatkarīgi no pacientu skaita.</w:t>
      </w:r>
      <w:r w:rsidR="00EA2AF9">
        <w:rPr>
          <w:rFonts w:ascii="Times New Roman" w:hAnsi="Times New Roman" w:cs="Times New Roman"/>
          <w:sz w:val="24"/>
          <w:szCs w:val="24"/>
        </w:rPr>
        <w:t xml:space="preserve"> Ar pacientu skaitu saistītie elementi M elementā veido mazāk kā 50% jeb 13.83 </w:t>
      </w:r>
      <w:r w:rsidR="00DB23DC">
        <w:rPr>
          <w:rFonts w:ascii="Times New Roman" w:hAnsi="Times New Roman" w:cs="Times New Roman"/>
          <w:sz w:val="24"/>
          <w:szCs w:val="24"/>
        </w:rPr>
        <w:t>euro</w:t>
      </w:r>
      <w:r w:rsidR="00EA2AF9">
        <w:rPr>
          <w:rFonts w:ascii="Times New Roman" w:hAnsi="Times New Roman" w:cs="Times New Roman"/>
          <w:sz w:val="24"/>
          <w:szCs w:val="24"/>
        </w:rPr>
        <w:t>.</w:t>
      </w:r>
      <w:r w:rsidR="005D4A7E">
        <w:rPr>
          <w:rFonts w:ascii="Times New Roman" w:hAnsi="Times New Roman" w:cs="Times New Roman"/>
          <w:sz w:val="24"/>
          <w:szCs w:val="24"/>
        </w:rPr>
        <w:t xml:space="preserve"> Tā kā </w:t>
      </w:r>
      <w:r w:rsidR="006C1A98">
        <w:rPr>
          <w:rFonts w:ascii="Times New Roman" w:hAnsi="Times New Roman" w:cs="Times New Roman"/>
          <w:sz w:val="24"/>
          <w:szCs w:val="24"/>
        </w:rPr>
        <w:t xml:space="preserve"> maksājumu ir plānots piemērot </w:t>
      </w:r>
      <w:r w:rsidR="005D4A7E">
        <w:rPr>
          <w:rFonts w:ascii="Times New Roman" w:hAnsi="Times New Roman" w:cs="Times New Roman"/>
          <w:sz w:val="24"/>
          <w:szCs w:val="24"/>
        </w:rPr>
        <w:t xml:space="preserve"> arī gadījumos, </w:t>
      </w:r>
      <w:r w:rsidR="006C1A98">
        <w:rPr>
          <w:rFonts w:ascii="Times New Roman" w:hAnsi="Times New Roman" w:cs="Times New Roman"/>
          <w:sz w:val="24"/>
          <w:szCs w:val="24"/>
        </w:rPr>
        <w:t>kad  vakcinēto</w:t>
      </w:r>
      <w:r w:rsidR="005D4A7E">
        <w:rPr>
          <w:rFonts w:ascii="Times New Roman" w:hAnsi="Times New Roman" w:cs="Times New Roman"/>
          <w:sz w:val="24"/>
          <w:szCs w:val="24"/>
        </w:rPr>
        <w:t xml:space="preserve"> </w:t>
      </w:r>
      <w:r w:rsidR="006C1A98">
        <w:rPr>
          <w:rFonts w:ascii="Times New Roman" w:hAnsi="Times New Roman" w:cs="Times New Roman"/>
          <w:sz w:val="24"/>
          <w:szCs w:val="24"/>
        </w:rPr>
        <w:t xml:space="preserve">personu </w:t>
      </w:r>
      <w:r w:rsidR="005D4A7E">
        <w:rPr>
          <w:rFonts w:ascii="Times New Roman" w:hAnsi="Times New Roman" w:cs="Times New Roman"/>
          <w:sz w:val="24"/>
          <w:szCs w:val="24"/>
        </w:rPr>
        <w:t xml:space="preserve">skaits </w:t>
      </w:r>
      <w:r w:rsidR="006C1A98">
        <w:rPr>
          <w:rFonts w:ascii="Times New Roman" w:hAnsi="Times New Roman" w:cs="Times New Roman"/>
          <w:sz w:val="24"/>
          <w:szCs w:val="24"/>
        </w:rPr>
        <w:t xml:space="preserve">ir liekāks nekā iepriekš prognozēts, </w:t>
      </w:r>
      <w:r w:rsidR="005D4A7E">
        <w:rPr>
          <w:rFonts w:ascii="Times New Roman" w:hAnsi="Times New Roman" w:cs="Times New Roman"/>
          <w:sz w:val="24"/>
          <w:szCs w:val="24"/>
        </w:rPr>
        <w:t xml:space="preserve"> </w:t>
      </w:r>
      <w:r w:rsidR="009E32EF">
        <w:rPr>
          <w:rFonts w:ascii="Times New Roman" w:hAnsi="Times New Roman" w:cs="Times New Roman"/>
          <w:sz w:val="24"/>
          <w:szCs w:val="24"/>
        </w:rPr>
        <w:t>bet citi maksājumi netiku piemēroti, tarifs izbraukumam virs 100 km paredz segt vidējās izmaksas par pacientu skaitu, kas saņem pakalpojumu viena izbraukuma laikā.</w:t>
      </w:r>
    </w:p>
    <w:tbl>
      <w:tblPr>
        <w:tblW w:w="8731" w:type="dxa"/>
        <w:tblLook w:val="04A0" w:firstRow="1" w:lastRow="0" w:firstColumn="1" w:lastColumn="0" w:noHBand="0" w:noVBand="1"/>
      </w:tblPr>
      <w:tblGrid>
        <w:gridCol w:w="3430"/>
        <w:gridCol w:w="766"/>
        <w:gridCol w:w="666"/>
        <w:gridCol w:w="666"/>
        <w:gridCol w:w="766"/>
        <w:gridCol w:w="566"/>
        <w:gridCol w:w="766"/>
        <w:gridCol w:w="1105"/>
      </w:tblGrid>
      <w:tr w:rsidR="007F1C12" w:rsidRPr="007F1C12" w14:paraId="1AD4211E" w14:textId="77777777" w:rsidTr="00B8564B">
        <w:trPr>
          <w:trHeight w:val="284"/>
        </w:trPr>
        <w:tc>
          <w:tcPr>
            <w:tcW w:w="0" w:type="auto"/>
            <w:tcBorders>
              <w:top w:val="single" w:sz="4" w:space="0" w:color="808080"/>
              <w:left w:val="single" w:sz="4" w:space="0" w:color="808080"/>
              <w:bottom w:val="single" w:sz="4" w:space="0" w:color="808080"/>
              <w:right w:val="single" w:sz="4" w:space="0" w:color="808080"/>
            </w:tcBorders>
            <w:shd w:val="clear" w:color="auto" w:fill="FFE599" w:themeFill="accent4" w:themeFillTint="66"/>
          </w:tcPr>
          <w:p w14:paraId="1F326397"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p>
        </w:tc>
        <w:tc>
          <w:tcPr>
            <w:tcW w:w="0" w:type="auto"/>
            <w:tcBorders>
              <w:top w:val="single" w:sz="4" w:space="0" w:color="808080"/>
              <w:left w:val="single" w:sz="4" w:space="0" w:color="808080"/>
              <w:bottom w:val="single" w:sz="4" w:space="0" w:color="808080"/>
              <w:right w:val="single" w:sz="4" w:space="0" w:color="808080"/>
            </w:tcBorders>
            <w:shd w:val="clear" w:color="auto" w:fill="FFE599" w:themeFill="accent4" w:themeFillTint="66"/>
            <w:noWrap/>
            <w:vAlign w:val="center"/>
            <w:hideMark/>
          </w:tcPr>
          <w:p w14:paraId="6B234E53"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D</w:t>
            </w:r>
          </w:p>
        </w:tc>
        <w:tc>
          <w:tcPr>
            <w:tcW w:w="0" w:type="auto"/>
            <w:tcBorders>
              <w:top w:val="single" w:sz="4" w:space="0" w:color="808080"/>
              <w:left w:val="nil"/>
              <w:bottom w:val="single" w:sz="4" w:space="0" w:color="808080"/>
              <w:right w:val="single" w:sz="4" w:space="0" w:color="808080"/>
            </w:tcBorders>
            <w:shd w:val="clear" w:color="auto" w:fill="FFE599" w:themeFill="accent4" w:themeFillTint="66"/>
            <w:noWrap/>
            <w:vAlign w:val="center"/>
            <w:hideMark/>
          </w:tcPr>
          <w:p w14:paraId="4480C861"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S</w:t>
            </w:r>
          </w:p>
        </w:tc>
        <w:tc>
          <w:tcPr>
            <w:tcW w:w="0" w:type="auto"/>
            <w:tcBorders>
              <w:top w:val="single" w:sz="4" w:space="0" w:color="808080"/>
              <w:left w:val="nil"/>
              <w:bottom w:val="single" w:sz="4" w:space="0" w:color="808080"/>
              <w:right w:val="single" w:sz="4" w:space="0" w:color="808080"/>
            </w:tcBorders>
            <w:shd w:val="clear" w:color="auto" w:fill="FFE599" w:themeFill="accent4" w:themeFillTint="66"/>
            <w:noWrap/>
            <w:vAlign w:val="center"/>
            <w:hideMark/>
          </w:tcPr>
          <w:p w14:paraId="1B93FF64"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M</w:t>
            </w:r>
          </w:p>
        </w:tc>
        <w:tc>
          <w:tcPr>
            <w:tcW w:w="0" w:type="auto"/>
            <w:tcBorders>
              <w:top w:val="single" w:sz="4" w:space="0" w:color="808080"/>
              <w:left w:val="nil"/>
              <w:bottom w:val="single" w:sz="4" w:space="0" w:color="808080"/>
              <w:right w:val="single" w:sz="4" w:space="0" w:color="808080"/>
            </w:tcBorders>
            <w:shd w:val="clear" w:color="auto" w:fill="FFE599" w:themeFill="accent4" w:themeFillTint="66"/>
            <w:noWrap/>
            <w:vAlign w:val="center"/>
            <w:hideMark/>
          </w:tcPr>
          <w:p w14:paraId="17B9641D"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U</w:t>
            </w:r>
          </w:p>
        </w:tc>
        <w:tc>
          <w:tcPr>
            <w:tcW w:w="0" w:type="auto"/>
            <w:tcBorders>
              <w:top w:val="single" w:sz="4" w:space="0" w:color="808080"/>
              <w:left w:val="nil"/>
              <w:bottom w:val="single" w:sz="4" w:space="0" w:color="808080"/>
              <w:right w:val="single" w:sz="4" w:space="0" w:color="808080"/>
            </w:tcBorders>
            <w:shd w:val="clear" w:color="auto" w:fill="FFE599" w:themeFill="accent4" w:themeFillTint="66"/>
            <w:noWrap/>
            <w:vAlign w:val="center"/>
            <w:hideMark/>
          </w:tcPr>
          <w:p w14:paraId="3E427CA2"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A</w:t>
            </w:r>
          </w:p>
        </w:tc>
        <w:tc>
          <w:tcPr>
            <w:tcW w:w="0" w:type="auto"/>
            <w:tcBorders>
              <w:top w:val="single" w:sz="4" w:space="0" w:color="808080"/>
              <w:left w:val="nil"/>
              <w:bottom w:val="single" w:sz="4" w:space="0" w:color="808080"/>
              <w:right w:val="single" w:sz="4" w:space="0" w:color="808080"/>
            </w:tcBorders>
            <w:shd w:val="clear" w:color="auto" w:fill="FFE599" w:themeFill="accent4" w:themeFillTint="66"/>
            <w:noWrap/>
            <w:vAlign w:val="center"/>
            <w:hideMark/>
          </w:tcPr>
          <w:p w14:paraId="17B4335D"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N</w:t>
            </w:r>
          </w:p>
        </w:tc>
        <w:tc>
          <w:tcPr>
            <w:tcW w:w="0" w:type="auto"/>
            <w:tcBorders>
              <w:top w:val="single" w:sz="4" w:space="0" w:color="808080"/>
              <w:left w:val="nil"/>
              <w:bottom w:val="single" w:sz="4" w:space="0" w:color="808080"/>
              <w:right w:val="single" w:sz="4" w:space="0" w:color="808080"/>
            </w:tcBorders>
            <w:shd w:val="clear" w:color="auto" w:fill="FFE599" w:themeFill="accent4" w:themeFillTint="66"/>
            <w:noWrap/>
            <w:vAlign w:val="center"/>
            <w:hideMark/>
          </w:tcPr>
          <w:p w14:paraId="77232876"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Tarifs, eiro</w:t>
            </w:r>
          </w:p>
        </w:tc>
      </w:tr>
      <w:tr w:rsidR="007F1C12" w:rsidRPr="007F1C12" w14:paraId="1F2AFCF9" w14:textId="77777777" w:rsidTr="00B8564B">
        <w:trPr>
          <w:trHeight w:val="526"/>
        </w:trPr>
        <w:tc>
          <w:tcPr>
            <w:tcW w:w="0" w:type="auto"/>
            <w:tcBorders>
              <w:top w:val="nil"/>
              <w:left w:val="single" w:sz="4" w:space="0" w:color="808080"/>
              <w:bottom w:val="single" w:sz="4" w:space="0" w:color="808080"/>
              <w:right w:val="single" w:sz="4" w:space="0" w:color="808080"/>
            </w:tcBorders>
            <w:shd w:val="clear" w:color="000000" w:fill="FFFFFF"/>
          </w:tcPr>
          <w:p w14:paraId="57074541" w14:textId="77777777" w:rsidR="006427F4" w:rsidRPr="007F1C12" w:rsidRDefault="006427F4" w:rsidP="00B8564B">
            <w:pPr>
              <w:spacing w:after="0" w:line="240" w:lineRule="auto"/>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Izbraukums vakcinācijas nodrošināšanai virs 100 km vienā virzienā - ar ārstu (8h)</w:t>
            </w:r>
          </w:p>
        </w:tc>
        <w:tc>
          <w:tcPr>
            <w:tcW w:w="0" w:type="auto"/>
            <w:tcBorders>
              <w:top w:val="nil"/>
              <w:left w:val="single" w:sz="4" w:space="0" w:color="808080"/>
              <w:bottom w:val="single" w:sz="4" w:space="0" w:color="808080"/>
              <w:right w:val="single" w:sz="4" w:space="0" w:color="808080"/>
            </w:tcBorders>
            <w:shd w:val="clear" w:color="000000" w:fill="FFFFFF"/>
            <w:noWrap/>
            <w:vAlign w:val="center"/>
            <w:hideMark/>
          </w:tcPr>
          <w:p w14:paraId="4CF8A1C9"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194.55</w:t>
            </w:r>
          </w:p>
        </w:tc>
        <w:tc>
          <w:tcPr>
            <w:tcW w:w="0" w:type="auto"/>
            <w:tcBorders>
              <w:top w:val="nil"/>
              <w:left w:val="nil"/>
              <w:bottom w:val="single" w:sz="4" w:space="0" w:color="808080"/>
              <w:right w:val="single" w:sz="4" w:space="0" w:color="808080"/>
            </w:tcBorders>
            <w:shd w:val="clear" w:color="000000" w:fill="FFFFFF"/>
            <w:noWrap/>
            <w:vAlign w:val="center"/>
            <w:hideMark/>
          </w:tcPr>
          <w:p w14:paraId="79636752"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45.89</w:t>
            </w:r>
          </w:p>
        </w:tc>
        <w:tc>
          <w:tcPr>
            <w:tcW w:w="0" w:type="auto"/>
            <w:tcBorders>
              <w:top w:val="nil"/>
              <w:left w:val="nil"/>
              <w:bottom w:val="single" w:sz="4" w:space="0" w:color="808080"/>
              <w:right w:val="single" w:sz="4" w:space="0" w:color="808080"/>
            </w:tcBorders>
            <w:shd w:val="clear" w:color="000000" w:fill="FFFFFF"/>
            <w:noWrap/>
            <w:vAlign w:val="center"/>
            <w:hideMark/>
          </w:tcPr>
          <w:p w14:paraId="757FA3AE"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30.33</w:t>
            </w:r>
          </w:p>
        </w:tc>
        <w:tc>
          <w:tcPr>
            <w:tcW w:w="0" w:type="auto"/>
            <w:tcBorders>
              <w:top w:val="nil"/>
              <w:left w:val="nil"/>
              <w:bottom w:val="single" w:sz="4" w:space="0" w:color="808080"/>
              <w:right w:val="single" w:sz="4" w:space="0" w:color="808080"/>
            </w:tcBorders>
            <w:shd w:val="clear" w:color="000000" w:fill="FFFFFF"/>
            <w:noWrap/>
            <w:vAlign w:val="center"/>
            <w:hideMark/>
          </w:tcPr>
          <w:p w14:paraId="3CB743D2"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191.85</w:t>
            </w:r>
          </w:p>
        </w:tc>
        <w:tc>
          <w:tcPr>
            <w:tcW w:w="0" w:type="auto"/>
            <w:tcBorders>
              <w:top w:val="nil"/>
              <w:left w:val="nil"/>
              <w:bottom w:val="single" w:sz="4" w:space="0" w:color="808080"/>
              <w:right w:val="single" w:sz="4" w:space="0" w:color="808080"/>
            </w:tcBorders>
            <w:shd w:val="clear" w:color="000000" w:fill="FFFFFF"/>
            <w:noWrap/>
            <w:vAlign w:val="center"/>
            <w:hideMark/>
          </w:tcPr>
          <w:p w14:paraId="5DB1A1A2"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4.67</w:t>
            </w:r>
          </w:p>
        </w:tc>
        <w:tc>
          <w:tcPr>
            <w:tcW w:w="0" w:type="auto"/>
            <w:tcBorders>
              <w:top w:val="nil"/>
              <w:left w:val="nil"/>
              <w:bottom w:val="single" w:sz="4" w:space="0" w:color="808080"/>
              <w:right w:val="single" w:sz="4" w:space="0" w:color="808080"/>
            </w:tcBorders>
            <w:shd w:val="clear" w:color="000000" w:fill="FFFFFF"/>
            <w:noWrap/>
            <w:vAlign w:val="center"/>
            <w:hideMark/>
          </w:tcPr>
          <w:p w14:paraId="0292B599"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128.58</w:t>
            </w:r>
          </w:p>
        </w:tc>
        <w:tc>
          <w:tcPr>
            <w:tcW w:w="0" w:type="auto"/>
            <w:tcBorders>
              <w:top w:val="nil"/>
              <w:left w:val="nil"/>
              <w:bottom w:val="single" w:sz="4" w:space="0" w:color="808080"/>
              <w:right w:val="single" w:sz="4" w:space="0" w:color="808080"/>
            </w:tcBorders>
            <w:shd w:val="clear" w:color="000000" w:fill="FFFFFF"/>
            <w:noWrap/>
            <w:vAlign w:val="center"/>
            <w:hideMark/>
          </w:tcPr>
          <w:p w14:paraId="514D57B8" w14:textId="77777777" w:rsidR="006427F4" w:rsidRPr="007F1C12" w:rsidRDefault="006427F4" w:rsidP="00B8564B">
            <w:pPr>
              <w:spacing w:after="0" w:line="240" w:lineRule="auto"/>
              <w:jc w:val="center"/>
              <w:rPr>
                <w:rFonts w:ascii="Times New Roman" w:eastAsia="Times New Roman" w:hAnsi="Times New Roman" w:cs="Times New Roman"/>
                <w:b/>
                <w:bCs/>
                <w:sz w:val="20"/>
                <w:szCs w:val="20"/>
                <w:lang w:eastAsia="lv-LV"/>
              </w:rPr>
            </w:pPr>
            <w:r w:rsidRPr="007F1C12">
              <w:rPr>
                <w:rFonts w:ascii="Times New Roman" w:eastAsia="Times New Roman" w:hAnsi="Times New Roman" w:cs="Times New Roman"/>
                <w:b/>
                <w:bCs/>
                <w:sz w:val="20"/>
                <w:szCs w:val="20"/>
                <w:lang w:eastAsia="lv-LV"/>
              </w:rPr>
              <w:t>595.87</w:t>
            </w:r>
          </w:p>
        </w:tc>
      </w:tr>
      <w:tr w:rsidR="007F1C12" w:rsidRPr="007F1C12" w14:paraId="779DC7DE" w14:textId="77777777" w:rsidTr="00B8564B">
        <w:trPr>
          <w:trHeight w:val="381"/>
        </w:trPr>
        <w:tc>
          <w:tcPr>
            <w:tcW w:w="0" w:type="auto"/>
            <w:tcBorders>
              <w:top w:val="single" w:sz="4" w:space="0" w:color="808080"/>
              <w:left w:val="single" w:sz="4" w:space="0" w:color="808080"/>
              <w:bottom w:val="single" w:sz="4" w:space="0" w:color="808080"/>
              <w:right w:val="single" w:sz="4" w:space="0" w:color="808080"/>
            </w:tcBorders>
            <w:shd w:val="clear" w:color="000000" w:fill="FFFFFF"/>
          </w:tcPr>
          <w:p w14:paraId="4F379FBE" w14:textId="77777777" w:rsidR="006427F4" w:rsidRPr="007F1C12" w:rsidRDefault="006427F4" w:rsidP="00B8564B">
            <w:pPr>
              <w:spacing w:after="0" w:line="240" w:lineRule="auto"/>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Izbraukums vakcinācijas nodrošināšanai virs 100 km vienā virzienā - ar ārsta palīgu (8h)</w:t>
            </w:r>
          </w:p>
        </w:tc>
        <w:tc>
          <w:tcPr>
            <w:tcW w:w="0" w:type="auto"/>
            <w:tcBorders>
              <w:top w:val="single" w:sz="4" w:space="0" w:color="808080"/>
              <w:left w:val="single" w:sz="4" w:space="0" w:color="808080"/>
              <w:bottom w:val="single" w:sz="4" w:space="0" w:color="808080"/>
              <w:right w:val="single" w:sz="4" w:space="0" w:color="808080"/>
            </w:tcBorders>
            <w:shd w:val="clear" w:color="000000" w:fill="FFFFFF"/>
            <w:noWrap/>
            <w:vAlign w:val="center"/>
            <w:hideMark/>
          </w:tcPr>
          <w:p w14:paraId="23F81A36"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155.52</w:t>
            </w:r>
          </w:p>
        </w:tc>
        <w:tc>
          <w:tcPr>
            <w:tcW w:w="0" w:type="auto"/>
            <w:tcBorders>
              <w:top w:val="single" w:sz="4" w:space="0" w:color="808080"/>
              <w:left w:val="nil"/>
              <w:bottom w:val="single" w:sz="4" w:space="0" w:color="808080"/>
              <w:right w:val="single" w:sz="4" w:space="0" w:color="808080"/>
            </w:tcBorders>
            <w:shd w:val="clear" w:color="000000" w:fill="FFFFFF"/>
            <w:noWrap/>
            <w:vAlign w:val="center"/>
            <w:hideMark/>
          </w:tcPr>
          <w:p w14:paraId="00124976"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36.69</w:t>
            </w:r>
          </w:p>
        </w:tc>
        <w:tc>
          <w:tcPr>
            <w:tcW w:w="0" w:type="auto"/>
            <w:tcBorders>
              <w:top w:val="single" w:sz="4" w:space="0" w:color="808080"/>
              <w:left w:val="nil"/>
              <w:bottom w:val="single" w:sz="4" w:space="0" w:color="808080"/>
              <w:right w:val="single" w:sz="4" w:space="0" w:color="808080"/>
            </w:tcBorders>
            <w:shd w:val="clear" w:color="000000" w:fill="FFFFFF"/>
            <w:noWrap/>
            <w:vAlign w:val="center"/>
            <w:hideMark/>
          </w:tcPr>
          <w:p w14:paraId="5898DE0D"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30.33</w:t>
            </w:r>
          </w:p>
        </w:tc>
        <w:tc>
          <w:tcPr>
            <w:tcW w:w="0" w:type="auto"/>
            <w:tcBorders>
              <w:top w:val="single" w:sz="4" w:space="0" w:color="808080"/>
              <w:left w:val="nil"/>
              <w:bottom w:val="single" w:sz="4" w:space="0" w:color="808080"/>
              <w:right w:val="single" w:sz="4" w:space="0" w:color="808080"/>
            </w:tcBorders>
            <w:shd w:val="clear" w:color="000000" w:fill="FFFFFF"/>
            <w:noWrap/>
            <w:vAlign w:val="center"/>
            <w:hideMark/>
          </w:tcPr>
          <w:p w14:paraId="7B8B7CAD"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180.18</w:t>
            </w:r>
          </w:p>
        </w:tc>
        <w:tc>
          <w:tcPr>
            <w:tcW w:w="0" w:type="auto"/>
            <w:tcBorders>
              <w:top w:val="single" w:sz="4" w:space="0" w:color="808080"/>
              <w:left w:val="nil"/>
              <w:bottom w:val="single" w:sz="4" w:space="0" w:color="808080"/>
              <w:right w:val="single" w:sz="4" w:space="0" w:color="808080"/>
            </w:tcBorders>
            <w:shd w:val="clear" w:color="000000" w:fill="FFFFFF"/>
            <w:noWrap/>
            <w:vAlign w:val="center"/>
            <w:hideMark/>
          </w:tcPr>
          <w:p w14:paraId="313AEC2A"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3.74</w:t>
            </w:r>
          </w:p>
        </w:tc>
        <w:tc>
          <w:tcPr>
            <w:tcW w:w="0" w:type="auto"/>
            <w:tcBorders>
              <w:top w:val="single" w:sz="4" w:space="0" w:color="808080"/>
              <w:left w:val="nil"/>
              <w:bottom w:val="single" w:sz="4" w:space="0" w:color="808080"/>
              <w:right w:val="single" w:sz="4" w:space="0" w:color="808080"/>
            </w:tcBorders>
            <w:shd w:val="clear" w:color="000000" w:fill="FFFFFF"/>
            <w:noWrap/>
            <w:vAlign w:val="center"/>
            <w:hideMark/>
          </w:tcPr>
          <w:p w14:paraId="3C82CFB7" w14:textId="77777777" w:rsidR="006427F4" w:rsidRPr="007F1C12" w:rsidRDefault="006427F4" w:rsidP="00B8564B">
            <w:pPr>
              <w:spacing w:after="0" w:line="240" w:lineRule="auto"/>
              <w:jc w:val="center"/>
              <w:rPr>
                <w:rFonts w:ascii="Times New Roman" w:eastAsia="Times New Roman" w:hAnsi="Times New Roman" w:cs="Times New Roman"/>
                <w:sz w:val="20"/>
                <w:szCs w:val="20"/>
                <w:lang w:eastAsia="lv-LV"/>
              </w:rPr>
            </w:pPr>
            <w:r w:rsidRPr="007F1C12">
              <w:rPr>
                <w:rFonts w:ascii="Times New Roman" w:eastAsia="Times New Roman" w:hAnsi="Times New Roman" w:cs="Times New Roman"/>
                <w:sz w:val="20"/>
                <w:szCs w:val="20"/>
                <w:lang w:eastAsia="lv-LV"/>
              </w:rPr>
              <w:t>127.08</w:t>
            </w:r>
          </w:p>
        </w:tc>
        <w:tc>
          <w:tcPr>
            <w:tcW w:w="0" w:type="auto"/>
            <w:tcBorders>
              <w:top w:val="single" w:sz="4" w:space="0" w:color="808080"/>
              <w:left w:val="nil"/>
              <w:bottom w:val="single" w:sz="4" w:space="0" w:color="808080"/>
              <w:right w:val="single" w:sz="4" w:space="0" w:color="808080"/>
            </w:tcBorders>
            <w:shd w:val="clear" w:color="000000" w:fill="FFFFFF"/>
            <w:noWrap/>
            <w:vAlign w:val="center"/>
            <w:hideMark/>
          </w:tcPr>
          <w:p w14:paraId="01676BC3" w14:textId="77777777" w:rsidR="006427F4" w:rsidRPr="007F1C12" w:rsidRDefault="006427F4" w:rsidP="00B8564B">
            <w:pPr>
              <w:spacing w:after="0" w:line="240" w:lineRule="auto"/>
              <w:jc w:val="center"/>
              <w:rPr>
                <w:rFonts w:ascii="Times New Roman" w:eastAsia="Times New Roman" w:hAnsi="Times New Roman" w:cs="Times New Roman"/>
                <w:b/>
                <w:bCs/>
                <w:sz w:val="20"/>
                <w:szCs w:val="20"/>
                <w:lang w:eastAsia="lv-LV"/>
              </w:rPr>
            </w:pPr>
            <w:r w:rsidRPr="007F1C12">
              <w:rPr>
                <w:rFonts w:ascii="Times New Roman" w:eastAsia="Times New Roman" w:hAnsi="Times New Roman" w:cs="Times New Roman"/>
                <w:b/>
                <w:bCs/>
                <w:sz w:val="20"/>
                <w:szCs w:val="20"/>
                <w:lang w:eastAsia="lv-LV"/>
              </w:rPr>
              <w:t>533.54</w:t>
            </w:r>
          </w:p>
        </w:tc>
      </w:tr>
    </w:tbl>
    <w:p w14:paraId="7B097A0B" w14:textId="721456D7" w:rsidR="006427F4" w:rsidRPr="000714F1" w:rsidRDefault="00FC5A8A" w:rsidP="006427F4">
      <w:pPr>
        <w:rPr>
          <w:rFonts w:ascii="Times New Roman" w:hAnsi="Times New Roman" w:cs="Times New Roman"/>
          <w:i/>
          <w:iCs/>
        </w:rPr>
      </w:pPr>
      <w:r>
        <w:t xml:space="preserve">Tabula Nr.1 </w:t>
      </w:r>
      <w:r w:rsidR="000714F1">
        <w:t xml:space="preserve"> </w:t>
      </w:r>
      <w:r w:rsidR="000714F1" w:rsidRPr="000714F1">
        <w:rPr>
          <w:rFonts w:ascii="Times New Roman" w:hAnsi="Times New Roman" w:cs="Times New Roman"/>
          <w:i/>
          <w:iCs/>
        </w:rPr>
        <w:t>“Plānotie jaunie maksājuma tarifi izbraukuma vakcinācijai virs 100 km”</w:t>
      </w:r>
    </w:p>
    <w:p w14:paraId="359C010A" w14:textId="77777777" w:rsidR="006427F4" w:rsidRPr="007F1C12" w:rsidRDefault="006427F4" w:rsidP="006427F4">
      <w:pPr>
        <w:jc w:val="both"/>
        <w:rPr>
          <w:rFonts w:ascii="Times New Roman" w:hAnsi="Times New Roman" w:cs="Times New Roman"/>
          <w:sz w:val="24"/>
          <w:szCs w:val="24"/>
        </w:rPr>
      </w:pPr>
      <w:r w:rsidRPr="007F1C12">
        <w:rPr>
          <w:rFonts w:ascii="Times New Roman" w:hAnsi="Times New Roman" w:cs="Times New Roman"/>
          <w:sz w:val="24"/>
          <w:szCs w:val="24"/>
        </w:rPr>
        <w:t xml:space="preserve">Jaunā manipulācija tiek piemērota noteiktās teritorijās, kur mazs </w:t>
      </w:r>
      <w:proofErr w:type="spellStart"/>
      <w:r w:rsidRPr="007F1C12">
        <w:rPr>
          <w:rFonts w:ascii="Times New Roman" w:hAnsi="Times New Roman" w:cs="Times New Roman"/>
          <w:sz w:val="24"/>
          <w:szCs w:val="24"/>
        </w:rPr>
        <w:t>balstvakcinējāmo</w:t>
      </w:r>
      <w:proofErr w:type="spellEnd"/>
      <w:r w:rsidRPr="007F1C12">
        <w:rPr>
          <w:rFonts w:ascii="Times New Roman" w:hAnsi="Times New Roman" w:cs="Times New Roman"/>
          <w:sz w:val="24"/>
          <w:szCs w:val="24"/>
        </w:rPr>
        <w:t xml:space="preserve"> personu skaits un tā neattiecas uz izbraukumiem Rīgas plānošanas reģionā. </w:t>
      </w:r>
    </w:p>
    <w:p w14:paraId="3CE0BF04" w14:textId="77777777" w:rsidR="006427F4" w:rsidRPr="007F1C12" w:rsidRDefault="006427F4" w:rsidP="006427F4">
      <w:pPr>
        <w:jc w:val="both"/>
        <w:rPr>
          <w:rFonts w:ascii="Times New Roman" w:hAnsi="Times New Roman" w:cs="Times New Roman"/>
          <w:sz w:val="24"/>
          <w:szCs w:val="24"/>
        </w:rPr>
      </w:pPr>
      <w:r w:rsidRPr="007F1C12">
        <w:rPr>
          <w:rFonts w:ascii="Times New Roman" w:hAnsi="Times New Roman" w:cs="Times New Roman"/>
          <w:sz w:val="24"/>
          <w:szCs w:val="24"/>
        </w:rPr>
        <w:t xml:space="preserve">Piemēri: </w:t>
      </w:r>
    </w:p>
    <w:p w14:paraId="150CC2E3" w14:textId="77777777" w:rsidR="006427F4" w:rsidRPr="007F1C12" w:rsidRDefault="006427F4" w:rsidP="006427F4">
      <w:pPr>
        <w:jc w:val="both"/>
        <w:rPr>
          <w:rFonts w:ascii="Times New Roman" w:hAnsi="Times New Roman" w:cs="Times New Roman"/>
          <w:sz w:val="24"/>
          <w:szCs w:val="24"/>
        </w:rPr>
      </w:pPr>
      <w:r w:rsidRPr="007F1C12">
        <w:rPr>
          <w:rFonts w:ascii="Times New Roman" w:hAnsi="Times New Roman" w:cs="Times New Roman"/>
          <w:noProof/>
          <w:sz w:val="24"/>
          <w:szCs w:val="24"/>
        </w:rPr>
        <w:drawing>
          <wp:inline distT="0" distB="0" distL="0" distR="0" wp14:anchorId="1ED60B15" wp14:editId="1473DE8D">
            <wp:extent cx="5278120" cy="1780540"/>
            <wp:effectExtent l="19050" t="19050" r="17780" b="1016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2"/>
                    <a:stretch>
                      <a:fillRect/>
                    </a:stretch>
                  </pic:blipFill>
                  <pic:spPr>
                    <a:xfrm>
                      <a:off x="0" y="0"/>
                      <a:ext cx="5278120" cy="1780540"/>
                    </a:xfrm>
                    <a:prstGeom prst="rect">
                      <a:avLst/>
                    </a:prstGeom>
                    <a:ln>
                      <a:solidFill>
                        <a:schemeClr val="bg2">
                          <a:lumMod val="90000"/>
                        </a:schemeClr>
                      </a:solidFill>
                    </a:ln>
                  </pic:spPr>
                </pic:pic>
              </a:graphicData>
            </a:graphic>
          </wp:inline>
        </w:drawing>
      </w:r>
    </w:p>
    <w:p w14:paraId="259D4E6A" w14:textId="77777777" w:rsidR="006427F4" w:rsidRPr="007F1C12" w:rsidRDefault="006427F4" w:rsidP="006427F4">
      <w:pPr>
        <w:jc w:val="both"/>
        <w:rPr>
          <w:rFonts w:ascii="Times New Roman" w:hAnsi="Times New Roman" w:cs="Times New Roman"/>
          <w:i/>
          <w:iCs/>
          <w:sz w:val="24"/>
          <w:szCs w:val="24"/>
        </w:rPr>
      </w:pPr>
      <w:r w:rsidRPr="007F1C12">
        <w:rPr>
          <w:rFonts w:ascii="Times New Roman" w:hAnsi="Times New Roman" w:cs="Times New Roman"/>
          <w:i/>
          <w:iCs/>
          <w:sz w:val="24"/>
          <w:szCs w:val="24"/>
        </w:rPr>
        <w:t xml:space="preserve">Attēls Nr. 5. </w:t>
      </w:r>
    </w:p>
    <w:p w14:paraId="263FA3D1" w14:textId="597B5785" w:rsidR="00547D37" w:rsidRPr="007F1C12" w:rsidRDefault="00547D37" w:rsidP="00547D37">
      <w:pPr>
        <w:jc w:val="both"/>
        <w:rPr>
          <w:rFonts w:ascii="Times New Roman" w:hAnsi="Times New Roman" w:cs="Times New Roman"/>
          <w:sz w:val="24"/>
          <w:szCs w:val="24"/>
        </w:rPr>
      </w:pPr>
      <w:r w:rsidRPr="007F1C12">
        <w:rPr>
          <w:rFonts w:ascii="Times New Roman" w:hAnsi="Times New Roman" w:cs="Times New Roman"/>
          <w:sz w:val="24"/>
          <w:szCs w:val="24"/>
        </w:rPr>
        <w:t>2022. gada februārī notika 28 vienas dienas izbraukumi</w:t>
      </w:r>
      <w:r w:rsidR="0023277A" w:rsidRPr="007F1C12">
        <w:rPr>
          <w:rFonts w:ascii="Times New Roman" w:hAnsi="Times New Roman" w:cs="Times New Roman"/>
          <w:sz w:val="24"/>
          <w:szCs w:val="24"/>
        </w:rPr>
        <w:t xml:space="preserve"> (bez iepriekšējas pieteikšanās)</w:t>
      </w:r>
      <w:r w:rsidRPr="007F1C12">
        <w:rPr>
          <w:rFonts w:ascii="Times New Roman" w:hAnsi="Times New Roman" w:cs="Times New Roman"/>
          <w:sz w:val="24"/>
          <w:szCs w:val="24"/>
        </w:rPr>
        <w:t xml:space="preserve">, kuros pēc Nacionālā veselības dienesta rīcībā esošās informācijas kopumā veikti 296 vakcinācijas fakti, kur vidēji vienā izbraukumā vakcinācijas pakalpojuma sniedzējs </w:t>
      </w:r>
      <w:r w:rsidRPr="007F1C12">
        <w:rPr>
          <w:rFonts w:ascii="Times New Roman" w:hAnsi="Times New Roman" w:cs="Times New Roman"/>
          <w:sz w:val="24"/>
          <w:szCs w:val="24"/>
        </w:rPr>
        <w:lastRenderedPageBreak/>
        <w:t>veicis 10 vakcinācijas faktus. Zemāk tabulā sniegta informācija par veiktajiem vakcinācijas faktiem konkrētos 2022. gada februārī notikuš</w:t>
      </w:r>
      <w:r w:rsidR="006427F4" w:rsidRPr="007F1C12">
        <w:rPr>
          <w:rFonts w:ascii="Times New Roman" w:hAnsi="Times New Roman" w:cs="Times New Roman"/>
          <w:sz w:val="24"/>
          <w:szCs w:val="24"/>
        </w:rPr>
        <w:t>ajās</w:t>
      </w:r>
      <w:r w:rsidRPr="007F1C12">
        <w:rPr>
          <w:rFonts w:ascii="Times New Roman" w:hAnsi="Times New Roman" w:cs="Times New Roman"/>
          <w:sz w:val="24"/>
          <w:szCs w:val="24"/>
        </w:rPr>
        <w:t xml:space="preserve"> vienas dienas izbraukum</w:t>
      </w:r>
      <w:r w:rsidR="006427F4" w:rsidRPr="007F1C12">
        <w:rPr>
          <w:rFonts w:ascii="Times New Roman" w:hAnsi="Times New Roman" w:cs="Times New Roman"/>
          <w:sz w:val="24"/>
          <w:szCs w:val="24"/>
        </w:rPr>
        <w:t xml:space="preserve">a vakcinācijās. </w:t>
      </w:r>
    </w:p>
    <w:tbl>
      <w:tblPr>
        <w:tblStyle w:val="TableGrid"/>
        <w:tblW w:w="0" w:type="auto"/>
        <w:tblLook w:val="04A0" w:firstRow="1" w:lastRow="0" w:firstColumn="1" w:lastColumn="0" w:noHBand="0" w:noVBand="1"/>
      </w:tblPr>
      <w:tblGrid>
        <w:gridCol w:w="561"/>
        <w:gridCol w:w="2168"/>
        <w:gridCol w:w="1687"/>
        <w:gridCol w:w="1483"/>
        <w:gridCol w:w="2403"/>
      </w:tblGrid>
      <w:tr w:rsidR="007F1C12" w:rsidRPr="007F1C12" w14:paraId="6953221E" w14:textId="77777777" w:rsidTr="005B0FEC">
        <w:tc>
          <w:tcPr>
            <w:tcW w:w="562" w:type="dxa"/>
            <w:shd w:val="clear" w:color="auto" w:fill="FFE599" w:themeFill="accent4" w:themeFillTint="66"/>
          </w:tcPr>
          <w:p w14:paraId="40A2B5EF" w14:textId="4F76001C" w:rsidR="0023277A" w:rsidRPr="007F1C12" w:rsidRDefault="0023277A" w:rsidP="00B8564B">
            <w:pPr>
              <w:jc w:val="both"/>
              <w:rPr>
                <w:rFonts w:ascii="Times New Roman" w:hAnsi="Times New Roman" w:cs="Times New Roman"/>
                <w:b/>
                <w:bCs/>
                <w:sz w:val="24"/>
                <w:szCs w:val="24"/>
              </w:rPr>
            </w:pPr>
            <w:r w:rsidRPr="007F1C12">
              <w:rPr>
                <w:rFonts w:ascii="Times New Roman" w:hAnsi="Times New Roman" w:cs="Times New Roman"/>
                <w:b/>
                <w:bCs/>
                <w:sz w:val="24"/>
                <w:szCs w:val="24"/>
              </w:rPr>
              <w:t>Nr.</w:t>
            </w:r>
          </w:p>
        </w:tc>
        <w:tc>
          <w:tcPr>
            <w:tcW w:w="2383" w:type="dxa"/>
            <w:shd w:val="clear" w:color="auto" w:fill="FFE599" w:themeFill="accent4" w:themeFillTint="66"/>
          </w:tcPr>
          <w:p w14:paraId="727C5AF8" w14:textId="04F185B2" w:rsidR="0023277A" w:rsidRPr="007F1C12" w:rsidRDefault="0023277A" w:rsidP="00B8564B">
            <w:pPr>
              <w:jc w:val="both"/>
              <w:rPr>
                <w:rFonts w:ascii="Times New Roman" w:hAnsi="Times New Roman" w:cs="Times New Roman"/>
                <w:b/>
                <w:bCs/>
                <w:sz w:val="24"/>
                <w:szCs w:val="24"/>
              </w:rPr>
            </w:pPr>
            <w:r w:rsidRPr="007F1C12">
              <w:rPr>
                <w:rFonts w:ascii="Times New Roman" w:hAnsi="Times New Roman" w:cs="Times New Roman"/>
                <w:b/>
                <w:bCs/>
                <w:sz w:val="24"/>
                <w:szCs w:val="24"/>
              </w:rPr>
              <w:t>Datums</w:t>
            </w:r>
          </w:p>
        </w:tc>
        <w:tc>
          <w:tcPr>
            <w:tcW w:w="1761" w:type="dxa"/>
            <w:shd w:val="clear" w:color="auto" w:fill="FFE599" w:themeFill="accent4" w:themeFillTint="66"/>
          </w:tcPr>
          <w:p w14:paraId="27BAD854" w14:textId="77777777" w:rsidR="0023277A" w:rsidRPr="007F1C12" w:rsidRDefault="0023277A" w:rsidP="00B8564B">
            <w:pPr>
              <w:jc w:val="both"/>
              <w:rPr>
                <w:rFonts w:ascii="Times New Roman" w:hAnsi="Times New Roman" w:cs="Times New Roman"/>
                <w:b/>
                <w:bCs/>
                <w:sz w:val="24"/>
                <w:szCs w:val="24"/>
              </w:rPr>
            </w:pPr>
            <w:r w:rsidRPr="007F1C12">
              <w:rPr>
                <w:rFonts w:ascii="Times New Roman" w:hAnsi="Times New Roman" w:cs="Times New Roman"/>
                <w:b/>
                <w:bCs/>
                <w:sz w:val="24"/>
                <w:szCs w:val="24"/>
              </w:rPr>
              <w:t>Vieta</w:t>
            </w:r>
          </w:p>
        </w:tc>
        <w:tc>
          <w:tcPr>
            <w:tcW w:w="959" w:type="dxa"/>
            <w:shd w:val="clear" w:color="auto" w:fill="FFE599" w:themeFill="accent4" w:themeFillTint="66"/>
          </w:tcPr>
          <w:p w14:paraId="4609C849" w14:textId="77777777" w:rsidR="0023277A" w:rsidRPr="007F1C12" w:rsidRDefault="0023277A" w:rsidP="00B8564B">
            <w:pPr>
              <w:jc w:val="both"/>
              <w:rPr>
                <w:rFonts w:ascii="Times New Roman" w:hAnsi="Times New Roman" w:cs="Times New Roman"/>
                <w:b/>
                <w:bCs/>
                <w:sz w:val="24"/>
                <w:szCs w:val="24"/>
              </w:rPr>
            </w:pPr>
            <w:r w:rsidRPr="007F1C12">
              <w:rPr>
                <w:rFonts w:ascii="Times New Roman" w:hAnsi="Times New Roman" w:cs="Times New Roman"/>
                <w:b/>
                <w:bCs/>
                <w:sz w:val="24"/>
                <w:szCs w:val="24"/>
              </w:rPr>
              <w:t>Veiktie vakcinācijas fakti</w:t>
            </w:r>
          </w:p>
        </w:tc>
        <w:tc>
          <w:tcPr>
            <w:tcW w:w="2637" w:type="dxa"/>
            <w:shd w:val="clear" w:color="auto" w:fill="FFE599" w:themeFill="accent4" w:themeFillTint="66"/>
          </w:tcPr>
          <w:p w14:paraId="00557416" w14:textId="77777777" w:rsidR="0023277A" w:rsidRPr="007F1C12" w:rsidRDefault="0023277A" w:rsidP="00B8564B">
            <w:pPr>
              <w:jc w:val="both"/>
              <w:rPr>
                <w:rFonts w:ascii="Times New Roman" w:hAnsi="Times New Roman" w:cs="Times New Roman"/>
                <w:b/>
                <w:bCs/>
                <w:sz w:val="24"/>
                <w:szCs w:val="24"/>
              </w:rPr>
            </w:pPr>
            <w:r w:rsidRPr="007F1C12">
              <w:rPr>
                <w:rFonts w:ascii="Times New Roman" w:hAnsi="Times New Roman" w:cs="Times New Roman"/>
                <w:b/>
                <w:bCs/>
                <w:sz w:val="24"/>
                <w:szCs w:val="24"/>
              </w:rPr>
              <w:t>Piezīmes</w:t>
            </w:r>
          </w:p>
        </w:tc>
      </w:tr>
      <w:tr w:rsidR="007F1C12" w:rsidRPr="007F1C12" w14:paraId="63011D87" w14:textId="77777777" w:rsidTr="0023277A">
        <w:tc>
          <w:tcPr>
            <w:tcW w:w="562" w:type="dxa"/>
          </w:tcPr>
          <w:p w14:paraId="21CFAF25" w14:textId="663847E5"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w:t>
            </w:r>
          </w:p>
        </w:tc>
        <w:tc>
          <w:tcPr>
            <w:tcW w:w="2383" w:type="dxa"/>
          </w:tcPr>
          <w:p w14:paraId="3550C699" w14:textId="3D2A7B79"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05.02.2022</w:t>
            </w:r>
          </w:p>
        </w:tc>
        <w:tc>
          <w:tcPr>
            <w:tcW w:w="1761" w:type="dxa"/>
          </w:tcPr>
          <w:p w14:paraId="76DF9A72"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Smiltene</w:t>
            </w:r>
          </w:p>
        </w:tc>
        <w:tc>
          <w:tcPr>
            <w:tcW w:w="959" w:type="dxa"/>
          </w:tcPr>
          <w:p w14:paraId="7B34F076"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9</w:t>
            </w:r>
          </w:p>
        </w:tc>
        <w:tc>
          <w:tcPr>
            <w:tcW w:w="2637" w:type="dxa"/>
          </w:tcPr>
          <w:p w14:paraId="38F9D22F" w14:textId="77777777" w:rsidR="0023277A" w:rsidRPr="007F1C12" w:rsidRDefault="0023277A" w:rsidP="00B8564B">
            <w:pPr>
              <w:jc w:val="both"/>
              <w:rPr>
                <w:rFonts w:ascii="Times New Roman" w:hAnsi="Times New Roman" w:cs="Times New Roman"/>
                <w:sz w:val="24"/>
                <w:szCs w:val="24"/>
              </w:rPr>
            </w:pPr>
          </w:p>
        </w:tc>
      </w:tr>
      <w:tr w:rsidR="007F1C12" w:rsidRPr="007F1C12" w14:paraId="14479959" w14:textId="77777777" w:rsidTr="0023277A">
        <w:tc>
          <w:tcPr>
            <w:tcW w:w="562" w:type="dxa"/>
          </w:tcPr>
          <w:p w14:paraId="192240B5" w14:textId="4394DDEC"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2.</w:t>
            </w:r>
          </w:p>
        </w:tc>
        <w:tc>
          <w:tcPr>
            <w:tcW w:w="2383" w:type="dxa"/>
          </w:tcPr>
          <w:p w14:paraId="3CD6B6AF" w14:textId="377EDE48"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11.02.2022</w:t>
            </w:r>
          </w:p>
        </w:tc>
        <w:tc>
          <w:tcPr>
            <w:tcW w:w="1761" w:type="dxa"/>
          </w:tcPr>
          <w:p w14:paraId="142B2DF8"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Strenči</w:t>
            </w:r>
          </w:p>
        </w:tc>
        <w:tc>
          <w:tcPr>
            <w:tcW w:w="959" w:type="dxa"/>
          </w:tcPr>
          <w:p w14:paraId="578F4721"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12</w:t>
            </w:r>
          </w:p>
        </w:tc>
        <w:tc>
          <w:tcPr>
            <w:tcW w:w="2637" w:type="dxa"/>
          </w:tcPr>
          <w:p w14:paraId="2EA89422" w14:textId="77777777" w:rsidR="0023277A" w:rsidRPr="007F1C12" w:rsidRDefault="0023277A" w:rsidP="00B8564B">
            <w:pPr>
              <w:jc w:val="both"/>
              <w:rPr>
                <w:rFonts w:ascii="Times New Roman" w:hAnsi="Times New Roman" w:cs="Times New Roman"/>
                <w:sz w:val="24"/>
                <w:szCs w:val="24"/>
              </w:rPr>
            </w:pPr>
          </w:p>
        </w:tc>
      </w:tr>
      <w:tr w:rsidR="007F1C12" w:rsidRPr="007F1C12" w14:paraId="041BA792" w14:textId="77777777" w:rsidTr="0023277A">
        <w:tc>
          <w:tcPr>
            <w:tcW w:w="562" w:type="dxa"/>
          </w:tcPr>
          <w:p w14:paraId="28879EA6" w14:textId="7E8D910D"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3.</w:t>
            </w:r>
          </w:p>
        </w:tc>
        <w:tc>
          <w:tcPr>
            <w:tcW w:w="2383" w:type="dxa"/>
          </w:tcPr>
          <w:p w14:paraId="19D29944" w14:textId="52191D58"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12.02.2022</w:t>
            </w:r>
          </w:p>
        </w:tc>
        <w:tc>
          <w:tcPr>
            <w:tcW w:w="1761" w:type="dxa"/>
          </w:tcPr>
          <w:p w14:paraId="3F4E8671"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Bebri</w:t>
            </w:r>
          </w:p>
          <w:p w14:paraId="4288747E"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Koknese</w:t>
            </w:r>
            <w:r w:rsidRPr="007F1C12">
              <w:rPr>
                <w:rFonts w:ascii="Times New Roman" w:hAnsi="Times New Roman" w:cs="Times New Roman"/>
                <w:sz w:val="24"/>
                <w:szCs w:val="24"/>
              </w:rPr>
              <w:br/>
              <w:t>Jaunjelgava</w:t>
            </w:r>
          </w:p>
        </w:tc>
        <w:tc>
          <w:tcPr>
            <w:tcW w:w="959" w:type="dxa"/>
          </w:tcPr>
          <w:p w14:paraId="07E9DEA4"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16</w:t>
            </w:r>
          </w:p>
        </w:tc>
        <w:tc>
          <w:tcPr>
            <w:tcW w:w="2637" w:type="dxa"/>
          </w:tcPr>
          <w:p w14:paraId="320EFD64"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Vakcināciju nodrošināja viens pakalpojuma sniedzējs</w:t>
            </w:r>
          </w:p>
        </w:tc>
      </w:tr>
      <w:tr w:rsidR="007F1C12" w:rsidRPr="007F1C12" w14:paraId="4FD53049" w14:textId="77777777" w:rsidTr="0023277A">
        <w:tc>
          <w:tcPr>
            <w:tcW w:w="562" w:type="dxa"/>
          </w:tcPr>
          <w:p w14:paraId="628FFF20" w14:textId="4DABFA5C"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4.</w:t>
            </w:r>
          </w:p>
        </w:tc>
        <w:tc>
          <w:tcPr>
            <w:tcW w:w="2383" w:type="dxa"/>
          </w:tcPr>
          <w:p w14:paraId="33F82F08" w14:textId="75DE0C6F"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13.02.2022</w:t>
            </w:r>
          </w:p>
        </w:tc>
        <w:tc>
          <w:tcPr>
            <w:tcW w:w="1761" w:type="dxa"/>
          </w:tcPr>
          <w:p w14:paraId="53311913"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Irši</w:t>
            </w:r>
            <w:r w:rsidRPr="007F1C12">
              <w:rPr>
                <w:rFonts w:ascii="Times New Roman" w:hAnsi="Times New Roman" w:cs="Times New Roman"/>
                <w:sz w:val="24"/>
                <w:szCs w:val="24"/>
              </w:rPr>
              <w:br/>
              <w:t xml:space="preserve">Klintaine </w:t>
            </w:r>
            <w:r w:rsidRPr="007F1C12">
              <w:rPr>
                <w:rFonts w:ascii="Times New Roman" w:hAnsi="Times New Roman" w:cs="Times New Roman"/>
                <w:sz w:val="24"/>
                <w:szCs w:val="24"/>
              </w:rPr>
              <w:br/>
              <w:t>Skrīveri</w:t>
            </w:r>
          </w:p>
        </w:tc>
        <w:tc>
          <w:tcPr>
            <w:tcW w:w="959" w:type="dxa"/>
          </w:tcPr>
          <w:p w14:paraId="1D9BDF92"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3</w:t>
            </w:r>
          </w:p>
        </w:tc>
        <w:tc>
          <w:tcPr>
            <w:tcW w:w="2637" w:type="dxa"/>
          </w:tcPr>
          <w:p w14:paraId="7FDCAC91"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Vakcināciju nodrošināja viens pakalpojuma sniedzējs</w:t>
            </w:r>
          </w:p>
        </w:tc>
      </w:tr>
      <w:tr w:rsidR="007F1C12" w:rsidRPr="007F1C12" w14:paraId="6B74D6E8" w14:textId="77777777" w:rsidTr="0023277A">
        <w:tc>
          <w:tcPr>
            <w:tcW w:w="562" w:type="dxa"/>
          </w:tcPr>
          <w:p w14:paraId="03BC3EDF" w14:textId="0AD0F235"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5.</w:t>
            </w:r>
          </w:p>
        </w:tc>
        <w:tc>
          <w:tcPr>
            <w:tcW w:w="2383" w:type="dxa"/>
          </w:tcPr>
          <w:p w14:paraId="40AA32DE" w14:textId="493B51C1"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13.02.2022</w:t>
            </w:r>
          </w:p>
        </w:tc>
        <w:tc>
          <w:tcPr>
            <w:tcW w:w="1761" w:type="dxa"/>
          </w:tcPr>
          <w:p w14:paraId="5C6E3A06"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Ape</w:t>
            </w:r>
          </w:p>
        </w:tc>
        <w:tc>
          <w:tcPr>
            <w:tcW w:w="959" w:type="dxa"/>
          </w:tcPr>
          <w:p w14:paraId="0BB4EE0C"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2</w:t>
            </w:r>
          </w:p>
        </w:tc>
        <w:tc>
          <w:tcPr>
            <w:tcW w:w="2637" w:type="dxa"/>
          </w:tcPr>
          <w:p w14:paraId="371CEB1F" w14:textId="77777777" w:rsidR="0023277A" w:rsidRPr="007F1C12" w:rsidRDefault="0023277A" w:rsidP="00B8564B">
            <w:pPr>
              <w:jc w:val="both"/>
              <w:rPr>
                <w:rFonts w:ascii="Times New Roman" w:hAnsi="Times New Roman" w:cs="Times New Roman"/>
                <w:sz w:val="24"/>
                <w:szCs w:val="24"/>
              </w:rPr>
            </w:pPr>
          </w:p>
        </w:tc>
      </w:tr>
      <w:tr w:rsidR="007F1C12" w:rsidRPr="007F1C12" w14:paraId="09DA9E5B" w14:textId="77777777" w:rsidTr="0023277A">
        <w:tc>
          <w:tcPr>
            <w:tcW w:w="562" w:type="dxa"/>
          </w:tcPr>
          <w:p w14:paraId="7BFE7710" w14:textId="51E36028"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6.</w:t>
            </w:r>
          </w:p>
        </w:tc>
        <w:tc>
          <w:tcPr>
            <w:tcW w:w="2383" w:type="dxa"/>
          </w:tcPr>
          <w:p w14:paraId="7C656987" w14:textId="67C497BF"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13.02.2022</w:t>
            </w:r>
          </w:p>
        </w:tc>
        <w:tc>
          <w:tcPr>
            <w:tcW w:w="1761" w:type="dxa"/>
          </w:tcPr>
          <w:p w14:paraId="598E6BEF"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Kandava</w:t>
            </w:r>
          </w:p>
        </w:tc>
        <w:tc>
          <w:tcPr>
            <w:tcW w:w="959" w:type="dxa"/>
          </w:tcPr>
          <w:p w14:paraId="47CF8E75"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21</w:t>
            </w:r>
          </w:p>
        </w:tc>
        <w:tc>
          <w:tcPr>
            <w:tcW w:w="2637" w:type="dxa"/>
          </w:tcPr>
          <w:p w14:paraId="00990828" w14:textId="77777777" w:rsidR="0023277A" w:rsidRPr="007F1C12" w:rsidRDefault="0023277A" w:rsidP="00B8564B">
            <w:pPr>
              <w:jc w:val="both"/>
              <w:rPr>
                <w:rFonts w:ascii="Times New Roman" w:hAnsi="Times New Roman" w:cs="Times New Roman"/>
                <w:sz w:val="24"/>
                <w:szCs w:val="24"/>
              </w:rPr>
            </w:pPr>
          </w:p>
        </w:tc>
      </w:tr>
      <w:tr w:rsidR="007F1C12" w:rsidRPr="007F1C12" w14:paraId="569DD09E" w14:textId="77777777" w:rsidTr="0023277A">
        <w:tc>
          <w:tcPr>
            <w:tcW w:w="562" w:type="dxa"/>
          </w:tcPr>
          <w:p w14:paraId="3BDFD7A6" w14:textId="055BB258"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7.</w:t>
            </w:r>
          </w:p>
        </w:tc>
        <w:tc>
          <w:tcPr>
            <w:tcW w:w="2383" w:type="dxa"/>
          </w:tcPr>
          <w:p w14:paraId="22F9C8E7" w14:textId="6C2AAA9A"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13.02.2022</w:t>
            </w:r>
          </w:p>
        </w:tc>
        <w:tc>
          <w:tcPr>
            <w:tcW w:w="1761" w:type="dxa"/>
          </w:tcPr>
          <w:p w14:paraId="639CFB9A"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Viļāni</w:t>
            </w:r>
          </w:p>
        </w:tc>
        <w:tc>
          <w:tcPr>
            <w:tcW w:w="959" w:type="dxa"/>
          </w:tcPr>
          <w:p w14:paraId="186D358D"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42</w:t>
            </w:r>
          </w:p>
        </w:tc>
        <w:tc>
          <w:tcPr>
            <w:tcW w:w="2637" w:type="dxa"/>
          </w:tcPr>
          <w:p w14:paraId="30AC21EA"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Vakcinācijas pakalpojuma sniedzējs izvēlas apmaksu pēc esošā tarifa</w:t>
            </w:r>
          </w:p>
        </w:tc>
      </w:tr>
      <w:tr w:rsidR="007F1C12" w:rsidRPr="007F1C12" w14:paraId="74BE59CA" w14:textId="77777777" w:rsidTr="0023277A">
        <w:tc>
          <w:tcPr>
            <w:tcW w:w="562" w:type="dxa"/>
          </w:tcPr>
          <w:p w14:paraId="3B8AE465" w14:textId="011E9A66"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8.</w:t>
            </w:r>
          </w:p>
        </w:tc>
        <w:tc>
          <w:tcPr>
            <w:tcW w:w="2383" w:type="dxa"/>
          </w:tcPr>
          <w:p w14:paraId="7F592997" w14:textId="1560BEF8"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15.02.2022</w:t>
            </w:r>
          </w:p>
        </w:tc>
        <w:tc>
          <w:tcPr>
            <w:tcW w:w="1761" w:type="dxa"/>
          </w:tcPr>
          <w:p w14:paraId="1A9D9126"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Prauliena</w:t>
            </w:r>
          </w:p>
        </w:tc>
        <w:tc>
          <w:tcPr>
            <w:tcW w:w="959" w:type="dxa"/>
          </w:tcPr>
          <w:p w14:paraId="29D62C0F"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5</w:t>
            </w:r>
          </w:p>
        </w:tc>
        <w:tc>
          <w:tcPr>
            <w:tcW w:w="2637" w:type="dxa"/>
          </w:tcPr>
          <w:p w14:paraId="1864F958" w14:textId="77777777" w:rsidR="0023277A" w:rsidRPr="007F1C12" w:rsidRDefault="0023277A" w:rsidP="00B8564B">
            <w:pPr>
              <w:jc w:val="both"/>
              <w:rPr>
                <w:rFonts w:ascii="Times New Roman" w:hAnsi="Times New Roman" w:cs="Times New Roman"/>
                <w:sz w:val="24"/>
                <w:szCs w:val="24"/>
              </w:rPr>
            </w:pPr>
          </w:p>
        </w:tc>
      </w:tr>
      <w:tr w:rsidR="007F1C12" w:rsidRPr="007F1C12" w14:paraId="613A0299" w14:textId="77777777" w:rsidTr="0023277A">
        <w:tc>
          <w:tcPr>
            <w:tcW w:w="562" w:type="dxa"/>
          </w:tcPr>
          <w:p w14:paraId="00D8914F" w14:textId="7BEDD7BF"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9.</w:t>
            </w:r>
          </w:p>
        </w:tc>
        <w:tc>
          <w:tcPr>
            <w:tcW w:w="2383" w:type="dxa"/>
          </w:tcPr>
          <w:p w14:paraId="45879CC2" w14:textId="5A68C849"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16.02.2022</w:t>
            </w:r>
          </w:p>
        </w:tc>
        <w:tc>
          <w:tcPr>
            <w:tcW w:w="1761" w:type="dxa"/>
          </w:tcPr>
          <w:p w14:paraId="7E959A69"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Krāslava</w:t>
            </w:r>
          </w:p>
        </w:tc>
        <w:tc>
          <w:tcPr>
            <w:tcW w:w="959" w:type="dxa"/>
          </w:tcPr>
          <w:p w14:paraId="4C51A97A"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48</w:t>
            </w:r>
          </w:p>
        </w:tc>
        <w:tc>
          <w:tcPr>
            <w:tcW w:w="2637" w:type="dxa"/>
          </w:tcPr>
          <w:p w14:paraId="73DF868F"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Vakcinācijas pakalpojuma sniedzējs izvēlas apmaksu pēc esošā tarifa</w:t>
            </w:r>
          </w:p>
        </w:tc>
      </w:tr>
      <w:tr w:rsidR="007F1C12" w:rsidRPr="007F1C12" w14:paraId="336418A0" w14:textId="77777777" w:rsidTr="0023277A">
        <w:tc>
          <w:tcPr>
            <w:tcW w:w="562" w:type="dxa"/>
          </w:tcPr>
          <w:p w14:paraId="527117F4" w14:textId="5FA24D45"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10.</w:t>
            </w:r>
          </w:p>
        </w:tc>
        <w:tc>
          <w:tcPr>
            <w:tcW w:w="2383" w:type="dxa"/>
          </w:tcPr>
          <w:p w14:paraId="0982A218" w14:textId="0F4B2FAF"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16.02.2022</w:t>
            </w:r>
          </w:p>
        </w:tc>
        <w:tc>
          <w:tcPr>
            <w:tcW w:w="1761" w:type="dxa"/>
          </w:tcPr>
          <w:p w14:paraId="73912584"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Pededze</w:t>
            </w:r>
            <w:r w:rsidRPr="007F1C12">
              <w:rPr>
                <w:rFonts w:ascii="Times New Roman" w:hAnsi="Times New Roman" w:cs="Times New Roman"/>
                <w:sz w:val="24"/>
                <w:szCs w:val="24"/>
              </w:rPr>
              <w:br/>
              <w:t>Liepna</w:t>
            </w:r>
            <w:r w:rsidRPr="007F1C12">
              <w:rPr>
                <w:rFonts w:ascii="Times New Roman" w:hAnsi="Times New Roman" w:cs="Times New Roman"/>
                <w:sz w:val="24"/>
                <w:szCs w:val="24"/>
              </w:rPr>
              <w:br/>
              <w:t>Mālupe</w:t>
            </w:r>
          </w:p>
        </w:tc>
        <w:tc>
          <w:tcPr>
            <w:tcW w:w="959" w:type="dxa"/>
          </w:tcPr>
          <w:p w14:paraId="22593F01"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23</w:t>
            </w:r>
          </w:p>
        </w:tc>
        <w:tc>
          <w:tcPr>
            <w:tcW w:w="2637" w:type="dxa"/>
          </w:tcPr>
          <w:p w14:paraId="54D2BB31"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Vakcināciju nodrošināja viens pakalpojuma sniedzējs</w:t>
            </w:r>
          </w:p>
        </w:tc>
      </w:tr>
      <w:tr w:rsidR="007F1C12" w:rsidRPr="007F1C12" w14:paraId="09C0A5D9" w14:textId="77777777" w:rsidTr="0023277A">
        <w:tc>
          <w:tcPr>
            <w:tcW w:w="562" w:type="dxa"/>
          </w:tcPr>
          <w:p w14:paraId="33C15F64" w14:textId="016255B3"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11.</w:t>
            </w:r>
          </w:p>
        </w:tc>
        <w:tc>
          <w:tcPr>
            <w:tcW w:w="2383" w:type="dxa"/>
          </w:tcPr>
          <w:p w14:paraId="22117317" w14:textId="57B0C6A4"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17.02.2022</w:t>
            </w:r>
          </w:p>
        </w:tc>
        <w:tc>
          <w:tcPr>
            <w:tcW w:w="1761" w:type="dxa"/>
          </w:tcPr>
          <w:p w14:paraId="1278FF57"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Malta</w:t>
            </w:r>
          </w:p>
        </w:tc>
        <w:tc>
          <w:tcPr>
            <w:tcW w:w="959" w:type="dxa"/>
          </w:tcPr>
          <w:p w14:paraId="46E8791B"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15</w:t>
            </w:r>
          </w:p>
        </w:tc>
        <w:tc>
          <w:tcPr>
            <w:tcW w:w="2637" w:type="dxa"/>
          </w:tcPr>
          <w:p w14:paraId="5F7AEC1B" w14:textId="77777777" w:rsidR="0023277A" w:rsidRPr="007F1C12" w:rsidRDefault="0023277A" w:rsidP="00B8564B">
            <w:pPr>
              <w:jc w:val="both"/>
              <w:rPr>
                <w:rFonts w:ascii="Times New Roman" w:hAnsi="Times New Roman" w:cs="Times New Roman"/>
                <w:sz w:val="24"/>
                <w:szCs w:val="24"/>
              </w:rPr>
            </w:pPr>
          </w:p>
        </w:tc>
      </w:tr>
      <w:tr w:rsidR="007F1C12" w:rsidRPr="007F1C12" w14:paraId="369A2672" w14:textId="77777777" w:rsidTr="0023277A">
        <w:tc>
          <w:tcPr>
            <w:tcW w:w="562" w:type="dxa"/>
          </w:tcPr>
          <w:p w14:paraId="598C3F17" w14:textId="690CCBC2"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12.</w:t>
            </w:r>
          </w:p>
        </w:tc>
        <w:tc>
          <w:tcPr>
            <w:tcW w:w="2383" w:type="dxa"/>
          </w:tcPr>
          <w:p w14:paraId="3EA727BC" w14:textId="1C7542B1"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19.02.2022</w:t>
            </w:r>
          </w:p>
        </w:tc>
        <w:tc>
          <w:tcPr>
            <w:tcW w:w="1761" w:type="dxa"/>
          </w:tcPr>
          <w:p w14:paraId="2DAC3017"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Staburags</w:t>
            </w:r>
            <w:r w:rsidRPr="007F1C12">
              <w:rPr>
                <w:rFonts w:ascii="Times New Roman" w:hAnsi="Times New Roman" w:cs="Times New Roman"/>
                <w:sz w:val="24"/>
                <w:szCs w:val="24"/>
              </w:rPr>
              <w:br/>
              <w:t>Nereta</w:t>
            </w:r>
            <w:r w:rsidRPr="007F1C12">
              <w:rPr>
                <w:rFonts w:ascii="Times New Roman" w:hAnsi="Times New Roman" w:cs="Times New Roman"/>
                <w:sz w:val="24"/>
                <w:szCs w:val="24"/>
              </w:rPr>
              <w:br/>
              <w:t>Sece</w:t>
            </w:r>
          </w:p>
        </w:tc>
        <w:tc>
          <w:tcPr>
            <w:tcW w:w="959" w:type="dxa"/>
          </w:tcPr>
          <w:p w14:paraId="41BD9F33"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60</w:t>
            </w:r>
          </w:p>
        </w:tc>
        <w:tc>
          <w:tcPr>
            <w:tcW w:w="2637" w:type="dxa"/>
          </w:tcPr>
          <w:p w14:paraId="22912DE3"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Vakcinācijas pakalpojuma sniedzējs izvēlas apmaksu pēc esošā tarifa</w:t>
            </w:r>
          </w:p>
        </w:tc>
      </w:tr>
      <w:tr w:rsidR="007F1C12" w:rsidRPr="007F1C12" w14:paraId="6DE48222" w14:textId="77777777" w:rsidTr="0023277A">
        <w:tc>
          <w:tcPr>
            <w:tcW w:w="562" w:type="dxa"/>
          </w:tcPr>
          <w:p w14:paraId="3724949C" w14:textId="27CEA48C"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13.</w:t>
            </w:r>
          </w:p>
        </w:tc>
        <w:tc>
          <w:tcPr>
            <w:tcW w:w="2383" w:type="dxa"/>
          </w:tcPr>
          <w:p w14:paraId="52C1BA1B" w14:textId="745D376F"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19.02.2022</w:t>
            </w:r>
          </w:p>
        </w:tc>
        <w:tc>
          <w:tcPr>
            <w:tcW w:w="1761" w:type="dxa"/>
          </w:tcPr>
          <w:p w14:paraId="6D0D7DB7"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Vecumnieki</w:t>
            </w:r>
          </w:p>
        </w:tc>
        <w:tc>
          <w:tcPr>
            <w:tcW w:w="959" w:type="dxa"/>
          </w:tcPr>
          <w:p w14:paraId="399CC280"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9</w:t>
            </w:r>
          </w:p>
        </w:tc>
        <w:tc>
          <w:tcPr>
            <w:tcW w:w="2637" w:type="dxa"/>
          </w:tcPr>
          <w:p w14:paraId="4DDE8D6E" w14:textId="77777777" w:rsidR="0023277A" w:rsidRPr="007F1C12" w:rsidRDefault="0023277A" w:rsidP="00B8564B">
            <w:pPr>
              <w:jc w:val="both"/>
              <w:rPr>
                <w:rFonts w:ascii="Times New Roman" w:hAnsi="Times New Roman" w:cs="Times New Roman"/>
                <w:sz w:val="24"/>
                <w:szCs w:val="24"/>
              </w:rPr>
            </w:pPr>
          </w:p>
        </w:tc>
      </w:tr>
      <w:tr w:rsidR="007F1C12" w:rsidRPr="007F1C12" w14:paraId="353943B2" w14:textId="77777777" w:rsidTr="0023277A">
        <w:tc>
          <w:tcPr>
            <w:tcW w:w="562" w:type="dxa"/>
          </w:tcPr>
          <w:p w14:paraId="11DEADE2" w14:textId="2F995BAD"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14.</w:t>
            </w:r>
          </w:p>
        </w:tc>
        <w:tc>
          <w:tcPr>
            <w:tcW w:w="2383" w:type="dxa"/>
          </w:tcPr>
          <w:p w14:paraId="726155FF" w14:textId="1166051C"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20.02.2022</w:t>
            </w:r>
          </w:p>
        </w:tc>
        <w:tc>
          <w:tcPr>
            <w:tcW w:w="1761" w:type="dxa"/>
          </w:tcPr>
          <w:p w14:paraId="1B2D1D63"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Mazzalve</w:t>
            </w:r>
            <w:r w:rsidRPr="007F1C12">
              <w:rPr>
                <w:rFonts w:ascii="Times New Roman" w:hAnsi="Times New Roman" w:cs="Times New Roman"/>
                <w:sz w:val="24"/>
                <w:szCs w:val="24"/>
              </w:rPr>
              <w:br/>
              <w:t>Pilskalne</w:t>
            </w:r>
            <w:r w:rsidRPr="007F1C12">
              <w:rPr>
                <w:rFonts w:ascii="Times New Roman" w:hAnsi="Times New Roman" w:cs="Times New Roman"/>
                <w:sz w:val="24"/>
                <w:szCs w:val="24"/>
              </w:rPr>
              <w:br/>
              <w:t>Sērene</w:t>
            </w:r>
          </w:p>
        </w:tc>
        <w:tc>
          <w:tcPr>
            <w:tcW w:w="959" w:type="dxa"/>
          </w:tcPr>
          <w:p w14:paraId="2CCD1B49"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13</w:t>
            </w:r>
          </w:p>
        </w:tc>
        <w:tc>
          <w:tcPr>
            <w:tcW w:w="2637" w:type="dxa"/>
          </w:tcPr>
          <w:p w14:paraId="539C7B76"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Vakcināciju nodrošināja viens pakalpojuma sniedzējs</w:t>
            </w:r>
          </w:p>
        </w:tc>
      </w:tr>
      <w:tr w:rsidR="007F1C12" w:rsidRPr="007F1C12" w14:paraId="2873AE7E" w14:textId="77777777" w:rsidTr="0023277A">
        <w:tc>
          <w:tcPr>
            <w:tcW w:w="562" w:type="dxa"/>
          </w:tcPr>
          <w:p w14:paraId="68361E00" w14:textId="00B2F756"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15.</w:t>
            </w:r>
          </w:p>
        </w:tc>
        <w:tc>
          <w:tcPr>
            <w:tcW w:w="2383" w:type="dxa"/>
          </w:tcPr>
          <w:p w14:paraId="70E6D7BB" w14:textId="26C17F1C"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26.02.2022</w:t>
            </w:r>
          </w:p>
        </w:tc>
        <w:tc>
          <w:tcPr>
            <w:tcW w:w="1761" w:type="dxa"/>
          </w:tcPr>
          <w:p w14:paraId="62EF197E"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Aiviekste</w:t>
            </w:r>
            <w:r w:rsidRPr="007F1C12">
              <w:rPr>
                <w:rFonts w:ascii="Times New Roman" w:hAnsi="Times New Roman" w:cs="Times New Roman"/>
                <w:sz w:val="24"/>
                <w:szCs w:val="24"/>
              </w:rPr>
              <w:br/>
              <w:t>Pļaviņas</w:t>
            </w:r>
            <w:r w:rsidRPr="007F1C12">
              <w:rPr>
                <w:rFonts w:ascii="Times New Roman" w:hAnsi="Times New Roman" w:cs="Times New Roman"/>
                <w:sz w:val="24"/>
                <w:szCs w:val="24"/>
              </w:rPr>
              <w:br/>
              <w:t>Vietalva</w:t>
            </w:r>
          </w:p>
        </w:tc>
        <w:tc>
          <w:tcPr>
            <w:tcW w:w="959" w:type="dxa"/>
          </w:tcPr>
          <w:p w14:paraId="09B1DAA8"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3</w:t>
            </w:r>
          </w:p>
        </w:tc>
        <w:tc>
          <w:tcPr>
            <w:tcW w:w="2637" w:type="dxa"/>
          </w:tcPr>
          <w:p w14:paraId="071E1762" w14:textId="77777777" w:rsidR="0023277A" w:rsidRPr="007F1C12" w:rsidRDefault="0023277A" w:rsidP="00B8564B">
            <w:pPr>
              <w:jc w:val="both"/>
              <w:rPr>
                <w:rFonts w:ascii="Times New Roman" w:hAnsi="Times New Roman" w:cs="Times New Roman"/>
                <w:sz w:val="24"/>
                <w:szCs w:val="24"/>
              </w:rPr>
            </w:pPr>
          </w:p>
        </w:tc>
      </w:tr>
      <w:tr w:rsidR="007F1C12" w:rsidRPr="007F1C12" w14:paraId="30E1AADF" w14:textId="77777777" w:rsidTr="0023277A">
        <w:tc>
          <w:tcPr>
            <w:tcW w:w="562" w:type="dxa"/>
          </w:tcPr>
          <w:p w14:paraId="02E1C80E" w14:textId="5A765550"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16.</w:t>
            </w:r>
          </w:p>
        </w:tc>
        <w:tc>
          <w:tcPr>
            <w:tcW w:w="2383" w:type="dxa"/>
          </w:tcPr>
          <w:p w14:paraId="78F9F1D6" w14:textId="7F29D51D"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26.02.2022</w:t>
            </w:r>
          </w:p>
        </w:tc>
        <w:tc>
          <w:tcPr>
            <w:tcW w:w="1761" w:type="dxa"/>
          </w:tcPr>
          <w:p w14:paraId="27BF8552"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Iecava</w:t>
            </w:r>
          </w:p>
        </w:tc>
        <w:tc>
          <w:tcPr>
            <w:tcW w:w="959" w:type="dxa"/>
          </w:tcPr>
          <w:p w14:paraId="796A67E3" w14:textId="77777777" w:rsidR="0023277A" w:rsidRPr="007F1C12" w:rsidRDefault="0023277A" w:rsidP="00B8564B">
            <w:pPr>
              <w:jc w:val="both"/>
              <w:rPr>
                <w:rFonts w:ascii="Times New Roman" w:hAnsi="Times New Roman" w:cs="Times New Roman"/>
                <w:sz w:val="24"/>
                <w:szCs w:val="24"/>
              </w:rPr>
            </w:pPr>
            <w:r w:rsidRPr="007F1C12">
              <w:rPr>
                <w:rFonts w:ascii="Times New Roman" w:hAnsi="Times New Roman" w:cs="Times New Roman"/>
                <w:sz w:val="24"/>
                <w:szCs w:val="24"/>
              </w:rPr>
              <w:t>15</w:t>
            </w:r>
          </w:p>
        </w:tc>
        <w:tc>
          <w:tcPr>
            <w:tcW w:w="2637" w:type="dxa"/>
          </w:tcPr>
          <w:p w14:paraId="02206C26" w14:textId="77777777" w:rsidR="0023277A" w:rsidRPr="007F1C12" w:rsidRDefault="0023277A" w:rsidP="00B8564B">
            <w:pPr>
              <w:jc w:val="both"/>
              <w:rPr>
                <w:rFonts w:ascii="Times New Roman" w:hAnsi="Times New Roman" w:cs="Times New Roman"/>
                <w:sz w:val="24"/>
                <w:szCs w:val="24"/>
              </w:rPr>
            </w:pPr>
          </w:p>
        </w:tc>
      </w:tr>
    </w:tbl>
    <w:p w14:paraId="5283D2ED" w14:textId="701D8883" w:rsidR="00547D37" w:rsidRPr="007F1C12" w:rsidRDefault="004B4450" w:rsidP="004B4450">
      <w:pPr>
        <w:rPr>
          <w:rFonts w:ascii="Times New Roman" w:hAnsi="Times New Roman" w:cs="Times New Roman"/>
          <w:sz w:val="24"/>
          <w:szCs w:val="24"/>
        </w:rPr>
      </w:pPr>
      <w:r w:rsidRPr="007F1C12">
        <w:rPr>
          <w:rFonts w:ascii="Times New Roman" w:hAnsi="Times New Roman" w:cs="Times New Roman"/>
          <w:sz w:val="24"/>
          <w:szCs w:val="24"/>
        </w:rPr>
        <w:t>Tabula Nr.</w:t>
      </w:r>
      <w:r w:rsidR="000714F1">
        <w:rPr>
          <w:rFonts w:ascii="Times New Roman" w:hAnsi="Times New Roman" w:cs="Times New Roman"/>
          <w:sz w:val="24"/>
          <w:szCs w:val="24"/>
        </w:rPr>
        <w:t>2</w:t>
      </w:r>
      <w:r w:rsidRPr="007F1C12">
        <w:rPr>
          <w:rFonts w:ascii="Times New Roman" w:hAnsi="Times New Roman" w:cs="Times New Roman"/>
          <w:sz w:val="24"/>
          <w:szCs w:val="24"/>
        </w:rPr>
        <w:t xml:space="preserve"> </w:t>
      </w:r>
      <w:r w:rsidRPr="007F1C12">
        <w:rPr>
          <w:rFonts w:ascii="Times New Roman" w:hAnsi="Times New Roman" w:cs="Times New Roman"/>
          <w:i/>
          <w:iCs/>
          <w:sz w:val="24"/>
          <w:szCs w:val="24"/>
        </w:rPr>
        <w:t>“Februārī īstenotās vienas dienas izbraukuma vakcinācijas un tajās veiktie vakcinācijas fakti”</w:t>
      </w:r>
      <w:r w:rsidRPr="007F1C12">
        <w:rPr>
          <w:rFonts w:ascii="Times New Roman" w:hAnsi="Times New Roman" w:cs="Times New Roman"/>
          <w:sz w:val="24"/>
          <w:szCs w:val="24"/>
        </w:rPr>
        <w:t xml:space="preserve"> </w:t>
      </w:r>
    </w:p>
    <w:p w14:paraId="15339667" w14:textId="05F0A6CE" w:rsidR="006427F4" w:rsidRPr="007F1C12" w:rsidRDefault="006427F4" w:rsidP="0023277A">
      <w:pPr>
        <w:jc w:val="both"/>
        <w:rPr>
          <w:rFonts w:ascii="Times New Roman" w:hAnsi="Times New Roman" w:cs="Times New Roman"/>
          <w:sz w:val="24"/>
          <w:szCs w:val="24"/>
        </w:rPr>
      </w:pPr>
      <w:r w:rsidRPr="007F1C12">
        <w:rPr>
          <w:rFonts w:ascii="Times New Roman" w:hAnsi="Times New Roman" w:cs="Times New Roman"/>
          <w:sz w:val="24"/>
          <w:szCs w:val="24"/>
        </w:rPr>
        <w:t xml:space="preserve">Tabulā </w:t>
      </w:r>
      <w:r w:rsidR="000714F1">
        <w:rPr>
          <w:rFonts w:ascii="Times New Roman" w:hAnsi="Times New Roman" w:cs="Times New Roman"/>
          <w:sz w:val="24"/>
          <w:szCs w:val="24"/>
        </w:rPr>
        <w:t xml:space="preserve">Nr.2 </w:t>
      </w:r>
      <w:r w:rsidRPr="007F1C12">
        <w:rPr>
          <w:rFonts w:ascii="Times New Roman" w:hAnsi="Times New Roman" w:cs="Times New Roman"/>
          <w:sz w:val="24"/>
          <w:szCs w:val="24"/>
        </w:rPr>
        <w:t>redzams, ka no visiem notikušajiem izbraukumiem, tikai trīs gadījumos ir sasniegti vairāk nekā 25 vakcinācijas fakti</w:t>
      </w:r>
      <w:r w:rsidR="00C25FAD" w:rsidRPr="007F1C12">
        <w:rPr>
          <w:rFonts w:ascii="Times New Roman" w:hAnsi="Times New Roman" w:cs="Times New Roman"/>
          <w:sz w:val="24"/>
          <w:szCs w:val="24"/>
        </w:rPr>
        <w:t xml:space="preserve">, lielākoties veikto vakcinācijas faktu skaits ir starp 10 un 25. </w:t>
      </w:r>
      <w:r w:rsidRPr="007F1C12">
        <w:rPr>
          <w:rFonts w:ascii="Times New Roman" w:hAnsi="Times New Roman" w:cs="Times New Roman"/>
          <w:sz w:val="24"/>
          <w:szCs w:val="24"/>
        </w:rPr>
        <w:t xml:space="preserve">Piemērojot esošo izbraukuma vakcinācijas apmaksu pēc noteiktajiem tarifiem izbraukuma vakcinācijai, vakcinācijas pakalpojuma sniedzēji konkrētajos izbraukumos nespēj nosegt </w:t>
      </w:r>
      <w:r w:rsidR="00C25FAD" w:rsidRPr="007F1C12">
        <w:rPr>
          <w:rFonts w:ascii="Times New Roman" w:hAnsi="Times New Roman" w:cs="Times New Roman"/>
          <w:sz w:val="24"/>
          <w:szCs w:val="24"/>
        </w:rPr>
        <w:t>visus izdevumus, kas radušies darbībā</w:t>
      </w:r>
      <w:r w:rsidR="00DE17EE" w:rsidRPr="007F1C12">
        <w:rPr>
          <w:rFonts w:ascii="Times New Roman" w:hAnsi="Times New Roman" w:cs="Times New Roman"/>
          <w:sz w:val="24"/>
          <w:szCs w:val="24"/>
        </w:rPr>
        <w:t xml:space="preserve">, kā rezultātā </w:t>
      </w:r>
      <w:r w:rsidR="00DE17EE" w:rsidRPr="007F1C12">
        <w:rPr>
          <w:rFonts w:ascii="Times New Roman" w:hAnsi="Times New Roman" w:cs="Times New Roman"/>
          <w:sz w:val="24"/>
          <w:szCs w:val="24"/>
        </w:rPr>
        <w:lastRenderedPageBreak/>
        <w:t xml:space="preserve">vakcinācijas pakalpojuma sniedzējs atsakās nodrošināt šo pakalpojumu, atstājot reģionos esošos cilvēkus bez vakcinācijas. </w:t>
      </w:r>
    </w:p>
    <w:p w14:paraId="72FFB20C" w14:textId="74239C64" w:rsidR="0023277A" w:rsidRPr="007F1C12" w:rsidRDefault="006427F4" w:rsidP="0023277A">
      <w:pPr>
        <w:jc w:val="both"/>
        <w:rPr>
          <w:rFonts w:ascii="Times New Roman" w:hAnsi="Times New Roman" w:cs="Times New Roman"/>
          <w:sz w:val="24"/>
          <w:szCs w:val="24"/>
        </w:rPr>
      </w:pPr>
      <w:r w:rsidRPr="007F1C12">
        <w:rPr>
          <w:rFonts w:ascii="Times New Roman" w:hAnsi="Times New Roman" w:cs="Times New Roman"/>
          <w:sz w:val="24"/>
          <w:szCs w:val="24"/>
        </w:rPr>
        <w:t xml:space="preserve">Šobrīd noteiktais izbraukuma vakcinācijas tarifs, ja </w:t>
      </w:r>
      <w:proofErr w:type="spellStart"/>
      <w:r w:rsidRPr="007F1C12">
        <w:rPr>
          <w:rFonts w:ascii="Times New Roman" w:hAnsi="Times New Roman" w:cs="Times New Roman"/>
          <w:sz w:val="24"/>
          <w:szCs w:val="24"/>
        </w:rPr>
        <w:t>pirmsvakcinācijas</w:t>
      </w:r>
      <w:proofErr w:type="spellEnd"/>
      <w:r w:rsidRPr="007F1C12">
        <w:rPr>
          <w:rFonts w:ascii="Times New Roman" w:hAnsi="Times New Roman" w:cs="Times New Roman"/>
          <w:sz w:val="24"/>
          <w:szCs w:val="24"/>
        </w:rPr>
        <w:t xml:space="preserve"> apskati nodrošina ārsta palīgs ir EUR 11.67 un EUR 13.54, ja </w:t>
      </w:r>
      <w:proofErr w:type="spellStart"/>
      <w:r w:rsidRPr="007F1C12">
        <w:rPr>
          <w:rFonts w:ascii="Times New Roman" w:hAnsi="Times New Roman" w:cs="Times New Roman"/>
          <w:sz w:val="24"/>
          <w:szCs w:val="24"/>
        </w:rPr>
        <w:t>pirmsvakcinācijas</w:t>
      </w:r>
      <w:proofErr w:type="spellEnd"/>
      <w:r w:rsidRPr="007F1C12">
        <w:rPr>
          <w:rFonts w:ascii="Times New Roman" w:hAnsi="Times New Roman" w:cs="Times New Roman"/>
          <w:sz w:val="24"/>
          <w:szCs w:val="24"/>
        </w:rPr>
        <w:t xml:space="preserve"> apskati nodrošina ārsts. </w:t>
      </w:r>
    </w:p>
    <w:p w14:paraId="0532D1CC" w14:textId="384488DF" w:rsidR="001E311E" w:rsidRPr="007F1C12" w:rsidRDefault="001E311E" w:rsidP="00F212B2">
      <w:pPr>
        <w:spacing w:after="0"/>
        <w:jc w:val="both"/>
        <w:rPr>
          <w:rFonts w:ascii="Times New Roman" w:hAnsi="Times New Roman" w:cs="Times New Roman"/>
        </w:rPr>
      </w:pPr>
    </w:p>
    <w:p w14:paraId="23C4EFDE" w14:textId="7997C229" w:rsidR="008E6405" w:rsidRDefault="00E67721" w:rsidP="007519A8">
      <w:pPr>
        <w:jc w:val="both"/>
        <w:rPr>
          <w:rFonts w:ascii="Times New Roman" w:hAnsi="Times New Roman" w:cs="Times New Roman"/>
          <w:sz w:val="24"/>
          <w:szCs w:val="24"/>
        </w:rPr>
      </w:pPr>
      <w:r w:rsidRPr="007F1C12">
        <w:rPr>
          <w:rFonts w:ascii="Times New Roman" w:hAnsi="Times New Roman" w:cs="Times New Roman"/>
          <w:sz w:val="24"/>
          <w:szCs w:val="24"/>
        </w:rPr>
        <w:t>Turpmākajā periodā</w:t>
      </w:r>
      <w:r w:rsidR="00BB346B">
        <w:rPr>
          <w:rFonts w:ascii="Times New Roman" w:hAnsi="Times New Roman" w:cs="Times New Roman"/>
          <w:sz w:val="24"/>
          <w:szCs w:val="24"/>
        </w:rPr>
        <w:t>, jo īpaši 2022.</w:t>
      </w:r>
      <w:r w:rsidR="00015E6B">
        <w:rPr>
          <w:rFonts w:ascii="Times New Roman" w:hAnsi="Times New Roman" w:cs="Times New Roman"/>
          <w:sz w:val="24"/>
          <w:szCs w:val="24"/>
        </w:rPr>
        <w:t> </w:t>
      </w:r>
      <w:r w:rsidR="00BB346B">
        <w:rPr>
          <w:rFonts w:ascii="Times New Roman" w:hAnsi="Times New Roman" w:cs="Times New Roman"/>
          <w:sz w:val="24"/>
          <w:szCs w:val="24"/>
        </w:rPr>
        <w:t>gada rudens periodā, kad pēc epidemiologu prognozēm būs nepieciešama senioru un riska grupu vakcinācija pret Covid-19</w:t>
      </w:r>
      <w:r w:rsidR="007E2D35">
        <w:rPr>
          <w:rFonts w:ascii="Times New Roman" w:hAnsi="Times New Roman" w:cs="Times New Roman"/>
          <w:sz w:val="24"/>
          <w:szCs w:val="24"/>
        </w:rPr>
        <w:t xml:space="preserve"> un izbraukuma vakcinācija ir viens no veidiem kā sasniegt seniorus arī attālos valsts reģion</w:t>
      </w:r>
      <w:r w:rsidR="00015E6B">
        <w:rPr>
          <w:rFonts w:ascii="Times New Roman" w:hAnsi="Times New Roman" w:cs="Times New Roman"/>
          <w:sz w:val="24"/>
          <w:szCs w:val="24"/>
        </w:rPr>
        <w:t>o</w:t>
      </w:r>
      <w:r w:rsidR="007E2D35">
        <w:rPr>
          <w:rFonts w:ascii="Times New Roman" w:hAnsi="Times New Roman" w:cs="Times New Roman"/>
          <w:sz w:val="24"/>
          <w:szCs w:val="24"/>
        </w:rPr>
        <w:t>s</w:t>
      </w:r>
      <w:r w:rsidRPr="007F1C12">
        <w:rPr>
          <w:rFonts w:ascii="Times New Roman" w:hAnsi="Times New Roman" w:cs="Times New Roman"/>
          <w:sz w:val="24"/>
          <w:szCs w:val="24"/>
        </w:rPr>
        <w:t>, p</w:t>
      </w:r>
      <w:r w:rsidR="008E6405" w:rsidRPr="007F1C12">
        <w:rPr>
          <w:rFonts w:ascii="Times New Roman" w:hAnsi="Times New Roman" w:cs="Times New Roman"/>
          <w:sz w:val="24"/>
          <w:szCs w:val="24"/>
        </w:rPr>
        <w:t xml:space="preserve">lānojot izbraukuma vakcināciju, Nacionālais veselības dienests, sazinoties ar konkrētajiem vakcinācijas pakalpojuma sniedzējiem (1) kontrolēs vai ir iespējama izbraukuma vakcinācijas teritorijai tuvāko ārstniecības iestāžu iesaiste, (2) fiksēs, vai izbraukuma vakcinācijas pakalpojuma sniedzējs pirms pakalpojuma sniegšanas izvēlas jauno manipulāciju par vienas dienas izbraukuma vakcinācijas pakalpojuma nodrošināšanu vai saņems apmaksu pēc esošā tarifa par konkrēto personu vakcināciju. </w:t>
      </w:r>
      <w:r w:rsidRPr="007F1C12">
        <w:rPr>
          <w:rFonts w:ascii="Times New Roman" w:hAnsi="Times New Roman" w:cs="Times New Roman"/>
          <w:sz w:val="24"/>
          <w:szCs w:val="24"/>
        </w:rPr>
        <w:t xml:space="preserve">Vienas dienas izbraukuma vakcinācijas pakalpojums tiks nodrošināts tikai gadījumos, ja uz vakcināciju būs pietiekušies vairāk nekā 10 pakalpojuma saņēmēji. </w:t>
      </w:r>
    </w:p>
    <w:p w14:paraId="039F0BF2" w14:textId="41D44089" w:rsidR="006127BF" w:rsidRDefault="00D71352" w:rsidP="007519A8">
      <w:pPr>
        <w:jc w:val="both"/>
        <w:rPr>
          <w:rFonts w:ascii="Times New Roman" w:hAnsi="Times New Roman" w:cs="Times New Roman"/>
          <w:sz w:val="24"/>
          <w:szCs w:val="24"/>
        </w:rPr>
      </w:pPr>
      <w:r w:rsidRPr="007F1C12">
        <w:rPr>
          <w:rFonts w:ascii="Times New Roman" w:hAnsi="Times New Roman" w:cs="Times New Roman"/>
          <w:sz w:val="24"/>
          <w:szCs w:val="24"/>
        </w:rPr>
        <w:lastRenderedPageBreak/>
        <w:t xml:space="preserve">Indikatīvi prognozējams, ka vakcinācijas pakalpojuma sniedzēji jauno maksājumu (manipulāciju) izmantos vidēji </w:t>
      </w:r>
      <w:r w:rsidR="00B63C57">
        <w:rPr>
          <w:rFonts w:ascii="Times New Roman" w:hAnsi="Times New Roman" w:cs="Times New Roman"/>
          <w:sz w:val="24"/>
          <w:szCs w:val="24"/>
        </w:rPr>
        <w:t>405</w:t>
      </w:r>
      <w:r w:rsidR="00B63C57" w:rsidRPr="007F1C12">
        <w:rPr>
          <w:rFonts w:ascii="Times New Roman" w:hAnsi="Times New Roman" w:cs="Times New Roman"/>
          <w:sz w:val="24"/>
          <w:szCs w:val="24"/>
        </w:rPr>
        <w:t xml:space="preserve"> </w:t>
      </w:r>
      <w:r w:rsidRPr="007F1C12">
        <w:rPr>
          <w:rFonts w:ascii="Times New Roman" w:hAnsi="Times New Roman" w:cs="Times New Roman"/>
          <w:sz w:val="24"/>
          <w:szCs w:val="24"/>
        </w:rPr>
        <w:t xml:space="preserve">reizes </w:t>
      </w:r>
      <w:r w:rsidR="000816C3" w:rsidRPr="007F1C12">
        <w:rPr>
          <w:rFonts w:ascii="Times New Roman" w:hAnsi="Times New Roman" w:cs="Times New Roman"/>
          <w:sz w:val="24"/>
          <w:szCs w:val="24"/>
        </w:rPr>
        <w:t xml:space="preserve">(pieņemot, ka mēnesī vidēji tiek rīkots līdz 45 izbraukumiem </w:t>
      </w:r>
      <w:r w:rsidR="00BB346B">
        <w:rPr>
          <w:rFonts w:ascii="Times New Roman" w:hAnsi="Times New Roman" w:cs="Times New Roman"/>
          <w:sz w:val="24"/>
          <w:szCs w:val="24"/>
        </w:rPr>
        <w:t>(</w:t>
      </w:r>
      <w:r w:rsidR="00B63C57">
        <w:rPr>
          <w:rFonts w:ascii="Times New Roman" w:hAnsi="Times New Roman" w:cs="Times New Roman"/>
          <w:sz w:val="24"/>
          <w:szCs w:val="24"/>
        </w:rPr>
        <w:t xml:space="preserve">2021. gada septembrī līdz decembra beigām notikuši 290 izbraukumi, kas ir vidēji 72 izbraukumi mēnesī. Taču, prognozējot, ka nākotnē vakcinācijai pret Covid-19 nebūs tik lielas intensitātes, tiek plānots realizēt līdz 45 izbraukumiem vienā mēnesī) </w:t>
      </w:r>
      <w:r w:rsidR="000816C3" w:rsidRPr="007F1C12">
        <w:rPr>
          <w:rFonts w:ascii="Times New Roman" w:hAnsi="Times New Roman" w:cs="Times New Roman"/>
          <w:sz w:val="24"/>
          <w:szCs w:val="24"/>
        </w:rPr>
        <w:t xml:space="preserve">uz valsts attālākajiem reģioniem) </w:t>
      </w:r>
      <w:r w:rsidRPr="007F1C12">
        <w:rPr>
          <w:rFonts w:ascii="Times New Roman" w:hAnsi="Times New Roman" w:cs="Times New Roman"/>
          <w:sz w:val="24"/>
          <w:szCs w:val="24"/>
        </w:rPr>
        <w:t xml:space="preserve">laikā līdz 2022. gada </w:t>
      </w:r>
      <w:r w:rsidR="00BB346B">
        <w:rPr>
          <w:rFonts w:ascii="Times New Roman" w:hAnsi="Times New Roman" w:cs="Times New Roman"/>
          <w:sz w:val="24"/>
          <w:szCs w:val="24"/>
        </w:rPr>
        <w:t xml:space="preserve"> 31.decembrim</w:t>
      </w:r>
      <w:r w:rsidRPr="007F1C12">
        <w:rPr>
          <w:rFonts w:ascii="Times New Roman" w:hAnsi="Times New Roman" w:cs="Times New Roman"/>
          <w:sz w:val="24"/>
          <w:szCs w:val="24"/>
        </w:rPr>
        <w:t>. Indikatīvi nepieciešamais finansējums</w:t>
      </w:r>
      <w:r w:rsidR="00A13D60" w:rsidRPr="007F1C12">
        <w:rPr>
          <w:rFonts w:ascii="Times New Roman" w:hAnsi="Times New Roman" w:cs="Times New Roman"/>
          <w:sz w:val="24"/>
          <w:szCs w:val="24"/>
        </w:rPr>
        <w:t xml:space="preserve"> ir no </w:t>
      </w:r>
      <w:r w:rsidR="00A13D60" w:rsidRPr="007F1C12">
        <w:rPr>
          <w:rFonts w:ascii="Times New Roman" w:hAnsi="Times New Roman" w:cs="Times New Roman"/>
          <w:b/>
          <w:bCs/>
          <w:sz w:val="24"/>
          <w:szCs w:val="24"/>
        </w:rPr>
        <w:t>EUR</w:t>
      </w:r>
      <w:r w:rsidR="000714F1">
        <w:rPr>
          <w:rFonts w:ascii="Times New Roman" w:hAnsi="Times New Roman" w:cs="Times New Roman"/>
          <w:b/>
          <w:bCs/>
          <w:sz w:val="24"/>
          <w:szCs w:val="24"/>
        </w:rPr>
        <w:t xml:space="preserve"> </w:t>
      </w:r>
      <w:r w:rsidR="006245A0">
        <w:rPr>
          <w:rFonts w:ascii="Times New Roman" w:hAnsi="Times New Roman" w:cs="Times New Roman"/>
          <w:b/>
          <w:bCs/>
          <w:sz w:val="24"/>
          <w:szCs w:val="24"/>
        </w:rPr>
        <w:t>216 083</w:t>
      </w:r>
      <w:r w:rsidR="00A13D60" w:rsidRPr="007F1C12">
        <w:rPr>
          <w:rFonts w:ascii="Times New Roman" w:hAnsi="Times New Roman" w:cs="Times New Roman"/>
          <w:sz w:val="24"/>
          <w:szCs w:val="24"/>
        </w:rPr>
        <w:t xml:space="preserve"> (ja izbraukums ar ārsta palīga </w:t>
      </w:r>
      <w:proofErr w:type="spellStart"/>
      <w:r w:rsidR="00A13D60" w:rsidRPr="007F1C12">
        <w:rPr>
          <w:rFonts w:ascii="Times New Roman" w:hAnsi="Times New Roman" w:cs="Times New Roman"/>
          <w:sz w:val="24"/>
          <w:szCs w:val="24"/>
        </w:rPr>
        <w:t>pirmsvakcinācijas</w:t>
      </w:r>
      <w:proofErr w:type="spellEnd"/>
      <w:r w:rsidR="00A13D60" w:rsidRPr="007F1C12">
        <w:rPr>
          <w:rFonts w:ascii="Times New Roman" w:hAnsi="Times New Roman" w:cs="Times New Roman"/>
          <w:sz w:val="24"/>
          <w:szCs w:val="24"/>
        </w:rPr>
        <w:t xml:space="preserve"> apskati) līdz </w:t>
      </w:r>
      <w:r w:rsidRPr="007F1C12">
        <w:rPr>
          <w:rFonts w:ascii="Times New Roman" w:hAnsi="Times New Roman" w:cs="Times New Roman"/>
          <w:b/>
          <w:bCs/>
          <w:sz w:val="24"/>
          <w:szCs w:val="24"/>
        </w:rPr>
        <w:t xml:space="preserve">EUR </w:t>
      </w:r>
      <w:r w:rsidR="006245A0">
        <w:rPr>
          <w:rFonts w:ascii="Times New Roman" w:hAnsi="Times New Roman" w:cs="Times New Roman"/>
          <w:b/>
          <w:bCs/>
          <w:sz w:val="24"/>
          <w:szCs w:val="24"/>
        </w:rPr>
        <w:t>241 327</w:t>
      </w:r>
      <w:r w:rsidR="00EB1E2E">
        <w:rPr>
          <w:rFonts w:ascii="Times New Roman" w:hAnsi="Times New Roman" w:cs="Times New Roman"/>
          <w:b/>
          <w:bCs/>
          <w:sz w:val="24"/>
          <w:szCs w:val="24"/>
        </w:rPr>
        <w:t xml:space="preserve"> </w:t>
      </w:r>
      <w:r w:rsidRPr="007F1C12">
        <w:rPr>
          <w:rFonts w:ascii="Times New Roman" w:hAnsi="Times New Roman" w:cs="Times New Roman"/>
          <w:sz w:val="24"/>
          <w:szCs w:val="24"/>
        </w:rPr>
        <w:t xml:space="preserve">(ja izbraukums ar ārsta </w:t>
      </w:r>
      <w:proofErr w:type="spellStart"/>
      <w:r w:rsidRPr="007F1C12">
        <w:rPr>
          <w:rFonts w:ascii="Times New Roman" w:hAnsi="Times New Roman" w:cs="Times New Roman"/>
          <w:sz w:val="24"/>
          <w:szCs w:val="24"/>
        </w:rPr>
        <w:t>pirmsvakcinācijas</w:t>
      </w:r>
      <w:proofErr w:type="spellEnd"/>
      <w:r w:rsidRPr="007F1C12">
        <w:rPr>
          <w:rFonts w:ascii="Times New Roman" w:hAnsi="Times New Roman" w:cs="Times New Roman"/>
          <w:sz w:val="24"/>
          <w:szCs w:val="24"/>
        </w:rPr>
        <w:t xml:space="preserve"> apskati). </w:t>
      </w:r>
      <w:r w:rsidR="00A13D60" w:rsidRPr="007F1C12">
        <w:rPr>
          <w:rFonts w:ascii="Times New Roman" w:hAnsi="Times New Roman" w:cs="Times New Roman"/>
          <w:sz w:val="24"/>
          <w:szCs w:val="24"/>
        </w:rPr>
        <w:t>Vienas dienas izbraukuma vakcinācijas izdevumus segs budžeta resora "74. Gadskārtējā valsts budžeta izpildes procesā pārdalāmais finansējums" valsts budžeta programmas 12.00.00 "Finansējums veselības jomas pasākumiem Covid-19 infekcijas izplatības ierobežošanai"" piešķirto līdzekļu ietvaros.</w:t>
      </w:r>
    </w:p>
    <w:p w14:paraId="075BA799" w14:textId="20399ACD" w:rsidR="001E759B" w:rsidRPr="007F1C12" w:rsidRDefault="00151126" w:rsidP="007519A8">
      <w:pPr>
        <w:jc w:val="both"/>
        <w:rPr>
          <w:rFonts w:ascii="Times New Roman" w:hAnsi="Times New Roman" w:cs="Times New Roman"/>
          <w:sz w:val="24"/>
          <w:szCs w:val="24"/>
        </w:rPr>
      </w:pPr>
      <w:bookmarkStart w:id="1" w:name="_Hlk98513068"/>
      <w:r w:rsidRPr="00151126">
        <w:rPr>
          <w:rFonts w:ascii="Times New Roman" w:hAnsi="Times New Roman" w:cs="Times New Roman"/>
          <w:sz w:val="24"/>
          <w:szCs w:val="24"/>
        </w:rPr>
        <w:t>Veselības ministrija normatīvajos aktos noteiktā kārtībā sagatavo</w:t>
      </w:r>
      <w:r w:rsidR="00FC5A8A">
        <w:rPr>
          <w:rFonts w:ascii="Times New Roman" w:hAnsi="Times New Roman" w:cs="Times New Roman"/>
          <w:sz w:val="24"/>
          <w:szCs w:val="24"/>
        </w:rPr>
        <w:t>s</w:t>
      </w:r>
      <w:r w:rsidRPr="00151126">
        <w:rPr>
          <w:rFonts w:ascii="Times New Roman" w:hAnsi="Times New Roman" w:cs="Times New Roman"/>
          <w:sz w:val="24"/>
          <w:szCs w:val="24"/>
        </w:rPr>
        <w:t xml:space="preserve"> un iesnieg</w:t>
      </w:r>
      <w:r w:rsidR="00FC5A8A">
        <w:rPr>
          <w:rFonts w:ascii="Times New Roman" w:hAnsi="Times New Roman" w:cs="Times New Roman"/>
          <w:sz w:val="24"/>
          <w:szCs w:val="24"/>
        </w:rPr>
        <w:t>s</w:t>
      </w:r>
      <w:r w:rsidRPr="00151126">
        <w:rPr>
          <w:rFonts w:ascii="Times New Roman" w:hAnsi="Times New Roman" w:cs="Times New Roman"/>
          <w:sz w:val="24"/>
          <w:szCs w:val="24"/>
        </w:rPr>
        <w:t xml:space="preserve"> izskatīšanai Ministru kabinetā rīkojum</w:t>
      </w:r>
      <w:r w:rsidR="00FC5A8A">
        <w:rPr>
          <w:rFonts w:ascii="Times New Roman" w:hAnsi="Times New Roman" w:cs="Times New Roman"/>
          <w:sz w:val="24"/>
          <w:szCs w:val="24"/>
        </w:rPr>
        <w:t>a</w:t>
      </w:r>
      <w:r w:rsidRPr="00151126">
        <w:rPr>
          <w:rFonts w:ascii="Times New Roman" w:hAnsi="Times New Roman" w:cs="Times New Roman"/>
          <w:sz w:val="24"/>
          <w:szCs w:val="24"/>
        </w:rPr>
        <w:t xml:space="preserve"> projektus par </w:t>
      </w:r>
      <w:r w:rsidR="00FC5A8A" w:rsidRPr="00FC5A8A">
        <w:rPr>
          <w:rFonts w:ascii="Times New Roman" w:hAnsi="Times New Roman" w:cs="Times New Roman"/>
          <w:sz w:val="24"/>
          <w:szCs w:val="24"/>
        </w:rPr>
        <w:t>apropriācijas pārdali no budžeta resora “74.Gadskārtējā valsts budžeta izpildes procesā pārdalāmais finansējums” programmas 12.00.00 “Finansējums veselības jomas pasākumiem Covid-19 infekcijas izplatības ierobežošanai” atbilstoši faktiski nepieciešamajam apmēram.</w:t>
      </w:r>
    </w:p>
    <w:bookmarkEnd w:id="1"/>
    <w:p w14:paraId="38B94A10" w14:textId="375B09C0" w:rsidR="006127BF" w:rsidRPr="007F1C12" w:rsidRDefault="006127BF" w:rsidP="007519A8">
      <w:pPr>
        <w:jc w:val="both"/>
        <w:rPr>
          <w:rFonts w:ascii="Times New Roman" w:hAnsi="Times New Roman" w:cs="Times New Roman"/>
          <w:sz w:val="24"/>
          <w:szCs w:val="24"/>
        </w:rPr>
      </w:pPr>
    </w:p>
    <w:tbl>
      <w:tblPr>
        <w:tblW w:w="8234" w:type="dxa"/>
        <w:tblLayout w:type="fixed"/>
        <w:tblLook w:val="0400" w:firstRow="0" w:lastRow="0" w:firstColumn="0" w:lastColumn="0" w:noHBand="0" w:noVBand="1"/>
      </w:tblPr>
      <w:tblGrid>
        <w:gridCol w:w="3196"/>
        <w:gridCol w:w="1352"/>
        <w:gridCol w:w="3686"/>
      </w:tblGrid>
      <w:tr w:rsidR="006127BF" w:rsidRPr="007F1C12" w14:paraId="18856175" w14:textId="77777777" w:rsidTr="006127BF">
        <w:trPr>
          <w:trHeight w:val="358"/>
        </w:trPr>
        <w:tc>
          <w:tcPr>
            <w:tcW w:w="3196" w:type="dxa"/>
          </w:tcPr>
          <w:p w14:paraId="091550E1" w14:textId="77777777" w:rsidR="006127BF" w:rsidRPr="007F1C12" w:rsidRDefault="006127BF" w:rsidP="003758B5">
            <w:pPr>
              <w:pBdr>
                <w:top w:val="nil"/>
                <w:left w:val="nil"/>
                <w:bottom w:val="nil"/>
                <w:right w:val="nil"/>
                <w:between w:val="nil"/>
              </w:pBdr>
              <w:tabs>
                <w:tab w:val="left" w:pos="3969"/>
                <w:tab w:val="left" w:pos="6379"/>
              </w:tabs>
              <w:rPr>
                <w:rFonts w:ascii="Times New Roman" w:eastAsia="Times New Roman" w:hAnsi="Times New Roman" w:cs="Times New Roman"/>
                <w:sz w:val="24"/>
                <w:szCs w:val="24"/>
                <w:highlight w:val="yellow"/>
              </w:rPr>
            </w:pPr>
            <w:r w:rsidRPr="007F1C12">
              <w:rPr>
                <w:rFonts w:ascii="Times New Roman" w:eastAsia="Times New Roman" w:hAnsi="Times New Roman" w:cs="Times New Roman"/>
                <w:sz w:val="24"/>
                <w:szCs w:val="24"/>
              </w:rPr>
              <w:t>Veselības ministrs</w:t>
            </w:r>
          </w:p>
        </w:tc>
        <w:tc>
          <w:tcPr>
            <w:tcW w:w="1352" w:type="dxa"/>
            <w:vAlign w:val="center"/>
          </w:tcPr>
          <w:p w14:paraId="11CC6B2F" w14:textId="77777777" w:rsidR="006127BF" w:rsidRPr="007F1C12" w:rsidRDefault="006127BF" w:rsidP="003758B5">
            <w:pPr>
              <w:pBdr>
                <w:top w:val="nil"/>
                <w:left w:val="nil"/>
                <w:bottom w:val="nil"/>
                <w:right w:val="nil"/>
                <w:between w:val="nil"/>
              </w:pBdr>
              <w:tabs>
                <w:tab w:val="left" w:pos="3969"/>
                <w:tab w:val="left" w:pos="6379"/>
              </w:tabs>
              <w:jc w:val="center"/>
              <w:rPr>
                <w:rFonts w:ascii="Times New Roman" w:eastAsia="Times New Roman" w:hAnsi="Times New Roman" w:cs="Times New Roman"/>
                <w:sz w:val="24"/>
                <w:szCs w:val="24"/>
              </w:rPr>
            </w:pPr>
            <w:r w:rsidRPr="007F1C12">
              <w:rPr>
                <w:rFonts w:ascii="Times New Roman" w:eastAsia="Times New Roman" w:hAnsi="Times New Roman" w:cs="Times New Roman"/>
                <w:sz w:val="24"/>
                <w:szCs w:val="24"/>
              </w:rPr>
              <w:t>(paraksts*)</w:t>
            </w:r>
          </w:p>
        </w:tc>
        <w:tc>
          <w:tcPr>
            <w:tcW w:w="3686" w:type="dxa"/>
          </w:tcPr>
          <w:p w14:paraId="6A389A53" w14:textId="77777777" w:rsidR="006127BF" w:rsidRPr="007F1C12" w:rsidRDefault="006127BF" w:rsidP="003758B5">
            <w:pPr>
              <w:pBdr>
                <w:top w:val="nil"/>
                <w:left w:val="nil"/>
                <w:bottom w:val="nil"/>
                <w:right w:val="nil"/>
                <w:between w:val="nil"/>
              </w:pBdr>
              <w:tabs>
                <w:tab w:val="left" w:pos="3969"/>
                <w:tab w:val="left" w:pos="6379"/>
              </w:tabs>
              <w:jc w:val="right"/>
              <w:rPr>
                <w:rFonts w:ascii="Times New Roman" w:eastAsia="Times New Roman" w:hAnsi="Times New Roman" w:cs="Times New Roman"/>
                <w:sz w:val="24"/>
                <w:szCs w:val="24"/>
              </w:rPr>
            </w:pPr>
            <w:r w:rsidRPr="007F1C12">
              <w:rPr>
                <w:rFonts w:ascii="Times New Roman" w:eastAsia="Times New Roman" w:hAnsi="Times New Roman" w:cs="Times New Roman"/>
                <w:sz w:val="24"/>
                <w:szCs w:val="24"/>
              </w:rPr>
              <w:t>Daniels Pavļuts</w:t>
            </w:r>
          </w:p>
        </w:tc>
      </w:tr>
    </w:tbl>
    <w:p w14:paraId="3A91DE98" w14:textId="77777777" w:rsidR="006127BF" w:rsidRPr="007F1C12" w:rsidRDefault="006127BF" w:rsidP="007519A8">
      <w:pPr>
        <w:jc w:val="both"/>
        <w:rPr>
          <w:rFonts w:ascii="Times New Roman" w:hAnsi="Times New Roman" w:cs="Times New Roman"/>
          <w:sz w:val="24"/>
          <w:szCs w:val="24"/>
        </w:rPr>
      </w:pPr>
    </w:p>
    <w:sectPr w:rsidR="006127BF" w:rsidRPr="007F1C12" w:rsidSect="00CB6490">
      <w:footerReference w:type="default" r:id="rId13"/>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B516C" w14:textId="77777777" w:rsidR="00CA431F" w:rsidRDefault="00CA431F" w:rsidP="00C42B71">
      <w:pPr>
        <w:spacing w:after="0" w:line="240" w:lineRule="auto"/>
      </w:pPr>
      <w:r>
        <w:separator/>
      </w:r>
    </w:p>
  </w:endnote>
  <w:endnote w:type="continuationSeparator" w:id="0">
    <w:p w14:paraId="52790A12" w14:textId="77777777" w:rsidR="00CA431F" w:rsidRDefault="00CA431F" w:rsidP="00C42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376930134"/>
      <w:docPartObj>
        <w:docPartGallery w:val="Page Numbers (Bottom of Page)"/>
        <w:docPartUnique/>
      </w:docPartObj>
    </w:sdtPr>
    <w:sdtEndPr>
      <w:rPr>
        <w:noProof/>
      </w:rPr>
    </w:sdtEndPr>
    <w:sdtContent>
      <w:p w14:paraId="3E82E3E8" w14:textId="22356087" w:rsidR="00C42B71" w:rsidRPr="00CF3EF9" w:rsidRDefault="00C42B71">
        <w:pPr>
          <w:pStyle w:val="Footer"/>
          <w:jc w:val="center"/>
          <w:rPr>
            <w:rFonts w:ascii="Times New Roman" w:hAnsi="Times New Roman" w:cs="Times New Roman"/>
          </w:rPr>
        </w:pPr>
        <w:r w:rsidRPr="00CF3EF9">
          <w:rPr>
            <w:rFonts w:ascii="Times New Roman" w:hAnsi="Times New Roman" w:cs="Times New Roman"/>
          </w:rPr>
          <w:fldChar w:fldCharType="begin"/>
        </w:r>
        <w:r w:rsidRPr="00CF3EF9">
          <w:rPr>
            <w:rFonts w:ascii="Times New Roman" w:hAnsi="Times New Roman" w:cs="Times New Roman"/>
          </w:rPr>
          <w:instrText xml:space="preserve"> PAGE   \* MERGEFORMAT </w:instrText>
        </w:r>
        <w:r w:rsidRPr="00CF3EF9">
          <w:rPr>
            <w:rFonts w:ascii="Times New Roman" w:hAnsi="Times New Roman" w:cs="Times New Roman"/>
          </w:rPr>
          <w:fldChar w:fldCharType="separate"/>
        </w:r>
        <w:r w:rsidRPr="00CF3EF9">
          <w:rPr>
            <w:rFonts w:ascii="Times New Roman" w:hAnsi="Times New Roman" w:cs="Times New Roman"/>
            <w:noProof/>
          </w:rPr>
          <w:t>2</w:t>
        </w:r>
        <w:r w:rsidRPr="00CF3EF9">
          <w:rPr>
            <w:rFonts w:ascii="Times New Roman" w:hAnsi="Times New Roman" w:cs="Times New Roman"/>
            <w:noProof/>
          </w:rPr>
          <w:fldChar w:fldCharType="end"/>
        </w:r>
      </w:p>
    </w:sdtContent>
  </w:sdt>
  <w:p w14:paraId="051798D4" w14:textId="77777777" w:rsidR="00C42B71" w:rsidRDefault="00C42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B72CB" w14:textId="77777777" w:rsidR="00CA431F" w:rsidRDefault="00CA431F" w:rsidP="00C42B71">
      <w:pPr>
        <w:spacing w:after="0" w:line="240" w:lineRule="auto"/>
      </w:pPr>
      <w:r>
        <w:separator/>
      </w:r>
    </w:p>
  </w:footnote>
  <w:footnote w:type="continuationSeparator" w:id="0">
    <w:p w14:paraId="72708D34" w14:textId="77777777" w:rsidR="00CA431F" w:rsidRDefault="00CA431F" w:rsidP="00C42B71">
      <w:pPr>
        <w:spacing w:after="0" w:line="240" w:lineRule="auto"/>
      </w:pPr>
      <w:r>
        <w:continuationSeparator/>
      </w:r>
    </w:p>
  </w:footnote>
  <w:footnote w:id="1">
    <w:p w14:paraId="665BF130" w14:textId="6EBE87C7" w:rsidR="00DC12E0" w:rsidRDefault="00DC12E0" w:rsidP="00FC5A8A">
      <w:pPr>
        <w:pStyle w:val="FootnoteText"/>
        <w:jc w:val="both"/>
      </w:pPr>
      <w:r>
        <w:rPr>
          <w:rStyle w:val="FootnoteReference"/>
        </w:rPr>
        <w:footnoteRef/>
      </w:r>
      <w:r>
        <w:t xml:space="preserve"> </w:t>
      </w:r>
      <w:r w:rsidRPr="00DB23DC">
        <w:rPr>
          <w:rFonts w:ascii="Times New Roman" w:hAnsi="Times New Roman" w:cs="Times New Roman"/>
        </w:rPr>
        <w:t xml:space="preserve">Tarifu aprēķina metodika noteikta Nacionālā veselības dienesta 2015. gada 17. novembrī </w:t>
      </w:r>
      <w:r w:rsidR="00A07C80" w:rsidRPr="00DB23DC">
        <w:rPr>
          <w:rFonts w:ascii="Times New Roman" w:hAnsi="Times New Roman" w:cs="Times New Roman"/>
        </w:rPr>
        <w:t>apstiprinātā</w:t>
      </w:r>
      <w:r w:rsidRPr="00DB23DC">
        <w:rPr>
          <w:rFonts w:ascii="Times New Roman" w:hAnsi="Times New Roman" w:cs="Times New Roman"/>
        </w:rPr>
        <w:t xml:space="preserve"> iekšējā normatīvajā aktā “Veselības aprūpes pakalpojumu izmaksu un aprēķināšanas un pārrēķināšanas iekšējie noteikumi”</w:t>
      </w:r>
      <w:r w:rsidR="00A07C80" w:rsidRPr="00DB23DC">
        <w:rPr>
          <w:rFonts w:ascii="Times New Roman" w:hAnsi="Times New Roman" w:cs="Times New Roman"/>
        </w:rPr>
        <w:t>. Tas nosaka, ka A, U un N elementu nosaka ar fiksētu koeficientu pret darba samaksu konkrētam veselības aprūpes pakalpojumam. Aprēķinot koeficientus (reizi gadā jeb pieejamā finansējuma gadījumā) tiek ņemts vērā reģionālo daudzprofilu slimnīcu pārskati par faktisko līdzekļu izlietojumu iepriekšējā periodā.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46F5F"/>
    <w:multiLevelType w:val="hybridMultilevel"/>
    <w:tmpl w:val="A73C3B34"/>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53E1365B"/>
    <w:multiLevelType w:val="hybridMultilevel"/>
    <w:tmpl w:val="E0DC0BE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6F3052E3"/>
    <w:multiLevelType w:val="hybridMultilevel"/>
    <w:tmpl w:val="084CCD1C"/>
    <w:lvl w:ilvl="0" w:tplc="0E18111E">
      <w:start w:val="17"/>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760"/>
    <w:rsid w:val="00002180"/>
    <w:rsid w:val="000150F9"/>
    <w:rsid w:val="00015E6B"/>
    <w:rsid w:val="000339BB"/>
    <w:rsid w:val="000714F1"/>
    <w:rsid w:val="000816C3"/>
    <w:rsid w:val="00090AD3"/>
    <w:rsid w:val="000D7057"/>
    <w:rsid w:val="000F41D9"/>
    <w:rsid w:val="001010D7"/>
    <w:rsid w:val="0013701D"/>
    <w:rsid w:val="00151126"/>
    <w:rsid w:val="00175AF1"/>
    <w:rsid w:val="001A00D8"/>
    <w:rsid w:val="001A281A"/>
    <w:rsid w:val="001B2D49"/>
    <w:rsid w:val="001D43BF"/>
    <w:rsid w:val="001E311E"/>
    <w:rsid w:val="001E759B"/>
    <w:rsid w:val="00220421"/>
    <w:rsid w:val="002209CB"/>
    <w:rsid w:val="00221982"/>
    <w:rsid w:val="0023277A"/>
    <w:rsid w:val="002379B3"/>
    <w:rsid w:val="00282952"/>
    <w:rsid w:val="00284714"/>
    <w:rsid w:val="002856AA"/>
    <w:rsid w:val="002919A1"/>
    <w:rsid w:val="002A0C49"/>
    <w:rsid w:val="002A691E"/>
    <w:rsid w:val="002D3594"/>
    <w:rsid w:val="00303E11"/>
    <w:rsid w:val="00317C72"/>
    <w:rsid w:val="00341213"/>
    <w:rsid w:val="0034752F"/>
    <w:rsid w:val="00362C7F"/>
    <w:rsid w:val="00365E4F"/>
    <w:rsid w:val="0037201B"/>
    <w:rsid w:val="0038026E"/>
    <w:rsid w:val="00383F88"/>
    <w:rsid w:val="00397F23"/>
    <w:rsid w:val="003E1F24"/>
    <w:rsid w:val="00403193"/>
    <w:rsid w:val="00427CBC"/>
    <w:rsid w:val="004368A5"/>
    <w:rsid w:val="00470DA9"/>
    <w:rsid w:val="004878A0"/>
    <w:rsid w:val="00497BC2"/>
    <w:rsid w:val="004A0912"/>
    <w:rsid w:val="004B3472"/>
    <w:rsid w:val="004B4450"/>
    <w:rsid w:val="004C2D57"/>
    <w:rsid w:val="004D3143"/>
    <w:rsid w:val="004D4E18"/>
    <w:rsid w:val="004D672A"/>
    <w:rsid w:val="004E6A2B"/>
    <w:rsid w:val="00501DDF"/>
    <w:rsid w:val="00502ED2"/>
    <w:rsid w:val="0050602D"/>
    <w:rsid w:val="00517687"/>
    <w:rsid w:val="00542400"/>
    <w:rsid w:val="00547D37"/>
    <w:rsid w:val="00585F38"/>
    <w:rsid w:val="00596457"/>
    <w:rsid w:val="005B0FEC"/>
    <w:rsid w:val="005B3598"/>
    <w:rsid w:val="005C16B2"/>
    <w:rsid w:val="005D4A7E"/>
    <w:rsid w:val="005F65C6"/>
    <w:rsid w:val="006127BF"/>
    <w:rsid w:val="006245A0"/>
    <w:rsid w:val="006427F4"/>
    <w:rsid w:val="006470FA"/>
    <w:rsid w:val="00657AAF"/>
    <w:rsid w:val="00661A66"/>
    <w:rsid w:val="00683407"/>
    <w:rsid w:val="006B0D8E"/>
    <w:rsid w:val="006C0162"/>
    <w:rsid w:val="006C1A98"/>
    <w:rsid w:val="006C7A56"/>
    <w:rsid w:val="006D4130"/>
    <w:rsid w:val="00710A2A"/>
    <w:rsid w:val="00723587"/>
    <w:rsid w:val="007444B4"/>
    <w:rsid w:val="007519A8"/>
    <w:rsid w:val="00751FC5"/>
    <w:rsid w:val="00767BC9"/>
    <w:rsid w:val="00773D7E"/>
    <w:rsid w:val="007A71E9"/>
    <w:rsid w:val="007C0700"/>
    <w:rsid w:val="007E2D35"/>
    <w:rsid w:val="007F1C12"/>
    <w:rsid w:val="008250A0"/>
    <w:rsid w:val="00837311"/>
    <w:rsid w:val="008648E5"/>
    <w:rsid w:val="008B6544"/>
    <w:rsid w:val="008E210D"/>
    <w:rsid w:val="008E4B51"/>
    <w:rsid w:val="008E6405"/>
    <w:rsid w:val="00984EE0"/>
    <w:rsid w:val="009C1760"/>
    <w:rsid w:val="009E32EF"/>
    <w:rsid w:val="00A008BF"/>
    <w:rsid w:val="00A07C80"/>
    <w:rsid w:val="00A13D60"/>
    <w:rsid w:val="00A378EE"/>
    <w:rsid w:val="00A45A86"/>
    <w:rsid w:val="00A6661E"/>
    <w:rsid w:val="00A674EB"/>
    <w:rsid w:val="00A8243D"/>
    <w:rsid w:val="00A9686E"/>
    <w:rsid w:val="00AB243D"/>
    <w:rsid w:val="00AB2857"/>
    <w:rsid w:val="00AB6030"/>
    <w:rsid w:val="00AC076C"/>
    <w:rsid w:val="00AC3F0F"/>
    <w:rsid w:val="00B14E61"/>
    <w:rsid w:val="00B36F1A"/>
    <w:rsid w:val="00B42EB6"/>
    <w:rsid w:val="00B46021"/>
    <w:rsid w:val="00B63C57"/>
    <w:rsid w:val="00B677E6"/>
    <w:rsid w:val="00B92CD8"/>
    <w:rsid w:val="00BB346B"/>
    <w:rsid w:val="00BB7AEB"/>
    <w:rsid w:val="00BC7C21"/>
    <w:rsid w:val="00BF4021"/>
    <w:rsid w:val="00C0522B"/>
    <w:rsid w:val="00C2434C"/>
    <w:rsid w:val="00C25FAD"/>
    <w:rsid w:val="00C37126"/>
    <w:rsid w:val="00C42B71"/>
    <w:rsid w:val="00C42E1F"/>
    <w:rsid w:val="00C43FC6"/>
    <w:rsid w:val="00C60EAF"/>
    <w:rsid w:val="00C64E0D"/>
    <w:rsid w:val="00C85F09"/>
    <w:rsid w:val="00CA431F"/>
    <w:rsid w:val="00CB6490"/>
    <w:rsid w:val="00CB7ABE"/>
    <w:rsid w:val="00CD5611"/>
    <w:rsid w:val="00CF3EF9"/>
    <w:rsid w:val="00D110B2"/>
    <w:rsid w:val="00D225E8"/>
    <w:rsid w:val="00D40221"/>
    <w:rsid w:val="00D4121B"/>
    <w:rsid w:val="00D622BF"/>
    <w:rsid w:val="00D71352"/>
    <w:rsid w:val="00D9502B"/>
    <w:rsid w:val="00DB0459"/>
    <w:rsid w:val="00DB23DC"/>
    <w:rsid w:val="00DC12E0"/>
    <w:rsid w:val="00DD6247"/>
    <w:rsid w:val="00DE17EE"/>
    <w:rsid w:val="00DF22DB"/>
    <w:rsid w:val="00E0177B"/>
    <w:rsid w:val="00E17D2A"/>
    <w:rsid w:val="00E451FA"/>
    <w:rsid w:val="00E67721"/>
    <w:rsid w:val="00E71351"/>
    <w:rsid w:val="00E914FC"/>
    <w:rsid w:val="00EA2AF9"/>
    <w:rsid w:val="00EA6BE7"/>
    <w:rsid w:val="00EB1E2E"/>
    <w:rsid w:val="00ED1CA9"/>
    <w:rsid w:val="00ED4DE4"/>
    <w:rsid w:val="00ED4E09"/>
    <w:rsid w:val="00EE478B"/>
    <w:rsid w:val="00EF42BE"/>
    <w:rsid w:val="00F212B2"/>
    <w:rsid w:val="00F257E6"/>
    <w:rsid w:val="00F4284E"/>
    <w:rsid w:val="00F96D37"/>
    <w:rsid w:val="00F97045"/>
    <w:rsid w:val="00FC5A8A"/>
    <w:rsid w:val="00FC72F0"/>
    <w:rsid w:val="00FD527B"/>
    <w:rsid w:val="00FF32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F91EF"/>
  <w15:chartTrackingRefBased/>
  <w15:docId w15:val="{682DDA4A-BD78-44E2-8AC3-0D39DB3E2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C72"/>
    <w:pPr>
      <w:ind w:left="720"/>
      <w:contextualSpacing/>
    </w:pPr>
  </w:style>
  <w:style w:type="character" w:styleId="CommentReference">
    <w:name w:val="annotation reference"/>
    <w:basedOn w:val="DefaultParagraphFont"/>
    <w:uiPriority w:val="99"/>
    <w:semiHidden/>
    <w:unhideWhenUsed/>
    <w:rsid w:val="00317C72"/>
    <w:rPr>
      <w:sz w:val="16"/>
      <w:szCs w:val="16"/>
    </w:rPr>
  </w:style>
  <w:style w:type="paragraph" w:styleId="CommentText">
    <w:name w:val="annotation text"/>
    <w:basedOn w:val="Normal"/>
    <w:link w:val="CommentTextChar"/>
    <w:uiPriority w:val="99"/>
    <w:unhideWhenUsed/>
    <w:rsid w:val="00317C72"/>
    <w:pPr>
      <w:spacing w:line="240" w:lineRule="auto"/>
    </w:pPr>
    <w:rPr>
      <w:sz w:val="20"/>
      <w:szCs w:val="20"/>
    </w:rPr>
  </w:style>
  <w:style w:type="character" w:customStyle="1" w:styleId="CommentTextChar">
    <w:name w:val="Comment Text Char"/>
    <w:basedOn w:val="DefaultParagraphFont"/>
    <w:link w:val="CommentText"/>
    <w:uiPriority w:val="99"/>
    <w:rsid w:val="00317C72"/>
    <w:rPr>
      <w:sz w:val="20"/>
      <w:szCs w:val="20"/>
    </w:rPr>
  </w:style>
  <w:style w:type="paragraph" w:styleId="CommentSubject">
    <w:name w:val="annotation subject"/>
    <w:basedOn w:val="CommentText"/>
    <w:next w:val="CommentText"/>
    <w:link w:val="CommentSubjectChar"/>
    <w:uiPriority w:val="99"/>
    <w:semiHidden/>
    <w:unhideWhenUsed/>
    <w:rsid w:val="00317C72"/>
    <w:rPr>
      <w:b/>
      <w:bCs/>
    </w:rPr>
  </w:style>
  <w:style w:type="character" w:customStyle="1" w:styleId="CommentSubjectChar">
    <w:name w:val="Comment Subject Char"/>
    <w:basedOn w:val="CommentTextChar"/>
    <w:link w:val="CommentSubject"/>
    <w:uiPriority w:val="99"/>
    <w:semiHidden/>
    <w:rsid w:val="00317C72"/>
    <w:rPr>
      <w:b/>
      <w:bCs/>
      <w:sz w:val="20"/>
      <w:szCs w:val="20"/>
    </w:rPr>
  </w:style>
  <w:style w:type="paragraph" w:styleId="Revision">
    <w:name w:val="Revision"/>
    <w:hidden/>
    <w:uiPriority w:val="99"/>
    <w:semiHidden/>
    <w:rsid w:val="004E6A2B"/>
    <w:pPr>
      <w:spacing w:after="0" w:line="240" w:lineRule="auto"/>
    </w:pPr>
  </w:style>
  <w:style w:type="paragraph" w:styleId="Header">
    <w:name w:val="header"/>
    <w:basedOn w:val="Normal"/>
    <w:link w:val="HeaderChar"/>
    <w:uiPriority w:val="99"/>
    <w:unhideWhenUsed/>
    <w:rsid w:val="00C42B71"/>
    <w:pPr>
      <w:tabs>
        <w:tab w:val="center" w:pos="4153"/>
        <w:tab w:val="right" w:pos="8306"/>
      </w:tabs>
      <w:spacing w:after="0" w:line="240" w:lineRule="auto"/>
    </w:pPr>
  </w:style>
  <w:style w:type="character" w:customStyle="1" w:styleId="HeaderChar">
    <w:name w:val="Header Char"/>
    <w:basedOn w:val="DefaultParagraphFont"/>
    <w:link w:val="Header"/>
    <w:uiPriority w:val="99"/>
    <w:rsid w:val="00C42B71"/>
  </w:style>
  <w:style w:type="paragraph" w:styleId="Footer">
    <w:name w:val="footer"/>
    <w:basedOn w:val="Normal"/>
    <w:link w:val="FooterChar"/>
    <w:uiPriority w:val="99"/>
    <w:unhideWhenUsed/>
    <w:rsid w:val="00C42B71"/>
    <w:pPr>
      <w:tabs>
        <w:tab w:val="center" w:pos="4153"/>
        <w:tab w:val="right" w:pos="8306"/>
      </w:tabs>
      <w:spacing w:after="0" w:line="240" w:lineRule="auto"/>
    </w:pPr>
  </w:style>
  <w:style w:type="character" w:customStyle="1" w:styleId="FooterChar">
    <w:name w:val="Footer Char"/>
    <w:basedOn w:val="DefaultParagraphFont"/>
    <w:link w:val="Footer"/>
    <w:uiPriority w:val="99"/>
    <w:rsid w:val="00C42B71"/>
  </w:style>
  <w:style w:type="table" w:styleId="TableGrid">
    <w:name w:val="Table Grid"/>
    <w:basedOn w:val="TableNormal"/>
    <w:uiPriority w:val="39"/>
    <w:rsid w:val="00EA6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C12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12E0"/>
    <w:rPr>
      <w:sz w:val="20"/>
      <w:szCs w:val="20"/>
    </w:rPr>
  </w:style>
  <w:style w:type="character" w:styleId="FootnoteReference">
    <w:name w:val="footnote reference"/>
    <w:basedOn w:val="DefaultParagraphFont"/>
    <w:uiPriority w:val="99"/>
    <w:semiHidden/>
    <w:unhideWhenUsed/>
    <w:rsid w:val="00DC12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9391">
      <w:bodyDiv w:val="1"/>
      <w:marLeft w:val="0"/>
      <w:marRight w:val="0"/>
      <w:marTop w:val="0"/>
      <w:marBottom w:val="0"/>
      <w:divBdr>
        <w:top w:val="none" w:sz="0" w:space="0" w:color="auto"/>
        <w:left w:val="none" w:sz="0" w:space="0" w:color="auto"/>
        <w:bottom w:val="none" w:sz="0" w:space="0" w:color="auto"/>
        <w:right w:val="none" w:sz="0" w:space="0" w:color="auto"/>
      </w:divBdr>
      <w:divsChild>
        <w:div w:id="1163358186">
          <w:marLeft w:val="0"/>
          <w:marRight w:val="0"/>
          <w:marTop w:val="0"/>
          <w:marBottom w:val="0"/>
          <w:divBdr>
            <w:top w:val="none" w:sz="0" w:space="0" w:color="auto"/>
            <w:left w:val="none" w:sz="0" w:space="0" w:color="auto"/>
            <w:bottom w:val="none" w:sz="0" w:space="0" w:color="auto"/>
            <w:right w:val="none" w:sz="0" w:space="0" w:color="auto"/>
          </w:divBdr>
        </w:div>
        <w:div w:id="366222505">
          <w:marLeft w:val="0"/>
          <w:marRight w:val="0"/>
          <w:marTop w:val="0"/>
          <w:marBottom w:val="0"/>
          <w:divBdr>
            <w:top w:val="none" w:sz="0" w:space="0" w:color="auto"/>
            <w:left w:val="none" w:sz="0" w:space="0" w:color="auto"/>
            <w:bottom w:val="none" w:sz="0" w:space="0" w:color="auto"/>
            <w:right w:val="none" w:sz="0" w:space="0" w:color="auto"/>
          </w:divBdr>
        </w:div>
        <w:div w:id="2137409113">
          <w:marLeft w:val="0"/>
          <w:marRight w:val="0"/>
          <w:marTop w:val="0"/>
          <w:marBottom w:val="0"/>
          <w:divBdr>
            <w:top w:val="none" w:sz="0" w:space="0" w:color="auto"/>
            <w:left w:val="none" w:sz="0" w:space="0" w:color="auto"/>
            <w:bottom w:val="none" w:sz="0" w:space="0" w:color="auto"/>
            <w:right w:val="none" w:sz="0" w:space="0" w:color="auto"/>
          </w:divBdr>
        </w:div>
        <w:div w:id="1879581776">
          <w:marLeft w:val="0"/>
          <w:marRight w:val="0"/>
          <w:marTop w:val="0"/>
          <w:marBottom w:val="0"/>
          <w:divBdr>
            <w:top w:val="none" w:sz="0" w:space="0" w:color="auto"/>
            <w:left w:val="none" w:sz="0" w:space="0" w:color="auto"/>
            <w:bottom w:val="none" w:sz="0" w:space="0" w:color="auto"/>
            <w:right w:val="none" w:sz="0" w:space="0" w:color="auto"/>
          </w:divBdr>
        </w:div>
        <w:div w:id="865677409">
          <w:marLeft w:val="0"/>
          <w:marRight w:val="0"/>
          <w:marTop w:val="0"/>
          <w:marBottom w:val="0"/>
          <w:divBdr>
            <w:top w:val="none" w:sz="0" w:space="0" w:color="auto"/>
            <w:left w:val="none" w:sz="0" w:space="0" w:color="auto"/>
            <w:bottom w:val="none" w:sz="0" w:space="0" w:color="auto"/>
            <w:right w:val="none" w:sz="0" w:space="0" w:color="auto"/>
          </w:divBdr>
        </w:div>
        <w:div w:id="425661070">
          <w:marLeft w:val="0"/>
          <w:marRight w:val="0"/>
          <w:marTop w:val="0"/>
          <w:marBottom w:val="0"/>
          <w:divBdr>
            <w:top w:val="none" w:sz="0" w:space="0" w:color="auto"/>
            <w:left w:val="none" w:sz="0" w:space="0" w:color="auto"/>
            <w:bottom w:val="none" w:sz="0" w:space="0" w:color="auto"/>
            <w:right w:val="none" w:sz="0" w:space="0" w:color="auto"/>
          </w:divBdr>
        </w:div>
      </w:divsChild>
    </w:div>
    <w:div w:id="1164660000">
      <w:bodyDiv w:val="1"/>
      <w:marLeft w:val="0"/>
      <w:marRight w:val="0"/>
      <w:marTop w:val="0"/>
      <w:marBottom w:val="0"/>
      <w:divBdr>
        <w:top w:val="none" w:sz="0" w:space="0" w:color="auto"/>
        <w:left w:val="none" w:sz="0" w:space="0" w:color="auto"/>
        <w:bottom w:val="none" w:sz="0" w:space="0" w:color="auto"/>
        <w:right w:val="none" w:sz="0" w:space="0" w:color="auto"/>
      </w:divBdr>
    </w:div>
    <w:div w:id="1375614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solidFill>
                  <a:sysClr val="windowText" lastClr="000000"/>
                </a:solidFill>
                <a:latin typeface="Times New Roman" panose="02020603050405020304" pitchFamily="18" charset="0"/>
                <a:cs typeface="Times New Roman" panose="02020603050405020304" pitchFamily="18" charset="0"/>
              </a:rPr>
              <a:t>Janvāris,</a:t>
            </a:r>
            <a:r>
              <a:rPr lang="lv-LV" sz="1200" baseline="0">
                <a:solidFill>
                  <a:sysClr val="windowText" lastClr="000000"/>
                </a:solidFill>
                <a:latin typeface="Times New Roman" panose="02020603050405020304" pitchFamily="18" charset="0"/>
                <a:cs typeface="Times New Roman" panose="02020603050405020304" pitchFamily="18" charset="0"/>
              </a:rPr>
              <a:t> 2022</a:t>
            </a:r>
            <a:endParaRPr lang="lv-LV"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Sheet1!$B$2:$B$66</c:f>
              <c:strCache>
                <c:ptCount val="65"/>
                <c:pt idx="0">
                  <c:v>Priekule</c:v>
                </c:pt>
                <c:pt idx="1">
                  <c:v>Grobiņa</c:v>
                </c:pt>
                <c:pt idx="2">
                  <c:v>Nīca</c:v>
                </c:pt>
                <c:pt idx="3">
                  <c:v>Durbe</c:v>
                </c:pt>
                <c:pt idx="4">
                  <c:v>Aizpute</c:v>
                </c:pt>
                <c:pt idx="5">
                  <c:v>Cīrava</c:v>
                </c:pt>
                <c:pt idx="6">
                  <c:v>Viļāni</c:v>
                </c:pt>
                <c:pt idx="7">
                  <c:v>Vecumnieki</c:v>
                </c:pt>
                <c:pt idx="8">
                  <c:v>Limbaži</c:v>
                </c:pt>
                <c:pt idx="9">
                  <c:v>Laucese</c:v>
                </c:pt>
                <c:pt idx="10">
                  <c:v>Līvāni</c:v>
                </c:pt>
                <c:pt idx="11">
                  <c:v>Skudraliena</c:v>
                </c:pt>
                <c:pt idx="12">
                  <c:v>Cesvaine</c:v>
                </c:pt>
                <c:pt idx="13">
                  <c:v>Smiltene</c:v>
                </c:pt>
                <c:pt idx="14">
                  <c:v>Medumi</c:v>
                </c:pt>
                <c:pt idx="15">
                  <c:v>Maļinova</c:v>
                </c:pt>
                <c:pt idx="16">
                  <c:v>Tüja, Liepupe</c:v>
                </c:pt>
                <c:pt idx="17">
                  <c:v>Dunava, Sudrabkalns, Dignāja, Ābeles</c:v>
                </c:pt>
                <c:pt idx="18">
                  <c:v>Sesava</c:v>
                </c:pt>
                <c:pt idx="19">
                  <c:v>Krumūnas</c:v>
                </c:pt>
                <c:pt idx="20">
                  <c:v>Tērvete</c:v>
                </c:pt>
                <c:pt idx="21">
                  <c:v>Malta</c:v>
                </c:pt>
                <c:pt idx="22">
                  <c:v>Valka</c:v>
                </c:pt>
                <c:pt idx="23">
                  <c:v>Dagda</c:v>
                </c:pt>
                <c:pt idx="24">
                  <c:v>Aknīste, Gārsene, Asare. Ancene</c:v>
                </c:pt>
                <c:pt idx="25">
                  <c:v>Bebri, Koknese, Jelgava</c:v>
                </c:pt>
                <c:pt idx="26">
                  <c:v>Platone</c:v>
                </c:pt>
                <c:pt idx="27">
                  <c:v>Cena</c:v>
                </c:pt>
                <c:pt idx="28">
                  <c:v>Laucese</c:v>
                </c:pt>
                <c:pt idx="29">
                  <c:v>Smiltene</c:v>
                </c:pt>
                <c:pt idx="30">
                  <c:v>Skulte</c:v>
                </c:pt>
                <c:pt idx="31">
                  <c:v>Saulkrasti</c:v>
                </c:pt>
                <c:pt idx="32">
                  <c:v>Pabaži</c:v>
                </c:pt>
                <c:pt idx="33">
                  <c:v>Iršu, Klintaines un Skrīveru pagasti</c:v>
                </c:pt>
                <c:pt idx="34">
                  <c:v>Ape</c:v>
                </c:pt>
                <c:pt idx="35">
                  <c:v>Kandava</c:v>
                </c:pt>
                <c:pt idx="36">
                  <c:v>Rauna</c:v>
                </c:pt>
                <c:pt idx="37">
                  <c:v>Svēte</c:v>
                </c:pt>
                <c:pt idx="38">
                  <c:v>Rēzeknes nov.</c:v>
                </c:pt>
                <c:pt idx="39">
                  <c:v>Krāslava</c:v>
                </c:pt>
                <c:pt idx="40">
                  <c:v>Bēne</c:v>
                </c:pt>
                <c:pt idx="41">
                  <c:v>Auce</c:v>
                </c:pt>
                <c:pt idx="42">
                  <c:v>Rēzeknes nov.</c:v>
                </c:pt>
                <c:pt idx="43">
                  <c:v>Lielplatone</c:v>
                </c:pt>
                <c:pt idx="44">
                  <c:v>Ludzas nov</c:v>
                </c:pt>
                <c:pt idx="45">
                  <c:v>Rēzeknes nov.</c:v>
                </c:pt>
                <c:pt idx="46">
                  <c:v>Varakļani</c:v>
                </c:pt>
                <c:pt idx="47">
                  <c:v>Ludzas nov</c:v>
                </c:pt>
                <c:pt idx="48">
                  <c:v>Rēzeknes nov.</c:v>
                </c:pt>
                <c:pt idx="49">
                  <c:v>Auleja</c:v>
                </c:pt>
                <c:pt idx="50">
                  <c:v>Robežnieki</c:v>
                </c:pt>
                <c:pt idx="51">
                  <c:v>Vidsala, Kalna pagasts</c:v>
                </c:pt>
                <c:pt idx="52">
                  <c:v>Staburags</c:v>
                </c:pt>
                <c:pt idx="53">
                  <c:v>Nereta</c:v>
                </c:pt>
                <c:pt idx="54">
                  <c:v>Sece</c:v>
                </c:pt>
                <c:pt idx="55">
                  <c:v>Ozolnieki</c:v>
                </c:pt>
                <c:pt idx="56">
                  <c:v>Iecava</c:v>
                </c:pt>
                <c:pt idx="57">
                  <c:v>Smiltene</c:v>
                </c:pt>
                <c:pt idx="58">
                  <c:v>Engure, Lapmežciems</c:v>
                </c:pt>
                <c:pt idx="59">
                  <c:v>Aloja</c:v>
                </c:pt>
                <c:pt idx="60">
                  <c:v>Rēzeknes nov.</c:v>
                </c:pt>
                <c:pt idx="61">
                  <c:v>Mazzalve</c:v>
                </c:pt>
                <c:pt idx="62">
                  <c:v>Pilskalne</c:v>
                </c:pt>
                <c:pt idx="63">
                  <c:v>Sērene</c:v>
                </c:pt>
                <c:pt idx="64">
                  <c:v>Saulkrasti</c:v>
                </c:pt>
              </c:strCache>
            </c:strRef>
          </c:cat>
          <c:val>
            <c:numRef>
              <c:f>Sheet1!$C$2:$C$66</c:f>
              <c:numCache>
                <c:formatCode>General</c:formatCode>
                <c:ptCount val="65"/>
                <c:pt idx="0">
                  <c:v>25</c:v>
                </c:pt>
                <c:pt idx="1">
                  <c:v>35</c:v>
                </c:pt>
                <c:pt idx="2">
                  <c:v>77</c:v>
                </c:pt>
                <c:pt idx="3">
                  <c:v>67</c:v>
                </c:pt>
                <c:pt idx="4">
                  <c:v>78</c:v>
                </c:pt>
                <c:pt idx="5">
                  <c:v>42</c:v>
                </c:pt>
                <c:pt idx="6">
                  <c:v>86</c:v>
                </c:pt>
                <c:pt idx="7">
                  <c:v>63</c:v>
                </c:pt>
                <c:pt idx="8">
                  <c:v>32</c:v>
                </c:pt>
                <c:pt idx="9">
                  <c:v>6</c:v>
                </c:pt>
                <c:pt idx="10">
                  <c:v>71</c:v>
                </c:pt>
                <c:pt idx="11">
                  <c:v>29</c:v>
                </c:pt>
                <c:pt idx="12">
                  <c:v>79</c:v>
                </c:pt>
                <c:pt idx="13">
                  <c:v>32</c:v>
                </c:pt>
                <c:pt idx="14">
                  <c:v>2</c:v>
                </c:pt>
                <c:pt idx="15">
                  <c:v>20</c:v>
                </c:pt>
                <c:pt idx="16">
                  <c:v>47</c:v>
                </c:pt>
                <c:pt idx="17">
                  <c:v>24</c:v>
                </c:pt>
                <c:pt idx="18">
                  <c:v>78</c:v>
                </c:pt>
                <c:pt idx="19">
                  <c:v>26</c:v>
                </c:pt>
                <c:pt idx="20">
                  <c:v>54</c:v>
                </c:pt>
                <c:pt idx="21">
                  <c:v>45</c:v>
                </c:pt>
                <c:pt idx="22">
                  <c:v>13</c:v>
                </c:pt>
                <c:pt idx="23">
                  <c:v>17</c:v>
                </c:pt>
                <c:pt idx="24">
                  <c:v>69</c:v>
                </c:pt>
                <c:pt idx="25">
                  <c:v>51</c:v>
                </c:pt>
                <c:pt idx="26">
                  <c:v>23</c:v>
                </c:pt>
                <c:pt idx="27">
                  <c:v>24</c:v>
                </c:pt>
                <c:pt idx="28">
                  <c:v>6</c:v>
                </c:pt>
                <c:pt idx="29">
                  <c:v>43</c:v>
                </c:pt>
                <c:pt idx="30">
                  <c:v>46</c:v>
                </c:pt>
                <c:pt idx="31">
                  <c:v>55</c:v>
                </c:pt>
                <c:pt idx="32">
                  <c:v>18</c:v>
                </c:pt>
                <c:pt idx="33">
                  <c:v>36</c:v>
                </c:pt>
                <c:pt idx="34">
                  <c:v>33</c:v>
                </c:pt>
                <c:pt idx="35">
                  <c:v>140</c:v>
                </c:pt>
                <c:pt idx="36">
                  <c:v>15</c:v>
                </c:pt>
                <c:pt idx="37">
                  <c:v>10</c:v>
                </c:pt>
                <c:pt idx="38">
                  <c:v>28</c:v>
                </c:pt>
                <c:pt idx="39">
                  <c:v>188</c:v>
                </c:pt>
                <c:pt idx="40">
                  <c:v>22</c:v>
                </c:pt>
                <c:pt idx="41">
                  <c:v>41</c:v>
                </c:pt>
                <c:pt idx="42">
                  <c:v>9</c:v>
                </c:pt>
                <c:pt idx="43">
                  <c:v>25</c:v>
                </c:pt>
                <c:pt idx="44">
                  <c:v>85</c:v>
                </c:pt>
                <c:pt idx="45">
                  <c:v>38</c:v>
                </c:pt>
                <c:pt idx="46">
                  <c:v>55</c:v>
                </c:pt>
                <c:pt idx="47">
                  <c:v>38</c:v>
                </c:pt>
                <c:pt idx="48">
                  <c:v>21</c:v>
                </c:pt>
                <c:pt idx="49">
                  <c:v>21</c:v>
                </c:pt>
                <c:pt idx="50">
                  <c:v>7</c:v>
                </c:pt>
                <c:pt idx="51">
                  <c:v>5</c:v>
                </c:pt>
                <c:pt idx="52">
                  <c:v>3</c:v>
                </c:pt>
                <c:pt idx="53">
                  <c:v>13</c:v>
                </c:pt>
                <c:pt idx="54">
                  <c:v>44</c:v>
                </c:pt>
                <c:pt idx="55">
                  <c:v>22</c:v>
                </c:pt>
                <c:pt idx="56">
                  <c:v>65</c:v>
                </c:pt>
                <c:pt idx="57">
                  <c:v>30</c:v>
                </c:pt>
                <c:pt idx="58">
                  <c:v>59</c:v>
                </c:pt>
                <c:pt idx="59">
                  <c:v>70</c:v>
                </c:pt>
                <c:pt idx="60">
                  <c:v>25</c:v>
                </c:pt>
                <c:pt idx="61">
                  <c:v>17</c:v>
                </c:pt>
                <c:pt idx="62">
                  <c:v>3</c:v>
                </c:pt>
                <c:pt idx="63">
                  <c:v>9</c:v>
                </c:pt>
                <c:pt idx="64">
                  <c:v>85</c:v>
                </c:pt>
              </c:numCache>
            </c:numRef>
          </c:val>
          <c:extLst>
            <c:ext xmlns:c16="http://schemas.microsoft.com/office/drawing/2014/chart" uri="{C3380CC4-5D6E-409C-BE32-E72D297353CC}">
              <c16:uniqueId val="{00000000-F040-4C68-95A3-36001B73D9F7}"/>
            </c:ext>
          </c:extLst>
        </c:ser>
        <c:dLbls>
          <c:showLegendKey val="0"/>
          <c:showVal val="0"/>
          <c:showCatName val="0"/>
          <c:showSerName val="0"/>
          <c:showPercent val="0"/>
          <c:showBubbleSize val="0"/>
        </c:dLbls>
        <c:gapWidth val="219"/>
        <c:overlap val="-27"/>
        <c:axId val="372168624"/>
        <c:axId val="372176944"/>
      </c:barChart>
      <c:catAx>
        <c:axId val="372168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lv-LV"/>
          </a:p>
        </c:txPr>
        <c:crossAx val="372176944"/>
        <c:crosses val="autoZero"/>
        <c:auto val="1"/>
        <c:lblAlgn val="ctr"/>
        <c:lblOffset val="100"/>
        <c:noMultiLvlLbl val="0"/>
      </c:catAx>
      <c:valAx>
        <c:axId val="372176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372168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solidFill>
                  <a:sysClr val="windowText" lastClr="000000"/>
                </a:solidFill>
                <a:latin typeface="Times New Roman" panose="02020603050405020304" pitchFamily="18" charset="0"/>
                <a:cs typeface="Times New Roman" panose="02020603050405020304" pitchFamily="18" charset="0"/>
              </a:rPr>
              <a:t>Decembris,</a:t>
            </a:r>
            <a:r>
              <a:rPr lang="lv-LV" sz="1200" baseline="0">
                <a:solidFill>
                  <a:sysClr val="windowText" lastClr="000000"/>
                </a:solidFill>
                <a:latin typeface="Times New Roman" panose="02020603050405020304" pitchFamily="18" charset="0"/>
                <a:cs typeface="Times New Roman" panose="02020603050405020304" pitchFamily="18" charset="0"/>
              </a:rPr>
              <a:t> 2021</a:t>
            </a:r>
            <a:endParaRPr lang="lv-LV"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Sheet2!$A$1:$A$47</c:f>
              <c:strCache>
                <c:ptCount val="38"/>
                <c:pt idx="0">
                  <c:v>Višķu pagasts</c:v>
                </c:pt>
                <c:pt idx="1">
                  <c:v>Dubna</c:v>
                </c:pt>
                <c:pt idx="2">
                  <c:v>Kalkūni</c:v>
                </c:pt>
                <c:pt idx="3">
                  <c:v>Ambeļi</c:v>
                </c:pt>
                <c:pt idx="4">
                  <c:v>Maļinovas pagasts</c:v>
                </c:pt>
                <c:pt idx="5">
                  <c:v>Mālupe 2.deva</c:v>
                </c:pt>
                <c:pt idx="6">
                  <c:v>Silene</c:v>
                </c:pt>
                <c:pt idx="7">
                  <c:v>Kumbuļi</c:v>
                </c:pt>
                <c:pt idx="8">
                  <c:v>Demenes pagasts</c:v>
                </c:pt>
                <c:pt idx="9">
                  <c:v>Kuldīga, 2.deva</c:v>
                </c:pt>
                <c:pt idx="10">
                  <c:v>Strenči 2.deva</c:v>
                </c:pt>
                <c:pt idx="11">
                  <c:v>Aloja</c:v>
                </c:pt>
                <c:pt idx="12">
                  <c:v>Salacgrīva</c:v>
                </c:pt>
                <c:pt idx="13">
                  <c:v>Smiltene</c:v>
                </c:pt>
                <c:pt idx="14">
                  <c:v>Malta (vakcīnbuss)</c:v>
                </c:pt>
                <c:pt idx="15">
                  <c:v>Viļāni (vakcīnbuss)</c:v>
                </c:pt>
                <c:pt idx="16">
                  <c:v>Valkas pagasts</c:v>
                </c:pt>
                <c:pt idx="17">
                  <c:v>Valka</c:v>
                </c:pt>
                <c:pt idx="18">
                  <c:v>Vijciems</c:v>
                </c:pt>
                <c:pt idx="19">
                  <c:v>Višķi</c:v>
                </c:pt>
                <c:pt idx="20">
                  <c:v>Ambeļi</c:v>
                </c:pt>
                <c:pt idx="21">
                  <c:v>Eleja</c:v>
                </c:pt>
                <c:pt idx="22">
                  <c:v>Kuldīga</c:v>
                </c:pt>
                <c:pt idx="23">
                  <c:v>Līvāni</c:v>
                </c:pt>
                <c:pt idx="24">
                  <c:v>Kuldīga</c:v>
                </c:pt>
                <c:pt idx="25">
                  <c:v>Platone</c:v>
                </c:pt>
                <c:pt idx="26">
                  <c:v>Dobele</c:v>
                </c:pt>
                <c:pt idx="27">
                  <c:v>Rauna</c:v>
                </c:pt>
                <c:pt idx="28">
                  <c:v>Pļaviņas </c:v>
                </c:pt>
                <c:pt idx="29">
                  <c:v>Sunākste </c:v>
                </c:pt>
                <c:pt idx="30">
                  <c:v>Daudzeva </c:v>
                </c:pt>
                <c:pt idx="31">
                  <c:v>Drusti</c:v>
                </c:pt>
                <c:pt idx="32">
                  <c:v>Salaspils</c:v>
                </c:pt>
                <c:pt idx="33">
                  <c:v>Vecsalienas pagasts</c:v>
                </c:pt>
                <c:pt idx="34">
                  <c:v>Vecstropi</c:v>
                </c:pt>
                <c:pt idx="35">
                  <c:v>Tilža</c:v>
                </c:pt>
                <c:pt idx="36">
                  <c:v>Baltinava</c:v>
                </c:pt>
                <c:pt idx="37">
                  <c:v>Rekova (Šķilbēnu pagasts)</c:v>
                </c:pt>
              </c:strCache>
            </c:strRef>
          </c:cat>
          <c:val>
            <c:numRef>
              <c:f>Sheet2!$B$1:$B$47</c:f>
              <c:numCache>
                <c:formatCode>General</c:formatCode>
                <c:ptCount val="38"/>
                <c:pt idx="0">
                  <c:v>102</c:v>
                </c:pt>
                <c:pt idx="1">
                  <c:v>58</c:v>
                </c:pt>
                <c:pt idx="2">
                  <c:v>26</c:v>
                </c:pt>
                <c:pt idx="3">
                  <c:v>16</c:v>
                </c:pt>
                <c:pt idx="4">
                  <c:v>39</c:v>
                </c:pt>
                <c:pt idx="5">
                  <c:v>20</c:v>
                </c:pt>
                <c:pt idx="6">
                  <c:v>40</c:v>
                </c:pt>
                <c:pt idx="7">
                  <c:v>17</c:v>
                </c:pt>
                <c:pt idx="8">
                  <c:v>15</c:v>
                </c:pt>
                <c:pt idx="9">
                  <c:v>88</c:v>
                </c:pt>
                <c:pt idx="10">
                  <c:v>65</c:v>
                </c:pt>
                <c:pt idx="11">
                  <c:v>40</c:v>
                </c:pt>
                <c:pt idx="12">
                  <c:v>53</c:v>
                </c:pt>
                <c:pt idx="13">
                  <c:v>64</c:v>
                </c:pt>
                <c:pt idx="14">
                  <c:v>27</c:v>
                </c:pt>
                <c:pt idx="15">
                  <c:v>37</c:v>
                </c:pt>
                <c:pt idx="16">
                  <c:v>5</c:v>
                </c:pt>
                <c:pt idx="17">
                  <c:v>33</c:v>
                </c:pt>
                <c:pt idx="18">
                  <c:v>17</c:v>
                </c:pt>
                <c:pt idx="19">
                  <c:v>47</c:v>
                </c:pt>
                <c:pt idx="20">
                  <c:v>10</c:v>
                </c:pt>
                <c:pt idx="21">
                  <c:v>121</c:v>
                </c:pt>
                <c:pt idx="22">
                  <c:v>128</c:v>
                </c:pt>
                <c:pt idx="23">
                  <c:v>80</c:v>
                </c:pt>
                <c:pt idx="24">
                  <c:v>142</c:v>
                </c:pt>
                <c:pt idx="25">
                  <c:v>43</c:v>
                </c:pt>
                <c:pt idx="26">
                  <c:v>135</c:v>
                </c:pt>
                <c:pt idx="27">
                  <c:v>20</c:v>
                </c:pt>
                <c:pt idx="28">
                  <c:v>20</c:v>
                </c:pt>
                <c:pt idx="29">
                  <c:v>26</c:v>
                </c:pt>
                <c:pt idx="30">
                  <c:v>36</c:v>
                </c:pt>
                <c:pt idx="31">
                  <c:v>27</c:v>
                </c:pt>
                <c:pt idx="32">
                  <c:v>135</c:v>
                </c:pt>
                <c:pt idx="33">
                  <c:v>37</c:v>
                </c:pt>
                <c:pt idx="34">
                  <c:v>27</c:v>
                </c:pt>
                <c:pt idx="35">
                  <c:v>15</c:v>
                </c:pt>
                <c:pt idx="36">
                  <c:v>7</c:v>
                </c:pt>
                <c:pt idx="37">
                  <c:v>3</c:v>
                </c:pt>
              </c:numCache>
            </c:numRef>
          </c:val>
          <c:extLst>
            <c:ext xmlns:c16="http://schemas.microsoft.com/office/drawing/2014/chart" uri="{C3380CC4-5D6E-409C-BE32-E72D297353CC}">
              <c16:uniqueId val="{00000000-B9FA-4A44-AEF9-C0679EFD2D7E}"/>
            </c:ext>
          </c:extLst>
        </c:ser>
        <c:dLbls>
          <c:showLegendKey val="0"/>
          <c:showVal val="0"/>
          <c:showCatName val="0"/>
          <c:showSerName val="0"/>
          <c:showPercent val="0"/>
          <c:showBubbleSize val="0"/>
        </c:dLbls>
        <c:gapWidth val="219"/>
        <c:overlap val="-27"/>
        <c:axId val="714415008"/>
        <c:axId val="714397536"/>
      </c:barChart>
      <c:catAx>
        <c:axId val="714415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lv-LV"/>
          </a:p>
        </c:txPr>
        <c:crossAx val="714397536"/>
        <c:crosses val="autoZero"/>
        <c:auto val="1"/>
        <c:lblAlgn val="ctr"/>
        <c:lblOffset val="100"/>
        <c:noMultiLvlLbl val="0"/>
      </c:catAx>
      <c:valAx>
        <c:axId val="714397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7144150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BA322-DD52-443A-915B-5791C2CE2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8833</Words>
  <Characters>5036</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Zaiga Barvida</dc:creator>
  <cp:keywords/>
  <dc:description/>
  <cp:lastModifiedBy>Igors Belovs</cp:lastModifiedBy>
  <cp:revision>4</cp:revision>
  <dcterms:created xsi:type="dcterms:W3CDTF">2022-03-18T14:29:00Z</dcterms:created>
  <dcterms:modified xsi:type="dcterms:W3CDTF">2022-03-18T14:30:00Z</dcterms:modified>
</cp:coreProperties>
</file>